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9C58" w14:textId="6A6DCD38" w:rsidR="00D25C2D" w:rsidRPr="00913ACD" w:rsidRDefault="00D25C2D"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ab/>
      </w:r>
    </w:p>
    <w:p w14:paraId="1D5C658A" w14:textId="2EAF26BC" w:rsidR="00D25C2D" w:rsidRPr="00913ACD" w:rsidRDefault="00D25C2D" w:rsidP="00CB030B">
      <w:pPr>
        <w:ind w:left="6480" w:firstLine="720"/>
        <w:rPr>
          <w:rFonts w:ascii="Times New Roman" w:hAnsi="Times New Roman" w:cs="Times New Roman"/>
          <w:sz w:val="22"/>
          <w:szCs w:val="22"/>
          <w:lang w:val="pt-BR"/>
        </w:rPr>
      </w:pPr>
      <w:r w:rsidRPr="00913ACD">
        <w:rPr>
          <w:rFonts w:ascii="Times New Roman" w:hAnsi="Times New Roman" w:cs="Times New Roman"/>
          <w:sz w:val="22"/>
          <w:szCs w:val="22"/>
          <w:lang w:val="pt-BR"/>
        </w:rPr>
        <w:t>OEA/Ser.W</w:t>
      </w:r>
    </w:p>
    <w:p w14:paraId="7CB0244A" w14:textId="3C8A3861" w:rsidR="00D25C2D" w:rsidRPr="00913ACD" w:rsidRDefault="007938F7" w:rsidP="007938F7">
      <w:pPr>
        <w:tabs>
          <w:tab w:val="left" w:pos="6930"/>
          <w:tab w:val="left" w:pos="7110"/>
        </w:tabs>
        <w:ind w:firstLine="720"/>
        <w:jc w:val="center"/>
        <w:rPr>
          <w:rFonts w:ascii="Times New Roman" w:hAnsi="Times New Roman" w:cs="Times New Roman"/>
          <w:sz w:val="22"/>
          <w:szCs w:val="22"/>
          <w:lang w:val="pt-BR"/>
        </w:rPr>
      </w:pPr>
      <w:r w:rsidRPr="00913ACD">
        <w:rPr>
          <w:rFonts w:ascii="Times New Roman" w:hAnsi="Times New Roman" w:cs="Times New Roman"/>
          <w:sz w:val="22"/>
          <w:szCs w:val="22"/>
          <w:lang w:val="pt-BR"/>
        </w:rPr>
        <w:tab/>
      </w:r>
      <w:r w:rsidR="00D25C2D" w:rsidRPr="00913ACD">
        <w:rPr>
          <w:rFonts w:ascii="Times New Roman" w:hAnsi="Times New Roman" w:cs="Times New Roman"/>
          <w:sz w:val="22"/>
          <w:szCs w:val="22"/>
          <w:lang w:val="pt-BR"/>
        </w:rPr>
        <w:t>CIDI/doc. 371/2</w:t>
      </w:r>
      <w:r w:rsidR="00202AB6">
        <w:rPr>
          <w:rFonts w:ascii="Times New Roman" w:hAnsi="Times New Roman" w:cs="Times New Roman"/>
          <w:sz w:val="22"/>
          <w:szCs w:val="22"/>
          <w:lang w:val="pt-BR"/>
        </w:rPr>
        <w:t>3</w:t>
      </w:r>
      <w:r w:rsidR="00F633AC">
        <w:rPr>
          <w:rFonts w:ascii="Times New Roman" w:hAnsi="Times New Roman" w:cs="Times New Roman"/>
          <w:sz w:val="22"/>
          <w:szCs w:val="22"/>
          <w:lang w:val="pt-BR"/>
        </w:rPr>
        <w:t xml:space="preserve"> </w:t>
      </w:r>
      <w:r w:rsidR="00A571D7">
        <w:rPr>
          <w:rFonts w:ascii="Times New Roman" w:hAnsi="Times New Roman" w:cs="Times New Roman"/>
          <w:sz w:val="22"/>
          <w:szCs w:val="22"/>
          <w:lang w:val="pt-BR"/>
        </w:rPr>
        <w:t>rev.</w:t>
      </w:r>
      <w:r w:rsidR="00AD2F66">
        <w:rPr>
          <w:rFonts w:ascii="Times New Roman" w:hAnsi="Times New Roman" w:cs="Times New Roman"/>
          <w:sz w:val="22"/>
          <w:szCs w:val="22"/>
          <w:lang w:val="pt-BR"/>
        </w:rPr>
        <w:t>1</w:t>
      </w:r>
    </w:p>
    <w:p w14:paraId="0C6D1DD4" w14:textId="33B2B167" w:rsidR="00D25C2D" w:rsidRPr="00913ACD" w:rsidRDefault="00A571D7" w:rsidP="00A571D7">
      <w:pPr>
        <w:tabs>
          <w:tab w:val="left" w:pos="7110"/>
        </w:tabs>
        <w:ind w:left="6480" w:firstLine="720"/>
        <w:rPr>
          <w:rFonts w:ascii="Times New Roman" w:hAnsi="Times New Roman" w:cs="Times New Roman"/>
          <w:sz w:val="22"/>
          <w:szCs w:val="22"/>
          <w:lang w:val="pt-BR"/>
        </w:rPr>
      </w:pPr>
      <w:r>
        <w:rPr>
          <w:rFonts w:ascii="Times New Roman" w:hAnsi="Times New Roman" w:cs="Times New Roman"/>
          <w:sz w:val="22"/>
          <w:szCs w:val="22"/>
          <w:lang w:val="pt-BR"/>
        </w:rPr>
        <w:t>3</w:t>
      </w:r>
      <w:r w:rsidR="00D25C2D" w:rsidRPr="00913ACD">
        <w:rPr>
          <w:rFonts w:ascii="Times New Roman" w:hAnsi="Times New Roman" w:cs="Times New Roman"/>
          <w:sz w:val="22"/>
          <w:szCs w:val="22"/>
          <w:lang w:val="pt-BR"/>
        </w:rPr>
        <w:t xml:space="preserve"> </w:t>
      </w:r>
      <w:r>
        <w:rPr>
          <w:rFonts w:ascii="Times New Roman" w:hAnsi="Times New Roman" w:cs="Times New Roman"/>
          <w:sz w:val="22"/>
          <w:szCs w:val="22"/>
          <w:lang w:val="pt-BR"/>
        </w:rPr>
        <w:t>fevereiro</w:t>
      </w:r>
      <w:r w:rsidR="00D25C2D" w:rsidRPr="00913ACD">
        <w:rPr>
          <w:rFonts w:ascii="Times New Roman" w:hAnsi="Times New Roman" w:cs="Times New Roman"/>
          <w:sz w:val="22"/>
          <w:szCs w:val="22"/>
          <w:lang w:val="pt-BR"/>
        </w:rPr>
        <w:t xml:space="preserve"> 202</w:t>
      </w:r>
      <w:r>
        <w:rPr>
          <w:rFonts w:ascii="Times New Roman" w:hAnsi="Times New Roman" w:cs="Times New Roman"/>
          <w:sz w:val="22"/>
          <w:szCs w:val="22"/>
          <w:lang w:val="pt-BR"/>
        </w:rPr>
        <w:t>3</w:t>
      </w:r>
    </w:p>
    <w:p w14:paraId="511DF3B4" w14:textId="2E765F0B" w:rsidR="00D25C2D" w:rsidRPr="00913ACD" w:rsidRDefault="00D25C2D" w:rsidP="00CB030B">
      <w:pPr>
        <w:tabs>
          <w:tab w:val="left" w:pos="7110"/>
        </w:tabs>
        <w:ind w:left="6480" w:firstLine="720"/>
        <w:rPr>
          <w:rFonts w:ascii="Times New Roman" w:hAnsi="Times New Roman" w:cs="Times New Roman"/>
          <w:sz w:val="22"/>
          <w:szCs w:val="22"/>
          <w:lang w:val="pt-BR"/>
        </w:rPr>
      </w:pPr>
      <w:r w:rsidRPr="00913ACD">
        <w:rPr>
          <w:rFonts w:ascii="Times New Roman" w:hAnsi="Times New Roman" w:cs="Times New Roman"/>
          <w:sz w:val="22"/>
          <w:szCs w:val="22"/>
          <w:lang w:val="pt-BR"/>
        </w:rPr>
        <w:t xml:space="preserve">Original: </w:t>
      </w:r>
      <w:r w:rsidR="00550737" w:rsidRPr="00913ACD">
        <w:rPr>
          <w:rFonts w:ascii="Times New Roman" w:hAnsi="Times New Roman" w:cs="Times New Roman"/>
          <w:sz w:val="22"/>
          <w:szCs w:val="22"/>
          <w:lang w:val="pt-BR"/>
        </w:rPr>
        <w:t>i</w:t>
      </w:r>
      <w:r w:rsidRPr="00913ACD">
        <w:rPr>
          <w:rFonts w:ascii="Times New Roman" w:hAnsi="Times New Roman" w:cs="Times New Roman"/>
          <w:sz w:val="22"/>
          <w:szCs w:val="22"/>
          <w:lang w:val="pt-BR"/>
        </w:rPr>
        <w:t>nglês</w:t>
      </w:r>
    </w:p>
    <w:p w14:paraId="53FE50DB" w14:textId="2C4E1FA2" w:rsidR="00D25C2D" w:rsidRPr="00913ACD" w:rsidRDefault="00000000" w:rsidP="00CB030B">
      <w:pPr>
        <w:jc w:val="right"/>
        <w:rPr>
          <w:rFonts w:ascii="Times New Roman" w:hAnsi="Times New Roman" w:cs="Times New Roman"/>
          <w:sz w:val="22"/>
          <w:szCs w:val="22"/>
          <w:lang w:val="pt-BR"/>
        </w:rPr>
      </w:pPr>
      <w:r>
        <w:rPr>
          <w:rFonts w:ascii="Times New Roman" w:hAnsi="Times New Roman" w:cs="Times New Roman"/>
          <w:noProof/>
          <w:sz w:val="22"/>
          <w:szCs w:val="22"/>
          <w:lang w:val="pt-BR"/>
        </w:rPr>
        <w:pict w14:anchorId="6BA07BBA">
          <v:rect id="_x0000_i1025" alt="" style="width:451.3pt;height:.05pt;mso-width-percent:0;mso-height-percent:0;mso-width-percent:0;mso-height-percent:0" o:hralign="center" o:hrstd="t" o:hr="t" fillcolor="#a0a0a0" stroked="f"/>
        </w:pict>
      </w:r>
    </w:p>
    <w:p w14:paraId="25F0EF91" w14:textId="77777777" w:rsidR="00D25C2D" w:rsidRPr="00913ACD" w:rsidRDefault="00D25C2D" w:rsidP="00CB030B">
      <w:pPr>
        <w:jc w:val="right"/>
        <w:rPr>
          <w:rFonts w:ascii="Times New Roman" w:hAnsi="Times New Roman" w:cs="Times New Roman"/>
          <w:sz w:val="22"/>
          <w:szCs w:val="22"/>
          <w:lang w:val="pt-BR"/>
        </w:rPr>
      </w:pPr>
    </w:p>
    <w:p w14:paraId="051B283F" w14:textId="77777777" w:rsidR="00D25C2D" w:rsidRPr="00913ACD" w:rsidRDefault="00D25C2D" w:rsidP="00CB030B">
      <w:pPr>
        <w:rPr>
          <w:rFonts w:ascii="Times New Roman" w:hAnsi="Times New Roman" w:cs="Times New Roman"/>
          <w:sz w:val="22"/>
          <w:szCs w:val="22"/>
          <w:lang w:val="pt-BR"/>
        </w:rPr>
      </w:pPr>
    </w:p>
    <w:p w14:paraId="7DE3A2EB" w14:textId="77777777" w:rsidR="00D25C2D" w:rsidRPr="00913ACD" w:rsidRDefault="00D25C2D" w:rsidP="00CB030B">
      <w:pPr>
        <w:rPr>
          <w:rFonts w:ascii="Times New Roman" w:hAnsi="Times New Roman" w:cs="Times New Roman"/>
          <w:sz w:val="22"/>
          <w:szCs w:val="22"/>
          <w:lang w:val="pt-BR"/>
        </w:rPr>
      </w:pPr>
    </w:p>
    <w:p w14:paraId="20EE0DC1" w14:textId="77777777" w:rsidR="00D25C2D" w:rsidRPr="00913ACD" w:rsidRDefault="00D25C2D" w:rsidP="00CB030B">
      <w:pPr>
        <w:rPr>
          <w:rFonts w:ascii="Times New Roman" w:hAnsi="Times New Roman" w:cs="Times New Roman"/>
          <w:sz w:val="22"/>
          <w:szCs w:val="22"/>
          <w:lang w:val="pt-BR"/>
        </w:rPr>
      </w:pPr>
    </w:p>
    <w:p w14:paraId="67926CAB" w14:textId="77777777" w:rsidR="00D25C2D" w:rsidRPr="00913ACD" w:rsidRDefault="00D25C2D" w:rsidP="00CB030B">
      <w:pPr>
        <w:rPr>
          <w:rFonts w:ascii="Times New Roman" w:hAnsi="Times New Roman" w:cs="Times New Roman"/>
          <w:sz w:val="22"/>
          <w:szCs w:val="22"/>
          <w:lang w:val="pt-BR"/>
        </w:rPr>
      </w:pPr>
    </w:p>
    <w:p w14:paraId="775FC7DD" w14:textId="77777777" w:rsidR="00D25C2D" w:rsidRPr="00913ACD" w:rsidRDefault="00D25C2D" w:rsidP="00CB030B">
      <w:pPr>
        <w:rPr>
          <w:rFonts w:ascii="Times New Roman" w:hAnsi="Times New Roman" w:cs="Times New Roman"/>
          <w:sz w:val="22"/>
          <w:szCs w:val="22"/>
          <w:lang w:val="pt-BR"/>
        </w:rPr>
      </w:pPr>
    </w:p>
    <w:p w14:paraId="30837122" w14:textId="77777777" w:rsidR="00D25C2D" w:rsidRPr="00913ACD" w:rsidRDefault="00D25C2D" w:rsidP="00CB030B">
      <w:pPr>
        <w:rPr>
          <w:rFonts w:ascii="Times New Roman" w:hAnsi="Times New Roman" w:cs="Times New Roman"/>
          <w:sz w:val="22"/>
          <w:szCs w:val="22"/>
          <w:lang w:val="pt-BR"/>
        </w:rPr>
      </w:pPr>
    </w:p>
    <w:p w14:paraId="3D97E4F7" w14:textId="77777777" w:rsidR="00D25C2D" w:rsidRPr="00913ACD" w:rsidRDefault="00D25C2D" w:rsidP="00CB030B">
      <w:pPr>
        <w:rPr>
          <w:rFonts w:ascii="Times New Roman" w:hAnsi="Times New Roman" w:cs="Times New Roman"/>
          <w:sz w:val="22"/>
          <w:szCs w:val="22"/>
          <w:lang w:val="pt-BR"/>
        </w:rPr>
      </w:pPr>
    </w:p>
    <w:p w14:paraId="0737B9BE" w14:textId="77777777" w:rsidR="00D25C2D" w:rsidRPr="00913ACD" w:rsidRDefault="00D25C2D" w:rsidP="00CB030B">
      <w:pPr>
        <w:rPr>
          <w:rFonts w:ascii="Times New Roman" w:hAnsi="Times New Roman" w:cs="Times New Roman"/>
          <w:sz w:val="22"/>
          <w:szCs w:val="22"/>
          <w:lang w:val="pt-BR"/>
        </w:rPr>
      </w:pPr>
    </w:p>
    <w:p w14:paraId="7FDD519C" w14:textId="77777777" w:rsidR="00D25C2D" w:rsidRPr="00913ACD" w:rsidRDefault="00D25C2D" w:rsidP="00CB030B">
      <w:pPr>
        <w:rPr>
          <w:rFonts w:ascii="Times New Roman" w:hAnsi="Times New Roman" w:cs="Times New Roman"/>
          <w:sz w:val="22"/>
          <w:szCs w:val="22"/>
          <w:lang w:val="pt-BR"/>
        </w:rPr>
      </w:pPr>
    </w:p>
    <w:p w14:paraId="6890D896" w14:textId="77777777" w:rsidR="00D25C2D" w:rsidRPr="00913ACD" w:rsidRDefault="00D25C2D" w:rsidP="00CB030B">
      <w:pPr>
        <w:rPr>
          <w:rFonts w:ascii="Times New Roman" w:hAnsi="Times New Roman" w:cs="Times New Roman"/>
          <w:sz w:val="22"/>
          <w:szCs w:val="22"/>
          <w:lang w:val="pt-BR"/>
        </w:rPr>
      </w:pPr>
    </w:p>
    <w:p w14:paraId="17D1E9B5" w14:textId="77777777" w:rsidR="00D25C2D" w:rsidRPr="00913ACD" w:rsidRDefault="00D25C2D" w:rsidP="00CB030B">
      <w:pPr>
        <w:rPr>
          <w:rFonts w:ascii="Times New Roman" w:hAnsi="Times New Roman" w:cs="Times New Roman"/>
          <w:sz w:val="22"/>
          <w:szCs w:val="22"/>
          <w:lang w:val="pt-BR"/>
        </w:rPr>
      </w:pPr>
    </w:p>
    <w:p w14:paraId="6AFF77DA" w14:textId="59D4A6E6" w:rsidR="00D25C2D" w:rsidRPr="00913ACD" w:rsidRDefault="00D25C2D" w:rsidP="00CB030B">
      <w:pPr>
        <w:rPr>
          <w:rFonts w:ascii="Times New Roman" w:hAnsi="Times New Roman" w:cs="Times New Roman"/>
          <w:b/>
          <w:bCs/>
          <w:sz w:val="22"/>
          <w:szCs w:val="22"/>
          <w:lang w:val="pt-BR"/>
        </w:rPr>
      </w:pPr>
    </w:p>
    <w:p w14:paraId="65A5E1C0" w14:textId="77777777" w:rsidR="00D25C2D" w:rsidRPr="00913ACD" w:rsidRDefault="00D25C2D" w:rsidP="00CB030B">
      <w:pPr>
        <w:rPr>
          <w:rFonts w:ascii="Times New Roman" w:hAnsi="Times New Roman" w:cs="Times New Roman"/>
          <w:sz w:val="22"/>
          <w:szCs w:val="22"/>
          <w:lang w:val="pt-BR"/>
        </w:rPr>
      </w:pPr>
    </w:p>
    <w:p w14:paraId="27D270D2" w14:textId="77777777" w:rsidR="00D25C2D" w:rsidRPr="00913ACD" w:rsidRDefault="00D25C2D" w:rsidP="00CB030B">
      <w:pPr>
        <w:rPr>
          <w:rFonts w:ascii="Times New Roman" w:hAnsi="Times New Roman" w:cs="Times New Roman"/>
          <w:sz w:val="22"/>
          <w:szCs w:val="22"/>
          <w:lang w:val="pt-BR"/>
        </w:rPr>
      </w:pPr>
    </w:p>
    <w:p w14:paraId="4F3EFB9C" w14:textId="77777777" w:rsidR="00D25C2D" w:rsidRPr="00913ACD" w:rsidRDefault="00D25C2D" w:rsidP="00CB030B">
      <w:pPr>
        <w:rPr>
          <w:rFonts w:ascii="Times New Roman" w:hAnsi="Times New Roman" w:cs="Times New Roman"/>
          <w:sz w:val="22"/>
          <w:szCs w:val="22"/>
          <w:lang w:val="pt-BR"/>
        </w:rPr>
      </w:pPr>
    </w:p>
    <w:p w14:paraId="3E4768E9" w14:textId="64FB186D" w:rsidR="00D25C2D" w:rsidRPr="00913ACD" w:rsidRDefault="0027642A" w:rsidP="00CB030B">
      <w:pPr>
        <w:jc w:val="center"/>
        <w:rPr>
          <w:rFonts w:ascii="Times New Roman" w:hAnsi="Times New Roman" w:cs="Times New Roman"/>
          <w:sz w:val="22"/>
          <w:szCs w:val="22"/>
          <w:lang w:val="pt-BR"/>
        </w:rPr>
      </w:pPr>
      <w:r w:rsidRPr="00913ACD">
        <w:rPr>
          <w:rFonts w:ascii="Times New Roman" w:hAnsi="Times New Roman" w:cs="Times New Roman"/>
          <w:sz w:val="22"/>
          <w:szCs w:val="22"/>
          <w:lang w:val="pt-BR"/>
        </w:rPr>
        <w:t>RELATÓRIO ANUAL D</w:t>
      </w:r>
      <w:r w:rsidR="00924C17" w:rsidRPr="00913ACD">
        <w:rPr>
          <w:rFonts w:ascii="Times New Roman" w:hAnsi="Times New Roman" w:cs="Times New Roman"/>
          <w:sz w:val="22"/>
          <w:szCs w:val="22"/>
          <w:lang w:val="pt-BR"/>
        </w:rPr>
        <w:t>A</w:t>
      </w:r>
    </w:p>
    <w:p w14:paraId="5490994C" w14:textId="0959E902" w:rsidR="00D25C2D" w:rsidRPr="00913ACD" w:rsidRDefault="00D25C2D" w:rsidP="00CB030B">
      <w:pPr>
        <w:jc w:val="center"/>
        <w:rPr>
          <w:rFonts w:ascii="Times New Roman" w:hAnsi="Times New Roman" w:cs="Times New Roman"/>
          <w:sz w:val="22"/>
          <w:szCs w:val="22"/>
          <w:lang w:val="pt-BR"/>
        </w:rPr>
      </w:pPr>
      <w:r w:rsidRPr="00913ACD">
        <w:rPr>
          <w:rFonts w:ascii="Times New Roman" w:hAnsi="Times New Roman" w:cs="Times New Roman"/>
          <w:sz w:val="22"/>
          <w:szCs w:val="22"/>
          <w:lang w:val="pt-BR"/>
        </w:rPr>
        <w:t>SECRETARIA EXECUTIVA DE DESENVOLVIMENTO INTEGRAL (SEDI)</w:t>
      </w:r>
    </w:p>
    <w:p w14:paraId="4A55CC9B" w14:textId="6C61EDF3" w:rsidR="00D25C2D" w:rsidRPr="00913ACD" w:rsidRDefault="0075424A" w:rsidP="00CB030B">
      <w:pPr>
        <w:jc w:val="center"/>
        <w:rPr>
          <w:rFonts w:ascii="Times New Roman" w:hAnsi="Times New Roman" w:cs="Times New Roman"/>
          <w:sz w:val="22"/>
          <w:szCs w:val="22"/>
          <w:lang w:val="pt-BR"/>
        </w:rPr>
      </w:pPr>
      <w:r>
        <w:rPr>
          <w:rFonts w:ascii="Times New Roman" w:hAnsi="Times New Roman" w:cs="Times New Roman"/>
          <w:sz w:val="22"/>
          <w:szCs w:val="22"/>
          <w:lang w:val="pt-BR"/>
        </w:rPr>
        <w:t>AO</w:t>
      </w:r>
      <w:r w:rsidRPr="00913ACD">
        <w:rPr>
          <w:rFonts w:ascii="Times New Roman" w:hAnsi="Times New Roman" w:cs="Times New Roman"/>
          <w:sz w:val="22"/>
          <w:szCs w:val="22"/>
          <w:lang w:val="pt-BR"/>
        </w:rPr>
        <w:t xml:space="preserve"> </w:t>
      </w:r>
      <w:r w:rsidR="00D25C2D" w:rsidRPr="00913ACD">
        <w:rPr>
          <w:rFonts w:ascii="Times New Roman" w:hAnsi="Times New Roman" w:cs="Times New Roman"/>
          <w:sz w:val="22"/>
          <w:szCs w:val="22"/>
          <w:lang w:val="pt-BR"/>
        </w:rPr>
        <w:t>CONSELHO INTERAMERICANO DE DESENVOLVIMENTO INTEGRAL (CIDI)</w:t>
      </w:r>
    </w:p>
    <w:p w14:paraId="58972189" w14:textId="77777777" w:rsidR="00D25C2D" w:rsidRPr="00913ACD" w:rsidRDefault="00D25C2D" w:rsidP="00CB030B">
      <w:pPr>
        <w:rPr>
          <w:rFonts w:ascii="Times New Roman" w:hAnsi="Times New Roman" w:cs="Times New Roman"/>
          <w:sz w:val="22"/>
          <w:szCs w:val="22"/>
          <w:lang w:val="pt-BR"/>
        </w:rPr>
      </w:pPr>
    </w:p>
    <w:p w14:paraId="38EE6CB2" w14:textId="2DCED64F" w:rsidR="00D25C2D" w:rsidRPr="00913ACD" w:rsidRDefault="00D25C2D" w:rsidP="00CB030B">
      <w:pPr>
        <w:jc w:val="center"/>
        <w:rPr>
          <w:rFonts w:ascii="Times New Roman" w:hAnsi="Times New Roman" w:cs="Times New Roman"/>
          <w:sz w:val="22"/>
          <w:szCs w:val="22"/>
          <w:lang w:val="pt-BR"/>
        </w:rPr>
      </w:pPr>
      <w:r w:rsidRPr="00913ACD">
        <w:rPr>
          <w:rFonts w:ascii="Times New Roman" w:hAnsi="Times New Roman" w:cs="Times New Roman"/>
          <w:sz w:val="22"/>
          <w:szCs w:val="22"/>
          <w:lang w:val="pt-BR"/>
        </w:rPr>
        <w:t>Janeiro</w:t>
      </w:r>
      <w:r w:rsidR="00CA776B" w:rsidRPr="00913ACD">
        <w:rPr>
          <w:rFonts w:ascii="Times New Roman" w:hAnsi="Times New Roman" w:cs="Times New Roman"/>
          <w:sz w:val="22"/>
          <w:szCs w:val="22"/>
          <w:lang w:val="pt-BR"/>
        </w:rPr>
        <w:t>-d</w:t>
      </w:r>
      <w:r w:rsidRPr="00913ACD">
        <w:rPr>
          <w:rFonts w:ascii="Times New Roman" w:hAnsi="Times New Roman" w:cs="Times New Roman"/>
          <w:sz w:val="22"/>
          <w:szCs w:val="22"/>
          <w:lang w:val="pt-BR"/>
        </w:rPr>
        <w:t>ezembro 2022</w:t>
      </w:r>
    </w:p>
    <w:p w14:paraId="2DCCC008" w14:textId="77777777" w:rsidR="00D25C2D" w:rsidRPr="00913ACD" w:rsidRDefault="00D25C2D" w:rsidP="00CB030B">
      <w:pPr>
        <w:rPr>
          <w:rFonts w:ascii="Times New Roman" w:hAnsi="Times New Roman" w:cs="Times New Roman"/>
          <w:sz w:val="22"/>
          <w:szCs w:val="22"/>
          <w:lang w:val="pt-BR"/>
        </w:rPr>
      </w:pPr>
    </w:p>
    <w:p w14:paraId="635DDAC4" w14:textId="77777777" w:rsidR="00D25C2D" w:rsidRPr="00913ACD" w:rsidRDefault="00D25C2D" w:rsidP="00CB030B">
      <w:pPr>
        <w:rPr>
          <w:rFonts w:ascii="Times New Roman" w:hAnsi="Times New Roman" w:cs="Times New Roman"/>
          <w:sz w:val="22"/>
          <w:szCs w:val="22"/>
          <w:lang w:val="pt-BR"/>
        </w:rPr>
      </w:pPr>
    </w:p>
    <w:p w14:paraId="229E796E" w14:textId="4A255143" w:rsidR="00D25C2D" w:rsidRPr="00913ACD" w:rsidRDefault="00A571D7" w:rsidP="00A571D7">
      <w:pPr>
        <w:jc w:val="center"/>
        <w:rPr>
          <w:rFonts w:ascii="Times New Roman" w:hAnsi="Times New Roman" w:cs="Times New Roman"/>
          <w:sz w:val="22"/>
          <w:szCs w:val="22"/>
          <w:lang w:val="pt-BR"/>
        </w:rPr>
      </w:pPr>
      <w:r>
        <w:rPr>
          <w:rFonts w:ascii="Times New Roman" w:hAnsi="Times New Roman" w:cs="Times New Roman"/>
          <w:sz w:val="22"/>
          <w:szCs w:val="22"/>
          <w:lang w:val="pt-BR"/>
        </w:rPr>
        <w:t>(</w:t>
      </w:r>
      <w:r w:rsidRPr="00A571D7">
        <w:rPr>
          <w:rFonts w:ascii="Times New Roman" w:hAnsi="Times New Roman" w:cs="Times New Roman"/>
          <w:sz w:val="22"/>
          <w:szCs w:val="22"/>
          <w:lang w:val="pt-BR"/>
        </w:rPr>
        <w:t>Apresentado na sessão ordinária realizada em 2 de fevereiro de 2023</w:t>
      </w:r>
      <w:r>
        <w:rPr>
          <w:rFonts w:ascii="Times New Roman" w:hAnsi="Times New Roman" w:cs="Times New Roman"/>
          <w:sz w:val="22"/>
          <w:szCs w:val="22"/>
          <w:lang w:val="pt-BR"/>
        </w:rPr>
        <w:t>)</w:t>
      </w:r>
    </w:p>
    <w:p w14:paraId="3A59AB9E" w14:textId="1D198E90" w:rsidR="0022022F" w:rsidRPr="00913ACD" w:rsidRDefault="0022022F" w:rsidP="00CB030B">
      <w:pPr>
        <w:rPr>
          <w:rFonts w:ascii="Times New Roman" w:hAnsi="Times New Roman" w:cs="Times New Roman"/>
          <w:sz w:val="22"/>
          <w:szCs w:val="22"/>
          <w:lang w:val="pt-BR"/>
        </w:rPr>
      </w:pPr>
    </w:p>
    <w:p w14:paraId="787EECB2" w14:textId="384B6652" w:rsidR="0022022F" w:rsidRPr="00913ACD" w:rsidRDefault="0022022F" w:rsidP="00CB030B">
      <w:pPr>
        <w:rPr>
          <w:rFonts w:ascii="Times New Roman" w:hAnsi="Times New Roman" w:cs="Times New Roman"/>
          <w:sz w:val="22"/>
          <w:szCs w:val="22"/>
          <w:lang w:val="pt-BR"/>
        </w:rPr>
      </w:pPr>
    </w:p>
    <w:p w14:paraId="3FA122CB" w14:textId="23C098C5" w:rsidR="0022022F" w:rsidRPr="00913ACD" w:rsidRDefault="0022022F" w:rsidP="00CB030B">
      <w:pPr>
        <w:rPr>
          <w:rFonts w:ascii="Times New Roman" w:hAnsi="Times New Roman" w:cs="Times New Roman"/>
          <w:sz w:val="22"/>
          <w:szCs w:val="22"/>
          <w:lang w:val="pt-BR"/>
        </w:rPr>
      </w:pPr>
    </w:p>
    <w:p w14:paraId="2EB17AEF" w14:textId="69C5F398" w:rsidR="0022022F" w:rsidRPr="00913ACD" w:rsidRDefault="0022022F" w:rsidP="00CB030B">
      <w:pPr>
        <w:rPr>
          <w:rFonts w:ascii="Times New Roman" w:hAnsi="Times New Roman" w:cs="Times New Roman"/>
          <w:sz w:val="22"/>
          <w:szCs w:val="22"/>
          <w:lang w:val="pt-BR"/>
        </w:rPr>
      </w:pPr>
    </w:p>
    <w:p w14:paraId="6A1F0713" w14:textId="435F6395" w:rsidR="0022022F" w:rsidRPr="00913ACD" w:rsidRDefault="0022022F" w:rsidP="00CB030B">
      <w:pPr>
        <w:rPr>
          <w:rFonts w:ascii="Times New Roman" w:hAnsi="Times New Roman" w:cs="Times New Roman"/>
          <w:sz w:val="22"/>
          <w:szCs w:val="22"/>
          <w:lang w:val="pt-BR"/>
        </w:rPr>
      </w:pPr>
    </w:p>
    <w:p w14:paraId="3D7C1263" w14:textId="5BDA2FD6" w:rsidR="0022022F" w:rsidRPr="00913ACD" w:rsidRDefault="0022022F" w:rsidP="00CB030B">
      <w:pPr>
        <w:rPr>
          <w:rFonts w:ascii="Times New Roman" w:hAnsi="Times New Roman" w:cs="Times New Roman"/>
          <w:sz w:val="22"/>
          <w:szCs w:val="22"/>
          <w:lang w:val="pt-BR"/>
        </w:rPr>
      </w:pPr>
    </w:p>
    <w:p w14:paraId="5C6A16B5" w14:textId="6CF60228" w:rsidR="0022022F" w:rsidRPr="00913ACD" w:rsidRDefault="0022022F" w:rsidP="00CB030B">
      <w:pPr>
        <w:rPr>
          <w:rFonts w:ascii="Times New Roman" w:hAnsi="Times New Roman" w:cs="Times New Roman"/>
          <w:sz w:val="22"/>
          <w:szCs w:val="22"/>
          <w:lang w:val="pt-BR"/>
        </w:rPr>
      </w:pPr>
    </w:p>
    <w:p w14:paraId="34BDA1A8" w14:textId="69EF7DE0" w:rsidR="0022022F" w:rsidRPr="00913ACD" w:rsidRDefault="0022022F" w:rsidP="00CB030B">
      <w:pPr>
        <w:rPr>
          <w:rFonts w:ascii="Times New Roman" w:hAnsi="Times New Roman" w:cs="Times New Roman"/>
          <w:sz w:val="22"/>
          <w:szCs w:val="22"/>
          <w:lang w:val="pt-BR"/>
        </w:rPr>
      </w:pPr>
    </w:p>
    <w:p w14:paraId="23BCDE08" w14:textId="1F9EA2B7" w:rsidR="0022022F" w:rsidRPr="00913ACD" w:rsidRDefault="0022022F" w:rsidP="00CB030B">
      <w:pPr>
        <w:rPr>
          <w:rFonts w:ascii="Times New Roman" w:hAnsi="Times New Roman" w:cs="Times New Roman"/>
          <w:sz w:val="22"/>
          <w:szCs w:val="22"/>
          <w:lang w:val="pt-BR"/>
        </w:rPr>
      </w:pPr>
    </w:p>
    <w:p w14:paraId="23D4F6BD" w14:textId="3C0A633D" w:rsidR="0022022F" w:rsidRPr="00913ACD" w:rsidRDefault="0022022F" w:rsidP="00CB030B">
      <w:pPr>
        <w:rPr>
          <w:rFonts w:ascii="Times New Roman" w:hAnsi="Times New Roman" w:cs="Times New Roman"/>
          <w:sz w:val="22"/>
          <w:szCs w:val="22"/>
          <w:lang w:val="pt-BR"/>
        </w:rPr>
      </w:pPr>
    </w:p>
    <w:p w14:paraId="758DE5F0" w14:textId="5FBB0CAA" w:rsidR="0022022F" w:rsidRPr="00913ACD" w:rsidRDefault="0022022F" w:rsidP="00CB030B">
      <w:pPr>
        <w:rPr>
          <w:rFonts w:ascii="Times New Roman" w:hAnsi="Times New Roman" w:cs="Times New Roman"/>
          <w:sz w:val="22"/>
          <w:szCs w:val="22"/>
          <w:lang w:val="pt-BR"/>
        </w:rPr>
      </w:pPr>
    </w:p>
    <w:p w14:paraId="25E1C5ED" w14:textId="6172EBB7" w:rsidR="0022022F" w:rsidRPr="00913ACD" w:rsidRDefault="0022022F" w:rsidP="00CB030B">
      <w:pPr>
        <w:rPr>
          <w:rFonts w:ascii="Times New Roman" w:hAnsi="Times New Roman" w:cs="Times New Roman"/>
          <w:sz w:val="22"/>
          <w:szCs w:val="22"/>
          <w:lang w:val="pt-BR"/>
        </w:rPr>
      </w:pPr>
    </w:p>
    <w:p w14:paraId="10C9A46C" w14:textId="22B58E04" w:rsidR="0022022F" w:rsidRPr="00913ACD" w:rsidRDefault="0022022F" w:rsidP="00CB030B">
      <w:pPr>
        <w:rPr>
          <w:rFonts w:ascii="Times New Roman" w:hAnsi="Times New Roman" w:cs="Times New Roman"/>
          <w:sz w:val="22"/>
          <w:szCs w:val="22"/>
          <w:lang w:val="pt-BR"/>
        </w:rPr>
      </w:pPr>
    </w:p>
    <w:p w14:paraId="2A15ED92" w14:textId="2647C3C5" w:rsidR="0022022F" w:rsidRPr="00913ACD" w:rsidRDefault="0022022F" w:rsidP="00CB030B">
      <w:pPr>
        <w:rPr>
          <w:rFonts w:ascii="Times New Roman" w:hAnsi="Times New Roman" w:cs="Times New Roman"/>
          <w:sz w:val="22"/>
          <w:szCs w:val="22"/>
          <w:lang w:val="pt-BR"/>
        </w:rPr>
      </w:pPr>
    </w:p>
    <w:p w14:paraId="2A2E2C38" w14:textId="4863170B" w:rsidR="0022022F" w:rsidRPr="00913ACD" w:rsidRDefault="0022022F" w:rsidP="00CB030B">
      <w:pPr>
        <w:rPr>
          <w:rFonts w:ascii="Times New Roman" w:hAnsi="Times New Roman" w:cs="Times New Roman"/>
          <w:sz w:val="22"/>
          <w:szCs w:val="22"/>
          <w:lang w:val="pt-BR"/>
        </w:rPr>
      </w:pPr>
    </w:p>
    <w:p w14:paraId="1C77CB67" w14:textId="3AC2F00E" w:rsidR="0022022F" w:rsidRPr="00913ACD" w:rsidRDefault="0022022F" w:rsidP="00CB030B">
      <w:pPr>
        <w:rPr>
          <w:rFonts w:ascii="Times New Roman" w:hAnsi="Times New Roman" w:cs="Times New Roman"/>
          <w:sz w:val="22"/>
          <w:szCs w:val="22"/>
          <w:lang w:val="pt-BR"/>
        </w:rPr>
      </w:pPr>
    </w:p>
    <w:p w14:paraId="6380276B" w14:textId="46752803" w:rsidR="0022022F" w:rsidRPr="00913ACD" w:rsidRDefault="0022022F" w:rsidP="00CB030B">
      <w:pPr>
        <w:rPr>
          <w:rFonts w:ascii="Times New Roman" w:hAnsi="Times New Roman" w:cs="Times New Roman"/>
          <w:sz w:val="22"/>
          <w:szCs w:val="22"/>
          <w:lang w:val="pt-BR"/>
        </w:rPr>
      </w:pPr>
    </w:p>
    <w:p w14:paraId="178CC366" w14:textId="0E30DE66" w:rsidR="0022022F" w:rsidRPr="00913ACD" w:rsidRDefault="0022022F" w:rsidP="00CB030B">
      <w:pPr>
        <w:rPr>
          <w:rFonts w:ascii="Times New Roman" w:hAnsi="Times New Roman" w:cs="Times New Roman"/>
          <w:sz w:val="22"/>
          <w:szCs w:val="22"/>
          <w:lang w:val="pt-BR"/>
        </w:rPr>
      </w:pPr>
    </w:p>
    <w:p w14:paraId="03D0A754" w14:textId="76B004CC" w:rsidR="0022022F" w:rsidRPr="00913ACD" w:rsidRDefault="0022022F" w:rsidP="00CB030B">
      <w:pPr>
        <w:rPr>
          <w:rFonts w:ascii="Times New Roman" w:hAnsi="Times New Roman" w:cs="Times New Roman"/>
          <w:sz w:val="22"/>
          <w:szCs w:val="22"/>
          <w:lang w:val="pt-BR"/>
        </w:rPr>
      </w:pPr>
    </w:p>
    <w:p w14:paraId="59B50AA8" w14:textId="1166B550" w:rsidR="0022022F" w:rsidRPr="00913ACD" w:rsidRDefault="0022022F" w:rsidP="00CB030B">
      <w:pPr>
        <w:rPr>
          <w:rFonts w:ascii="Times New Roman" w:hAnsi="Times New Roman" w:cs="Times New Roman"/>
          <w:sz w:val="22"/>
          <w:szCs w:val="22"/>
          <w:lang w:val="pt-BR"/>
        </w:rPr>
      </w:pPr>
    </w:p>
    <w:p w14:paraId="125612C5" w14:textId="77777777" w:rsidR="00D25C2D" w:rsidRPr="00913ACD" w:rsidRDefault="00D25C2D" w:rsidP="00CB030B">
      <w:pPr>
        <w:pBdr>
          <w:bottom w:val="single" w:sz="6" w:space="1" w:color="auto"/>
        </w:pBdr>
        <w:rPr>
          <w:rFonts w:ascii="Times New Roman" w:hAnsi="Times New Roman" w:cs="Times New Roman"/>
          <w:sz w:val="22"/>
          <w:szCs w:val="22"/>
          <w:lang w:val="pt-BR"/>
        </w:rPr>
      </w:pPr>
    </w:p>
    <w:p w14:paraId="5DE28E51" w14:textId="77777777" w:rsidR="007F5574" w:rsidRDefault="007F5574" w:rsidP="00CB030B">
      <w:pPr>
        <w:pBdr>
          <w:bottom w:val="single" w:sz="6" w:space="1" w:color="auto"/>
        </w:pBdr>
        <w:rPr>
          <w:rFonts w:ascii="Times New Roman" w:hAnsi="Times New Roman" w:cs="Times New Roman"/>
          <w:sz w:val="22"/>
          <w:szCs w:val="22"/>
          <w:lang w:val="pt-BR"/>
        </w:rPr>
        <w:sectPr w:rsidR="007F5574" w:rsidSect="00F633AC">
          <w:headerReference w:type="default" r:id="rId8"/>
          <w:footerReference w:type="even" r:id="rId9"/>
          <w:footerReference w:type="default" r:id="rId10"/>
          <w:headerReference w:type="first" r:id="rId11"/>
          <w:pgSz w:w="11906" w:h="16838"/>
          <w:pgMar w:top="1440" w:right="926" w:bottom="1440" w:left="1440" w:header="1298" w:footer="431" w:gutter="0"/>
          <w:pgNumType w:fmt="numberInDash"/>
          <w:cols w:space="708"/>
          <w:titlePg/>
          <w:docGrid w:linePitch="360"/>
        </w:sectPr>
      </w:pPr>
    </w:p>
    <w:p w14:paraId="1B6634EF" w14:textId="77777777" w:rsidR="00D25C2D" w:rsidRPr="00913ACD" w:rsidRDefault="00D25C2D" w:rsidP="00CB030B">
      <w:pPr>
        <w:pBdr>
          <w:bottom w:val="single" w:sz="6" w:space="1" w:color="auto"/>
        </w:pBdr>
        <w:rPr>
          <w:rFonts w:ascii="Times New Roman" w:hAnsi="Times New Roman" w:cs="Times New Roman"/>
          <w:sz w:val="22"/>
          <w:szCs w:val="22"/>
          <w:lang w:val="pt-BR"/>
        </w:rPr>
      </w:pPr>
    </w:p>
    <w:p w14:paraId="3F49B55B" w14:textId="0B1ABA35" w:rsidR="0022022F" w:rsidRPr="00913ACD" w:rsidRDefault="002E459A" w:rsidP="00CB030B">
      <w:pPr>
        <w:pBdr>
          <w:bottom w:val="single" w:sz="6" w:space="1" w:color="auto"/>
        </w:pBd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ÍNDICE</w:t>
      </w:r>
    </w:p>
    <w:p w14:paraId="4945135D" w14:textId="77777777" w:rsidR="002F7E71" w:rsidRPr="00913ACD" w:rsidRDefault="002F7E71" w:rsidP="00CB030B">
      <w:pPr>
        <w:rPr>
          <w:rFonts w:ascii="Times New Roman" w:hAnsi="Times New Roman" w:cs="Times New Roman"/>
          <w:b/>
          <w:bCs/>
          <w:sz w:val="22"/>
          <w:szCs w:val="22"/>
          <w:lang w:val="pt-BR"/>
        </w:rPr>
      </w:pPr>
    </w:p>
    <w:p w14:paraId="22770A99" w14:textId="77777777" w:rsidR="002F7E71" w:rsidRPr="00913ACD" w:rsidRDefault="002F7E71" w:rsidP="00CB030B">
      <w:pPr>
        <w:rPr>
          <w:rFonts w:ascii="Times New Roman" w:hAnsi="Times New Roman" w:cs="Times New Roman"/>
          <w:b/>
          <w:bCs/>
          <w:sz w:val="22"/>
          <w:szCs w:val="22"/>
          <w:lang w:val="pt-BR"/>
        </w:rPr>
      </w:pPr>
    </w:p>
    <w:p w14:paraId="31CD9324" w14:textId="36928746" w:rsidR="00D25C2D" w:rsidRPr="00913ACD" w:rsidRDefault="00D25C2D" w:rsidP="00CB030B">
      <w:pPr>
        <w:jc w:val="center"/>
        <w:rPr>
          <w:rFonts w:ascii="Times New Roman" w:hAnsi="Times New Roman" w:cs="Times New Roman"/>
          <w:b/>
          <w:bCs/>
          <w:sz w:val="22"/>
          <w:szCs w:val="22"/>
          <w:lang w:val="pt-BR"/>
        </w:rPr>
      </w:pPr>
    </w:p>
    <w:p w14:paraId="2E5C4EF0" w14:textId="77777777" w:rsidR="00D25C2D" w:rsidRPr="00913ACD" w:rsidRDefault="00D25C2D" w:rsidP="00CB030B">
      <w:pPr>
        <w:jc w:val="center"/>
        <w:rPr>
          <w:rFonts w:ascii="Times New Roman" w:hAnsi="Times New Roman" w:cs="Times New Roman"/>
          <w:b/>
          <w:bCs/>
          <w:sz w:val="22"/>
          <w:szCs w:val="22"/>
          <w:lang w:val="pt-BR"/>
        </w:rPr>
      </w:pPr>
    </w:p>
    <w:p w14:paraId="07DB0586" w14:textId="0E31FA9C" w:rsidR="002F7E71" w:rsidRPr="00913ACD" w:rsidRDefault="002F7E71" w:rsidP="00CB030B">
      <w:pPr>
        <w:ind w:firstLine="720"/>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LISTA DE ABREV</w:t>
      </w:r>
      <w:r w:rsidR="002E0599" w:rsidRPr="00913ACD">
        <w:rPr>
          <w:rFonts w:ascii="Times New Roman" w:hAnsi="Times New Roman" w:cs="Times New Roman"/>
          <w:b/>
          <w:sz w:val="22"/>
          <w:szCs w:val="22"/>
          <w:lang w:val="pt-BR"/>
        </w:rPr>
        <w:t>IATURAS</w:t>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3</w:t>
      </w:r>
    </w:p>
    <w:p w14:paraId="5DCEF435" w14:textId="36BF82BF" w:rsidR="002F7E71" w:rsidRPr="00913ACD" w:rsidRDefault="002F7E71" w:rsidP="00CB030B">
      <w:pPr>
        <w:ind w:firstLine="720"/>
        <w:rPr>
          <w:rFonts w:ascii="Times New Roman" w:hAnsi="Times New Roman" w:cs="Times New Roman"/>
          <w:b/>
          <w:bCs/>
          <w:sz w:val="22"/>
          <w:szCs w:val="22"/>
          <w:lang w:val="pt-BR"/>
        </w:rPr>
      </w:pPr>
      <w:r w:rsidRPr="00913ACD">
        <w:rPr>
          <w:rFonts w:ascii="Times New Roman" w:hAnsi="Times New Roman" w:cs="Times New Roman"/>
          <w:b/>
          <w:sz w:val="22"/>
          <w:szCs w:val="22"/>
          <w:lang w:val="pt-BR"/>
        </w:rPr>
        <w:t>VISÃO GERAL DAS LINHAS ESTRATÉGICAS</w:t>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7F5574">
        <w:rPr>
          <w:rFonts w:ascii="Times New Roman" w:hAnsi="Times New Roman" w:cs="Times New Roman"/>
          <w:b/>
          <w:sz w:val="22"/>
          <w:szCs w:val="22"/>
          <w:lang w:val="pt-BR"/>
        </w:rPr>
        <w:t>3</w:t>
      </w:r>
    </w:p>
    <w:p w14:paraId="0525601C" w14:textId="476BD87C" w:rsidR="002F7E71" w:rsidRPr="00913ACD" w:rsidRDefault="002F7E71" w:rsidP="00CB030B">
      <w:pPr>
        <w:ind w:firstLine="720"/>
        <w:rPr>
          <w:rFonts w:ascii="Times New Roman" w:hAnsi="Times New Roman" w:cs="Times New Roman"/>
          <w:b/>
          <w:bCs/>
          <w:sz w:val="22"/>
          <w:szCs w:val="22"/>
          <w:lang w:val="pt-BR"/>
        </w:rPr>
      </w:pPr>
      <w:r w:rsidRPr="00913ACD">
        <w:rPr>
          <w:rFonts w:ascii="Times New Roman" w:hAnsi="Times New Roman" w:cs="Times New Roman"/>
          <w:b/>
          <w:sz w:val="22"/>
          <w:szCs w:val="22"/>
          <w:lang w:val="pt-BR"/>
        </w:rPr>
        <w:t>INTRODUÇÃO</w:t>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5</w:t>
      </w:r>
    </w:p>
    <w:p w14:paraId="2A33A303" w14:textId="76306373" w:rsidR="002F7E71" w:rsidRPr="00913ACD" w:rsidRDefault="002F7E71" w:rsidP="00CB030B">
      <w:pPr>
        <w:ind w:firstLine="720"/>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1</w:t>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00DD1158"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7</w:t>
      </w:r>
    </w:p>
    <w:p w14:paraId="565ADE82" w14:textId="1B843F70" w:rsidR="002F7E71" w:rsidRPr="00913ACD" w:rsidRDefault="008413F7" w:rsidP="00CB030B">
      <w:pPr>
        <w:ind w:left="720" w:firstLine="720"/>
        <w:rPr>
          <w:rFonts w:ascii="Times New Roman" w:hAnsi="Times New Roman" w:cs="Times New Roman"/>
          <w:i/>
          <w:iCs/>
          <w:sz w:val="22"/>
          <w:szCs w:val="22"/>
          <w:lang w:val="pt-BR"/>
        </w:rPr>
      </w:pPr>
      <w:r w:rsidRPr="00913ACD">
        <w:rPr>
          <w:rFonts w:ascii="Times New Roman" w:hAnsi="Times New Roman" w:cs="Times New Roman"/>
          <w:i/>
          <w:sz w:val="22"/>
          <w:szCs w:val="22"/>
          <w:lang w:val="pt-BR"/>
        </w:rPr>
        <w:t>Objetivo</w:t>
      </w:r>
      <w:r w:rsidR="002F7E71" w:rsidRPr="00913ACD">
        <w:rPr>
          <w:rFonts w:ascii="Times New Roman" w:hAnsi="Times New Roman" w:cs="Times New Roman"/>
          <w:i/>
          <w:sz w:val="22"/>
          <w:szCs w:val="22"/>
          <w:lang w:val="pt-BR"/>
        </w:rPr>
        <w:t xml:space="preserve"> 1.1</w:t>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2F7E71" w:rsidRPr="00913ACD">
        <w:rPr>
          <w:rFonts w:ascii="Times New Roman" w:hAnsi="Times New Roman" w:cs="Times New Roman"/>
          <w:i/>
          <w:sz w:val="22"/>
          <w:szCs w:val="22"/>
          <w:lang w:val="pt-BR"/>
        </w:rPr>
        <w:t>7</w:t>
      </w:r>
    </w:p>
    <w:p w14:paraId="557C0877" w14:textId="268A465A" w:rsidR="002F7E71" w:rsidRPr="00913ACD" w:rsidRDefault="008413F7" w:rsidP="00CB030B">
      <w:pPr>
        <w:ind w:left="720" w:firstLine="720"/>
        <w:rPr>
          <w:rFonts w:ascii="Times New Roman" w:hAnsi="Times New Roman" w:cs="Times New Roman"/>
          <w:i/>
          <w:iCs/>
          <w:sz w:val="22"/>
          <w:szCs w:val="22"/>
          <w:lang w:val="pt-BR"/>
        </w:rPr>
      </w:pPr>
      <w:r w:rsidRPr="00913ACD">
        <w:rPr>
          <w:rFonts w:ascii="Times New Roman" w:hAnsi="Times New Roman" w:cs="Times New Roman"/>
          <w:i/>
          <w:sz w:val="22"/>
          <w:szCs w:val="22"/>
          <w:lang w:val="pt-BR"/>
        </w:rPr>
        <w:t>Objetivo</w:t>
      </w:r>
      <w:r w:rsidR="002F7E71" w:rsidRPr="00913ACD">
        <w:rPr>
          <w:rFonts w:ascii="Times New Roman" w:hAnsi="Times New Roman" w:cs="Times New Roman"/>
          <w:i/>
          <w:sz w:val="22"/>
          <w:szCs w:val="22"/>
          <w:lang w:val="pt-BR"/>
        </w:rPr>
        <w:t xml:space="preserve"> 1.2</w:t>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30862">
        <w:rPr>
          <w:rFonts w:ascii="Times New Roman" w:hAnsi="Times New Roman" w:cs="Times New Roman"/>
          <w:i/>
          <w:sz w:val="22"/>
          <w:szCs w:val="22"/>
          <w:lang w:val="pt-BR"/>
        </w:rPr>
        <w:t>9</w:t>
      </w:r>
    </w:p>
    <w:p w14:paraId="37C9D2CC" w14:textId="220FBEEC" w:rsidR="002F7E71" w:rsidRPr="00913ACD" w:rsidRDefault="008413F7" w:rsidP="00CB030B">
      <w:pPr>
        <w:ind w:left="720" w:firstLine="720"/>
        <w:rPr>
          <w:rFonts w:ascii="Times New Roman" w:hAnsi="Times New Roman" w:cs="Times New Roman"/>
          <w:i/>
          <w:iCs/>
          <w:sz w:val="22"/>
          <w:szCs w:val="22"/>
          <w:lang w:val="pt-BR"/>
        </w:rPr>
      </w:pPr>
      <w:r w:rsidRPr="00913ACD">
        <w:rPr>
          <w:rFonts w:ascii="Times New Roman" w:hAnsi="Times New Roman" w:cs="Times New Roman"/>
          <w:i/>
          <w:sz w:val="22"/>
          <w:szCs w:val="22"/>
          <w:lang w:val="pt-BR"/>
        </w:rPr>
        <w:t>Objetivo</w:t>
      </w:r>
      <w:r w:rsidR="002F7E71" w:rsidRPr="00913ACD">
        <w:rPr>
          <w:rFonts w:ascii="Times New Roman" w:hAnsi="Times New Roman" w:cs="Times New Roman"/>
          <w:i/>
          <w:sz w:val="22"/>
          <w:szCs w:val="22"/>
          <w:lang w:val="pt-BR"/>
        </w:rPr>
        <w:t xml:space="preserve"> 1.3</w:t>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BD6385" w:rsidRPr="00913ACD">
        <w:rPr>
          <w:rFonts w:ascii="Times New Roman" w:hAnsi="Times New Roman" w:cs="Times New Roman"/>
          <w:i/>
          <w:sz w:val="22"/>
          <w:szCs w:val="22"/>
          <w:lang w:val="pt-BR"/>
        </w:rPr>
        <w:tab/>
      </w:r>
      <w:r w:rsidR="002F7E71" w:rsidRPr="00913ACD">
        <w:rPr>
          <w:rFonts w:ascii="Times New Roman" w:hAnsi="Times New Roman" w:cs="Times New Roman"/>
          <w:i/>
          <w:sz w:val="22"/>
          <w:szCs w:val="22"/>
          <w:lang w:val="pt-BR"/>
        </w:rPr>
        <w:t>10</w:t>
      </w:r>
    </w:p>
    <w:p w14:paraId="2B7B5936" w14:textId="12E46F14" w:rsidR="002E459A" w:rsidRPr="00913ACD" w:rsidRDefault="008413F7" w:rsidP="00CB030B">
      <w:pPr>
        <w:ind w:left="720" w:firstLine="720"/>
        <w:rPr>
          <w:rFonts w:ascii="Times New Roman" w:hAnsi="Times New Roman" w:cs="Times New Roman"/>
          <w:i/>
          <w:iCs/>
          <w:sz w:val="22"/>
          <w:szCs w:val="22"/>
          <w:lang w:val="pt-BR"/>
        </w:rPr>
      </w:pPr>
      <w:r w:rsidRPr="00913ACD">
        <w:rPr>
          <w:rFonts w:ascii="Times New Roman" w:hAnsi="Times New Roman" w:cs="Times New Roman"/>
          <w:i/>
          <w:sz w:val="22"/>
          <w:szCs w:val="22"/>
          <w:lang w:val="pt-BR"/>
        </w:rPr>
        <w:t>Objetivo</w:t>
      </w:r>
      <w:r w:rsidR="002F7E71" w:rsidRPr="00913ACD">
        <w:rPr>
          <w:rFonts w:ascii="Times New Roman" w:hAnsi="Times New Roman" w:cs="Times New Roman"/>
          <w:i/>
          <w:sz w:val="22"/>
          <w:szCs w:val="22"/>
          <w:lang w:val="pt-BR"/>
        </w:rPr>
        <w:t xml:space="preserve"> 1.4</w:t>
      </w:r>
      <w:r w:rsidR="00AF49D8" w:rsidRPr="00913ACD">
        <w:rPr>
          <w:rFonts w:ascii="Times New Roman" w:hAnsi="Times New Roman" w:cs="Times New Roman"/>
          <w:i/>
          <w:sz w:val="22"/>
          <w:szCs w:val="22"/>
          <w:lang w:val="pt-BR"/>
        </w:rPr>
        <w:tab/>
      </w:r>
      <w:r w:rsidR="00AF49D8" w:rsidRPr="00913ACD">
        <w:rPr>
          <w:rFonts w:ascii="Times New Roman" w:hAnsi="Times New Roman" w:cs="Times New Roman"/>
          <w:i/>
          <w:sz w:val="22"/>
          <w:szCs w:val="22"/>
          <w:lang w:val="pt-BR"/>
        </w:rPr>
        <w:tab/>
      </w:r>
      <w:r w:rsidR="00AF49D8" w:rsidRPr="00913ACD">
        <w:rPr>
          <w:rFonts w:ascii="Times New Roman" w:hAnsi="Times New Roman" w:cs="Times New Roman"/>
          <w:i/>
          <w:sz w:val="22"/>
          <w:szCs w:val="22"/>
          <w:lang w:val="pt-BR"/>
        </w:rPr>
        <w:tab/>
      </w:r>
      <w:r w:rsidR="00AF49D8" w:rsidRPr="00913ACD">
        <w:rPr>
          <w:rFonts w:ascii="Times New Roman" w:hAnsi="Times New Roman" w:cs="Times New Roman"/>
          <w:i/>
          <w:sz w:val="22"/>
          <w:szCs w:val="22"/>
          <w:lang w:val="pt-BR"/>
        </w:rPr>
        <w:tab/>
      </w:r>
      <w:r w:rsidR="00AF49D8" w:rsidRPr="00913ACD">
        <w:rPr>
          <w:rFonts w:ascii="Times New Roman" w:hAnsi="Times New Roman" w:cs="Times New Roman"/>
          <w:i/>
          <w:sz w:val="22"/>
          <w:szCs w:val="22"/>
          <w:lang w:val="pt-BR"/>
        </w:rPr>
        <w:tab/>
      </w:r>
      <w:r w:rsidR="00AF49D8" w:rsidRPr="00913ACD">
        <w:rPr>
          <w:rFonts w:ascii="Times New Roman" w:hAnsi="Times New Roman" w:cs="Times New Roman"/>
          <w:i/>
          <w:sz w:val="22"/>
          <w:szCs w:val="22"/>
          <w:lang w:val="pt-BR"/>
        </w:rPr>
        <w:tab/>
      </w:r>
      <w:r w:rsidR="00AF49D8" w:rsidRPr="00913ACD">
        <w:rPr>
          <w:rFonts w:ascii="Times New Roman" w:hAnsi="Times New Roman" w:cs="Times New Roman"/>
          <w:i/>
          <w:sz w:val="22"/>
          <w:szCs w:val="22"/>
          <w:lang w:val="pt-BR"/>
        </w:rPr>
        <w:tab/>
      </w:r>
      <w:r w:rsidR="002F7E71" w:rsidRPr="00913ACD">
        <w:rPr>
          <w:rFonts w:ascii="Times New Roman" w:hAnsi="Times New Roman" w:cs="Times New Roman"/>
          <w:i/>
          <w:sz w:val="22"/>
          <w:szCs w:val="22"/>
          <w:lang w:val="pt-BR"/>
        </w:rPr>
        <w:t>1</w:t>
      </w:r>
      <w:r w:rsidR="0082166E">
        <w:rPr>
          <w:rFonts w:ascii="Times New Roman" w:hAnsi="Times New Roman" w:cs="Times New Roman"/>
          <w:i/>
          <w:sz w:val="22"/>
          <w:szCs w:val="22"/>
          <w:lang w:val="pt-BR"/>
        </w:rPr>
        <w:t>2</w:t>
      </w:r>
    </w:p>
    <w:p w14:paraId="750C6345" w14:textId="4238C0F3" w:rsidR="002F7E71" w:rsidRPr="00913ACD" w:rsidRDefault="002F7E71" w:rsidP="00CB030B">
      <w:pPr>
        <w:rPr>
          <w:rFonts w:ascii="Times New Roman" w:hAnsi="Times New Roman" w:cs="Times New Roman"/>
          <w:b/>
          <w:bCs/>
          <w:sz w:val="22"/>
          <w:szCs w:val="22"/>
          <w:lang w:val="pt-BR"/>
        </w:rPr>
      </w:pPr>
      <w:r w:rsidRPr="00913ACD">
        <w:rPr>
          <w:rFonts w:ascii="Times New Roman" w:hAnsi="Times New Roman" w:cs="Times New Roman"/>
          <w:b/>
          <w:i/>
          <w:sz w:val="22"/>
          <w:szCs w:val="22"/>
          <w:lang w:val="pt-BR"/>
        </w:rPr>
        <w:tab/>
      </w:r>
      <w:r w:rsidRPr="00913ACD">
        <w:rPr>
          <w:rFonts w:ascii="Times New Roman" w:hAnsi="Times New Roman" w:cs="Times New Roman"/>
          <w:b/>
          <w:sz w:val="22"/>
          <w:szCs w:val="22"/>
          <w:lang w:val="pt-BR"/>
        </w:rPr>
        <w:t>LINHA ESTRATÉGICA 2</w:t>
      </w:r>
      <w:r w:rsidR="00AF49D8" w:rsidRPr="00913ACD">
        <w:rPr>
          <w:rFonts w:ascii="Times New Roman" w:hAnsi="Times New Roman" w:cs="Times New Roman"/>
          <w:b/>
          <w:sz w:val="22"/>
          <w:szCs w:val="22"/>
          <w:lang w:val="pt-BR"/>
        </w:rPr>
        <w:tab/>
      </w:r>
      <w:r w:rsidR="00AF49D8" w:rsidRPr="00913ACD">
        <w:rPr>
          <w:rFonts w:ascii="Times New Roman" w:hAnsi="Times New Roman" w:cs="Times New Roman"/>
          <w:b/>
          <w:sz w:val="22"/>
          <w:szCs w:val="22"/>
          <w:lang w:val="pt-BR"/>
        </w:rPr>
        <w:tab/>
      </w:r>
      <w:r w:rsidR="00AF49D8" w:rsidRPr="00913ACD">
        <w:rPr>
          <w:rFonts w:ascii="Times New Roman" w:hAnsi="Times New Roman" w:cs="Times New Roman"/>
          <w:b/>
          <w:sz w:val="22"/>
          <w:szCs w:val="22"/>
          <w:lang w:val="pt-BR"/>
        </w:rPr>
        <w:tab/>
      </w:r>
      <w:r w:rsidR="00AF49D8" w:rsidRPr="00913ACD">
        <w:rPr>
          <w:rFonts w:ascii="Times New Roman" w:hAnsi="Times New Roman" w:cs="Times New Roman"/>
          <w:b/>
          <w:sz w:val="22"/>
          <w:szCs w:val="22"/>
          <w:lang w:val="pt-BR"/>
        </w:rPr>
        <w:tab/>
      </w:r>
      <w:r w:rsidR="00AF49D8" w:rsidRPr="00913ACD">
        <w:rPr>
          <w:rFonts w:ascii="Times New Roman" w:hAnsi="Times New Roman" w:cs="Times New Roman"/>
          <w:b/>
          <w:sz w:val="22"/>
          <w:szCs w:val="22"/>
          <w:lang w:val="pt-BR"/>
        </w:rPr>
        <w:tab/>
      </w:r>
      <w:r w:rsidR="00AF49D8"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13</w:t>
      </w:r>
    </w:p>
    <w:p w14:paraId="51A5C650" w14:textId="0336228F" w:rsidR="002F7E71" w:rsidRPr="00913ACD" w:rsidRDefault="002F7E71" w:rsidP="00CB030B">
      <w:pPr>
        <w:rPr>
          <w:rFonts w:ascii="Times New Roman" w:hAnsi="Times New Roman" w:cs="Times New Roman"/>
          <w:i/>
          <w:iCs/>
          <w:sz w:val="22"/>
          <w:szCs w:val="22"/>
          <w:lang w:val="pt-BR"/>
        </w:rPr>
      </w:pPr>
      <w:r w:rsidRPr="00913ACD">
        <w:rPr>
          <w:rFonts w:ascii="Times New Roman" w:hAnsi="Times New Roman" w:cs="Times New Roman"/>
          <w:b/>
          <w:sz w:val="22"/>
          <w:szCs w:val="22"/>
          <w:lang w:val="pt-BR"/>
        </w:rPr>
        <w:tab/>
      </w:r>
      <w:r w:rsidRPr="00913ACD">
        <w:rPr>
          <w:rFonts w:ascii="Times New Roman" w:hAnsi="Times New Roman" w:cs="Times New Roman"/>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2.1</w:t>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1</w:t>
      </w:r>
      <w:r w:rsidR="00DB7FB9">
        <w:rPr>
          <w:rFonts w:ascii="Times New Roman" w:hAnsi="Times New Roman" w:cs="Times New Roman"/>
          <w:i/>
          <w:sz w:val="22"/>
          <w:szCs w:val="22"/>
          <w:lang w:val="pt-BR"/>
        </w:rPr>
        <w:t>4</w:t>
      </w:r>
    </w:p>
    <w:p w14:paraId="4DA01EDF" w14:textId="6C0F4652" w:rsidR="002F7E71" w:rsidRPr="00913ACD" w:rsidRDefault="002F7E71"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2.2</w:t>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15</w:t>
      </w:r>
    </w:p>
    <w:p w14:paraId="19071D92" w14:textId="6FE1B360" w:rsidR="002F7E71" w:rsidRPr="00913ACD" w:rsidRDefault="002F7E71"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2.3</w:t>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1</w:t>
      </w:r>
      <w:r w:rsidR="0078125E">
        <w:rPr>
          <w:rFonts w:ascii="Times New Roman" w:hAnsi="Times New Roman" w:cs="Times New Roman"/>
          <w:i/>
          <w:sz w:val="22"/>
          <w:szCs w:val="22"/>
          <w:lang w:val="pt-BR"/>
        </w:rPr>
        <w:t>6</w:t>
      </w:r>
    </w:p>
    <w:p w14:paraId="1EAB87E4" w14:textId="247A351C"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2.4</w:t>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1</w:t>
      </w:r>
      <w:r w:rsidR="00BA0E96">
        <w:rPr>
          <w:rFonts w:ascii="Times New Roman" w:hAnsi="Times New Roman" w:cs="Times New Roman"/>
          <w:i/>
          <w:sz w:val="22"/>
          <w:szCs w:val="22"/>
          <w:lang w:val="pt-BR"/>
        </w:rPr>
        <w:t>8</w:t>
      </w:r>
    </w:p>
    <w:p w14:paraId="2AA1FBD0" w14:textId="5AF998DD"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2.5</w:t>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1</w:t>
      </w:r>
      <w:r w:rsidR="00BA0E96">
        <w:rPr>
          <w:rFonts w:ascii="Times New Roman" w:hAnsi="Times New Roman" w:cs="Times New Roman"/>
          <w:i/>
          <w:sz w:val="22"/>
          <w:szCs w:val="22"/>
          <w:lang w:val="pt-BR"/>
        </w:rPr>
        <w:t>8</w:t>
      </w:r>
    </w:p>
    <w:p w14:paraId="6934408D" w14:textId="18CDD7A8"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2.6</w:t>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004D5B72"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1</w:t>
      </w:r>
      <w:r w:rsidR="00C042CE">
        <w:rPr>
          <w:rFonts w:ascii="Times New Roman" w:hAnsi="Times New Roman" w:cs="Times New Roman"/>
          <w:i/>
          <w:sz w:val="22"/>
          <w:szCs w:val="22"/>
          <w:lang w:val="pt-BR"/>
        </w:rPr>
        <w:t>9</w:t>
      </w:r>
    </w:p>
    <w:p w14:paraId="033B2350" w14:textId="1F2F47CC" w:rsidR="00D25C2D" w:rsidRPr="00913ACD" w:rsidRDefault="00D25C2D" w:rsidP="00CB030B">
      <w:pPr>
        <w:rPr>
          <w:rFonts w:ascii="Times New Roman" w:hAnsi="Times New Roman" w:cs="Times New Roman"/>
          <w:b/>
          <w:b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b/>
          <w:sz w:val="22"/>
          <w:szCs w:val="22"/>
          <w:lang w:val="pt-BR"/>
        </w:rPr>
        <w:t>LINHA ESTRATÉGICA 3</w:t>
      </w:r>
      <w:r w:rsidR="004D5B72" w:rsidRPr="00913ACD">
        <w:rPr>
          <w:rFonts w:ascii="Times New Roman" w:hAnsi="Times New Roman" w:cs="Times New Roman"/>
          <w:b/>
          <w:sz w:val="22"/>
          <w:szCs w:val="22"/>
          <w:lang w:val="pt-BR"/>
        </w:rPr>
        <w:tab/>
      </w:r>
      <w:r w:rsidR="004D5B72" w:rsidRPr="00913ACD">
        <w:rPr>
          <w:rFonts w:ascii="Times New Roman" w:hAnsi="Times New Roman" w:cs="Times New Roman"/>
          <w:b/>
          <w:sz w:val="22"/>
          <w:szCs w:val="22"/>
          <w:lang w:val="pt-BR"/>
        </w:rPr>
        <w:tab/>
      </w:r>
      <w:r w:rsidR="004D5B72" w:rsidRPr="00913ACD">
        <w:rPr>
          <w:rFonts w:ascii="Times New Roman" w:hAnsi="Times New Roman" w:cs="Times New Roman"/>
          <w:b/>
          <w:sz w:val="22"/>
          <w:szCs w:val="22"/>
          <w:lang w:val="pt-BR"/>
        </w:rPr>
        <w:tab/>
      </w:r>
      <w:r w:rsidR="004D5B72" w:rsidRPr="00913ACD">
        <w:rPr>
          <w:rFonts w:ascii="Times New Roman" w:hAnsi="Times New Roman" w:cs="Times New Roman"/>
          <w:b/>
          <w:sz w:val="22"/>
          <w:szCs w:val="22"/>
          <w:lang w:val="pt-BR"/>
        </w:rPr>
        <w:tab/>
      </w:r>
      <w:r w:rsidR="004D5B72" w:rsidRPr="00913ACD">
        <w:rPr>
          <w:rFonts w:ascii="Times New Roman" w:hAnsi="Times New Roman" w:cs="Times New Roman"/>
          <w:b/>
          <w:sz w:val="22"/>
          <w:szCs w:val="22"/>
          <w:lang w:val="pt-BR"/>
        </w:rPr>
        <w:tab/>
      </w:r>
      <w:r w:rsidR="004D5B72"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19</w:t>
      </w:r>
    </w:p>
    <w:p w14:paraId="6E2B3789" w14:textId="651C0B13"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3.1</w:t>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C042CE">
        <w:rPr>
          <w:rFonts w:ascii="Times New Roman" w:hAnsi="Times New Roman" w:cs="Times New Roman"/>
          <w:i/>
          <w:sz w:val="22"/>
          <w:szCs w:val="22"/>
          <w:lang w:val="pt-BR"/>
        </w:rPr>
        <w:t>20</w:t>
      </w:r>
    </w:p>
    <w:p w14:paraId="47FD3086" w14:textId="3AC3DE28"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3.2</w:t>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C042CE">
        <w:rPr>
          <w:rFonts w:ascii="Times New Roman" w:hAnsi="Times New Roman" w:cs="Times New Roman"/>
          <w:i/>
          <w:sz w:val="22"/>
          <w:szCs w:val="22"/>
          <w:lang w:val="pt-BR"/>
        </w:rPr>
        <w:t>20</w:t>
      </w:r>
    </w:p>
    <w:p w14:paraId="4E2FEB30" w14:textId="28C14B05"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3.3</w:t>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2</w:t>
      </w:r>
      <w:r w:rsidR="002563FF">
        <w:rPr>
          <w:rFonts w:ascii="Times New Roman" w:hAnsi="Times New Roman" w:cs="Times New Roman"/>
          <w:i/>
          <w:sz w:val="22"/>
          <w:szCs w:val="22"/>
          <w:lang w:val="pt-BR"/>
        </w:rPr>
        <w:t>2</w:t>
      </w:r>
    </w:p>
    <w:p w14:paraId="50241BC2" w14:textId="191E22AD"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3.4</w:t>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2</w:t>
      </w:r>
      <w:r w:rsidR="002563FF">
        <w:rPr>
          <w:rFonts w:ascii="Times New Roman" w:hAnsi="Times New Roman" w:cs="Times New Roman"/>
          <w:i/>
          <w:sz w:val="22"/>
          <w:szCs w:val="22"/>
          <w:lang w:val="pt-BR"/>
        </w:rPr>
        <w:t>3</w:t>
      </w:r>
    </w:p>
    <w:p w14:paraId="7443E57E" w14:textId="0C9531F2" w:rsidR="00D25C2D" w:rsidRPr="00913ACD" w:rsidRDefault="00D25C2D" w:rsidP="00CB030B">
      <w:pPr>
        <w:rPr>
          <w:rFonts w:ascii="Times New Roman" w:hAnsi="Times New Roman" w:cs="Times New Roman"/>
          <w:b/>
          <w:b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b/>
          <w:sz w:val="22"/>
          <w:szCs w:val="22"/>
          <w:lang w:val="pt-BR"/>
        </w:rPr>
        <w:t>LINHA ESTRATÉGICA 4</w:t>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2</w:t>
      </w:r>
      <w:r w:rsidR="002563FF">
        <w:rPr>
          <w:rFonts w:ascii="Times New Roman" w:hAnsi="Times New Roman" w:cs="Times New Roman"/>
          <w:b/>
          <w:sz w:val="22"/>
          <w:szCs w:val="22"/>
          <w:lang w:val="pt-BR"/>
        </w:rPr>
        <w:t>5</w:t>
      </w:r>
    </w:p>
    <w:p w14:paraId="753C562F" w14:textId="54FA0C58"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4.1</w:t>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2</w:t>
      </w:r>
      <w:r w:rsidR="002563FF">
        <w:rPr>
          <w:rFonts w:ascii="Times New Roman" w:hAnsi="Times New Roman" w:cs="Times New Roman"/>
          <w:i/>
          <w:sz w:val="22"/>
          <w:szCs w:val="22"/>
          <w:lang w:val="pt-BR"/>
        </w:rPr>
        <w:t>5</w:t>
      </w:r>
    </w:p>
    <w:p w14:paraId="78D23E64" w14:textId="049C1058"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4.2</w:t>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2</w:t>
      </w:r>
      <w:r w:rsidR="00636768">
        <w:rPr>
          <w:rFonts w:ascii="Times New Roman" w:hAnsi="Times New Roman" w:cs="Times New Roman"/>
          <w:i/>
          <w:sz w:val="22"/>
          <w:szCs w:val="22"/>
          <w:lang w:val="pt-BR"/>
        </w:rPr>
        <w:t>6</w:t>
      </w:r>
    </w:p>
    <w:p w14:paraId="60B0A649" w14:textId="13D493F7" w:rsidR="00D25C2D" w:rsidRPr="00913ACD" w:rsidRDefault="00D25C2D" w:rsidP="00CB030B">
      <w:pPr>
        <w:rPr>
          <w:rFonts w:ascii="Times New Roman" w:hAnsi="Times New Roman" w:cs="Times New Roman"/>
          <w:b/>
          <w:b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b/>
          <w:sz w:val="22"/>
          <w:szCs w:val="22"/>
          <w:lang w:val="pt-BR"/>
        </w:rPr>
        <w:t>LINHA ESTRATÉGICA 5</w:t>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2</w:t>
      </w:r>
      <w:r w:rsidR="00636768">
        <w:rPr>
          <w:rFonts w:ascii="Times New Roman" w:hAnsi="Times New Roman" w:cs="Times New Roman"/>
          <w:b/>
          <w:sz w:val="22"/>
          <w:szCs w:val="22"/>
          <w:lang w:val="pt-BR"/>
        </w:rPr>
        <w:t>7</w:t>
      </w:r>
    </w:p>
    <w:p w14:paraId="3CD39EEE" w14:textId="31C598A5"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5.1</w:t>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36768">
        <w:rPr>
          <w:rFonts w:ascii="Times New Roman" w:hAnsi="Times New Roman" w:cs="Times New Roman"/>
          <w:i/>
          <w:sz w:val="22"/>
          <w:szCs w:val="22"/>
          <w:lang w:val="pt-BR"/>
        </w:rPr>
        <w:t>31</w:t>
      </w:r>
    </w:p>
    <w:p w14:paraId="0F323B5F" w14:textId="69FE70A8" w:rsidR="00D25C2D" w:rsidRPr="00913ACD" w:rsidRDefault="00D25C2D" w:rsidP="00CB030B">
      <w:pPr>
        <w:rPr>
          <w:rFonts w:ascii="Times New Roman" w:hAnsi="Times New Roman" w:cs="Times New Roman"/>
          <w:i/>
          <w:iCs/>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ab/>
      </w:r>
      <w:r w:rsidR="008413F7" w:rsidRPr="00913ACD">
        <w:rPr>
          <w:rFonts w:ascii="Times New Roman" w:hAnsi="Times New Roman" w:cs="Times New Roman"/>
          <w:i/>
          <w:sz w:val="22"/>
          <w:szCs w:val="22"/>
          <w:lang w:val="pt-BR"/>
        </w:rPr>
        <w:t>Objetivo</w:t>
      </w:r>
      <w:r w:rsidRPr="00913ACD">
        <w:rPr>
          <w:rFonts w:ascii="Times New Roman" w:hAnsi="Times New Roman" w:cs="Times New Roman"/>
          <w:i/>
          <w:sz w:val="22"/>
          <w:szCs w:val="22"/>
          <w:lang w:val="pt-BR"/>
        </w:rPr>
        <w:t xml:space="preserve"> 5.2</w:t>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006771E1" w:rsidRPr="00913ACD">
        <w:rPr>
          <w:rFonts w:ascii="Times New Roman" w:hAnsi="Times New Roman" w:cs="Times New Roman"/>
          <w:i/>
          <w:sz w:val="22"/>
          <w:szCs w:val="22"/>
          <w:lang w:val="pt-BR"/>
        </w:rPr>
        <w:tab/>
      </w:r>
      <w:r w:rsidRPr="00913ACD">
        <w:rPr>
          <w:rFonts w:ascii="Times New Roman" w:hAnsi="Times New Roman" w:cs="Times New Roman"/>
          <w:i/>
          <w:sz w:val="22"/>
          <w:szCs w:val="22"/>
          <w:lang w:val="pt-BR"/>
        </w:rPr>
        <w:t>3</w:t>
      </w:r>
      <w:r w:rsidR="00D632C1">
        <w:rPr>
          <w:rFonts w:ascii="Times New Roman" w:hAnsi="Times New Roman" w:cs="Times New Roman"/>
          <w:i/>
          <w:sz w:val="22"/>
          <w:szCs w:val="22"/>
          <w:lang w:val="pt-BR"/>
        </w:rPr>
        <w:t>1</w:t>
      </w:r>
    </w:p>
    <w:p w14:paraId="27925940" w14:textId="439C7E08" w:rsidR="002E459A" w:rsidRPr="00913ACD" w:rsidRDefault="00D25C2D" w:rsidP="00CB030B">
      <w:pPr>
        <w:rPr>
          <w:rFonts w:ascii="Times New Roman" w:hAnsi="Times New Roman" w:cs="Times New Roman"/>
          <w:b/>
          <w:sz w:val="22"/>
          <w:szCs w:val="22"/>
          <w:lang w:val="pt-BR"/>
        </w:rPr>
      </w:pPr>
      <w:r w:rsidRPr="00913ACD">
        <w:rPr>
          <w:rFonts w:ascii="Times New Roman" w:hAnsi="Times New Roman" w:cs="Times New Roman"/>
          <w:i/>
          <w:sz w:val="22"/>
          <w:szCs w:val="22"/>
          <w:lang w:val="pt-BR"/>
        </w:rPr>
        <w:tab/>
      </w:r>
      <w:r w:rsidRPr="00913ACD">
        <w:rPr>
          <w:rFonts w:ascii="Times New Roman" w:hAnsi="Times New Roman" w:cs="Times New Roman"/>
          <w:b/>
          <w:sz w:val="22"/>
          <w:szCs w:val="22"/>
          <w:lang w:val="pt-BR"/>
        </w:rPr>
        <w:t>CONCLUSÃO</w:t>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006771E1" w:rsidRPr="00913ACD">
        <w:rPr>
          <w:rFonts w:ascii="Times New Roman" w:hAnsi="Times New Roman" w:cs="Times New Roman"/>
          <w:b/>
          <w:sz w:val="22"/>
          <w:szCs w:val="22"/>
          <w:lang w:val="pt-BR"/>
        </w:rPr>
        <w:tab/>
      </w:r>
      <w:r w:rsidRPr="00913ACD">
        <w:rPr>
          <w:rFonts w:ascii="Times New Roman" w:hAnsi="Times New Roman" w:cs="Times New Roman"/>
          <w:b/>
          <w:sz w:val="22"/>
          <w:szCs w:val="22"/>
          <w:lang w:val="pt-BR"/>
        </w:rPr>
        <w:t>3</w:t>
      </w:r>
      <w:r w:rsidR="00D632C1">
        <w:rPr>
          <w:rFonts w:ascii="Times New Roman" w:hAnsi="Times New Roman" w:cs="Times New Roman"/>
          <w:b/>
          <w:sz w:val="22"/>
          <w:szCs w:val="22"/>
          <w:lang w:val="pt-BR"/>
        </w:rPr>
        <w:t>2</w:t>
      </w:r>
    </w:p>
    <w:p w14:paraId="61908CCC" w14:textId="77777777" w:rsidR="0041265C" w:rsidRPr="00913ACD" w:rsidRDefault="0041265C" w:rsidP="00CB030B">
      <w:pPr>
        <w:rPr>
          <w:rFonts w:ascii="Times New Roman" w:hAnsi="Times New Roman" w:cs="Times New Roman"/>
          <w:sz w:val="22"/>
          <w:szCs w:val="22"/>
          <w:lang w:val="pt-BR"/>
        </w:rPr>
      </w:pPr>
    </w:p>
    <w:p w14:paraId="5A7F73CB" w14:textId="77777777" w:rsidR="007F5574" w:rsidRDefault="007F5574" w:rsidP="00CB030B">
      <w:pPr>
        <w:pBdr>
          <w:bottom w:val="single" w:sz="6" w:space="1" w:color="auto"/>
        </w:pBdr>
        <w:rPr>
          <w:rFonts w:ascii="Times New Roman" w:hAnsi="Times New Roman" w:cs="Times New Roman"/>
          <w:b/>
          <w:bCs/>
          <w:sz w:val="22"/>
          <w:szCs w:val="22"/>
          <w:lang w:val="pt-BR"/>
        </w:rPr>
        <w:sectPr w:rsidR="007F5574" w:rsidSect="007F5574">
          <w:headerReference w:type="default" r:id="rId12"/>
          <w:headerReference w:type="first" r:id="rId13"/>
          <w:type w:val="oddPage"/>
          <w:pgSz w:w="11906" w:h="16838"/>
          <w:pgMar w:top="1440" w:right="1440" w:bottom="1440" w:left="1440" w:header="1298" w:footer="431" w:gutter="0"/>
          <w:pgNumType w:fmt="numberInDash"/>
          <w:cols w:space="708"/>
          <w:titlePg/>
          <w:docGrid w:linePitch="360"/>
        </w:sectPr>
      </w:pPr>
    </w:p>
    <w:p w14:paraId="76BDA937" w14:textId="77777777" w:rsidR="00CB030B" w:rsidRPr="00913ACD" w:rsidRDefault="00CB030B" w:rsidP="00CB030B">
      <w:pPr>
        <w:pBdr>
          <w:bottom w:val="single" w:sz="6" w:space="1" w:color="auto"/>
        </w:pBdr>
        <w:rPr>
          <w:rFonts w:ascii="Times New Roman" w:hAnsi="Times New Roman" w:cs="Times New Roman"/>
          <w:b/>
          <w:bCs/>
          <w:sz w:val="22"/>
          <w:szCs w:val="22"/>
          <w:lang w:val="pt-BR"/>
        </w:rPr>
      </w:pPr>
    </w:p>
    <w:p w14:paraId="0E5B41B6" w14:textId="5C9261C5" w:rsidR="00ED78BF" w:rsidRPr="00913ACD" w:rsidRDefault="002E459A" w:rsidP="00CB030B">
      <w:pPr>
        <w:pBdr>
          <w:bottom w:val="single" w:sz="6" w:space="1" w:color="auto"/>
        </w:pBd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LISTA DE ABREVIATURAS</w:t>
      </w:r>
      <w:r w:rsidR="004113B4" w:rsidRPr="00913ACD">
        <w:rPr>
          <w:rStyle w:val="FootnoteReference"/>
          <w:rFonts w:ascii="Times New Roman" w:hAnsi="Times New Roman" w:cs="Times New Roman"/>
          <w:b/>
          <w:sz w:val="22"/>
          <w:szCs w:val="22"/>
          <w:lang w:val="pt-BR"/>
        </w:rPr>
        <w:footnoteReference w:id="1"/>
      </w:r>
    </w:p>
    <w:p w14:paraId="1F06129C" w14:textId="77777777" w:rsidR="00901F40" w:rsidRPr="00913ACD" w:rsidRDefault="00901F40" w:rsidP="00CB030B">
      <w:pPr>
        <w:rPr>
          <w:rFonts w:ascii="Times New Roman" w:hAnsi="Times New Roman" w:cs="Times New Roman"/>
          <w:sz w:val="22"/>
          <w:szCs w:val="22"/>
          <w:lang w:val="pt-BR"/>
        </w:rPr>
      </w:pPr>
    </w:p>
    <w:p w14:paraId="60179221" w14:textId="67C0033A"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ACE</w:t>
      </w:r>
      <w:r w:rsidR="0041265C" w:rsidRPr="00913ACD">
        <w:rPr>
          <w:rFonts w:ascii="Times New Roman" w:hAnsi="Times New Roman" w:cs="Times New Roman"/>
          <w:sz w:val="22"/>
          <w:szCs w:val="22"/>
          <w:lang w:val="pt-BR"/>
        </w:rPr>
        <w:tab/>
      </w:r>
      <w:r w:rsidR="0041265C" w:rsidRPr="00913ACD">
        <w:rPr>
          <w:rFonts w:ascii="Times New Roman" w:hAnsi="Times New Roman" w:cs="Times New Roman"/>
          <w:sz w:val="22"/>
          <w:szCs w:val="22"/>
          <w:lang w:val="pt-BR"/>
        </w:rPr>
        <w:tab/>
      </w:r>
      <w:r w:rsidR="0041265C" w:rsidRPr="00913ACD">
        <w:rPr>
          <w:rFonts w:ascii="Times New Roman" w:hAnsi="Times New Roman" w:cs="Times New Roman"/>
          <w:sz w:val="22"/>
          <w:szCs w:val="22"/>
          <w:lang w:val="pt-BR"/>
        </w:rPr>
        <w:tab/>
      </w:r>
      <w:r w:rsidR="00C6606A" w:rsidRPr="00913ACD">
        <w:rPr>
          <w:rFonts w:ascii="Times New Roman" w:hAnsi="Times New Roman" w:cs="Times New Roman"/>
          <w:sz w:val="22"/>
          <w:szCs w:val="22"/>
          <w:lang w:val="pt-BR"/>
        </w:rPr>
        <w:t xml:space="preserve">Intercâmbios de Competitividade das </w:t>
      </w:r>
      <w:r w:rsidRPr="00913ACD">
        <w:rPr>
          <w:rFonts w:ascii="Times New Roman" w:hAnsi="Times New Roman" w:cs="Times New Roman"/>
          <w:sz w:val="22"/>
          <w:szCs w:val="22"/>
          <w:lang w:val="pt-BR"/>
        </w:rPr>
        <w:t>Am</w:t>
      </w:r>
      <w:r w:rsidR="00C6606A" w:rsidRPr="00913ACD">
        <w:rPr>
          <w:rFonts w:ascii="Times New Roman" w:hAnsi="Times New Roman" w:cs="Times New Roman"/>
          <w:sz w:val="22"/>
          <w:szCs w:val="22"/>
          <w:lang w:val="pt-BR"/>
        </w:rPr>
        <w:t>é</w:t>
      </w:r>
      <w:r w:rsidRPr="00913ACD">
        <w:rPr>
          <w:rFonts w:ascii="Times New Roman" w:hAnsi="Times New Roman" w:cs="Times New Roman"/>
          <w:sz w:val="22"/>
          <w:szCs w:val="22"/>
          <w:lang w:val="pt-BR"/>
        </w:rPr>
        <w:t>ricas</w:t>
      </w:r>
    </w:p>
    <w:p w14:paraId="525E6B2C" w14:textId="77777777" w:rsidR="00981252" w:rsidRPr="00913ACD" w:rsidRDefault="00981252" w:rsidP="00981252">
      <w:pPr>
        <w:rPr>
          <w:rFonts w:ascii="Times New Roman" w:hAnsi="Times New Roman" w:cs="Times New Roman"/>
          <w:sz w:val="22"/>
          <w:szCs w:val="22"/>
          <w:lang w:val="pt-BR"/>
        </w:rPr>
      </w:pPr>
      <w:r w:rsidRPr="00913ACD">
        <w:rPr>
          <w:rFonts w:ascii="Times New Roman" w:hAnsi="Times New Roman" w:cs="Times New Roman"/>
          <w:sz w:val="22"/>
          <w:szCs w:val="22"/>
          <w:lang w:val="pt-BR"/>
        </w:rPr>
        <w:t>AIE</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Agenda Interamericana de Educação</w:t>
      </w:r>
    </w:p>
    <w:p w14:paraId="63949C3A" w14:textId="77777777" w:rsidR="00C350BA" w:rsidRPr="00913ACD" w:rsidRDefault="00C350BA" w:rsidP="00C350BA">
      <w:pPr>
        <w:rPr>
          <w:rFonts w:ascii="Times New Roman" w:hAnsi="Times New Roman" w:cs="Times New Roman"/>
          <w:sz w:val="22"/>
          <w:szCs w:val="22"/>
          <w:lang w:val="pt-BR"/>
        </w:rPr>
      </w:pPr>
      <w:r w:rsidRPr="00913ACD">
        <w:rPr>
          <w:rFonts w:ascii="Times New Roman" w:hAnsi="Times New Roman" w:cs="Times New Roman"/>
          <w:sz w:val="22"/>
          <w:szCs w:val="22"/>
          <w:lang w:val="pt-BR"/>
        </w:rPr>
        <w:t>BID</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Banco Americano de Desenvolvimento</w:t>
      </w:r>
    </w:p>
    <w:p w14:paraId="5FEDCB33" w14:textId="0E34FC01" w:rsidR="00213DFE" w:rsidRPr="00913ACD" w:rsidRDefault="00C92C8D"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CAF</w:t>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t>Banco de Desenvolvimento da América Latina</w:t>
      </w:r>
    </w:p>
    <w:p w14:paraId="5207E57F" w14:textId="62BD9521" w:rsidR="00213DFE" w:rsidRPr="00913ACD" w:rsidRDefault="00E15484"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CECIP</w:t>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r>
      <w:r w:rsidR="003B616A" w:rsidRPr="00913ACD">
        <w:rPr>
          <w:rFonts w:ascii="Times New Roman" w:hAnsi="Times New Roman" w:cs="Times New Roman"/>
          <w:iCs/>
          <w:sz w:val="22"/>
          <w:szCs w:val="22"/>
          <w:lang w:val="pt-BR"/>
        </w:rPr>
        <w:t xml:space="preserve">Comitê </w:t>
      </w:r>
      <w:r w:rsidR="00213DFE" w:rsidRPr="00913ACD">
        <w:rPr>
          <w:rFonts w:ascii="Times New Roman" w:hAnsi="Times New Roman" w:cs="Times New Roman"/>
          <w:iCs/>
          <w:sz w:val="22"/>
          <w:szCs w:val="22"/>
          <w:lang w:val="pt-BR"/>
        </w:rPr>
        <w:t>Executiv</w:t>
      </w:r>
      <w:r w:rsidR="003B616A" w:rsidRPr="00913ACD">
        <w:rPr>
          <w:rFonts w:ascii="Times New Roman" w:hAnsi="Times New Roman" w:cs="Times New Roman"/>
          <w:iCs/>
          <w:sz w:val="22"/>
          <w:szCs w:val="22"/>
          <w:lang w:val="pt-BR"/>
        </w:rPr>
        <w:t>o</w:t>
      </w:r>
      <w:r w:rsidR="00213DFE" w:rsidRPr="00913ACD">
        <w:rPr>
          <w:rFonts w:ascii="Times New Roman" w:hAnsi="Times New Roman" w:cs="Times New Roman"/>
          <w:iCs/>
          <w:sz w:val="22"/>
          <w:szCs w:val="22"/>
          <w:lang w:val="pt-BR"/>
        </w:rPr>
        <w:t xml:space="preserve"> d</w:t>
      </w:r>
      <w:r w:rsidR="003B616A" w:rsidRPr="00913ACD">
        <w:rPr>
          <w:rFonts w:ascii="Times New Roman" w:hAnsi="Times New Roman" w:cs="Times New Roman"/>
          <w:iCs/>
          <w:sz w:val="22"/>
          <w:szCs w:val="22"/>
          <w:lang w:val="pt-BR"/>
        </w:rPr>
        <w:t>a</w:t>
      </w:r>
      <w:r w:rsidR="00213DFE" w:rsidRPr="00913ACD">
        <w:rPr>
          <w:rFonts w:ascii="Times New Roman" w:hAnsi="Times New Roman" w:cs="Times New Roman"/>
          <w:iCs/>
          <w:sz w:val="22"/>
          <w:szCs w:val="22"/>
          <w:lang w:val="pt-BR"/>
        </w:rPr>
        <w:t xml:space="preserve"> CIP</w:t>
      </w:r>
    </w:p>
    <w:p w14:paraId="553444BE" w14:textId="77777777" w:rsidR="0065197C" w:rsidRPr="00913ACD" w:rsidRDefault="0065197C" w:rsidP="0065197C">
      <w:pPr>
        <w:rPr>
          <w:rFonts w:ascii="Times New Roman" w:hAnsi="Times New Roman" w:cs="Times New Roman"/>
          <w:sz w:val="22"/>
          <w:szCs w:val="22"/>
          <w:lang w:val="pt-BR"/>
        </w:rPr>
      </w:pPr>
      <w:r w:rsidRPr="00913ACD">
        <w:rPr>
          <w:rFonts w:ascii="Times New Roman" w:hAnsi="Times New Roman" w:cs="Times New Roman"/>
          <w:sz w:val="22"/>
          <w:szCs w:val="22"/>
          <w:lang w:val="pt-BR"/>
        </w:rPr>
        <w:t>CERT</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Equipes de Resposta a Emergências Informáticas</w:t>
      </w:r>
    </w:p>
    <w:p w14:paraId="13FC0C03" w14:textId="0EA57A91"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CIDI</w:t>
      </w:r>
      <w:r w:rsidR="00B27986" w:rsidRPr="00913ACD">
        <w:rPr>
          <w:rFonts w:ascii="Times New Roman" w:hAnsi="Times New Roman" w:cs="Times New Roman"/>
          <w:sz w:val="22"/>
          <w:szCs w:val="22"/>
          <w:lang w:val="pt-BR"/>
        </w:rPr>
        <w:tab/>
      </w:r>
      <w:r w:rsidR="00B27986" w:rsidRPr="00913ACD">
        <w:rPr>
          <w:rFonts w:ascii="Times New Roman" w:hAnsi="Times New Roman" w:cs="Times New Roman"/>
          <w:sz w:val="22"/>
          <w:szCs w:val="22"/>
          <w:lang w:val="pt-BR"/>
        </w:rPr>
        <w:tab/>
      </w:r>
      <w:r w:rsidR="00B27986"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Conselho Interamericano de Desenvolvimento Integral</w:t>
      </w:r>
    </w:p>
    <w:p w14:paraId="47657E85" w14:textId="060B96D6" w:rsidR="00213DFE" w:rsidRPr="00913ACD" w:rsidRDefault="00B27986"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CIE</w:t>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t>Comissão Interamericana de Educação</w:t>
      </w:r>
    </w:p>
    <w:p w14:paraId="1BB38D55" w14:textId="02348544" w:rsidR="00213DFE" w:rsidRPr="00913ACD" w:rsidRDefault="00B27986"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CIM</w:t>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t>Comissão Interamericana de Mulheres</w:t>
      </w:r>
    </w:p>
    <w:p w14:paraId="3047CA34" w14:textId="77777777" w:rsidR="00065344" w:rsidRPr="00913ACD" w:rsidRDefault="00065344" w:rsidP="00065344">
      <w:pPr>
        <w:rPr>
          <w:rFonts w:ascii="Times New Roman" w:hAnsi="Times New Roman" w:cs="Times New Roman"/>
          <w:sz w:val="22"/>
          <w:szCs w:val="22"/>
          <w:lang w:val="pt-BR"/>
        </w:rPr>
      </w:pPr>
      <w:r w:rsidRPr="00913ACD">
        <w:rPr>
          <w:rFonts w:ascii="Times New Roman" w:hAnsi="Times New Roman" w:cs="Times New Roman"/>
          <w:sz w:val="22"/>
          <w:szCs w:val="22"/>
          <w:lang w:val="pt-BR"/>
        </w:rPr>
        <w:t>CIMT</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 xml:space="preserve">Conferência Interamericana de Ministros do Trabalho </w:t>
      </w:r>
    </w:p>
    <w:p w14:paraId="5241C7A0" w14:textId="5E5DC212" w:rsidR="00213DFE" w:rsidRPr="00913ACD" w:rsidRDefault="00B27986"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CIP</w:t>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t>Comissão Interamericana de Portos</w:t>
      </w:r>
    </w:p>
    <w:p w14:paraId="4094257C" w14:textId="3ECCF188"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CITUR</w:t>
      </w:r>
      <w:r w:rsidR="00A93FD2" w:rsidRPr="00913ACD">
        <w:rPr>
          <w:rFonts w:ascii="Times New Roman" w:hAnsi="Times New Roman" w:cs="Times New Roman"/>
          <w:sz w:val="22"/>
          <w:szCs w:val="22"/>
          <w:lang w:val="pt-BR"/>
        </w:rPr>
        <w:tab/>
      </w:r>
      <w:r w:rsidR="00A93FD2" w:rsidRPr="00913ACD">
        <w:rPr>
          <w:rFonts w:ascii="Times New Roman" w:hAnsi="Times New Roman" w:cs="Times New Roman"/>
          <w:sz w:val="22"/>
          <w:szCs w:val="22"/>
          <w:lang w:val="pt-BR"/>
        </w:rPr>
        <w:tab/>
      </w:r>
      <w:r w:rsidR="00A93FD2" w:rsidRPr="00913ACD">
        <w:rPr>
          <w:rFonts w:ascii="Times New Roman" w:hAnsi="Times New Roman" w:cs="Times New Roman"/>
          <w:sz w:val="22"/>
          <w:szCs w:val="22"/>
          <w:lang w:val="pt-BR"/>
        </w:rPr>
        <w:tab/>
      </w:r>
      <w:r w:rsidR="005F0C89" w:rsidRPr="00913ACD">
        <w:rPr>
          <w:rFonts w:ascii="Times New Roman" w:hAnsi="Times New Roman" w:cs="Times New Roman"/>
          <w:sz w:val="22"/>
          <w:szCs w:val="22"/>
          <w:lang w:val="pt-BR"/>
        </w:rPr>
        <w:t xml:space="preserve">Comissão </w:t>
      </w:r>
      <w:r w:rsidRPr="00913ACD">
        <w:rPr>
          <w:rFonts w:ascii="Times New Roman" w:hAnsi="Times New Roman" w:cs="Times New Roman"/>
          <w:sz w:val="22"/>
          <w:szCs w:val="22"/>
          <w:lang w:val="pt-BR"/>
        </w:rPr>
        <w:t>Inter</w:t>
      </w:r>
      <w:r w:rsidR="005F0C89" w:rsidRPr="00913ACD">
        <w:rPr>
          <w:rFonts w:ascii="Times New Roman" w:hAnsi="Times New Roman" w:cs="Times New Roman"/>
          <w:sz w:val="22"/>
          <w:szCs w:val="22"/>
          <w:lang w:val="pt-BR"/>
        </w:rPr>
        <w:t>a</w:t>
      </w:r>
      <w:r w:rsidRPr="00913ACD">
        <w:rPr>
          <w:rFonts w:ascii="Times New Roman" w:hAnsi="Times New Roman" w:cs="Times New Roman"/>
          <w:sz w:val="22"/>
          <w:szCs w:val="22"/>
          <w:lang w:val="pt-BR"/>
        </w:rPr>
        <w:t>merican</w:t>
      </w:r>
      <w:r w:rsidR="005F0C89" w:rsidRPr="00913ACD">
        <w:rPr>
          <w:rFonts w:ascii="Times New Roman" w:hAnsi="Times New Roman" w:cs="Times New Roman"/>
          <w:sz w:val="22"/>
          <w:szCs w:val="22"/>
          <w:lang w:val="pt-BR"/>
        </w:rPr>
        <w:t>a</w:t>
      </w:r>
      <w:r w:rsidRPr="00913ACD">
        <w:rPr>
          <w:rFonts w:ascii="Times New Roman" w:hAnsi="Times New Roman" w:cs="Times New Roman"/>
          <w:sz w:val="22"/>
          <w:szCs w:val="22"/>
          <w:lang w:val="pt-BR"/>
        </w:rPr>
        <w:t xml:space="preserve"> </w:t>
      </w:r>
      <w:r w:rsidR="005F0C89" w:rsidRPr="00913ACD">
        <w:rPr>
          <w:rFonts w:ascii="Times New Roman" w:hAnsi="Times New Roman" w:cs="Times New Roman"/>
          <w:sz w:val="22"/>
          <w:szCs w:val="22"/>
          <w:lang w:val="pt-BR"/>
        </w:rPr>
        <w:t>de Turismo</w:t>
      </w:r>
    </w:p>
    <w:p w14:paraId="0E6ED028" w14:textId="60BD6A91"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COMCYT</w:t>
      </w:r>
      <w:r w:rsidR="00A93FD2" w:rsidRPr="00913ACD">
        <w:rPr>
          <w:rFonts w:ascii="Times New Roman" w:hAnsi="Times New Roman" w:cs="Times New Roman"/>
          <w:sz w:val="22"/>
          <w:szCs w:val="22"/>
          <w:lang w:val="pt-BR"/>
        </w:rPr>
        <w:tab/>
      </w:r>
      <w:r w:rsidR="00A93FD2" w:rsidRPr="00913ACD">
        <w:rPr>
          <w:rFonts w:ascii="Times New Roman" w:hAnsi="Times New Roman" w:cs="Times New Roman"/>
          <w:sz w:val="22"/>
          <w:szCs w:val="22"/>
          <w:lang w:val="pt-BR"/>
        </w:rPr>
        <w:tab/>
      </w:r>
      <w:r w:rsidR="005F460F" w:rsidRPr="00913ACD">
        <w:rPr>
          <w:rFonts w:ascii="Times New Roman" w:hAnsi="Times New Roman" w:cs="Times New Roman"/>
          <w:sz w:val="22"/>
          <w:szCs w:val="22"/>
          <w:lang w:val="pt-BR"/>
        </w:rPr>
        <w:t xml:space="preserve">Comissão </w:t>
      </w:r>
      <w:r w:rsidRPr="00913ACD">
        <w:rPr>
          <w:rFonts w:ascii="Times New Roman" w:hAnsi="Times New Roman" w:cs="Times New Roman"/>
          <w:sz w:val="22"/>
          <w:szCs w:val="22"/>
          <w:lang w:val="pt-BR"/>
        </w:rPr>
        <w:t>Inter</w:t>
      </w:r>
      <w:r w:rsidR="005F460F" w:rsidRPr="00913ACD">
        <w:rPr>
          <w:rFonts w:ascii="Times New Roman" w:hAnsi="Times New Roman" w:cs="Times New Roman"/>
          <w:sz w:val="22"/>
          <w:szCs w:val="22"/>
          <w:lang w:val="pt-BR"/>
        </w:rPr>
        <w:t>a</w:t>
      </w:r>
      <w:r w:rsidRPr="00913ACD">
        <w:rPr>
          <w:rFonts w:ascii="Times New Roman" w:hAnsi="Times New Roman" w:cs="Times New Roman"/>
          <w:sz w:val="22"/>
          <w:szCs w:val="22"/>
          <w:lang w:val="pt-BR"/>
        </w:rPr>
        <w:t>merican</w:t>
      </w:r>
      <w:r w:rsidR="005F460F" w:rsidRPr="00913ACD">
        <w:rPr>
          <w:rFonts w:ascii="Times New Roman" w:hAnsi="Times New Roman" w:cs="Times New Roman"/>
          <w:sz w:val="22"/>
          <w:szCs w:val="22"/>
          <w:lang w:val="pt-BR"/>
        </w:rPr>
        <w:t>a de Ciência e Tecnologia</w:t>
      </w:r>
    </w:p>
    <w:p w14:paraId="4C34344B" w14:textId="3387B8E2"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CONCYTEC</w:t>
      </w:r>
      <w:r w:rsidR="00A93FD2" w:rsidRPr="00913ACD">
        <w:rPr>
          <w:rFonts w:ascii="Times New Roman" w:hAnsi="Times New Roman" w:cs="Times New Roman"/>
          <w:sz w:val="22"/>
          <w:szCs w:val="22"/>
          <w:lang w:val="pt-BR"/>
        </w:rPr>
        <w:tab/>
      </w:r>
      <w:r w:rsidR="00A93FD2" w:rsidRPr="00913ACD">
        <w:rPr>
          <w:rFonts w:ascii="Times New Roman" w:hAnsi="Times New Roman" w:cs="Times New Roman"/>
          <w:sz w:val="22"/>
          <w:szCs w:val="22"/>
          <w:lang w:val="pt-BR"/>
        </w:rPr>
        <w:tab/>
      </w:r>
      <w:r w:rsidR="003F16A7" w:rsidRPr="00913ACD">
        <w:rPr>
          <w:rFonts w:ascii="Times New Roman" w:hAnsi="Times New Roman" w:cs="Times New Roman"/>
          <w:sz w:val="22"/>
          <w:szCs w:val="22"/>
          <w:lang w:val="pt-BR"/>
        </w:rPr>
        <w:t xml:space="preserve">Conselho </w:t>
      </w:r>
      <w:r w:rsidRPr="00913ACD">
        <w:rPr>
          <w:rFonts w:ascii="Times New Roman" w:hAnsi="Times New Roman" w:cs="Times New Roman"/>
          <w:sz w:val="22"/>
          <w:szCs w:val="22"/>
          <w:lang w:val="pt-BR"/>
        </w:rPr>
        <w:t>Nacional de Ciência, Tecnologia e Inovação Tecnológica</w:t>
      </w:r>
    </w:p>
    <w:p w14:paraId="4ADCC088" w14:textId="4999F4A4"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DSD</w:t>
      </w:r>
      <w:r w:rsidR="00A863D8" w:rsidRPr="00913ACD">
        <w:rPr>
          <w:rFonts w:ascii="Times New Roman" w:hAnsi="Times New Roman" w:cs="Times New Roman"/>
          <w:sz w:val="22"/>
          <w:szCs w:val="22"/>
          <w:lang w:val="pt-BR"/>
        </w:rPr>
        <w:tab/>
      </w:r>
      <w:r w:rsidR="00A863D8" w:rsidRPr="00913ACD">
        <w:rPr>
          <w:rFonts w:ascii="Times New Roman" w:hAnsi="Times New Roman" w:cs="Times New Roman"/>
          <w:sz w:val="22"/>
          <w:szCs w:val="22"/>
          <w:lang w:val="pt-BR"/>
        </w:rPr>
        <w:tab/>
      </w:r>
      <w:r w:rsidR="00A863D8"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Departamento de Desenvolvimento Sustentável</w:t>
      </w:r>
    </w:p>
    <w:p w14:paraId="6878B4FA" w14:textId="24BE3ACD" w:rsidR="00213DFE" w:rsidRPr="00913ACD" w:rsidRDefault="00213DFE" w:rsidP="00CB030B">
      <w:pPr>
        <w:jc w:val="both"/>
        <w:rPr>
          <w:rFonts w:ascii="Times New Roman" w:hAnsi="Times New Roman" w:cs="Times New Roman"/>
          <w:sz w:val="22"/>
          <w:szCs w:val="22"/>
          <w:lang w:val="pt-BR"/>
        </w:rPr>
      </w:pPr>
      <w:r w:rsidRPr="00913ACD">
        <w:rPr>
          <w:rFonts w:ascii="Times New Roman" w:hAnsi="Times New Roman" w:cs="Times New Roman"/>
          <w:sz w:val="22"/>
          <w:szCs w:val="22"/>
          <w:lang w:val="pt-BR"/>
        </w:rPr>
        <w:t>ECPA</w:t>
      </w:r>
      <w:r w:rsidR="001F256D" w:rsidRPr="00913ACD">
        <w:rPr>
          <w:rFonts w:ascii="Times New Roman" w:hAnsi="Times New Roman" w:cs="Times New Roman"/>
          <w:sz w:val="22"/>
          <w:szCs w:val="22"/>
          <w:lang w:val="pt-BR"/>
        </w:rPr>
        <w:tab/>
      </w:r>
      <w:r w:rsidR="001F256D" w:rsidRPr="00913ACD">
        <w:rPr>
          <w:rFonts w:ascii="Times New Roman" w:hAnsi="Times New Roman" w:cs="Times New Roman"/>
          <w:sz w:val="22"/>
          <w:szCs w:val="22"/>
          <w:lang w:val="pt-BR"/>
        </w:rPr>
        <w:tab/>
      </w:r>
      <w:r w:rsidR="001F256D"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 xml:space="preserve">Parceria </w:t>
      </w:r>
      <w:r w:rsidR="009F0108" w:rsidRPr="00913ACD">
        <w:rPr>
          <w:rFonts w:ascii="Times New Roman" w:hAnsi="Times New Roman" w:cs="Times New Roman"/>
          <w:sz w:val="22"/>
          <w:szCs w:val="22"/>
          <w:lang w:val="pt-BR"/>
        </w:rPr>
        <w:t xml:space="preserve">em </w:t>
      </w:r>
      <w:r w:rsidRPr="00913ACD">
        <w:rPr>
          <w:rFonts w:ascii="Times New Roman" w:hAnsi="Times New Roman" w:cs="Times New Roman"/>
          <w:sz w:val="22"/>
          <w:szCs w:val="22"/>
          <w:lang w:val="pt-BR"/>
        </w:rPr>
        <w:t xml:space="preserve">Energia e Clima </w:t>
      </w:r>
      <w:r w:rsidR="009F0108" w:rsidRPr="00913ACD">
        <w:rPr>
          <w:rFonts w:ascii="Times New Roman" w:hAnsi="Times New Roman" w:cs="Times New Roman"/>
          <w:sz w:val="22"/>
          <w:szCs w:val="22"/>
          <w:lang w:val="pt-BR"/>
        </w:rPr>
        <w:t>para a</w:t>
      </w:r>
      <w:r w:rsidRPr="00913ACD">
        <w:rPr>
          <w:rFonts w:ascii="Times New Roman" w:hAnsi="Times New Roman" w:cs="Times New Roman"/>
          <w:sz w:val="22"/>
          <w:szCs w:val="22"/>
          <w:lang w:val="pt-BR"/>
        </w:rPr>
        <w:t>s Américas</w:t>
      </w:r>
    </w:p>
    <w:p w14:paraId="79C3BE2C" w14:textId="5D6F4AB4" w:rsidR="00213DFE" w:rsidRPr="00913ACD" w:rsidRDefault="00213DFE" w:rsidP="00CB030B">
      <w:pPr>
        <w:jc w:val="both"/>
        <w:rPr>
          <w:rFonts w:ascii="Times New Roman" w:hAnsi="Times New Roman" w:cs="Times New Roman"/>
          <w:sz w:val="22"/>
          <w:szCs w:val="22"/>
          <w:lang w:val="pt-BR"/>
        </w:rPr>
      </w:pPr>
      <w:r w:rsidRPr="00913ACD">
        <w:rPr>
          <w:rFonts w:ascii="Times New Roman" w:hAnsi="Times New Roman" w:cs="Times New Roman"/>
          <w:sz w:val="22"/>
          <w:szCs w:val="22"/>
          <w:lang w:val="pt-BR"/>
        </w:rPr>
        <w:t>ESW</w:t>
      </w:r>
      <w:r w:rsidR="001F256D" w:rsidRPr="00913ACD">
        <w:rPr>
          <w:rFonts w:ascii="Times New Roman" w:hAnsi="Times New Roman" w:cs="Times New Roman"/>
          <w:sz w:val="22"/>
          <w:szCs w:val="22"/>
          <w:lang w:val="pt-BR"/>
        </w:rPr>
        <w:tab/>
      </w:r>
      <w:r w:rsidR="001F256D" w:rsidRPr="00913ACD">
        <w:rPr>
          <w:rFonts w:ascii="Times New Roman" w:hAnsi="Times New Roman" w:cs="Times New Roman"/>
          <w:sz w:val="22"/>
          <w:szCs w:val="22"/>
          <w:lang w:val="pt-BR"/>
        </w:rPr>
        <w:tab/>
      </w:r>
      <w:r w:rsidR="001F256D"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 xml:space="preserve">Janela </w:t>
      </w:r>
      <w:r w:rsidR="00A5662B" w:rsidRPr="00913ACD">
        <w:rPr>
          <w:rFonts w:ascii="Times New Roman" w:hAnsi="Times New Roman" w:cs="Times New Roman"/>
          <w:sz w:val="22"/>
          <w:szCs w:val="22"/>
          <w:lang w:val="pt-BR"/>
        </w:rPr>
        <w:t xml:space="preserve">Eletrônica </w:t>
      </w:r>
      <w:r w:rsidRPr="00913ACD">
        <w:rPr>
          <w:rFonts w:ascii="Times New Roman" w:hAnsi="Times New Roman" w:cs="Times New Roman"/>
          <w:sz w:val="22"/>
          <w:szCs w:val="22"/>
          <w:lang w:val="pt-BR"/>
        </w:rPr>
        <w:t>Única</w:t>
      </w:r>
    </w:p>
    <w:p w14:paraId="3790F25D" w14:textId="77777777" w:rsidR="00D617C7" w:rsidRPr="00913ACD" w:rsidRDefault="00D617C7" w:rsidP="00D617C7">
      <w:pPr>
        <w:rPr>
          <w:rFonts w:ascii="Times New Roman" w:hAnsi="Times New Roman" w:cs="Times New Roman"/>
          <w:sz w:val="22"/>
          <w:szCs w:val="22"/>
          <w:lang w:val="pt-BR"/>
        </w:rPr>
      </w:pPr>
      <w:r w:rsidRPr="00913ACD">
        <w:rPr>
          <w:rFonts w:ascii="Times New Roman" w:hAnsi="Times New Roman" w:cs="Times New Roman"/>
          <w:sz w:val="22"/>
          <w:szCs w:val="22"/>
          <w:lang w:val="pt-BR"/>
        </w:rPr>
        <w:t>FCD</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Fundo de Cooperação para o Desenvolvimento</w:t>
      </w:r>
    </w:p>
    <w:p w14:paraId="1CC67251" w14:textId="77777777" w:rsidR="00C350BA" w:rsidRPr="00913ACD" w:rsidRDefault="00C350BA" w:rsidP="00C350BA">
      <w:pPr>
        <w:rPr>
          <w:rFonts w:ascii="Times New Roman" w:hAnsi="Times New Roman" w:cs="Times New Roman"/>
          <w:sz w:val="22"/>
          <w:szCs w:val="22"/>
          <w:lang w:val="pt-BR"/>
        </w:rPr>
      </w:pPr>
      <w:r w:rsidRPr="00913ACD">
        <w:rPr>
          <w:rFonts w:ascii="Times New Roman" w:hAnsi="Times New Roman" w:cs="Times New Roman"/>
          <w:sz w:val="22"/>
          <w:szCs w:val="22"/>
          <w:lang w:val="pt-BR"/>
        </w:rPr>
        <w:t>FUPAD</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Fundação Panamericana de Desenvolvimento</w:t>
      </w:r>
    </w:p>
    <w:p w14:paraId="656398A4" w14:textId="26357FC0" w:rsidR="00213DFE" w:rsidRPr="00913ACD" w:rsidRDefault="00E2072A"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FVSU</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Universidade Estadual d</w:t>
      </w:r>
      <w:r w:rsidR="00556E63" w:rsidRPr="00913ACD">
        <w:rPr>
          <w:rFonts w:ascii="Times New Roman" w:hAnsi="Times New Roman" w:cs="Times New Roman"/>
          <w:sz w:val="22"/>
          <w:szCs w:val="22"/>
          <w:lang w:val="pt-BR"/>
        </w:rPr>
        <w:t>e</w:t>
      </w:r>
      <w:r w:rsidR="00213DFE" w:rsidRPr="00913ACD">
        <w:rPr>
          <w:rFonts w:ascii="Times New Roman" w:hAnsi="Times New Roman" w:cs="Times New Roman"/>
          <w:sz w:val="22"/>
          <w:szCs w:val="22"/>
          <w:lang w:val="pt-BR"/>
        </w:rPr>
        <w:t xml:space="preserve"> Fort</w:t>
      </w:r>
      <w:r w:rsidR="00556E63" w:rsidRPr="00913ACD">
        <w:rPr>
          <w:rFonts w:ascii="Times New Roman" w:hAnsi="Times New Roman" w:cs="Times New Roman"/>
          <w:sz w:val="22"/>
          <w:szCs w:val="22"/>
          <w:lang w:val="pt-BR"/>
        </w:rPr>
        <w:t xml:space="preserve"> Valley</w:t>
      </w:r>
    </w:p>
    <w:p w14:paraId="38E3B2C1" w14:textId="7193C4F7"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GEF</w:t>
      </w:r>
      <w:r w:rsidR="00E2072A" w:rsidRPr="00913ACD">
        <w:rPr>
          <w:rFonts w:ascii="Times New Roman" w:hAnsi="Times New Roman" w:cs="Times New Roman"/>
          <w:sz w:val="22"/>
          <w:szCs w:val="22"/>
          <w:lang w:val="pt-BR"/>
        </w:rPr>
        <w:tab/>
      </w:r>
      <w:r w:rsidR="00E2072A" w:rsidRPr="00913ACD">
        <w:rPr>
          <w:rFonts w:ascii="Times New Roman" w:hAnsi="Times New Roman" w:cs="Times New Roman"/>
          <w:sz w:val="22"/>
          <w:szCs w:val="22"/>
          <w:lang w:val="pt-BR"/>
        </w:rPr>
        <w:tab/>
      </w:r>
      <w:r w:rsidR="00E2072A" w:rsidRPr="00913ACD">
        <w:rPr>
          <w:rFonts w:ascii="Times New Roman" w:hAnsi="Times New Roman" w:cs="Times New Roman"/>
          <w:sz w:val="22"/>
          <w:szCs w:val="22"/>
          <w:lang w:val="pt-BR"/>
        </w:rPr>
        <w:tab/>
      </w:r>
      <w:r w:rsidR="00A14EF2" w:rsidRPr="00913ACD">
        <w:rPr>
          <w:rFonts w:ascii="Times New Roman" w:hAnsi="Times New Roman" w:cs="Times New Roman"/>
          <w:sz w:val="22"/>
          <w:szCs w:val="22"/>
          <w:lang w:val="pt-BR"/>
        </w:rPr>
        <w:t xml:space="preserve">Fundo </w:t>
      </w:r>
      <w:r w:rsidRPr="00913ACD">
        <w:rPr>
          <w:rFonts w:ascii="Times New Roman" w:hAnsi="Times New Roman" w:cs="Times New Roman"/>
          <w:sz w:val="22"/>
          <w:szCs w:val="22"/>
          <w:lang w:val="pt-BR"/>
        </w:rPr>
        <w:t xml:space="preserve">Global </w:t>
      </w:r>
      <w:r w:rsidR="00A14EF2" w:rsidRPr="00913ACD">
        <w:rPr>
          <w:rFonts w:ascii="Times New Roman" w:hAnsi="Times New Roman" w:cs="Times New Roman"/>
          <w:sz w:val="22"/>
          <w:szCs w:val="22"/>
          <w:lang w:val="pt-BR"/>
        </w:rPr>
        <w:t>para o Meio Ambiente</w:t>
      </w:r>
    </w:p>
    <w:p w14:paraId="124D7487" w14:textId="2C8CD326" w:rsidR="00213DFE" w:rsidRPr="00913ACD" w:rsidRDefault="00E912A1"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GIZ</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002E2475" w:rsidRPr="00913ACD">
        <w:rPr>
          <w:rFonts w:ascii="Times New Roman" w:hAnsi="Times New Roman" w:cs="Times New Roman"/>
          <w:bCs/>
          <w:sz w:val="22"/>
          <w:szCs w:val="22"/>
          <w:lang w:val="pt-BR"/>
        </w:rPr>
        <w:t>Agência Alemã de Cooperação Internacional</w:t>
      </w:r>
    </w:p>
    <w:p w14:paraId="797C9B0E" w14:textId="1CE037BE"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ITCA</w:t>
      </w:r>
      <w:r w:rsidR="00C258CD" w:rsidRPr="00913ACD">
        <w:rPr>
          <w:rFonts w:ascii="Times New Roman" w:hAnsi="Times New Roman" w:cs="Times New Roman"/>
          <w:sz w:val="22"/>
          <w:szCs w:val="22"/>
          <w:lang w:val="pt-BR"/>
        </w:rPr>
        <w:tab/>
      </w:r>
      <w:r w:rsidR="00C258CD" w:rsidRPr="00913ACD">
        <w:rPr>
          <w:rFonts w:ascii="Times New Roman" w:hAnsi="Times New Roman" w:cs="Times New Roman"/>
          <w:sz w:val="22"/>
          <w:szCs w:val="22"/>
          <w:lang w:val="pt-BR"/>
        </w:rPr>
        <w:tab/>
      </w:r>
      <w:r w:rsidR="00C258CD" w:rsidRPr="00913ACD">
        <w:rPr>
          <w:rFonts w:ascii="Times New Roman" w:hAnsi="Times New Roman" w:cs="Times New Roman"/>
          <w:sz w:val="22"/>
          <w:szCs w:val="22"/>
          <w:lang w:val="pt-BR"/>
        </w:rPr>
        <w:tab/>
      </w:r>
      <w:r w:rsidR="009E1E91" w:rsidRPr="00913ACD">
        <w:rPr>
          <w:rFonts w:ascii="Times New Roman" w:hAnsi="Times New Roman" w:cs="Times New Roman"/>
          <w:sz w:val="22"/>
          <w:szCs w:val="22"/>
          <w:lang w:val="pt-BR"/>
        </w:rPr>
        <w:t>C</w:t>
      </w:r>
      <w:r w:rsidRPr="00913ACD">
        <w:rPr>
          <w:rFonts w:ascii="Times New Roman" w:hAnsi="Times New Roman" w:cs="Times New Roman"/>
          <w:sz w:val="22"/>
          <w:szCs w:val="22"/>
          <w:lang w:val="pt-BR"/>
        </w:rPr>
        <w:t xml:space="preserve">olaboração </w:t>
      </w:r>
      <w:r w:rsidR="00621F3E">
        <w:rPr>
          <w:rFonts w:ascii="Times New Roman" w:hAnsi="Times New Roman" w:cs="Times New Roman"/>
          <w:sz w:val="22"/>
          <w:szCs w:val="22"/>
          <w:lang w:val="pt-BR"/>
        </w:rPr>
        <w:t xml:space="preserve">no </w:t>
      </w:r>
      <w:r w:rsidR="00543687" w:rsidRPr="00913ACD">
        <w:rPr>
          <w:rFonts w:ascii="Times New Roman" w:hAnsi="Times New Roman" w:cs="Times New Roman"/>
          <w:sz w:val="22"/>
          <w:szCs w:val="22"/>
          <w:lang w:val="pt-BR"/>
        </w:rPr>
        <w:t>Turismo Indígena</w:t>
      </w:r>
      <w:r w:rsidR="00621F3E" w:rsidRPr="00621F3E">
        <w:rPr>
          <w:rFonts w:ascii="Times New Roman" w:hAnsi="Times New Roman" w:cs="Times New Roman"/>
          <w:sz w:val="22"/>
          <w:szCs w:val="22"/>
          <w:lang w:val="pt-BR"/>
        </w:rPr>
        <w:t xml:space="preserve"> </w:t>
      </w:r>
      <w:r w:rsidR="00621F3E" w:rsidRPr="00913ACD">
        <w:rPr>
          <w:rFonts w:ascii="Times New Roman" w:hAnsi="Times New Roman" w:cs="Times New Roman"/>
          <w:sz w:val="22"/>
          <w:szCs w:val="22"/>
          <w:lang w:val="pt-BR"/>
        </w:rPr>
        <w:t>das Américas</w:t>
      </w:r>
    </w:p>
    <w:p w14:paraId="33DF2D02" w14:textId="7F34823C" w:rsidR="00213DFE" w:rsidRPr="00913ACD" w:rsidRDefault="00C414F1"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JD/AICD</w:t>
      </w:r>
      <w:r w:rsidR="00267E2C" w:rsidRPr="00913ACD">
        <w:rPr>
          <w:rFonts w:ascii="Times New Roman" w:hAnsi="Times New Roman" w:cs="Times New Roman"/>
          <w:sz w:val="22"/>
          <w:szCs w:val="22"/>
          <w:lang w:val="pt-BR"/>
        </w:rPr>
        <w:tab/>
      </w:r>
      <w:r w:rsidR="00267E2C" w:rsidRPr="00913ACD">
        <w:rPr>
          <w:rFonts w:ascii="Times New Roman" w:hAnsi="Times New Roman" w:cs="Times New Roman"/>
          <w:sz w:val="22"/>
          <w:szCs w:val="22"/>
          <w:lang w:val="pt-BR"/>
        </w:rPr>
        <w:tab/>
      </w:r>
      <w:r w:rsidR="008673DA" w:rsidRPr="00913ACD">
        <w:rPr>
          <w:rFonts w:ascii="Times New Roman" w:hAnsi="Times New Roman" w:cs="Times New Roman"/>
          <w:sz w:val="22"/>
          <w:szCs w:val="22"/>
          <w:lang w:val="pt-BR"/>
        </w:rPr>
        <w:t xml:space="preserve">Junta Diretora </w:t>
      </w:r>
      <w:r w:rsidR="00213DFE" w:rsidRPr="00913ACD">
        <w:rPr>
          <w:rFonts w:ascii="Times New Roman" w:hAnsi="Times New Roman" w:cs="Times New Roman"/>
          <w:sz w:val="22"/>
          <w:szCs w:val="22"/>
          <w:lang w:val="pt-BR"/>
        </w:rPr>
        <w:t>da Agência Interamericana de Cooperação e Desenvolvimento</w:t>
      </w:r>
    </w:p>
    <w:p w14:paraId="13CE85CA" w14:textId="460C1832"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MOU</w:t>
      </w:r>
      <w:r w:rsidR="00267E2C" w:rsidRPr="00913ACD">
        <w:rPr>
          <w:rFonts w:ascii="Times New Roman" w:hAnsi="Times New Roman" w:cs="Times New Roman"/>
          <w:sz w:val="22"/>
          <w:szCs w:val="22"/>
          <w:lang w:val="pt-BR"/>
        </w:rPr>
        <w:tab/>
      </w:r>
      <w:r w:rsidR="00267E2C" w:rsidRPr="00913ACD">
        <w:rPr>
          <w:rFonts w:ascii="Times New Roman" w:hAnsi="Times New Roman" w:cs="Times New Roman"/>
          <w:sz w:val="22"/>
          <w:szCs w:val="22"/>
          <w:lang w:val="pt-BR"/>
        </w:rPr>
        <w:tab/>
      </w:r>
      <w:r w:rsidR="00267E2C"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Memorand</w:t>
      </w:r>
      <w:r w:rsidR="007D5A5C" w:rsidRPr="00913ACD">
        <w:rPr>
          <w:rFonts w:ascii="Times New Roman" w:hAnsi="Times New Roman" w:cs="Times New Roman"/>
          <w:sz w:val="22"/>
          <w:szCs w:val="22"/>
          <w:lang w:val="pt-BR"/>
        </w:rPr>
        <w:t>o</w:t>
      </w:r>
      <w:r w:rsidRPr="00913ACD">
        <w:rPr>
          <w:rFonts w:ascii="Times New Roman" w:hAnsi="Times New Roman" w:cs="Times New Roman"/>
          <w:sz w:val="22"/>
          <w:szCs w:val="22"/>
          <w:lang w:val="pt-BR"/>
        </w:rPr>
        <w:t xml:space="preserve"> de Entendimento</w:t>
      </w:r>
    </w:p>
    <w:p w14:paraId="74EF449C" w14:textId="1F392345"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MPME</w:t>
      </w:r>
      <w:r w:rsidR="00C92179">
        <w:rPr>
          <w:rFonts w:ascii="Times New Roman" w:hAnsi="Times New Roman" w:cs="Times New Roman"/>
          <w:sz w:val="22"/>
          <w:szCs w:val="22"/>
          <w:lang w:val="pt-BR"/>
        </w:rPr>
        <w:t>s</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Micro, pequena</w:t>
      </w:r>
      <w:r w:rsidR="00C92179">
        <w:rPr>
          <w:rFonts w:ascii="Times New Roman" w:hAnsi="Times New Roman" w:cs="Times New Roman"/>
          <w:sz w:val="22"/>
          <w:szCs w:val="22"/>
          <w:lang w:val="pt-BR"/>
        </w:rPr>
        <w:t>s</w:t>
      </w:r>
      <w:r w:rsidRPr="00913ACD">
        <w:rPr>
          <w:rFonts w:ascii="Times New Roman" w:hAnsi="Times New Roman" w:cs="Times New Roman"/>
          <w:sz w:val="22"/>
          <w:szCs w:val="22"/>
          <w:lang w:val="pt-BR"/>
        </w:rPr>
        <w:t xml:space="preserve"> e média</w:t>
      </w:r>
      <w:r w:rsidR="00C92179">
        <w:rPr>
          <w:rFonts w:ascii="Times New Roman" w:hAnsi="Times New Roman" w:cs="Times New Roman"/>
          <w:sz w:val="22"/>
          <w:szCs w:val="22"/>
          <w:lang w:val="pt-BR"/>
        </w:rPr>
        <w:t>s</w:t>
      </w:r>
      <w:r w:rsidRPr="00913ACD">
        <w:rPr>
          <w:rFonts w:ascii="Times New Roman" w:hAnsi="Times New Roman" w:cs="Times New Roman"/>
          <w:sz w:val="22"/>
          <w:szCs w:val="22"/>
          <w:lang w:val="pt-BR"/>
        </w:rPr>
        <w:t xml:space="preserve"> empresa</w:t>
      </w:r>
      <w:r w:rsidR="00C92179">
        <w:rPr>
          <w:rFonts w:ascii="Times New Roman" w:hAnsi="Times New Roman" w:cs="Times New Roman"/>
          <w:sz w:val="22"/>
          <w:szCs w:val="22"/>
          <w:lang w:val="pt-BR"/>
        </w:rPr>
        <w:t>s</w:t>
      </w:r>
    </w:p>
    <w:p w14:paraId="1A2817A6" w14:textId="3CF35FFC" w:rsidR="00213DFE" w:rsidRPr="00913ACD" w:rsidRDefault="00213DFE" w:rsidP="00B03580">
      <w:pPr>
        <w:ind w:left="2160" w:hanging="2160"/>
        <w:rPr>
          <w:rFonts w:ascii="Times New Roman" w:hAnsi="Times New Roman" w:cs="Times New Roman"/>
          <w:sz w:val="22"/>
          <w:szCs w:val="22"/>
          <w:lang w:val="pt-BR"/>
        </w:rPr>
      </w:pPr>
      <w:r w:rsidRPr="00913ACD">
        <w:rPr>
          <w:rFonts w:ascii="Times New Roman" w:hAnsi="Times New Roman" w:cs="Times New Roman"/>
          <w:sz w:val="22"/>
          <w:szCs w:val="22"/>
          <w:lang w:val="pt-BR"/>
        </w:rPr>
        <w:t>OEA/SEDI</w:t>
      </w:r>
      <w:r w:rsidR="00515BAF" w:rsidRPr="00913ACD">
        <w:rPr>
          <w:rFonts w:ascii="Times New Roman" w:hAnsi="Times New Roman" w:cs="Times New Roman"/>
          <w:sz w:val="22"/>
          <w:szCs w:val="22"/>
          <w:lang w:val="pt-BR"/>
        </w:rPr>
        <w:tab/>
      </w:r>
      <w:r w:rsidR="00C63303" w:rsidRPr="00913ACD">
        <w:rPr>
          <w:rFonts w:ascii="Times New Roman" w:hAnsi="Times New Roman" w:cs="Times New Roman"/>
          <w:sz w:val="22"/>
          <w:szCs w:val="22"/>
          <w:lang w:val="pt-BR"/>
        </w:rPr>
        <w:t>S</w:t>
      </w:r>
      <w:r w:rsidRPr="00913ACD">
        <w:rPr>
          <w:rFonts w:ascii="Times New Roman" w:hAnsi="Times New Roman" w:cs="Times New Roman"/>
          <w:sz w:val="22"/>
          <w:szCs w:val="22"/>
          <w:lang w:val="pt-BR"/>
        </w:rPr>
        <w:t>ecretaria Executiva de Desenvolvimento Integral da Organização dos Estados Americanos</w:t>
      </w:r>
    </w:p>
    <w:p w14:paraId="0F200244" w14:textId="6D97599D"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OECS</w:t>
      </w:r>
      <w:r w:rsidR="00515BAF" w:rsidRPr="00913ACD">
        <w:rPr>
          <w:rFonts w:ascii="Times New Roman" w:hAnsi="Times New Roman" w:cs="Times New Roman"/>
          <w:sz w:val="22"/>
          <w:szCs w:val="22"/>
          <w:lang w:val="pt-BR"/>
        </w:rPr>
        <w:tab/>
      </w:r>
      <w:r w:rsidR="00515BAF" w:rsidRPr="00913ACD">
        <w:rPr>
          <w:rFonts w:ascii="Times New Roman" w:hAnsi="Times New Roman" w:cs="Times New Roman"/>
          <w:sz w:val="22"/>
          <w:szCs w:val="22"/>
          <w:lang w:val="pt-BR"/>
        </w:rPr>
        <w:tab/>
      </w:r>
      <w:r w:rsidR="00515BAF"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Organização dos Estados do Caribe Oriental</w:t>
      </w:r>
    </w:p>
    <w:p w14:paraId="47C6A930" w14:textId="77777777" w:rsidR="00655B72" w:rsidRPr="00913ACD" w:rsidRDefault="00655B72" w:rsidP="00655B72">
      <w:pPr>
        <w:rPr>
          <w:rFonts w:ascii="Times New Roman" w:hAnsi="Times New Roman" w:cs="Times New Roman"/>
          <w:sz w:val="22"/>
          <w:szCs w:val="22"/>
          <w:lang w:val="pt-BR"/>
        </w:rPr>
      </w:pPr>
      <w:r w:rsidRPr="00913ACD">
        <w:rPr>
          <w:rFonts w:ascii="Times New Roman" w:hAnsi="Times New Roman" w:cs="Times New Roman"/>
          <w:sz w:val="22"/>
          <w:szCs w:val="22"/>
          <w:lang w:val="pt-BR"/>
        </w:rPr>
        <w:t>OSCs</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Organizações da Sociedade Civil</w:t>
      </w:r>
    </w:p>
    <w:p w14:paraId="57EC3B7A" w14:textId="6B43E2EB"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PIDS</w:t>
      </w:r>
      <w:r w:rsidR="00A436F9" w:rsidRPr="00913ACD">
        <w:rPr>
          <w:rFonts w:ascii="Times New Roman" w:hAnsi="Times New Roman" w:cs="Times New Roman"/>
          <w:sz w:val="22"/>
          <w:szCs w:val="22"/>
          <w:lang w:val="pt-BR"/>
        </w:rPr>
        <w:tab/>
      </w:r>
      <w:r w:rsidR="00A436F9" w:rsidRPr="00913ACD">
        <w:rPr>
          <w:rFonts w:ascii="Times New Roman" w:hAnsi="Times New Roman" w:cs="Times New Roman"/>
          <w:sz w:val="22"/>
          <w:szCs w:val="22"/>
          <w:lang w:val="pt-BR"/>
        </w:rPr>
        <w:tab/>
      </w:r>
      <w:r w:rsidR="00A436F9"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 xml:space="preserve">Programa </w:t>
      </w:r>
      <w:r w:rsidR="00B91EFF" w:rsidRPr="00913ACD">
        <w:rPr>
          <w:rFonts w:ascii="Times New Roman" w:hAnsi="Times New Roman" w:cs="Times New Roman"/>
          <w:sz w:val="22"/>
          <w:szCs w:val="22"/>
          <w:lang w:val="pt-BR"/>
        </w:rPr>
        <w:t>Interamericano</w:t>
      </w:r>
      <w:r w:rsidRPr="00913ACD">
        <w:rPr>
          <w:rFonts w:ascii="Times New Roman" w:hAnsi="Times New Roman" w:cs="Times New Roman"/>
          <w:sz w:val="22"/>
          <w:szCs w:val="22"/>
          <w:lang w:val="pt-BR"/>
        </w:rPr>
        <w:t xml:space="preserve"> </w:t>
      </w:r>
      <w:r w:rsidR="00B91EFF" w:rsidRPr="00913ACD">
        <w:rPr>
          <w:rFonts w:ascii="Times New Roman" w:hAnsi="Times New Roman" w:cs="Times New Roman"/>
          <w:sz w:val="22"/>
          <w:szCs w:val="22"/>
          <w:lang w:val="pt-BR"/>
        </w:rPr>
        <w:t xml:space="preserve">de </w:t>
      </w:r>
      <w:r w:rsidRPr="00913ACD">
        <w:rPr>
          <w:rFonts w:ascii="Times New Roman" w:hAnsi="Times New Roman" w:cs="Times New Roman"/>
          <w:sz w:val="22"/>
          <w:szCs w:val="22"/>
          <w:lang w:val="pt-BR"/>
        </w:rPr>
        <w:t>Desenvolvimento Sustentável</w:t>
      </w:r>
    </w:p>
    <w:p w14:paraId="723A145A" w14:textId="77777777" w:rsidR="005D2D23" w:rsidRPr="00913ACD" w:rsidRDefault="005D2D23" w:rsidP="005D2D23">
      <w:pPr>
        <w:rPr>
          <w:rFonts w:ascii="Times New Roman" w:hAnsi="Times New Roman" w:cs="Times New Roman"/>
          <w:sz w:val="22"/>
          <w:szCs w:val="22"/>
          <w:lang w:val="pt-BR"/>
        </w:rPr>
      </w:pPr>
      <w:r w:rsidRPr="00913ACD">
        <w:rPr>
          <w:rFonts w:ascii="Times New Roman" w:hAnsi="Times New Roman" w:cs="Times New Roman"/>
          <w:sz w:val="22"/>
          <w:szCs w:val="22"/>
          <w:lang w:val="pt-BR"/>
        </w:rPr>
        <w:t>PNUMA</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 xml:space="preserve">Programa das Nações Unidas para o Meio Ambiente </w:t>
      </w:r>
    </w:p>
    <w:p w14:paraId="5B55CEA3" w14:textId="77777777" w:rsidR="00C13729" w:rsidRPr="00913ACD" w:rsidRDefault="00C13729" w:rsidP="00C13729">
      <w:pPr>
        <w:rPr>
          <w:rFonts w:ascii="Times New Roman" w:hAnsi="Times New Roman" w:cs="Times New Roman"/>
          <w:sz w:val="22"/>
          <w:szCs w:val="22"/>
          <w:lang w:val="pt-BR"/>
        </w:rPr>
      </w:pPr>
      <w:r w:rsidRPr="00913ACD">
        <w:rPr>
          <w:rFonts w:ascii="Times New Roman" w:hAnsi="Times New Roman" w:cs="Times New Roman"/>
          <w:sz w:val="22"/>
          <w:szCs w:val="22"/>
          <w:lang w:val="pt-BR"/>
        </w:rPr>
        <w:t>RA</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Realidade Aumentada</w:t>
      </w:r>
    </w:p>
    <w:p w14:paraId="1CB29A3A" w14:textId="274C35F2"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RIAC</w:t>
      </w:r>
      <w:r w:rsidR="00A436F9" w:rsidRPr="00913ACD">
        <w:rPr>
          <w:rFonts w:ascii="Times New Roman" w:hAnsi="Times New Roman" w:cs="Times New Roman"/>
          <w:sz w:val="22"/>
          <w:szCs w:val="22"/>
          <w:lang w:val="pt-BR"/>
        </w:rPr>
        <w:tab/>
      </w:r>
      <w:r w:rsidR="00A436F9" w:rsidRPr="00913ACD">
        <w:rPr>
          <w:rFonts w:ascii="Times New Roman" w:hAnsi="Times New Roman" w:cs="Times New Roman"/>
          <w:sz w:val="22"/>
          <w:szCs w:val="22"/>
          <w:lang w:val="pt-BR"/>
        </w:rPr>
        <w:tab/>
      </w:r>
      <w:r w:rsidR="00A436F9" w:rsidRPr="00913ACD">
        <w:rPr>
          <w:rFonts w:ascii="Times New Roman" w:hAnsi="Times New Roman" w:cs="Times New Roman"/>
          <w:sz w:val="22"/>
          <w:szCs w:val="22"/>
          <w:lang w:val="pt-BR"/>
        </w:rPr>
        <w:tab/>
      </w:r>
      <w:r w:rsidR="006250AC" w:rsidRPr="00913ACD">
        <w:rPr>
          <w:rFonts w:ascii="Times New Roman" w:hAnsi="Times New Roman" w:cs="Times New Roman"/>
          <w:sz w:val="22"/>
          <w:szCs w:val="22"/>
          <w:lang w:val="pt-BR"/>
        </w:rPr>
        <w:t>Rede Interamericana de Com</w:t>
      </w:r>
      <w:r w:rsidR="00255955" w:rsidRPr="00913ACD">
        <w:rPr>
          <w:rFonts w:ascii="Times New Roman" w:hAnsi="Times New Roman" w:cs="Times New Roman"/>
          <w:sz w:val="22"/>
          <w:szCs w:val="22"/>
          <w:lang w:val="pt-BR"/>
        </w:rPr>
        <w:t>pe</w:t>
      </w:r>
      <w:r w:rsidR="006250AC" w:rsidRPr="00913ACD">
        <w:rPr>
          <w:rFonts w:ascii="Times New Roman" w:hAnsi="Times New Roman" w:cs="Times New Roman"/>
          <w:sz w:val="22"/>
          <w:szCs w:val="22"/>
          <w:lang w:val="pt-BR"/>
        </w:rPr>
        <w:t>titividade</w:t>
      </w:r>
    </w:p>
    <w:p w14:paraId="0AD373EC" w14:textId="243BC838" w:rsidR="00213DFE" w:rsidRPr="00913ACD" w:rsidRDefault="00A436F9"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RIA</w:t>
      </w:r>
      <w:r w:rsidR="00B6493C" w:rsidRPr="00913ACD">
        <w:rPr>
          <w:rFonts w:ascii="Times New Roman" w:hAnsi="Times New Roman" w:cs="Times New Roman"/>
          <w:sz w:val="22"/>
          <w:szCs w:val="22"/>
          <w:lang w:val="pt-BR"/>
        </w:rPr>
        <w:t>T</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 xml:space="preserve">Rede Interamericana </w:t>
      </w:r>
      <w:r w:rsidR="00B20E6D" w:rsidRPr="00913ACD">
        <w:rPr>
          <w:rFonts w:ascii="Times New Roman" w:hAnsi="Times New Roman" w:cs="Times New Roman"/>
          <w:sz w:val="22"/>
          <w:szCs w:val="22"/>
          <w:lang w:val="pt-BR"/>
        </w:rPr>
        <w:t xml:space="preserve">para a </w:t>
      </w:r>
      <w:r w:rsidR="00213DFE" w:rsidRPr="00913ACD">
        <w:rPr>
          <w:rFonts w:ascii="Times New Roman" w:hAnsi="Times New Roman" w:cs="Times New Roman"/>
          <w:sz w:val="22"/>
          <w:szCs w:val="22"/>
          <w:lang w:val="pt-BR"/>
        </w:rPr>
        <w:t>Administração Trabalh</w:t>
      </w:r>
      <w:r w:rsidR="00B20E6D" w:rsidRPr="00913ACD">
        <w:rPr>
          <w:rFonts w:ascii="Times New Roman" w:hAnsi="Times New Roman" w:cs="Times New Roman"/>
          <w:sz w:val="22"/>
          <w:szCs w:val="22"/>
          <w:lang w:val="pt-BR"/>
        </w:rPr>
        <w:t>ista</w:t>
      </w:r>
    </w:p>
    <w:p w14:paraId="53369E57" w14:textId="77777777" w:rsidR="00655B72" w:rsidRPr="00913ACD" w:rsidRDefault="00655B72" w:rsidP="00655B72">
      <w:pPr>
        <w:rPr>
          <w:rFonts w:ascii="Times New Roman" w:hAnsi="Times New Roman" w:cs="Times New Roman"/>
          <w:sz w:val="22"/>
          <w:szCs w:val="22"/>
          <w:lang w:val="pt-BR"/>
        </w:rPr>
      </w:pPr>
      <w:r w:rsidRPr="00913ACD">
        <w:rPr>
          <w:rFonts w:ascii="Times New Roman" w:hAnsi="Times New Roman" w:cs="Times New Roman"/>
          <w:sz w:val="22"/>
          <w:szCs w:val="22"/>
          <w:lang w:val="pt-BR"/>
        </w:rPr>
        <w:t>RIED</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Rede Interamericana de Educação Docente</w:t>
      </w:r>
    </w:p>
    <w:p w14:paraId="214E0F97" w14:textId="77777777" w:rsidR="00065344" w:rsidRPr="00913ACD" w:rsidRDefault="00065344" w:rsidP="00065344">
      <w:pPr>
        <w:rPr>
          <w:rFonts w:ascii="Times New Roman" w:hAnsi="Times New Roman" w:cs="Times New Roman"/>
          <w:sz w:val="22"/>
          <w:szCs w:val="22"/>
          <w:lang w:val="pt-BR"/>
        </w:rPr>
      </w:pPr>
      <w:r w:rsidRPr="00913ACD">
        <w:rPr>
          <w:rFonts w:ascii="Times New Roman" w:hAnsi="Times New Roman" w:cs="Times New Roman"/>
          <w:sz w:val="22"/>
          <w:szCs w:val="22"/>
          <w:lang w:val="pt-BR"/>
        </w:rPr>
        <w:t>RIMD</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Rede Interamericana de Mitigação de Desastres</w:t>
      </w:r>
    </w:p>
    <w:p w14:paraId="6D12D7D5" w14:textId="377353B8" w:rsidR="00213DFE" w:rsidRPr="00913ACD" w:rsidRDefault="00265BAF"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PAE</w:t>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ab/>
        <w:t>Plano de Ação Estratégica</w:t>
      </w:r>
    </w:p>
    <w:p w14:paraId="020D37F7" w14:textId="77E6A628" w:rsidR="00AD5ED3" w:rsidRPr="00913ACD" w:rsidRDefault="00AD5ED3" w:rsidP="00AD5ED3">
      <w:pPr>
        <w:rPr>
          <w:rFonts w:ascii="Times New Roman" w:hAnsi="Times New Roman" w:cs="Times New Roman"/>
          <w:sz w:val="22"/>
          <w:szCs w:val="22"/>
          <w:lang w:val="pt-BR"/>
        </w:rPr>
      </w:pPr>
      <w:r w:rsidRPr="00913ACD">
        <w:rPr>
          <w:rFonts w:ascii="Times New Roman" w:hAnsi="Times New Roman" w:cs="Times New Roman"/>
          <w:sz w:val="22"/>
          <w:szCs w:val="22"/>
          <w:lang w:val="pt-BR"/>
        </w:rPr>
        <w:t>SAD</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t xml:space="preserve">Sistemas de </w:t>
      </w:r>
      <w:r w:rsidR="005E789B">
        <w:rPr>
          <w:rFonts w:ascii="Times New Roman" w:hAnsi="Times New Roman" w:cs="Times New Roman"/>
          <w:sz w:val="22"/>
          <w:szCs w:val="22"/>
          <w:lang w:val="pt-BR"/>
        </w:rPr>
        <w:t xml:space="preserve">Apoio à </w:t>
      </w:r>
      <w:r w:rsidRPr="00913ACD">
        <w:rPr>
          <w:rFonts w:ascii="Times New Roman" w:hAnsi="Times New Roman" w:cs="Times New Roman"/>
          <w:sz w:val="22"/>
          <w:szCs w:val="22"/>
          <w:lang w:val="pt-BR"/>
        </w:rPr>
        <w:t>Decisão</w:t>
      </w:r>
    </w:p>
    <w:p w14:paraId="06EF01F1" w14:textId="5A4F2ADD"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SBDC</w:t>
      </w:r>
      <w:r w:rsidR="004F7A27" w:rsidRPr="00913ACD">
        <w:rPr>
          <w:rFonts w:ascii="Times New Roman" w:hAnsi="Times New Roman" w:cs="Times New Roman"/>
          <w:sz w:val="22"/>
          <w:szCs w:val="22"/>
          <w:lang w:val="pt-BR"/>
        </w:rPr>
        <w:tab/>
      </w:r>
      <w:r w:rsidR="004F7A27" w:rsidRPr="00913ACD">
        <w:rPr>
          <w:rFonts w:ascii="Times New Roman" w:hAnsi="Times New Roman" w:cs="Times New Roman"/>
          <w:sz w:val="22"/>
          <w:szCs w:val="22"/>
          <w:lang w:val="pt-BR"/>
        </w:rPr>
        <w:tab/>
      </w:r>
      <w:r w:rsidR="004F7A27"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 xml:space="preserve">Centros de Desenvolvimento de </w:t>
      </w:r>
      <w:r w:rsidR="009C0425" w:rsidRPr="00913ACD">
        <w:rPr>
          <w:rFonts w:ascii="Times New Roman" w:hAnsi="Times New Roman" w:cs="Times New Roman"/>
          <w:sz w:val="22"/>
          <w:szCs w:val="22"/>
          <w:lang w:val="pt-BR"/>
        </w:rPr>
        <w:t>Pequenas Empresas</w:t>
      </w:r>
    </w:p>
    <w:p w14:paraId="1A2A1BE6" w14:textId="5DA6FF5B"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SDC</w:t>
      </w:r>
      <w:r w:rsidR="005510E0" w:rsidRPr="00913ACD">
        <w:rPr>
          <w:rFonts w:ascii="Times New Roman" w:hAnsi="Times New Roman" w:cs="Times New Roman"/>
          <w:sz w:val="22"/>
          <w:szCs w:val="22"/>
          <w:lang w:val="pt-BR"/>
        </w:rPr>
        <w:tab/>
      </w:r>
      <w:r w:rsidR="005510E0" w:rsidRPr="00913ACD">
        <w:rPr>
          <w:rFonts w:ascii="Times New Roman" w:hAnsi="Times New Roman" w:cs="Times New Roman"/>
          <w:sz w:val="22"/>
          <w:szCs w:val="22"/>
          <w:lang w:val="pt-BR"/>
        </w:rPr>
        <w:tab/>
      </w:r>
      <w:r w:rsidR="005510E0"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 xml:space="preserve">Agência </w:t>
      </w:r>
      <w:r w:rsidR="00664C3C" w:rsidRPr="00913ACD">
        <w:rPr>
          <w:rFonts w:ascii="Times New Roman" w:hAnsi="Times New Roman" w:cs="Times New Roman"/>
          <w:sz w:val="22"/>
          <w:szCs w:val="22"/>
          <w:lang w:val="pt-BR"/>
        </w:rPr>
        <w:t xml:space="preserve">Suíça </w:t>
      </w:r>
      <w:r w:rsidRPr="00913ACD">
        <w:rPr>
          <w:rFonts w:ascii="Times New Roman" w:hAnsi="Times New Roman" w:cs="Times New Roman"/>
          <w:sz w:val="22"/>
          <w:szCs w:val="22"/>
          <w:lang w:val="pt-BR"/>
        </w:rPr>
        <w:t>para o Desenvolvimento e Cooperação</w:t>
      </w:r>
    </w:p>
    <w:p w14:paraId="5C7CF383" w14:textId="25DACA4C" w:rsidR="00213DFE" w:rsidRPr="00913ACD" w:rsidRDefault="005510E0" w:rsidP="00B40482">
      <w:pPr>
        <w:rPr>
          <w:rFonts w:ascii="Times New Roman" w:hAnsi="Times New Roman" w:cs="Times New Roman"/>
          <w:sz w:val="22"/>
          <w:szCs w:val="22"/>
          <w:lang w:val="pt-BR"/>
        </w:rPr>
      </w:pPr>
      <w:r w:rsidRPr="00913ACD">
        <w:rPr>
          <w:rFonts w:ascii="Times New Roman" w:hAnsi="Times New Roman" w:cs="Times New Roman"/>
          <w:sz w:val="22"/>
          <w:szCs w:val="22"/>
          <w:lang w:val="pt-BR"/>
        </w:rPr>
        <w:t>SICE</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 xml:space="preserve">Sistema de Informação </w:t>
      </w:r>
      <w:r w:rsidR="00CC6633" w:rsidRPr="00913ACD">
        <w:rPr>
          <w:rFonts w:ascii="Times New Roman" w:hAnsi="Times New Roman" w:cs="Times New Roman"/>
          <w:sz w:val="22"/>
          <w:szCs w:val="22"/>
          <w:lang w:val="pt-BR"/>
        </w:rPr>
        <w:t xml:space="preserve">sobre </w:t>
      </w:r>
      <w:r w:rsidR="00213DFE" w:rsidRPr="00913ACD">
        <w:rPr>
          <w:rFonts w:ascii="Times New Roman" w:hAnsi="Times New Roman" w:cs="Times New Roman"/>
          <w:sz w:val="22"/>
          <w:szCs w:val="22"/>
          <w:lang w:val="pt-BR"/>
        </w:rPr>
        <w:t>Comércio Exterior</w:t>
      </w:r>
    </w:p>
    <w:p w14:paraId="6F4F0CA4" w14:textId="77777777" w:rsidR="001E5B1E" w:rsidRDefault="001E5B1E" w:rsidP="001E5B1E">
      <w:pPr>
        <w:rPr>
          <w:rFonts w:ascii="Times New Roman" w:hAnsi="Times New Roman" w:cs="Times New Roman"/>
          <w:sz w:val="22"/>
          <w:szCs w:val="22"/>
          <w:lang w:val="pt-BR"/>
        </w:rPr>
      </w:pPr>
      <w:r>
        <w:rPr>
          <w:rFonts w:ascii="Times New Roman" w:hAnsi="Times New Roman" w:cs="Times New Roman"/>
          <w:sz w:val="22"/>
          <w:szCs w:val="22"/>
          <w:lang w:val="pt-BR"/>
        </w:rPr>
        <w:t>STEM</w:t>
      </w:r>
      <w:r>
        <w:rPr>
          <w:rFonts w:ascii="Times New Roman" w:hAnsi="Times New Roman" w:cs="Times New Roman"/>
          <w:sz w:val="22"/>
          <w:szCs w:val="22"/>
          <w:lang w:val="pt-BR"/>
        </w:rPr>
        <w:tab/>
      </w:r>
      <w:r>
        <w:rPr>
          <w:rFonts w:ascii="Times New Roman" w:hAnsi="Times New Roman" w:cs="Times New Roman"/>
          <w:sz w:val="22"/>
          <w:szCs w:val="22"/>
          <w:lang w:val="pt-BR"/>
        </w:rPr>
        <w:tab/>
      </w:r>
      <w:r>
        <w:rPr>
          <w:rFonts w:ascii="Times New Roman" w:hAnsi="Times New Roman" w:cs="Times New Roman"/>
          <w:sz w:val="22"/>
          <w:szCs w:val="22"/>
          <w:lang w:val="pt-BR"/>
        </w:rPr>
        <w:tab/>
        <w:t>Ciência, tecnologia, engenharia e matemática</w:t>
      </w:r>
    </w:p>
    <w:p w14:paraId="4096C1D4" w14:textId="413B462C" w:rsidR="00213DFE" w:rsidRPr="00913ACD" w:rsidRDefault="00C854F0"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STI</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00213DFE" w:rsidRPr="00913ACD">
        <w:rPr>
          <w:rFonts w:ascii="Times New Roman" w:hAnsi="Times New Roman" w:cs="Times New Roman"/>
          <w:sz w:val="22"/>
          <w:szCs w:val="22"/>
          <w:lang w:val="pt-BR"/>
        </w:rPr>
        <w:t xml:space="preserve">Ciência, </w:t>
      </w:r>
      <w:r w:rsidR="009D1B6A">
        <w:rPr>
          <w:rFonts w:ascii="Times New Roman" w:hAnsi="Times New Roman" w:cs="Times New Roman"/>
          <w:sz w:val="22"/>
          <w:szCs w:val="22"/>
          <w:lang w:val="pt-BR"/>
        </w:rPr>
        <w:t>t</w:t>
      </w:r>
      <w:r w:rsidR="00213DFE" w:rsidRPr="00913ACD">
        <w:rPr>
          <w:rFonts w:ascii="Times New Roman" w:hAnsi="Times New Roman" w:cs="Times New Roman"/>
          <w:sz w:val="22"/>
          <w:szCs w:val="22"/>
          <w:lang w:val="pt-BR"/>
        </w:rPr>
        <w:t xml:space="preserve">ecnologia e </w:t>
      </w:r>
      <w:r w:rsidR="009D1B6A">
        <w:rPr>
          <w:rFonts w:ascii="Times New Roman" w:hAnsi="Times New Roman" w:cs="Times New Roman"/>
          <w:sz w:val="22"/>
          <w:szCs w:val="22"/>
          <w:lang w:val="pt-BR"/>
        </w:rPr>
        <w:t>i</w:t>
      </w:r>
      <w:r w:rsidR="00213DFE" w:rsidRPr="00913ACD">
        <w:rPr>
          <w:rFonts w:ascii="Times New Roman" w:hAnsi="Times New Roman" w:cs="Times New Roman"/>
          <w:sz w:val="22"/>
          <w:szCs w:val="22"/>
          <w:lang w:val="pt-BR"/>
        </w:rPr>
        <w:t>novação</w:t>
      </w:r>
    </w:p>
    <w:p w14:paraId="13263A9A" w14:textId="7AA3B4DF" w:rsidR="00E614FB" w:rsidRDefault="00E614FB" w:rsidP="00CB030B">
      <w:pPr>
        <w:rPr>
          <w:rFonts w:ascii="Times New Roman" w:hAnsi="Times New Roman" w:cs="Times New Roman"/>
          <w:sz w:val="22"/>
          <w:szCs w:val="22"/>
          <w:lang w:val="pt-BR"/>
        </w:rPr>
      </w:pPr>
      <w:r>
        <w:rPr>
          <w:rFonts w:ascii="Times New Roman" w:hAnsi="Times New Roman" w:cs="Times New Roman"/>
          <w:sz w:val="22"/>
          <w:szCs w:val="22"/>
          <w:lang w:val="pt-BR"/>
        </w:rPr>
        <w:t>TIC</w:t>
      </w:r>
      <w:r w:rsidR="00666F20">
        <w:rPr>
          <w:rFonts w:ascii="Times New Roman" w:hAnsi="Times New Roman" w:cs="Times New Roman"/>
          <w:sz w:val="22"/>
          <w:szCs w:val="22"/>
          <w:lang w:val="pt-BR"/>
        </w:rPr>
        <w:t>s</w:t>
      </w:r>
      <w:r>
        <w:rPr>
          <w:rFonts w:ascii="Times New Roman" w:hAnsi="Times New Roman" w:cs="Times New Roman"/>
          <w:sz w:val="22"/>
          <w:szCs w:val="22"/>
          <w:lang w:val="pt-BR"/>
        </w:rPr>
        <w:tab/>
      </w:r>
      <w:r>
        <w:rPr>
          <w:rFonts w:ascii="Times New Roman" w:hAnsi="Times New Roman" w:cs="Times New Roman"/>
          <w:sz w:val="22"/>
          <w:szCs w:val="22"/>
          <w:lang w:val="pt-BR"/>
        </w:rPr>
        <w:tab/>
      </w:r>
      <w:r>
        <w:rPr>
          <w:rFonts w:ascii="Times New Roman" w:hAnsi="Times New Roman" w:cs="Times New Roman"/>
          <w:sz w:val="22"/>
          <w:szCs w:val="22"/>
          <w:lang w:val="pt-BR"/>
        </w:rPr>
        <w:tab/>
      </w:r>
      <w:r w:rsidR="000D23CC">
        <w:rPr>
          <w:rFonts w:ascii="Times New Roman" w:hAnsi="Times New Roman" w:cs="Times New Roman"/>
          <w:sz w:val="22"/>
          <w:szCs w:val="22"/>
          <w:lang w:val="pt-BR"/>
        </w:rPr>
        <w:t>T</w:t>
      </w:r>
      <w:r w:rsidR="004D5BD8">
        <w:rPr>
          <w:rFonts w:ascii="Times New Roman" w:hAnsi="Times New Roman" w:cs="Times New Roman"/>
          <w:sz w:val="22"/>
          <w:szCs w:val="22"/>
          <w:lang w:val="pt-BR"/>
        </w:rPr>
        <w:t>e</w:t>
      </w:r>
      <w:r w:rsidR="000D23CC">
        <w:rPr>
          <w:rFonts w:ascii="Times New Roman" w:hAnsi="Times New Roman" w:cs="Times New Roman"/>
          <w:sz w:val="22"/>
          <w:szCs w:val="22"/>
          <w:lang w:val="pt-BR"/>
        </w:rPr>
        <w:t xml:space="preserve">cnologias </w:t>
      </w:r>
      <w:r w:rsidR="004D5BD8">
        <w:rPr>
          <w:rFonts w:ascii="Times New Roman" w:hAnsi="Times New Roman" w:cs="Times New Roman"/>
          <w:sz w:val="22"/>
          <w:szCs w:val="22"/>
          <w:lang w:val="pt-BR"/>
        </w:rPr>
        <w:t>da informação e das comunicações</w:t>
      </w:r>
    </w:p>
    <w:p w14:paraId="67C9EE79" w14:textId="1EA74C48" w:rsidR="00E32760" w:rsidRDefault="00E32760" w:rsidP="00CB030B">
      <w:pPr>
        <w:rPr>
          <w:rFonts w:ascii="Times New Roman" w:hAnsi="Times New Roman" w:cs="Times New Roman"/>
          <w:sz w:val="22"/>
          <w:szCs w:val="22"/>
          <w:lang w:val="pt-BR"/>
        </w:rPr>
      </w:pPr>
      <w:r>
        <w:rPr>
          <w:rFonts w:ascii="Times New Roman" w:hAnsi="Times New Roman" w:cs="Times New Roman"/>
          <w:sz w:val="22"/>
          <w:szCs w:val="22"/>
          <w:lang w:val="pt-BR"/>
        </w:rPr>
        <w:t>USAID</w:t>
      </w:r>
      <w:r>
        <w:rPr>
          <w:rFonts w:ascii="Times New Roman" w:hAnsi="Times New Roman" w:cs="Times New Roman"/>
          <w:sz w:val="22"/>
          <w:szCs w:val="22"/>
          <w:lang w:val="pt-BR"/>
        </w:rPr>
        <w:tab/>
      </w:r>
      <w:r>
        <w:rPr>
          <w:rFonts w:ascii="Times New Roman" w:hAnsi="Times New Roman" w:cs="Times New Roman"/>
          <w:sz w:val="22"/>
          <w:szCs w:val="22"/>
          <w:lang w:val="pt-BR"/>
        </w:rPr>
        <w:tab/>
      </w:r>
      <w:r>
        <w:rPr>
          <w:rFonts w:ascii="Times New Roman" w:hAnsi="Times New Roman" w:cs="Times New Roman"/>
          <w:sz w:val="22"/>
          <w:szCs w:val="22"/>
          <w:lang w:val="pt-BR"/>
        </w:rPr>
        <w:tab/>
        <w:t xml:space="preserve">Agência dos </w:t>
      </w:r>
      <w:r w:rsidRPr="00E32760">
        <w:rPr>
          <w:rFonts w:ascii="Times New Roman" w:hAnsi="Times New Roman" w:cs="Times New Roman"/>
          <w:sz w:val="22"/>
          <w:szCs w:val="22"/>
          <w:lang w:val="pt-BR"/>
        </w:rPr>
        <w:t>Estados Unidos</w:t>
      </w:r>
      <w:r>
        <w:rPr>
          <w:rFonts w:ascii="Times New Roman" w:hAnsi="Times New Roman" w:cs="Times New Roman"/>
          <w:sz w:val="22"/>
          <w:szCs w:val="22"/>
          <w:lang w:val="pt-BR"/>
        </w:rPr>
        <w:t xml:space="preserve"> </w:t>
      </w:r>
      <w:r w:rsidR="006620CB">
        <w:rPr>
          <w:rFonts w:ascii="Times New Roman" w:hAnsi="Times New Roman" w:cs="Times New Roman"/>
          <w:sz w:val="22"/>
          <w:szCs w:val="22"/>
          <w:lang w:val="pt-BR"/>
        </w:rPr>
        <w:t xml:space="preserve">para o </w:t>
      </w:r>
      <w:r w:rsidR="006620CB" w:rsidRPr="006620CB">
        <w:rPr>
          <w:rFonts w:ascii="Times New Roman" w:hAnsi="Times New Roman" w:cs="Times New Roman"/>
          <w:sz w:val="22"/>
          <w:szCs w:val="22"/>
          <w:lang w:val="pt-BR"/>
        </w:rPr>
        <w:t>Desenvolvimento</w:t>
      </w:r>
      <w:r w:rsidR="006620CB">
        <w:rPr>
          <w:rFonts w:ascii="Times New Roman" w:hAnsi="Times New Roman" w:cs="Times New Roman"/>
          <w:sz w:val="22"/>
          <w:szCs w:val="22"/>
          <w:lang w:val="pt-BR"/>
        </w:rPr>
        <w:t xml:space="preserve"> Internacional</w:t>
      </w:r>
    </w:p>
    <w:p w14:paraId="1D9D1C1E" w14:textId="39074AB6" w:rsidR="00213DFE" w:rsidRPr="00913ACD" w:rsidRDefault="00213DFE"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UWI</w:t>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Pr="00913ACD">
        <w:rPr>
          <w:rFonts w:ascii="Times New Roman" w:hAnsi="Times New Roman" w:cs="Times New Roman"/>
          <w:sz w:val="22"/>
          <w:szCs w:val="22"/>
          <w:lang w:val="pt-BR"/>
        </w:rPr>
        <w:tab/>
      </w:r>
      <w:r w:rsidR="003304D9" w:rsidRPr="00913ACD">
        <w:rPr>
          <w:rFonts w:ascii="Times New Roman" w:hAnsi="Times New Roman" w:cs="Times New Roman"/>
          <w:sz w:val="22"/>
          <w:szCs w:val="22"/>
          <w:lang w:val="pt-BR"/>
        </w:rPr>
        <w:t xml:space="preserve">Universidade </w:t>
      </w:r>
      <w:r w:rsidRPr="00913ACD">
        <w:rPr>
          <w:rFonts w:ascii="Times New Roman" w:hAnsi="Times New Roman" w:cs="Times New Roman"/>
          <w:sz w:val="22"/>
          <w:szCs w:val="22"/>
          <w:lang w:val="pt-BR"/>
        </w:rPr>
        <w:t>das Índias Ocidentais</w:t>
      </w:r>
    </w:p>
    <w:p w14:paraId="20D29789" w14:textId="77777777" w:rsidR="007F5574" w:rsidRDefault="007F5574" w:rsidP="00CB030B">
      <w:pPr>
        <w:rPr>
          <w:rFonts w:ascii="Times New Roman" w:hAnsi="Times New Roman" w:cs="Times New Roman"/>
          <w:b/>
          <w:bCs/>
          <w:sz w:val="22"/>
          <w:szCs w:val="22"/>
          <w:u w:val="single"/>
          <w:lang w:val="pt-BR"/>
        </w:rPr>
        <w:sectPr w:rsidR="007F5574" w:rsidSect="007F5574">
          <w:headerReference w:type="default" r:id="rId14"/>
          <w:headerReference w:type="first" r:id="rId15"/>
          <w:type w:val="oddPage"/>
          <w:pgSz w:w="11906" w:h="16838"/>
          <w:pgMar w:top="1440" w:right="1440" w:bottom="1440" w:left="1440" w:header="1298" w:footer="431" w:gutter="0"/>
          <w:pgNumType w:fmt="numberInDash" w:start="1"/>
          <w:cols w:space="708"/>
          <w:titlePg/>
          <w:docGrid w:linePitch="360"/>
        </w:sectPr>
      </w:pPr>
    </w:p>
    <w:p w14:paraId="0A09FC99" w14:textId="77777777" w:rsidR="00213DFE" w:rsidRPr="00913ACD" w:rsidRDefault="00213DFE" w:rsidP="00CB030B">
      <w:pPr>
        <w:rPr>
          <w:rFonts w:ascii="Times New Roman" w:hAnsi="Times New Roman" w:cs="Times New Roman"/>
          <w:b/>
          <w:bCs/>
          <w:sz w:val="22"/>
          <w:szCs w:val="22"/>
          <w:u w:val="single"/>
          <w:lang w:val="pt-BR"/>
        </w:rPr>
      </w:pPr>
    </w:p>
    <w:p w14:paraId="6F34B867" w14:textId="1A5BC761" w:rsidR="0074320E" w:rsidRPr="00913ACD" w:rsidRDefault="0074320E" w:rsidP="00CB030B">
      <w:pPr>
        <w:rPr>
          <w:rFonts w:ascii="Times New Roman" w:hAnsi="Times New Roman" w:cs="Times New Roman"/>
          <w:b/>
          <w:bCs/>
          <w:sz w:val="22"/>
          <w:szCs w:val="22"/>
          <w:u w:val="single"/>
          <w:lang w:val="pt-BR"/>
        </w:rPr>
      </w:pPr>
    </w:p>
    <w:p w14:paraId="1F4AC4C8" w14:textId="4704AF88" w:rsidR="0022022F" w:rsidRPr="00913ACD" w:rsidRDefault="0022022F" w:rsidP="00CB030B">
      <w:pPr>
        <w:pBdr>
          <w:bottom w:val="single" w:sz="6" w:space="1" w:color="auto"/>
        </w:pBd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VISÃO GERAL DAS LINHAS ESTRATÉGICAS</w:t>
      </w:r>
    </w:p>
    <w:p w14:paraId="7506C7FE" w14:textId="07A6CB63" w:rsidR="00901F40" w:rsidRPr="00913ACD" w:rsidRDefault="00901F40" w:rsidP="00CB030B">
      <w:pPr>
        <w:rPr>
          <w:rFonts w:ascii="Times New Roman" w:hAnsi="Times New Roman" w:cs="Times New Roman"/>
          <w:b/>
          <w:bCs/>
          <w:sz w:val="22"/>
          <w:szCs w:val="22"/>
          <w:lang w:val="pt-BR"/>
        </w:rPr>
      </w:pPr>
    </w:p>
    <w:p w14:paraId="0CB8D24B" w14:textId="77777777" w:rsidR="00901F40" w:rsidRPr="00913ACD" w:rsidRDefault="00901F40" w:rsidP="00CB030B">
      <w:pPr>
        <w:rPr>
          <w:rFonts w:ascii="Times New Roman" w:hAnsi="Times New Roman" w:cs="Times New Roman"/>
          <w:b/>
          <w:bCs/>
          <w:sz w:val="22"/>
          <w:szCs w:val="22"/>
          <w:lang w:val="pt-BR"/>
        </w:rPr>
      </w:pPr>
    </w:p>
    <w:p w14:paraId="31E79F7A" w14:textId="6BFB1553" w:rsidR="0022022F" w:rsidRPr="00913ACD" w:rsidRDefault="003B0558"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1</w:t>
      </w:r>
    </w:p>
    <w:p w14:paraId="293B4216" w14:textId="1B91B622" w:rsidR="00901F40" w:rsidRPr="00913ACD" w:rsidRDefault="008A5D55"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PROMOVER ECONOMIAS INCLUSIVAS E COMPETITIVAS</w:t>
      </w:r>
    </w:p>
    <w:p w14:paraId="197F6530" w14:textId="77777777" w:rsidR="00901F40" w:rsidRPr="00913ACD" w:rsidRDefault="00901F40" w:rsidP="00CB030B">
      <w:pPr>
        <w:rPr>
          <w:rFonts w:ascii="Times New Roman" w:hAnsi="Times New Roman" w:cs="Times New Roman"/>
          <w:b/>
          <w:bCs/>
          <w:sz w:val="22"/>
          <w:szCs w:val="22"/>
          <w:lang w:val="pt-BR"/>
        </w:rPr>
      </w:pPr>
    </w:p>
    <w:p w14:paraId="548DF005" w14:textId="77777777" w:rsidR="00901F40" w:rsidRPr="00913ACD" w:rsidRDefault="00901F40" w:rsidP="00CB030B">
      <w:pPr>
        <w:rPr>
          <w:rFonts w:ascii="Times New Roman" w:hAnsi="Times New Roman" w:cs="Times New Roman"/>
          <w:b/>
          <w:bCs/>
          <w:sz w:val="22"/>
          <w:szCs w:val="22"/>
          <w:lang w:val="pt-BR"/>
        </w:rPr>
      </w:pPr>
    </w:p>
    <w:p w14:paraId="353997FE" w14:textId="77777777" w:rsidR="00901F40" w:rsidRPr="00913ACD" w:rsidRDefault="00901F40" w:rsidP="00CB030B">
      <w:pPr>
        <w:rPr>
          <w:rFonts w:ascii="Times New Roman" w:hAnsi="Times New Roman" w:cs="Times New Roman"/>
          <w:b/>
          <w:bCs/>
          <w:sz w:val="22"/>
          <w:szCs w:val="22"/>
          <w:lang w:val="pt-BR"/>
        </w:rPr>
      </w:pPr>
    </w:p>
    <w:p w14:paraId="78059F5B" w14:textId="643DE2FB" w:rsidR="0022022F" w:rsidRPr="00913ACD" w:rsidRDefault="0022022F"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2</w:t>
      </w:r>
    </w:p>
    <w:p w14:paraId="6C1A346F" w14:textId="33640A3F" w:rsidR="000F0680" w:rsidRPr="00913ACD" w:rsidRDefault="000A3C9D"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FORTALECER A</w:t>
      </w:r>
      <w:r w:rsidR="000F0680" w:rsidRPr="00913ACD">
        <w:rPr>
          <w:rFonts w:ascii="Times New Roman" w:hAnsi="Times New Roman" w:cs="Times New Roman"/>
          <w:sz w:val="22"/>
          <w:szCs w:val="22"/>
          <w:lang w:val="pt-BR"/>
        </w:rPr>
        <w:t xml:space="preserve"> IMPLEMENTAÇÃO DOS </w:t>
      </w:r>
      <w:r w:rsidR="007427DB" w:rsidRPr="00913ACD">
        <w:rPr>
          <w:rFonts w:ascii="Times New Roman" w:hAnsi="Times New Roman" w:cs="Times New Roman"/>
          <w:sz w:val="22"/>
          <w:szCs w:val="22"/>
          <w:lang w:val="pt-BR"/>
        </w:rPr>
        <w:t>OBJETIVO</w:t>
      </w:r>
      <w:r w:rsidR="000F0680" w:rsidRPr="00913ACD">
        <w:rPr>
          <w:rFonts w:ascii="Times New Roman" w:hAnsi="Times New Roman" w:cs="Times New Roman"/>
          <w:sz w:val="22"/>
          <w:szCs w:val="22"/>
          <w:lang w:val="pt-BR"/>
        </w:rPr>
        <w:t>S DE DESENVOLVIMENTO SUSTENTÁVEL (</w:t>
      </w:r>
      <w:r w:rsidR="002A65BF" w:rsidRPr="00913ACD">
        <w:rPr>
          <w:rFonts w:ascii="Times New Roman" w:hAnsi="Times New Roman" w:cs="Times New Roman"/>
          <w:sz w:val="22"/>
          <w:szCs w:val="22"/>
          <w:lang w:val="pt-BR"/>
        </w:rPr>
        <w:t>PIDS</w:t>
      </w:r>
      <w:r w:rsidR="000F0680" w:rsidRPr="00913ACD">
        <w:rPr>
          <w:rFonts w:ascii="Times New Roman" w:hAnsi="Times New Roman" w:cs="Times New Roman"/>
          <w:sz w:val="22"/>
          <w:szCs w:val="22"/>
          <w:lang w:val="pt-BR"/>
        </w:rPr>
        <w:t>)</w:t>
      </w:r>
    </w:p>
    <w:p w14:paraId="0127506C" w14:textId="77777777" w:rsidR="00901F40" w:rsidRPr="00913ACD" w:rsidRDefault="00901F40" w:rsidP="00CB030B">
      <w:pPr>
        <w:rPr>
          <w:rFonts w:ascii="Times New Roman" w:hAnsi="Times New Roman" w:cs="Times New Roman"/>
          <w:b/>
          <w:bCs/>
          <w:sz w:val="22"/>
          <w:szCs w:val="22"/>
          <w:lang w:val="pt-BR"/>
        </w:rPr>
      </w:pPr>
    </w:p>
    <w:p w14:paraId="59E11BA7" w14:textId="77777777" w:rsidR="00901F40" w:rsidRPr="00913ACD" w:rsidRDefault="00901F40" w:rsidP="00CB030B">
      <w:pPr>
        <w:rPr>
          <w:rFonts w:ascii="Times New Roman" w:hAnsi="Times New Roman" w:cs="Times New Roman"/>
          <w:b/>
          <w:bCs/>
          <w:sz w:val="22"/>
          <w:szCs w:val="22"/>
          <w:lang w:val="pt-BR"/>
        </w:rPr>
      </w:pPr>
    </w:p>
    <w:p w14:paraId="033F4CD2" w14:textId="77777777" w:rsidR="00901F40" w:rsidRPr="00913ACD" w:rsidRDefault="00901F40" w:rsidP="00CB030B">
      <w:pPr>
        <w:rPr>
          <w:rFonts w:ascii="Times New Roman" w:hAnsi="Times New Roman" w:cs="Times New Roman"/>
          <w:b/>
          <w:bCs/>
          <w:sz w:val="22"/>
          <w:szCs w:val="22"/>
          <w:lang w:val="pt-BR"/>
        </w:rPr>
      </w:pPr>
    </w:p>
    <w:p w14:paraId="6A501AD8" w14:textId="2BEECD1B" w:rsidR="0022022F" w:rsidRPr="00913ACD" w:rsidRDefault="0022022F"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3</w:t>
      </w:r>
    </w:p>
    <w:p w14:paraId="13D07C81" w14:textId="6E642CEB" w:rsidR="00901F40" w:rsidRPr="00913ACD" w:rsidRDefault="00901F40"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PROMO</w:t>
      </w:r>
      <w:r w:rsidR="00DE7979" w:rsidRPr="00913ACD">
        <w:rPr>
          <w:rFonts w:ascii="Times New Roman" w:hAnsi="Times New Roman" w:cs="Times New Roman"/>
          <w:sz w:val="22"/>
          <w:szCs w:val="22"/>
          <w:lang w:val="pt-BR"/>
        </w:rPr>
        <w:t>VER</w:t>
      </w:r>
      <w:r w:rsidRPr="00913ACD">
        <w:rPr>
          <w:rFonts w:ascii="Times New Roman" w:hAnsi="Times New Roman" w:cs="Times New Roman"/>
          <w:sz w:val="22"/>
          <w:szCs w:val="22"/>
          <w:lang w:val="pt-BR"/>
        </w:rPr>
        <w:t xml:space="preserve"> A EDUCAÇÃO E O DESENVOLVIMENTO HUMANO NAS AMÉRICAS</w:t>
      </w:r>
    </w:p>
    <w:p w14:paraId="01D9F93D" w14:textId="77777777" w:rsidR="00901F40" w:rsidRPr="00913ACD" w:rsidRDefault="00901F40" w:rsidP="00CB030B">
      <w:pPr>
        <w:rPr>
          <w:rFonts w:ascii="Times New Roman" w:hAnsi="Times New Roman" w:cs="Times New Roman"/>
          <w:b/>
          <w:bCs/>
          <w:sz w:val="22"/>
          <w:szCs w:val="22"/>
          <w:lang w:val="pt-BR"/>
        </w:rPr>
      </w:pPr>
    </w:p>
    <w:p w14:paraId="57CF9CB3" w14:textId="77777777" w:rsidR="00901F40" w:rsidRPr="00913ACD" w:rsidRDefault="00901F40" w:rsidP="00CB030B">
      <w:pPr>
        <w:rPr>
          <w:rFonts w:ascii="Times New Roman" w:hAnsi="Times New Roman" w:cs="Times New Roman"/>
          <w:b/>
          <w:bCs/>
          <w:sz w:val="22"/>
          <w:szCs w:val="22"/>
          <w:lang w:val="pt-BR"/>
        </w:rPr>
      </w:pPr>
    </w:p>
    <w:p w14:paraId="78D4283D" w14:textId="77777777" w:rsidR="00901F40" w:rsidRPr="00913ACD" w:rsidRDefault="00901F40" w:rsidP="00CB030B">
      <w:pPr>
        <w:rPr>
          <w:rFonts w:ascii="Times New Roman" w:hAnsi="Times New Roman" w:cs="Times New Roman"/>
          <w:b/>
          <w:bCs/>
          <w:sz w:val="22"/>
          <w:szCs w:val="22"/>
          <w:lang w:val="pt-BR"/>
        </w:rPr>
      </w:pPr>
    </w:p>
    <w:p w14:paraId="0FF0A171" w14:textId="52BB5C63" w:rsidR="0022022F" w:rsidRPr="00913ACD" w:rsidRDefault="0022022F"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4</w:t>
      </w:r>
    </w:p>
    <w:p w14:paraId="19AD837F" w14:textId="33A09961" w:rsidR="00901F40" w:rsidRPr="00913ACD" w:rsidRDefault="00901F40"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PROMOVER TRABALHO DECENTE, DIGNO E PRODUTIVO PARA TODOS</w:t>
      </w:r>
    </w:p>
    <w:p w14:paraId="13402178" w14:textId="77777777" w:rsidR="00901F40" w:rsidRPr="00913ACD" w:rsidRDefault="00901F40" w:rsidP="00CB030B">
      <w:pPr>
        <w:rPr>
          <w:rFonts w:ascii="Times New Roman" w:hAnsi="Times New Roman" w:cs="Times New Roman"/>
          <w:b/>
          <w:bCs/>
          <w:sz w:val="22"/>
          <w:szCs w:val="22"/>
          <w:lang w:val="pt-BR"/>
        </w:rPr>
      </w:pPr>
    </w:p>
    <w:p w14:paraId="19BD6B01" w14:textId="77777777" w:rsidR="00901F40" w:rsidRPr="00913ACD" w:rsidRDefault="00901F40" w:rsidP="00CB030B">
      <w:pPr>
        <w:rPr>
          <w:rFonts w:ascii="Times New Roman" w:hAnsi="Times New Roman" w:cs="Times New Roman"/>
          <w:b/>
          <w:bCs/>
          <w:sz w:val="22"/>
          <w:szCs w:val="22"/>
          <w:lang w:val="pt-BR"/>
        </w:rPr>
      </w:pPr>
    </w:p>
    <w:p w14:paraId="3BE80935" w14:textId="77777777" w:rsidR="00901F40" w:rsidRPr="00913ACD" w:rsidRDefault="00901F40" w:rsidP="00CB030B">
      <w:pPr>
        <w:rPr>
          <w:rFonts w:ascii="Times New Roman" w:hAnsi="Times New Roman" w:cs="Times New Roman"/>
          <w:b/>
          <w:bCs/>
          <w:sz w:val="22"/>
          <w:szCs w:val="22"/>
          <w:lang w:val="pt-BR"/>
        </w:rPr>
      </w:pPr>
    </w:p>
    <w:p w14:paraId="32A6EF91" w14:textId="12BEC714" w:rsidR="0022022F" w:rsidRPr="00913ACD" w:rsidRDefault="0022022F"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5</w:t>
      </w:r>
    </w:p>
    <w:p w14:paraId="723A7958" w14:textId="1121E7B4" w:rsidR="00901F40" w:rsidRPr="00913ACD" w:rsidRDefault="00901F40" w:rsidP="00CB030B">
      <w:pPr>
        <w:rPr>
          <w:rFonts w:ascii="Times New Roman" w:hAnsi="Times New Roman" w:cs="Times New Roman"/>
          <w:sz w:val="22"/>
          <w:szCs w:val="22"/>
          <w:lang w:val="pt-BR"/>
        </w:rPr>
      </w:pPr>
      <w:r w:rsidRPr="00913ACD">
        <w:rPr>
          <w:rFonts w:ascii="Times New Roman" w:hAnsi="Times New Roman" w:cs="Times New Roman"/>
          <w:sz w:val="22"/>
          <w:szCs w:val="22"/>
          <w:lang w:val="pt-BR"/>
        </w:rPr>
        <w:t xml:space="preserve">PROMOVER A COOPERAÇÃO PARA O DESENVOLVIMENTO E </w:t>
      </w:r>
      <w:r w:rsidR="00F77719">
        <w:rPr>
          <w:rFonts w:ascii="Times New Roman" w:hAnsi="Times New Roman" w:cs="Times New Roman"/>
          <w:sz w:val="22"/>
          <w:szCs w:val="22"/>
          <w:lang w:val="pt-BR"/>
        </w:rPr>
        <w:t xml:space="preserve">A CRIAÇÃO DE </w:t>
      </w:r>
      <w:r w:rsidRPr="00913ACD">
        <w:rPr>
          <w:rFonts w:ascii="Times New Roman" w:hAnsi="Times New Roman" w:cs="Times New Roman"/>
          <w:sz w:val="22"/>
          <w:szCs w:val="22"/>
          <w:lang w:val="pt-BR"/>
        </w:rPr>
        <w:t>PARCERIAS</w:t>
      </w:r>
    </w:p>
    <w:p w14:paraId="0E231071" w14:textId="77777777" w:rsidR="00901F40" w:rsidRPr="00913ACD" w:rsidRDefault="00901F40" w:rsidP="00CB030B">
      <w:pPr>
        <w:rPr>
          <w:rFonts w:ascii="Times New Roman" w:hAnsi="Times New Roman" w:cs="Times New Roman"/>
          <w:b/>
          <w:bCs/>
          <w:sz w:val="22"/>
          <w:szCs w:val="22"/>
          <w:lang w:val="pt-BR"/>
        </w:rPr>
      </w:pPr>
    </w:p>
    <w:p w14:paraId="2D492B49" w14:textId="77777777" w:rsidR="00901F40" w:rsidRPr="00913ACD" w:rsidRDefault="00901F40" w:rsidP="00CB030B">
      <w:pPr>
        <w:rPr>
          <w:rFonts w:ascii="Times New Roman" w:hAnsi="Times New Roman" w:cs="Times New Roman"/>
          <w:sz w:val="22"/>
          <w:szCs w:val="22"/>
          <w:lang w:val="pt-BR"/>
        </w:rPr>
      </w:pPr>
    </w:p>
    <w:p w14:paraId="0BB7AF73" w14:textId="77777777" w:rsidR="007F5574" w:rsidRDefault="007F5574" w:rsidP="00CB030B">
      <w:pPr>
        <w:jc w:val="center"/>
        <w:rPr>
          <w:rFonts w:ascii="Times New Roman" w:hAnsi="Times New Roman" w:cs="Times New Roman"/>
          <w:sz w:val="22"/>
          <w:szCs w:val="22"/>
          <w:lang w:val="pt-BR"/>
        </w:rPr>
        <w:sectPr w:rsidR="007F5574" w:rsidSect="007F5574">
          <w:headerReference w:type="first" r:id="rId16"/>
          <w:type w:val="oddPage"/>
          <w:pgSz w:w="11906" w:h="16838"/>
          <w:pgMar w:top="1440" w:right="1440" w:bottom="1440" w:left="1440" w:header="1298" w:footer="431" w:gutter="0"/>
          <w:pgNumType w:fmt="numberInDash"/>
          <w:cols w:space="708"/>
          <w:titlePg/>
          <w:docGrid w:linePitch="360"/>
        </w:sectPr>
      </w:pPr>
    </w:p>
    <w:p w14:paraId="0A3E60D5" w14:textId="480EDA4D" w:rsidR="0074320E" w:rsidRPr="00913ACD" w:rsidRDefault="0074320E" w:rsidP="00CB030B">
      <w:pPr>
        <w:jc w:val="center"/>
        <w:rPr>
          <w:rFonts w:ascii="Times New Roman" w:hAnsi="Times New Roman" w:cs="Times New Roman"/>
          <w:sz w:val="22"/>
          <w:szCs w:val="22"/>
          <w:lang w:val="pt-BR"/>
        </w:rPr>
      </w:pPr>
      <w:r w:rsidRPr="00913ACD">
        <w:rPr>
          <w:rFonts w:ascii="Times New Roman" w:hAnsi="Times New Roman" w:cs="Times New Roman"/>
          <w:sz w:val="22"/>
          <w:szCs w:val="22"/>
          <w:lang w:val="pt-BR"/>
        </w:rPr>
        <w:t>RELATÓRIO ANUAL D</w:t>
      </w:r>
      <w:r w:rsidR="00624FC3" w:rsidRPr="00913ACD">
        <w:rPr>
          <w:rFonts w:ascii="Times New Roman" w:hAnsi="Times New Roman" w:cs="Times New Roman"/>
          <w:sz w:val="22"/>
          <w:szCs w:val="22"/>
          <w:lang w:val="pt-BR"/>
        </w:rPr>
        <w:t>A</w:t>
      </w:r>
    </w:p>
    <w:p w14:paraId="1615780A" w14:textId="77777777" w:rsidR="0074320E" w:rsidRPr="00913ACD" w:rsidRDefault="0074320E" w:rsidP="00CB030B">
      <w:pPr>
        <w:jc w:val="center"/>
        <w:rPr>
          <w:rFonts w:ascii="Times New Roman" w:hAnsi="Times New Roman" w:cs="Times New Roman"/>
          <w:sz w:val="22"/>
          <w:szCs w:val="22"/>
          <w:lang w:val="pt-BR"/>
        </w:rPr>
      </w:pPr>
      <w:r w:rsidRPr="00913ACD">
        <w:rPr>
          <w:rFonts w:ascii="Times New Roman" w:hAnsi="Times New Roman" w:cs="Times New Roman"/>
          <w:sz w:val="22"/>
          <w:szCs w:val="22"/>
          <w:lang w:val="pt-BR"/>
        </w:rPr>
        <w:t>SECRETARIA EXECUTIVA DE DESENVOLVIMENTO INTEGRAL (SEDI)</w:t>
      </w:r>
    </w:p>
    <w:p w14:paraId="50AAD500" w14:textId="77777777" w:rsidR="0074320E" w:rsidRPr="00913ACD" w:rsidRDefault="0074320E" w:rsidP="00CB030B">
      <w:pPr>
        <w:jc w:val="center"/>
        <w:rPr>
          <w:rFonts w:ascii="Times New Roman" w:hAnsi="Times New Roman" w:cs="Times New Roman"/>
          <w:sz w:val="22"/>
          <w:szCs w:val="22"/>
          <w:lang w:val="pt-BR"/>
        </w:rPr>
      </w:pPr>
      <w:r w:rsidRPr="00913ACD">
        <w:rPr>
          <w:rFonts w:ascii="Times New Roman" w:hAnsi="Times New Roman" w:cs="Times New Roman"/>
          <w:sz w:val="22"/>
          <w:szCs w:val="22"/>
          <w:lang w:val="pt-BR"/>
        </w:rPr>
        <w:t>AO CONSELHO INTERAMERICANO DE DESENVOLVIMENTO INTEGRAL (CIDI)</w:t>
      </w:r>
    </w:p>
    <w:p w14:paraId="44BA31C6" w14:textId="77777777" w:rsidR="0074320E" w:rsidRPr="00913ACD" w:rsidRDefault="0074320E" w:rsidP="00CB030B">
      <w:pPr>
        <w:rPr>
          <w:rFonts w:ascii="Times New Roman" w:hAnsi="Times New Roman" w:cs="Times New Roman"/>
          <w:sz w:val="22"/>
          <w:szCs w:val="22"/>
          <w:lang w:val="pt-BR"/>
        </w:rPr>
      </w:pPr>
    </w:p>
    <w:p w14:paraId="36144B6D" w14:textId="11EFB6C4" w:rsidR="0074320E" w:rsidRPr="00913ACD" w:rsidRDefault="0074320E" w:rsidP="00CB030B">
      <w:pPr>
        <w:jc w:val="center"/>
        <w:rPr>
          <w:rFonts w:ascii="Times New Roman" w:hAnsi="Times New Roman" w:cs="Times New Roman"/>
          <w:sz w:val="22"/>
          <w:szCs w:val="22"/>
          <w:lang w:val="pt-BR"/>
        </w:rPr>
      </w:pPr>
      <w:r w:rsidRPr="00913ACD">
        <w:rPr>
          <w:rFonts w:ascii="Times New Roman" w:hAnsi="Times New Roman" w:cs="Times New Roman"/>
          <w:sz w:val="22"/>
          <w:szCs w:val="22"/>
          <w:lang w:val="pt-BR"/>
        </w:rPr>
        <w:t>Janeiro</w:t>
      </w:r>
      <w:r w:rsidR="00624FC3" w:rsidRPr="00913ACD">
        <w:rPr>
          <w:rFonts w:ascii="Times New Roman" w:hAnsi="Times New Roman" w:cs="Times New Roman"/>
          <w:sz w:val="22"/>
          <w:szCs w:val="22"/>
          <w:lang w:val="pt-BR"/>
        </w:rPr>
        <w:t>-d</w:t>
      </w:r>
      <w:r w:rsidRPr="00913ACD">
        <w:rPr>
          <w:rFonts w:ascii="Times New Roman" w:hAnsi="Times New Roman" w:cs="Times New Roman"/>
          <w:sz w:val="22"/>
          <w:szCs w:val="22"/>
          <w:lang w:val="pt-BR"/>
        </w:rPr>
        <w:t>ezembro 2022</w:t>
      </w:r>
    </w:p>
    <w:p w14:paraId="33C0BCEC" w14:textId="77777777" w:rsidR="0074320E" w:rsidRPr="00913ACD" w:rsidRDefault="0074320E" w:rsidP="00CB030B">
      <w:pPr>
        <w:rPr>
          <w:rFonts w:ascii="Times New Roman" w:hAnsi="Times New Roman" w:cs="Times New Roman"/>
          <w:b/>
          <w:bCs/>
          <w:sz w:val="22"/>
          <w:szCs w:val="22"/>
          <w:lang w:val="pt-BR"/>
        </w:rPr>
      </w:pPr>
    </w:p>
    <w:p w14:paraId="503E89EE" w14:textId="77777777" w:rsidR="0074320E" w:rsidRPr="00913ACD" w:rsidRDefault="0074320E" w:rsidP="00CB030B">
      <w:pPr>
        <w:rPr>
          <w:rFonts w:ascii="Times New Roman" w:hAnsi="Times New Roman" w:cs="Times New Roman"/>
          <w:b/>
          <w:bCs/>
          <w:sz w:val="22"/>
          <w:szCs w:val="22"/>
          <w:lang w:val="pt-BR"/>
        </w:rPr>
      </w:pPr>
    </w:p>
    <w:p w14:paraId="76874DB5" w14:textId="21157BE3" w:rsidR="008A5D55" w:rsidRPr="00913ACD" w:rsidRDefault="008A5D55"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INTRODUÇÃO</w:t>
      </w:r>
    </w:p>
    <w:p w14:paraId="3D45D761" w14:textId="5DED8350" w:rsidR="008A5D55" w:rsidRPr="00913ACD" w:rsidRDefault="008A5D55" w:rsidP="00CB030B">
      <w:pPr>
        <w:pBdr>
          <w:bottom w:val="single" w:sz="6" w:space="1" w:color="auto"/>
        </w:pBdr>
        <w:rPr>
          <w:rFonts w:ascii="Times New Roman" w:hAnsi="Times New Roman" w:cs="Times New Roman"/>
          <w:sz w:val="22"/>
          <w:szCs w:val="22"/>
          <w:lang w:val="pt-BR"/>
        </w:rPr>
      </w:pPr>
      <w:r w:rsidRPr="00913ACD">
        <w:rPr>
          <w:rFonts w:ascii="Times New Roman" w:hAnsi="Times New Roman" w:cs="Times New Roman"/>
          <w:sz w:val="22"/>
          <w:szCs w:val="22"/>
          <w:lang w:val="pt-BR"/>
        </w:rPr>
        <w:t>VISÃO GERAL DO RELATÓRIO ANUAL DE 2022 DA SEDI</w:t>
      </w:r>
    </w:p>
    <w:p w14:paraId="674878DE" w14:textId="6AB5A4A0" w:rsidR="008A5D55" w:rsidRPr="00913ACD" w:rsidRDefault="008A5D55" w:rsidP="00CB030B">
      <w:pPr>
        <w:rPr>
          <w:rFonts w:ascii="Times New Roman" w:hAnsi="Times New Roman" w:cs="Times New Roman"/>
          <w:sz w:val="22"/>
          <w:szCs w:val="22"/>
          <w:lang w:val="pt-BR"/>
        </w:rPr>
      </w:pPr>
    </w:p>
    <w:p w14:paraId="55797E37" w14:textId="77777777" w:rsidR="0074320E" w:rsidRPr="00913ACD" w:rsidRDefault="0074320E" w:rsidP="00CB030B">
      <w:pPr>
        <w:rPr>
          <w:rFonts w:ascii="Times New Roman" w:hAnsi="Times New Roman" w:cs="Times New Roman"/>
          <w:sz w:val="22"/>
          <w:szCs w:val="22"/>
          <w:lang w:val="pt-BR"/>
        </w:rPr>
      </w:pPr>
    </w:p>
    <w:p w14:paraId="629CD874" w14:textId="07D315E1" w:rsidR="00C6516E" w:rsidRPr="00913ACD" w:rsidRDefault="00B870D5" w:rsidP="00CB030B">
      <w:pPr>
        <w:pStyle w:val="PlainText"/>
        <w:ind w:firstLine="720"/>
        <w:jc w:val="both"/>
        <w:rPr>
          <w:rFonts w:ascii="Times New Roman"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O trabalho da Secretaria Executiva de Desenvolvimento Integral da Organização dos Estados Americanos (OEA/SEDI) é orientado pelos princípios fundamentais articulados na Carta da OEA e na Carta Social das Américas. </w:t>
      </w:r>
      <w:r w:rsidR="0056503A" w:rsidRPr="00913ACD">
        <w:rPr>
          <w:rFonts w:ascii="Times New Roman" w:hAnsi="Times New Roman" w:cs="Times New Roman"/>
          <w:color w:val="000000" w:themeColor="text1"/>
          <w:sz w:val="22"/>
          <w:szCs w:val="22"/>
          <w:lang w:val="pt-BR"/>
        </w:rPr>
        <w:t>A SEDI</w:t>
      </w:r>
      <w:r w:rsidRPr="00913ACD">
        <w:rPr>
          <w:rFonts w:ascii="Times New Roman" w:hAnsi="Times New Roman" w:cs="Times New Roman"/>
          <w:color w:val="000000" w:themeColor="text1"/>
          <w:sz w:val="22"/>
          <w:szCs w:val="22"/>
          <w:lang w:val="pt-BR"/>
        </w:rPr>
        <w:t xml:space="preserve"> deriva seus mandatos da Cúpula das Américas, da Assembleia Geral da OEA e de várias reuniões setoriais em nível ministerial. </w:t>
      </w:r>
      <w:r w:rsidR="00E94596" w:rsidRPr="00913ACD">
        <w:rPr>
          <w:rFonts w:ascii="Times New Roman" w:hAnsi="Times New Roman" w:cs="Times New Roman"/>
          <w:color w:val="000000" w:themeColor="text1"/>
          <w:sz w:val="22"/>
          <w:szCs w:val="22"/>
          <w:lang w:val="pt-BR"/>
        </w:rPr>
        <w:t>P</w:t>
      </w:r>
      <w:r w:rsidRPr="00913ACD">
        <w:rPr>
          <w:rFonts w:ascii="Times New Roman" w:hAnsi="Times New Roman" w:cs="Times New Roman"/>
          <w:color w:val="000000" w:themeColor="text1"/>
          <w:sz w:val="22"/>
          <w:szCs w:val="22"/>
          <w:lang w:val="pt-BR"/>
        </w:rPr>
        <w:t xml:space="preserve">ara o trabalho da OEA/SEDI </w:t>
      </w:r>
      <w:r w:rsidR="00E94596" w:rsidRPr="00913ACD">
        <w:rPr>
          <w:rFonts w:ascii="Times New Roman" w:hAnsi="Times New Roman" w:cs="Times New Roman"/>
          <w:color w:val="000000" w:themeColor="text1"/>
          <w:sz w:val="22"/>
          <w:szCs w:val="22"/>
          <w:lang w:val="pt-BR"/>
        </w:rPr>
        <w:t xml:space="preserve">são fundamentais </w:t>
      </w:r>
      <w:r w:rsidRPr="00913ACD">
        <w:rPr>
          <w:rFonts w:ascii="Times New Roman" w:hAnsi="Times New Roman" w:cs="Times New Roman"/>
          <w:color w:val="000000" w:themeColor="text1"/>
          <w:sz w:val="22"/>
          <w:szCs w:val="22"/>
          <w:lang w:val="pt-BR"/>
        </w:rPr>
        <w:t>o diálogo político e a cooperação técnica entre</w:t>
      </w:r>
      <w:r w:rsidR="00C51D8E" w:rsidRPr="00913ACD">
        <w:rPr>
          <w:rFonts w:ascii="Times New Roman" w:hAnsi="Times New Roman" w:cs="Times New Roman"/>
          <w:color w:val="000000" w:themeColor="text1"/>
          <w:sz w:val="22"/>
          <w:szCs w:val="22"/>
          <w:lang w:val="pt-BR"/>
        </w:rPr>
        <w:t xml:space="preserve"> </w:t>
      </w:r>
      <w:r w:rsidR="005F30B1" w:rsidRPr="00913ACD">
        <w:rPr>
          <w:rFonts w:ascii="Times New Roman" w:hAnsi="Times New Roman" w:cs="Times New Roman"/>
          <w:color w:val="000000" w:themeColor="text1"/>
          <w:sz w:val="22"/>
          <w:szCs w:val="22"/>
          <w:lang w:val="pt-BR"/>
        </w:rPr>
        <w:t>os Estados</w:t>
      </w:r>
      <w:r w:rsidRPr="00913ACD">
        <w:rPr>
          <w:rFonts w:ascii="Times New Roman" w:hAnsi="Times New Roman" w:cs="Times New Roman"/>
          <w:sz w:val="22"/>
          <w:szCs w:val="22"/>
          <w:lang w:val="pt-BR"/>
        </w:rPr>
        <w:t xml:space="preserve"> </w:t>
      </w:r>
      <w:r w:rsidR="00C67D84" w:rsidRPr="00913ACD">
        <w:rPr>
          <w:rFonts w:ascii="Times New Roman" w:hAnsi="Times New Roman" w:cs="Times New Roman"/>
          <w:color w:val="000000" w:themeColor="text1"/>
          <w:sz w:val="22"/>
          <w:szCs w:val="22"/>
          <w:lang w:val="pt-BR"/>
        </w:rPr>
        <w:t>membros</w:t>
      </w:r>
      <w:r w:rsidRPr="00913ACD">
        <w:rPr>
          <w:rFonts w:ascii="Times New Roman" w:hAnsi="Times New Roman" w:cs="Times New Roman"/>
          <w:color w:val="000000" w:themeColor="text1"/>
          <w:sz w:val="22"/>
          <w:szCs w:val="22"/>
          <w:lang w:val="pt-BR"/>
        </w:rPr>
        <w:t xml:space="preserve"> que </w:t>
      </w:r>
      <w:r w:rsidR="0018069D">
        <w:rPr>
          <w:rFonts w:ascii="Times New Roman" w:hAnsi="Times New Roman" w:cs="Times New Roman"/>
          <w:color w:val="000000" w:themeColor="text1"/>
          <w:sz w:val="22"/>
          <w:szCs w:val="22"/>
          <w:lang w:val="pt-BR"/>
        </w:rPr>
        <w:t xml:space="preserve">buscam </w:t>
      </w:r>
      <w:r w:rsidRPr="00913ACD">
        <w:rPr>
          <w:rFonts w:ascii="Times New Roman" w:hAnsi="Times New Roman" w:cs="Times New Roman"/>
          <w:color w:val="000000" w:themeColor="text1"/>
          <w:sz w:val="22"/>
          <w:szCs w:val="22"/>
          <w:lang w:val="pt-BR"/>
        </w:rPr>
        <w:t>o desenvolvimento socioeconômico da região. Por meio d</w:t>
      </w:r>
      <w:r w:rsidR="00951373" w:rsidRPr="00913ACD">
        <w:rPr>
          <w:rFonts w:ascii="Times New Roman" w:hAnsi="Times New Roman" w:cs="Times New Roman"/>
          <w:color w:val="000000" w:themeColor="text1"/>
          <w:sz w:val="22"/>
          <w:szCs w:val="22"/>
          <w:lang w:val="pt-BR"/>
        </w:rPr>
        <w:t>e</w:t>
      </w:r>
      <w:r w:rsidRPr="00913ACD">
        <w:rPr>
          <w:rFonts w:ascii="Times New Roman" w:hAnsi="Times New Roman" w:cs="Times New Roman"/>
          <w:color w:val="000000" w:themeColor="text1"/>
          <w:sz w:val="22"/>
          <w:szCs w:val="22"/>
          <w:lang w:val="pt-BR"/>
        </w:rPr>
        <w:t xml:space="preserve"> diálogo político de alto nível, a OEA/SEDI trabalha com</w:t>
      </w:r>
      <w:r w:rsidR="00C51D8E" w:rsidRPr="00913ACD">
        <w:rPr>
          <w:rFonts w:ascii="Times New Roman" w:hAnsi="Times New Roman" w:cs="Times New Roman"/>
          <w:color w:val="000000" w:themeColor="text1"/>
          <w:sz w:val="22"/>
          <w:szCs w:val="22"/>
          <w:lang w:val="pt-BR"/>
        </w:rPr>
        <w:t xml:space="preserve"> </w:t>
      </w:r>
      <w:r w:rsidR="005F30B1" w:rsidRPr="00913ACD">
        <w:rPr>
          <w:rFonts w:ascii="Times New Roman" w:hAnsi="Times New Roman" w:cs="Times New Roman"/>
          <w:color w:val="000000" w:themeColor="text1"/>
          <w:sz w:val="22"/>
          <w:szCs w:val="22"/>
          <w:lang w:val="pt-BR"/>
        </w:rPr>
        <w:t>os Estados</w:t>
      </w:r>
      <w:r w:rsidRPr="00913ACD">
        <w:rPr>
          <w:rFonts w:ascii="Times New Roman" w:hAnsi="Times New Roman" w:cs="Times New Roman"/>
          <w:sz w:val="22"/>
          <w:szCs w:val="22"/>
          <w:lang w:val="pt-BR"/>
        </w:rPr>
        <w:t xml:space="preserve"> </w:t>
      </w:r>
      <w:r w:rsidR="00C67D84" w:rsidRPr="00913ACD">
        <w:rPr>
          <w:rFonts w:ascii="Times New Roman" w:hAnsi="Times New Roman" w:cs="Times New Roman"/>
          <w:color w:val="000000" w:themeColor="text1"/>
          <w:sz w:val="22"/>
          <w:szCs w:val="22"/>
          <w:lang w:val="pt-BR"/>
        </w:rPr>
        <w:t>membros</w:t>
      </w:r>
      <w:r w:rsidRPr="00913ACD">
        <w:rPr>
          <w:rFonts w:ascii="Times New Roman" w:hAnsi="Times New Roman" w:cs="Times New Roman"/>
          <w:sz w:val="22"/>
          <w:szCs w:val="22"/>
          <w:lang w:val="pt-BR"/>
        </w:rPr>
        <w:t xml:space="preserve"> para</w:t>
      </w:r>
      <w:r w:rsidR="00C51D8E" w:rsidRPr="00913ACD">
        <w:rPr>
          <w:rFonts w:ascii="Times New Roman" w:hAnsi="Times New Roman" w:cs="Times New Roman"/>
          <w:sz w:val="22"/>
          <w:szCs w:val="22"/>
          <w:lang w:val="pt-BR"/>
        </w:rPr>
        <w:t xml:space="preserve"> </w:t>
      </w:r>
      <w:r w:rsidRPr="00913ACD">
        <w:rPr>
          <w:rFonts w:ascii="Times New Roman" w:hAnsi="Times New Roman" w:cs="Times New Roman"/>
          <w:color w:val="000000" w:themeColor="text1"/>
          <w:sz w:val="22"/>
          <w:szCs w:val="22"/>
          <w:lang w:val="pt-BR"/>
        </w:rPr>
        <w:t>definir políticas e prioridades consider</w:t>
      </w:r>
      <w:r w:rsidR="00C46541" w:rsidRPr="00913ACD">
        <w:rPr>
          <w:rFonts w:ascii="Times New Roman" w:hAnsi="Times New Roman" w:cs="Times New Roman"/>
          <w:color w:val="000000" w:themeColor="text1"/>
          <w:sz w:val="22"/>
          <w:szCs w:val="22"/>
          <w:lang w:val="pt-BR"/>
        </w:rPr>
        <w:t>adas</w:t>
      </w:r>
      <w:r w:rsidRPr="00913ACD">
        <w:rPr>
          <w:rFonts w:ascii="Times New Roman" w:hAnsi="Times New Roman" w:cs="Times New Roman"/>
          <w:color w:val="000000" w:themeColor="text1"/>
          <w:sz w:val="22"/>
          <w:szCs w:val="22"/>
          <w:lang w:val="pt-BR"/>
        </w:rPr>
        <w:t xml:space="preserve"> críticas para o alívio da pobreza e a eliminação da desigualdade no Hemisfério. De fato, o mandato da OEA </w:t>
      </w:r>
      <w:r w:rsidR="007800A2" w:rsidRPr="00913ACD">
        <w:rPr>
          <w:rFonts w:ascii="Times New Roman" w:hAnsi="Times New Roman" w:cs="Times New Roman"/>
          <w:color w:val="000000" w:themeColor="text1"/>
          <w:sz w:val="22"/>
          <w:szCs w:val="22"/>
          <w:lang w:val="pt-BR"/>
        </w:rPr>
        <w:t>“</w:t>
      </w:r>
      <w:r w:rsidRPr="00913ACD">
        <w:rPr>
          <w:rFonts w:ascii="Times New Roman" w:hAnsi="Times New Roman" w:cs="Times New Roman"/>
          <w:color w:val="000000" w:themeColor="text1"/>
          <w:sz w:val="22"/>
          <w:szCs w:val="22"/>
          <w:lang w:val="pt-BR"/>
        </w:rPr>
        <w:t>Mais direitos para mais pessoas</w:t>
      </w:r>
      <w:r w:rsidR="007800A2" w:rsidRPr="00913ACD">
        <w:rPr>
          <w:rFonts w:ascii="Times New Roman" w:hAnsi="Times New Roman" w:cs="Times New Roman"/>
          <w:color w:val="000000" w:themeColor="text1"/>
          <w:sz w:val="22"/>
          <w:szCs w:val="22"/>
          <w:lang w:val="pt-BR"/>
        </w:rPr>
        <w:t>”</w:t>
      </w:r>
      <w:r w:rsidRPr="00913ACD">
        <w:rPr>
          <w:rFonts w:ascii="Times New Roman" w:hAnsi="Times New Roman" w:cs="Times New Roman"/>
          <w:sz w:val="22"/>
          <w:szCs w:val="22"/>
          <w:lang w:val="pt-BR"/>
        </w:rPr>
        <w:t xml:space="preserve"> </w:t>
      </w:r>
      <w:r w:rsidRPr="00913ACD">
        <w:rPr>
          <w:rFonts w:ascii="Times New Roman" w:hAnsi="Times New Roman" w:cs="Times New Roman"/>
          <w:color w:val="000000" w:themeColor="text1"/>
          <w:sz w:val="22"/>
          <w:szCs w:val="22"/>
          <w:lang w:val="pt-BR"/>
        </w:rPr>
        <w:t xml:space="preserve">é central para o próprio </w:t>
      </w:r>
      <w:r w:rsidRPr="00913ACD">
        <w:rPr>
          <w:rFonts w:ascii="Times New Roman" w:hAnsi="Times New Roman" w:cs="Times New Roman"/>
          <w:i/>
          <w:iCs/>
          <w:color w:val="000000" w:themeColor="text1"/>
          <w:sz w:val="22"/>
          <w:szCs w:val="22"/>
          <w:lang w:val="pt-BR"/>
        </w:rPr>
        <w:t>ethos</w:t>
      </w:r>
      <w:r w:rsidRPr="00913ACD">
        <w:rPr>
          <w:rFonts w:ascii="Times New Roman" w:hAnsi="Times New Roman" w:cs="Times New Roman"/>
          <w:color w:val="000000" w:themeColor="text1"/>
          <w:sz w:val="22"/>
          <w:szCs w:val="22"/>
          <w:lang w:val="pt-BR"/>
        </w:rPr>
        <w:t xml:space="preserve"> operacional da SEDI. Os imperativos políticos são traduzidos em programas, projetos e atividades que são implementados por meio de parcerias com organizações da sociedade civil e outras instituições regionais, internacionais, públicas e privadas com objetivos comuns.</w:t>
      </w:r>
    </w:p>
    <w:p w14:paraId="57BA9A3C" w14:textId="77777777" w:rsidR="00C6516E" w:rsidRPr="00913ACD" w:rsidRDefault="00C6516E" w:rsidP="00CB030B">
      <w:pPr>
        <w:pStyle w:val="PlainText"/>
        <w:ind w:firstLine="720"/>
        <w:jc w:val="both"/>
        <w:rPr>
          <w:rFonts w:ascii="Times New Roman" w:hAnsi="Times New Roman" w:cs="Times New Roman"/>
          <w:color w:val="000000" w:themeColor="text1"/>
          <w:sz w:val="22"/>
          <w:szCs w:val="22"/>
          <w:lang w:val="pt-BR"/>
        </w:rPr>
      </w:pPr>
    </w:p>
    <w:p w14:paraId="063E0A4E" w14:textId="17435D2D" w:rsidR="00B870D5" w:rsidRPr="00913ACD" w:rsidRDefault="00B870D5" w:rsidP="00CB030B">
      <w:pPr>
        <w:pStyle w:val="PlainText"/>
        <w:ind w:firstLine="720"/>
        <w:jc w:val="both"/>
        <w:rPr>
          <w:rFonts w:ascii="Times New Roman"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O Plano Estratégico Integral da OEA, aprovado em 2016, encarregou a OEA/SEDI de objetivos específicos nas áreas de educação, competitividade, pequenas e médias empresas, trabalho, cultura, ciência e tecnologia, gestão de recursos, energia renovável e eficiência energética, turismo e desenvolvimento sustentável. As atividades nessas áreas centrais são voltadas principalmente para o desenvolvimento de capacidades humanas e </w:t>
      </w:r>
      <w:r w:rsidR="00436B33" w:rsidRPr="00913ACD">
        <w:rPr>
          <w:rFonts w:ascii="Times New Roman" w:hAnsi="Times New Roman" w:cs="Times New Roman"/>
          <w:color w:val="000000" w:themeColor="text1"/>
          <w:sz w:val="22"/>
          <w:szCs w:val="22"/>
          <w:lang w:val="pt-BR"/>
        </w:rPr>
        <w:t xml:space="preserve">o </w:t>
      </w:r>
      <w:r w:rsidRPr="00913ACD">
        <w:rPr>
          <w:rFonts w:ascii="Times New Roman" w:hAnsi="Times New Roman" w:cs="Times New Roman"/>
          <w:color w:val="000000" w:themeColor="text1"/>
          <w:sz w:val="22"/>
          <w:szCs w:val="22"/>
          <w:lang w:val="pt-BR"/>
        </w:rPr>
        <w:t xml:space="preserve">fortalecimento institucional </w:t>
      </w:r>
      <w:r w:rsidR="00F444B8">
        <w:rPr>
          <w:rFonts w:ascii="Times New Roman" w:hAnsi="Times New Roman" w:cs="Times New Roman"/>
          <w:color w:val="000000" w:themeColor="text1"/>
          <w:sz w:val="22"/>
          <w:szCs w:val="22"/>
          <w:lang w:val="pt-BR"/>
        </w:rPr>
        <w:t xml:space="preserve">com vistas a </w:t>
      </w:r>
      <w:r w:rsidRPr="00913ACD">
        <w:rPr>
          <w:rFonts w:ascii="Times New Roman" w:hAnsi="Times New Roman" w:cs="Times New Roman"/>
          <w:color w:val="000000" w:themeColor="text1"/>
          <w:sz w:val="22"/>
          <w:szCs w:val="22"/>
          <w:lang w:val="pt-BR"/>
        </w:rPr>
        <w:t>promover um forte ecossistema socioeconômico e a ampliação da governança democrática em cada</w:t>
      </w:r>
      <w:r w:rsidR="00C51D8E" w:rsidRPr="00913ACD">
        <w:rPr>
          <w:rFonts w:ascii="Times New Roman" w:hAnsi="Times New Roman" w:cs="Times New Roman"/>
          <w:color w:val="000000" w:themeColor="text1"/>
          <w:sz w:val="22"/>
          <w:szCs w:val="22"/>
          <w:lang w:val="pt-BR"/>
        </w:rPr>
        <w:t xml:space="preserve"> </w:t>
      </w:r>
      <w:r w:rsidR="00CB42A4" w:rsidRPr="00913ACD">
        <w:rPr>
          <w:rFonts w:ascii="Times New Roman" w:hAnsi="Times New Roman" w:cs="Times New Roman"/>
          <w:color w:val="000000" w:themeColor="text1"/>
          <w:sz w:val="22"/>
          <w:szCs w:val="22"/>
          <w:lang w:val="pt-BR"/>
        </w:rPr>
        <w:t>Estado membro</w:t>
      </w:r>
      <w:r w:rsidRPr="00913ACD">
        <w:rPr>
          <w:rFonts w:ascii="Times New Roman" w:hAnsi="Times New Roman" w:cs="Times New Roman"/>
          <w:color w:val="000000" w:themeColor="text1"/>
          <w:sz w:val="22"/>
          <w:szCs w:val="22"/>
          <w:lang w:val="pt-BR"/>
        </w:rPr>
        <w:t xml:space="preserve">. Além disso, a OEA/SEDI promove o desenvolvimento portuário competitivo, seguro, sustentável e inclusivo em todos os </w:t>
      </w:r>
      <w:r w:rsidR="000B5E5F" w:rsidRPr="00913ACD">
        <w:rPr>
          <w:rFonts w:ascii="Times New Roman" w:hAnsi="Times New Roman" w:cs="Times New Roman"/>
          <w:color w:val="000000" w:themeColor="text1"/>
          <w:sz w:val="22"/>
          <w:szCs w:val="22"/>
          <w:lang w:val="pt-BR"/>
        </w:rPr>
        <w:t>E</w:t>
      </w:r>
      <w:r w:rsidR="00C67D84" w:rsidRPr="00913ACD">
        <w:rPr>
          <w:rFonts w:ascii="Times New Roman" w:hAnsi="Times New Roman" w:cs="Times New Roman"/>
          <w:color w:val="000000" w:themeColor="text1"/>
          <w:sz w:val="22"/>
          <w:szCs w:val="22"/>
          <w:lang w:val="pt-BR"/>
        </w:rPr>
        <w:t xml:space="preserve">stados </w:t>
      </w:r>
      <w:r w:rsidR="007C5340" w:rsidRPr="00913ACD">
        <w:rPr>
          <w:rFonts w:ascii="Times New Roman" w:hAnsi="Times New Roman" w:cs="Times New Roman"/>
          <w:color w:val="000000" w:themeColor="text1"/>
          <w:sz w:val="22"/>
          <w:szCs w:val="22"/>
          <w:lang w:val="pt-BR"/>
        </w:rPr>
        <w:t>membros</w:t>
      </w:r>
      <w:r w:rsidR="00C67D84" w:rsidRPr="00913ACD">
        <w:rPr>
          <w:rFonts w:ascii="Times New Roman" w:hAnsi="Times New Roman" w:cs="Times New Roman"/>
          <w:color w:val="000000" w:themeColor="text1"/>
          <w:sz w:val="22"/>
          <w:szCs w:val="22"/>
          <w:lang w:val="pt-BR"/>
        </w:rPr>
        <w:t xml:space="preserve"> da OEA</w:t>
      </w:r>
      <w:r w:rsidRPr="00913ACD">
        <w:rPr>
          <w:rFonts w:ascii="Times New Roman" w:hAnsi="Times New Roman" w:cs="Times New Roman"/>
          <w:color w:val="000000" w:themeColor="text1"/>
          <w:sz w:val="22"/>
          <w:szCs w:val="22"/>
          <w:lang w:val="pt-BR"/>
        </w:rPr>
        <w:t>.</w:t>
      </w:r>
    </w:p>
    <w:p w14:paraId="7A169CB4" w14:textId="77777777" w:rsidR="008A5D55" w:rsidRPr="00913ACD" w:rsidRDefault="008A5D55" w:rsidP="00CB030B">
      <w:pPr>
        <w:ind w:firstLine="720"/>
        <w:rPr>
          <w:rFonts w:ascii="Times New Roman" w:hAnsi="Times New Roman" w:cs="Times New Roman"/>
          <w:sz w:val="22"/>
          <w:szCs w:val="22"/>
          <w:lang w:val="pt-BR"/>
        </w:rPr>
      </w:pPr>
    </w:p>
    <w:p w14:paraId="24A19BE7" w14:textId="6960EB04" w:rsidR="00B870D5" w:rsidRPr="00913ACD" w:rsidRDefault="00B870D5" w:rsidP="00CB030B">
      <w:pPr>
        <w:pStyle w:val="PlainText"/>
        <w:ind w:firstLine="720"/>
        <w:jc w:val="both"/>
        <w:rPr>
          <w:rFonts w:ascii="Times New Roman"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A estrutura organizacional da OEA/SEDI inclui o </w:t>
      </w:r>
      <w:r w:rsidR="007C5340" w:rsidRPr="00913ACD">
        <w:rPr>
          <w:rFonts w:ascii="Times New Roman" w:hAnsi="Times New Roman" w:cs="Times New Roman"/>
          <w:color w:val="000000" w:themeColor="text1"/>
          <w:sz w:val="22"/>
          <w:szCs w:val="22"/>
          <w:lang w:val="pt-BR"/>
        </w:rPr>
        <w:t xml:space="preserve">Escritório </w:t>
      </w:r>
      <w:r w:rsidRPr="00913ACD">
        <w:rPr>
          <w:rFonts w:ascii="Times New Roman" w:hAnsi="Times New Roman" w:cs="Times New Roman"/>
          <w:color w:val="000000" w:themeColor="text1"/>
          <w:sz w:val="22"/>
          <w:szCs w:val="22"/>
          <w:lang w:val="pt-BR"/>
        </w:rPr>
        <w:t xml:space="preserve">do Secretário Executivo (OES), três departamentos </w:t>
      </w:r>
      <w:r w:rsidR="00F660AF" w:rsidRPr="00913ACD">
        <w:rPr>
          <w:rFonts w:ascii="Times New Roman" w:hAnsi="Times New Roman" w:cs="Times New Roman"/>
          <w:color w:val="000000" w:themeColor="text1"/>
          <w:sz w:val="22"/>
          <w:szCs w:val="22"/>
          <w:lang w:val="pt-BR"/>
        </w:rPr>
        <w:t>(</w:t>
      </w:r>
      <w:r w:rsidRPr="00913ACD">
        <w:rPr>
          <w:rFonts w:ascii="Times New Roman" w:hAnsi="Times New Roman" w:cs="Times New Roman"/>
          <w:color w:val="000000" w:themeColor="text1"/>
          <w:sz w:val="22"/>
          <w:szCs w:val="22"/>
          <w:lang w:val="pt-BR"/>
        </w:rPr>
        <w:t>Departamento de Desenvolvimento Humano, Educação e Emprego (DHDEE); Secretaria de Desenvolvimento Econômico (DED); e a Secretaria de Desenvolvimento Sustentável (DSD)</w:t>
      </w:r>
      <w:r w:rsidR="00F660AF" w:rsidRPr="00913ACD">
        <w:rPr>
          <w:rFonts w:ascii="Times New Roman" w:hAnsi="Times New Roman" w:cs="Times New Roman"/>
          <w:color w:val="000000" w:themeColor="text1"/>
          <w:sz w:val="22"/>
          <w:szCs w:val="22"/>
          <w:lang w:val="pt-BR"/>
        </w:rPr>
        <w:t>)</w:t>
      </w:r>
      <w:r w:rsidRPr="00913ACD">
        <w:rPr>
          <w:rFonts w:ascii="Times New Roman" w:hAnsi="Times New Roman" w:cs="Times New Roman"/>
          <w:color w:val="000000" w:themeColor="text1"/>
          <w:sz w:val="22"/>
          <w:szCs w:val="22"/>
          <w:lang w:val="pt-BR"/>
        </w:rPr>
        <w:t xml:space="preserve"> e a Secretaria da Comissão Interamericana de Portos (CIP). A OAS/SEDI também trabalha em estreita colaboração com outras </w:t>
      </w:r>
      <w:r w:rsidR="008F56A7" w:rsidRPr="00913ACD">
        <w:rPr>
          <w:rFonts w:ascii="Times New Roman" w:hAnsi="Times New Roman" w:cs="Times New Roman"/>
          <w:color w:val="000000" w:themeColor="text1"/>
          <w:sz w:val="22"/>
          <w:szCs w:val="22"/>
          <w:lang w:val="pt-BR"/>
        </w:rPr>
        <w:t>s</w:t>
      </w:r>
      <w:r w:rsidRPr="00913ACD">
        <w:rPr>
          <w:rFonts w:ascii="Times New Roman" w:hAnsi="Times New Roman" w:cs="Times New Roman"/>
          <w:color w:val="000000" w:themeColor="text1"/>
          <w:sz w:val="22"/>
          <w:szCs w:val="22"/>
          <w:lang w:val="pt-BR"/>
        </w:rPr>
        <w:t>ecretarias da OEA</w:t>
      </w:r>
      <w:r w:rsidR="00921029" w:rsidRPr="00913ACD">
        <w:rPr>
          <w:rFonts w:ascii="Times New Roman" w:hAnsi="Times New Roman" w:cs="Times New Roman"/>
          <w:color w:val="000000" w:themeColor="text1"/>
          <w:sz w:val="22"/>
          <w:szCs w:val="22"/>
          <w:lang w:val="pt-BR"/>
        </w:rPr>
        <w:t xml:space="preserve"> e </w:t>
      </w:r>
      <w:r w:rsidRPr="00913ACD">
        <w:rPr>
          <w:rFonts w:ascii="Times New Roman" w:hAnsi="Times New Roman" w:cs="Times New Roman"/>
          <w:color w:val="000000" w:themeColor="text1"/>
          <w:sz w:val="22"/>
          <w:szCs w:val="22"/>
          <w:lang w:val="pt-BR"/>
        </w:rPr>
        <w:t xml:space="preserve">com afiliadas da OEA, como </w:t>
      </w:r>
      <w:r w:rsidR="007C3962" w:rsidRPr="00913ACD">
        <w:rPr>
          <w:rFonts w:ascii="Times New Roman" w:hAnsi="Times New Roman" w:cs="Times New Roman"/>
          <w:color w:val="000000" w:themeColor="text1"/>
          <w:sz w:val="22"/>
          <w:szCs w:val="22"/>
          <w:lang w:val="pt-BR"/>
        </w:rPr>
        <w:t xml:space="preserve">a Fundação para as </w:t>
      </w:r>
      <w:r w:rsidRPr="00913ACD">
        <w:rPr>
          <w:rFonts w:ascii="Times New Roman" w:hAnsi="Times New Roman" w:cs="Times New Roman"/>
          <w:color w:val="000000" w:themeColor="text1"/>
          <w:sz w:val="22"/>
          <w:szCs w:val="22"/>
          <w:lang w:val="pt-BR"/>
        </w:rPr>
        <w:t>Am</w:t>
      </w:r>
      <w:r w:rsidR="00577BD6" w:rsidRPr="00913ACD">
        <w:rPr>
          <w:rFonts w:ascii="Times New Roman" w:hAnsi="Times New Roman" w:cs="Times New Roman"/>
          <w:color w:val="000000" w:themeColor="text1"/>
          <w:sz w:val="22"/>
          <w:szCs w:val="22"/>
          <w:lang w:val="pt-BR"/>
        </w:rPr>
        <w:t>é</w:t>
      </w:r>
      <w:r w:rsidRPr="00913ACD">
        <w:rPr>
          <w:rFonts w:ascii="Times New Roman" w:hAnsi="Times New Roman" w:cs="Times New Roman"/>
          <w:color w:val="000000" w:themeColor="text1"/>
          <w:sz w:val="22"/>
          <w:szCs w:val="22"/>
          <w:lang w:val="pt-BR"/>
        </w:rPr>
        <w:t xml:space="preserve">ricas, o </w:t>
      </w:r>
      <w:r w:rsidR="00D55345" w:rsidRPr="00913ACD">
        <w:rPr>
          <w:rFonts w:ascii="Times New Roman" w:hAnsi="Times New Roman" w:cs="Times New Roman"/>
          <w:color w:val="000000" w:themeColor="text1"/>
          <w:sz w:val="22"/>
          <w:szCs w:val="22"/>
          <w:lang w:val="pt-BR"/>
        </w:rPr>
        <w:t xml:space="preserve">Fundo para Jovens Empresários </w:t>
      </w:r>
      <w:r w:rsidR="00833742" w:rsidRPr="00913ACD">
        <w:rPr>
          <w:rFonts w:ascii="Times New Roman" w:hAnsi="Times New Roman" w:cs="Times New Roman"/>
          <w:color w:val="000000" w:themeColor="text1"/>
          <w:sz w:val="22"/>
          <w:szCs w:val="22"/>
          <w:lang w:val="pt-BR"/>
        </w:rPr>
        <w:t>das Américas</w:t>
      </w:r>
      <w:r w:rsidRPr="00913ACD">
        <w:rPr>
          <w:rFonts w:ascii="Times New Roman" w:hAnsi="Times New Roman" w:cs="Times New Roman"/>
          <w:color w:val="000000" w:themeColor="text1"/>
          <w:sz w:val="22"/>
          <w:szCs w:val="22"/>
          <w:lang w:val="pt-BR"/>
        </w:rPr>
        <w:t xml:space="preserve"> (YABT) e a Fundação Pan-Americana para o Desenvolvimento (</w:t>
      </w:r>
      <w:r w:rsidR="005203F1" w:rsidRPr="00913ACD">
        <w:rPr>
          <w:rFonts w:ascii="Times New Roman" w:hAnsi="Times New Roman" w:cs="Times New Roman"/>
          <w:color w:val="000000" w:themeColor="text1"/>
          <w:sz w:val="22"/>
          <w:szCs w:val="22"/>
          <w:lang w:val="pt-BR"/>
        </w:rPr>
        <w:t>FUPAD</w:t>
      </w:r>
      <w:r w:rsidRPr="00913ACD">
        <w:rPr>
          <w:rFonts w:ascii="Times New Roman" w:hAnsi="Times New Roman" w:cs="Times New Roman"/>
          <w:color w:val="000000" w:themeColor="text1"/>
          <w:sz w:val="22"/>
          <w:szCs w:val="22"/>
          <w:lang w:val="pt-BR"/>
        </w:rPr>
        <w:t>). A SEDI também estabeleceu parcerias com outras organizações internacionais, organizações da sociedade civil, a comunidade acadêmica e o setor privado.</w:t>
      </w:r>
    </w:p>
    <w:p w14:paraId="66E6BC57" w14:textId="77777777" w:rsidR="00B870D5" w:rsidRPr="00913ACD" w:rsidRDefault="00B870D5" w:rsidP="00CB030B">
      <w:pPr>
        <w:ind w:firstLine="720"/>
        <w:jc w:val="both"/>
        <w:rPr>
          <w:rFonts w:ascii="Times New Roman" w:hAnsi="Times New Roman" w:cs="Times New Roman"/>
          <w:color w:val="000000" w:themeColor="text1"/>
          <w:sz w:val="22"/>
          <w:szCs w:val="22"/>
          <w:lang w:val="pt-BR"/>
        </w:rPr>
      </w:pPr>
    </w:p>
    <w:p w14:paraId="13AA821F" w14:textId="74534261" w:rsidR="00047D85" w:rsidRPr="00913ACD" w:rsidRDefault="00B870D5" w:rsidP="00CB030B">
      <w:pPr>
        <w:pStyle w:val="PlainText"/>
        <w:ind w:firstLine="720"/>
        <w:jc w:val="both"/>
        <w:rPr>
          <w:rFonts w:ascii="Times New Roman"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Além de funcionar como Secretaria do Conselho Interamericano de Desenvolvimento Integral (CIDI) – o principal fórum multilateral de diálogo sobre os desafios d</w:t>
      </w:r>
      <w:r w:rsidR="0033729D" w:rsidRPr="00913ACD">
        <w:rPr>
          <w:rFonts w:ascii="Times New Roman" w:hAnsi="Times New Roman" w:cs="Times New Roman"/>
          <w:color w:val="000000" w:themeColor="text1"/>
          <w:sz w:val="22"/>
          <w:szCs w:val="22"/>
          <w:lang w:val="pt-BR"/>
        </w:rPr>
        <w:t>o</w:t>
      </w:r>
      <w:r w:rsidRPr="00913ACD">
        <w:rPr>
          <w:rFonts w:ascii="Times New Roman" w:hAnsi="Times New Roman" w:cs="Times New Roman"/>
          <w:color w:val="000000" w:themeColor="text1"/>
          <w:sz w:val="22"/>
          <w:szCs w:val="22"/>
          <w:lang w:val="pt-BR"/>
        </w:rPr>
        <w:t xml:space="preserve"> desenvolvimento enfrentados pela região – a SEDI presta serviços de assessoria e assistência técnica direta aos </w:t>
      </w:r>
      <w:r w:rsidR="00C67D84" w:rsidRPr="00913ACD">
        <w:rPr>
          <w:rFonts w:ascii="Times New Roman" w:hAnsi="Times New Roman" w:cs="Times New Roman"/>
          <w:color w:val="000000" w:themeColor="text1"/>
          <w:sz w:val="22"/>
          <w:szCs w:val="22"/>
          <w:lang w:val="pt-BR"/>
        </w:rPr>
        <w:t>Estados membros</w:t>
      </w:r>
      <w:r w:rsidRPr="00913ACD">
        <w:rPr>
          <w:rFonts w:ascii="Times New Roman" w:hAnsi="Times New Roman" w:cs="Times New Roman"/>
          <w:color w:val="000000" w:themeColor="text1"/>
          <w:sz w:val="22"/>
          <w:szCs w:val="22"/>
          <w:lang w:val="pt-BR"/>
        </w:rPr>
        <w:t xml:space="preserve"> </w:t>
      </w:r>
      <w:r w:rsidR="004E6FEE">
        <w:rPr>
          <w:rFonts w:ascii="Times New Roman" w:hAnsi="Times New Roman" w:cs="Times New Roman"/>
          <w:color w:val="000000" w:themeColor="text1"/>
          <w:sz w:val="22"/>
          <w:szCs w:val="22"/>
          <w:lang w:val="pt-BR"/>
        </w:rPr>
        <w:t xml:space="preserve">em </w:t>
      </w:r>
      <w:r w:rsidRPr="00913ACD">
        <w:rPr>
          <w:rFonts w:ascii="Times New Roman" w:hAnsi="Times New Roman" w:cs="Times New Roman"/>
          <w:color w:val="000000" w:themeColor="text1"/>
          <w:sz w:val="22"/>
          <w:szCs w:val="22"/>
          <w:lang w:val="pt-BR"/>
        </w:rPr>
        <w:t xml:space="preserve">questões específicas. </w:t>
      </w:r>
      <w:r w:rsidR="00271C5E" w:rsidRPr="00913ACD">
        <w:rPr>
          <w:rFonts w:ascii="Times New Roman" w:hAnsi="Times New Roman" w:cs="Times New Roman"/>
          <w:color w:val="000000" w:themeColor="text1"/>
          <w:sz w:val="22"/>
          <w:szCs w:val="22"/>
          <w:lang w:val="pt-BR"/>
        </w:rPr>
        <w:t xml:space="preserve">Também </w:t>
      </w:r>
      <w:r w:rsidRPr="00913ACD">
        <w:rPr>
          <w:rFonts w:ascii="Times New Roman" w:hAnsi="Times New Roman" w:cs="Times New Roman"/>
          <w:color w:val="000000" w:themeColor="text1"/>
          <w:sz w:val="22"/>
          <w:szCs w:val="22"/>
          <w:lang w:val="pt-BR"/>
        </w:rPr>
        <w:t>financia, implementa e coordena projetos de desenvolvimento específicos com recursos do Fundo de Cooperação para o Desenvolvimento (</w:t>
      </w:r>
      <w:r w:rsidR="00A34C60" w:rsidRPr="00913ACD">
        <w:rPr>
          <w:rFonts w:ascii="Times New Roman" w:hAnsi="Times New Roman" w:cs="Times New Roman"/>
          <w:color w:val="000000" w:themeColor="text1"/>
          <w:sz w:val="22"/>
          <w:szCs w:val="22"/>
          <w:lang w:val="pt-BR"/>
        </w:rPr>
        <w:t>FCD</w:t>
      </w:r>
      <w:r w:rsidRPr="00913ACD">
        <w:rPr>
          <w:rFonts w:ascii="Times New Roman" w:hAnsi="Times New Roman" w:cs="Times New Roman"/>
          <w:color w:val="000000" w:themeColor="text1"/>
          <w:sz w:val="22"/>
          <w:szCs w:val="22"/>
          <w:lang w:val="pt-BR"/>
        </w:rPr>
        <w:t>) e com recursos externos</w:t>
      </w:r>
      <w:r w:rsidR="00C51D8E" w:rsidRPr="00913ACD">
        <w:rPr>
          <w:rFonts w:ascii="Times New Roman" w:hAnsi="Times New Roman" w:cs="Times New Roman"/>
          <w:color w:val="000000" w:themeColor="text1"/>
          <w:sz w:val="22"/>
          <w:szCs w:val="22"/>
          <w:lang w:val="pt-BR"/>
        </w:rPr>
        <w:t xml:space="preserve"> </w:t>
      </w:r>
      <w:r w:rsidRPr="00913ACD">
        <w:rPr>
          <w:rFonts w:ascii="Times New Roman" w:hAnsi="Times New Roman" w:cs="Times New Roman"/>
          <w:sz w:val="22"/>
          <w:szCs w:val="22"/>
          <w:lang w:val="pt-BR"/>
        </w:rPr>
        <w:t xml:space="preserve">dos </w:t>
      </w:r>
      <w:r w:rsidR="00C67D84" w:rsidRPr="00913ACD">
        <w:rPr>
          <w:rFonts w:ascii="Times New Roman" w:hAnsi="Times New Roman" w:cs="Times New Roman"/>
          <w:color w:val="000000" w:themeColor="text1"/>
          <w:sz w:val="22"/>
          <w:szCs w:val="22"/>
          <w:lang w:val="pt-BR"/>
        </w:rPr>
        <w:t>Estados membros</w:t>
      </w:r>
      <w:r w:rsidRPr="00913ACD">
        <w:rPr>
          <w:rFonts w:ascii="Times New Roman" w:hAnsi="Times New Roman" w:cs="Times New Roman"/>
          <w:sz w:val="22"/>
          <w:szCs w:val="22"/>
          <w:lang w:val="pt-BR"/>
        </w:rPr>
        <w:t>,</w:t>
      </w:r>
      <w:r w:rsidR="00C51D8E" w:rsidRPr="00913ACD">
        <w:rPr>
          <w:rFonts w:ascii="Times New Roman" w:hAnsi="Times New Roman" w:cs="Times New Roman"/>
          <w:sz w:val="22"/>
          <w:szCs w:val="22"/>
          <w:lang w:val="pt-BR"/>
        </w:rPr>
        <w:t xml:space="preserve"> </w:t>
      </w:r>
      <w:r w:rsidR="005F30B1" w:rsidRPr="00913ACD">
        <w:rPr>
          <w:rFonts w:ascii="Times New Roman" w:hAnsi="Times New Roman" w:cs="Times New Roman"/>
          <w:color w:val="000000" w:themeColor="text1"/>
          <w:sz w:val="22"/>
          <w:szCs w:val="22"/>
          <w:lang w:val="pt-BR"/>
        </w:rPr>
        <w:t>dos Estados</w:t>
      </w:r>
      <w:r w:rsidRPr="00913ACD">
        <w:rPr>
          <w:rFonts w:ascii="Times New Roman" w:hAnsi="Times New Roman" w:cs="Times New Roman"/>
          <w:sz w:val="22"/>
          <w:szCs w:val="22"/>
          <w:lang w:val="pt-BR"/>
        </w:rPr>
        <w:t xml:space="preserve"> </w:t>
      </w:r>
      <w:r w:rsidR="00C67D84" w:rsidRPr="00913ACD">
        <w:rPr>
          <w:rFonts w:ascii="Times New Roman" w:hAnsi="Times New Roman" w:cs="Times New Roman"/>
          <w:color w:val="000000" w:themeColor="text1"/>
          <w:sz w:val="22"/>
          <w:szCs w:val="22"/>
          <w:lang w:val="pt-BR"/>
        </w:rPr>
        <w:t>membros</w:t>
      </w:r>
      <w:r w:rsidRPr="00913ACD">
        <w:rPr>
          <w:rFonts w:ascii="Times New Roman" w:hAnsi="Times New Roman" w:cs="Times New Roman"/>
          <w:sz w:val="22"/>
          <w:szCs w:val="22"/>
          <w:lang w:val="pt-BR"/>
        </w:rPr>
        <w:t xml:space="preserve"> </w:t>
      </w:r>
      <w:r w:rsidRPr="00913ACD">
        <w:rPr>
          <w:rFonts w:ascii="Times New Roman" w:hAnsi="Times New Roman" w:cs="Times New Roman"/>
          <w:color w:val="000000" w:themeColor="text1"/>
          <w:sz w:val="22"/>
          <w:szCs w:val="22"/>
          <w:lang w:val="pt-BR"/>
        </w:rPr>
        <w:t>observadores</w:t>
      </w:r>
      <w:r w:rsidRPr="00913ACD">
        <w:rPr>
          <w:rFonts w:ascii="Times New Roman" w:hAnsi="Times New Roman" w:cs="Times New Roman"/>
          <w:sz w:val="22"/>
          <w:szCs w:val="22"/>
          <w:lang w:val="pt-BR"/>
        </w:rPr>
        <w:t xml:space="preserve">, </w:t>
      </w:r>
      <w:r w:rsidRPr="00913ACD">
        <w:rPr>
          <w:rFonts w:ascii="Times New Roman" w:hAnsi="Times New Roman" w:cs="Times New Roman"/>
          <w:color w:val="000000" w:themeColor="text1"/>
          <w:sz w:val="22"/>
          <w:szCs w:val="22"/>
          <w:lang w:val="pt-BR"/>
        </w:rPr>
        <w:t xml:space="preserve">dos bancos de desenvolvimento, do setor privado, da academia e de outros parceiros. O mandato central da SEDI, conforme articulado na Carta da OEA, continua </w:t>
      </w:r>
      <w:r w:rsidR="0075464B">
        <w:rPr>
          <w:rFonts w:ascii="Times New Roman" w:hAnsi="Times New Roman" w:cs="Times New Roman"/>
          <w:color w:val="000000" w:themeColor="text1"/>
          <w:sz w:val="22"/>
          <w:szCs w:val="22"/>
          <w:lang w:val="pt-BR"/>
        </w:rPr>
        <w:t xml:space="preserve">o de </w:t>
      </w:r>
      <w:r w:rsidRPr="00913ACD">
        <w:rPr>
          <w:rFonts w:ascii="Times New Roman" w:hAnsi="Times New Roman" w:cs="Times New Roman"/>
          <w:color w:val="000000" w:themeColor="text1"/>
          <w:sz w:val="22"/>
          <w:szCs w:val="22"/>
          <w:lang w:val="pt-BR"/>
        </w:rPr>
        <w:t xml:space="preserve">ser um canal eficaz para a cooperação triangular, sul-sul e horizontal. Por meio de suas redes, programas e projetos, a OEA/SEDI facilita a transferência de conhecimentos, lições aprendidas e </w:t>
      </w:r>
      <w:r w:rsidR="00350CF2" w:rsidRPr="00913ACD">
        <w:rPr>
          <w:rFonts w:ascii="Times New Roman" w:hAnsi="Times New Roman" w:cs="Times New Roman"/>
          <w:color w:val="000000" w:themeColor="text1"/>
          <w:sz w:val="22"/>
          <w:szCs w:val="22"/>
          <w:lang w:val="pt-BR"/>
        </w:rPr>
        <w:t>boas práticas</w:t>
      </w:r>
      <w:r w:rsidRPr="00913ACD">
        <w:rPr>
          <w:rFonts w:ascii="Times New Roman" w:hAnsi="Times New Roman" w:cs="Times New Roman"/>
          <w:color w:val="000000" w:themeColor="text1"/>
          <w:sz w:val="22"/>
          <w:szCs w:val="22"/>
          <w:lang w:val="pt-BR"/>
        </w:rPr>
        <w:t xml:space="preserve"> entre e </w:t>
      </w:r>
      <w:r w:rsidR="00D608F0" w:rsidRPr="00913ACD">
        <w:rPr>
          <w:rFonts w:ascii="Times New Roman" w:hAnsi="Times New Roman" w:cs="Times New Roman"/>
          <w:color w:val="000000" w:themeColor="text1"/>
          <w:sz w:val="22"/>
          <w:szCs w:val="22"/>
          <w:lang w:val="pt-BR"/>
        </w:rPr>
        <w:t>dentro d</w:t>
      </w:r>
      <w:r w:rsidRPr="00913ACD">
        <w:rPr>
          <w:rFonts w:ascii="Times New Roman" w:hAnsi="Times New Roman" w:cs="Times New Roman"/>
          <w:color w:val="000000" w:themeColor="text1"/>
          <w:sz w:val="22"/>
          <w:szCs w:val="22"/>
          <w:lang w:val="pt-BR"/>
        </w:rPr>
        <w:t xml:space="preserve">os </w:t>
      </w:r>
      <w:r w:rsidR="0045569B" w:rsidRPr="00913ACD">
        <w:rPr>
          <w:rFonts w:ascii="Times New Roman" w:hAnsi="Times New Roman" w:cs="Times New Roman"/>
          <w:color w:val="000000" w:themeColor="text1"/>
          <w:sz w:val="22"/>
          <w:szCs w:val="22"/>
          <w:lang w:val="pt-BR"/>
        </w:rPr>
        <w:t>Estados membros</w:t>
      </w:r>
      <w:r w:rsidRPr="00913ACD">
        <w:rPr>
          <w:rFonts w:ascii="Times New Roman" w:hAnsi="Times New Roman" w:cs="Times New Roman"/>
          <w:color w:val="000000" w:themeColor="text1"/>
          <w:sz w:val="22"/>
          <w:szCs w:val="22"/>
          <w:lang w:val="pt-BR"/>
        </w:rPr>
        <w:t xml:space="preserve"> à medida que lideram e gerenciam seu próprio desenvolvimento socioeconômico.</w:t>
      </w:r>
    </w:p>
    <w:p w14:paraId="5ADE01E8" w14:textId="11FC1739" w:rsidR="00047D85" w:rsidRPr="00913ACD" w:rsidRDefault="00047D85" w:rsidP="007F5574">
      <w:pPr>
        <w:pStyle w:val="PlainText"/>
        <w:jc w:val="both"/>
        <w:rPr>
          <w:rFonts w:ascii="Times New Roman" w:hAnsi="Times New Roman" w:cs="Times New Roman"/>
          <w:color w:val="000000" w:themeColor="text1"/>
          <w:sz w:val="22"/>
          <w:szCs w:val="22"/>
          <w:lang w:val="pt-BR"/>
        </w:rPr>
      </w:pPr>
    </w:p>
    <w:p w14:paraId="2B4D877D" w14:textId="123DE79F" w:rsidR="004859C2" w:rsidRPr="00913ACD" w:rsidRDefault="00047D85" w:rsidP="00CB030B">
      <w:pPr>
        <w:pStyle w:val="PlainText"/>
        <w:ind w:firstLine="720"/>
        <w:jc w:val="both"/>
        <w:rPr>
          <w:rFonts w:ascii="Times New Roman"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No entanto, a SEDI permanece profundamente consciente dos desafios </w:t>
      </w:r>
      <w:r w:rsidR="0045569B" w:rsidRPr="00913ACD">
        <w:rPr>
          <w:rFonts w:ascii="Times New Roman" w:hAnsi="Times New Roman" w:cs="Times New Roman"/>
          <w:color w:val="000000" w:themeColor="text1"/>
          <w:sz w:val="22"/>
          <w:szCs w:val="22"/>
          <w:lang w:val="pt-BR"/>
        </w:rPr>
        <w:t xml:space="preserve">enfrentados pela </w:t>
      </w:r>
      <w:r w:rsidRPr="00913ACD">
        <w:rPr>
          <w:rFonts w:ascii="Times New Roman" w:hAnsi="Times New Roman" w:cs="Times New Roman"/>
          <w:color w:val="000000" w:themeColor="text1"/>
          <w:sz w:val="22"/>
          <w:szCs w:val="22"/>
          <w:lang w:val="pt-BR"/>
        </w:rPr>
        <w:t xml:space="preserve">região. Um relatório de 2020 da Organização Internacional do Trabalho observou que, </w:t>
      </w:r>
      <w:r w:rsidR="001151E3">
        <w:rPr>
          <w:rFonts w:ascii="Times New Roman" w:hAnsi="Times New Roman" w:cs="Times New Roman"/>
          <w:color w:val="000000" w:themeColor="text1"/>
          <w:sz w:val="22"/>
          <w:szCs w:val="22"/>
          <w:lang w:val="pt-BR"/>
        </w:rPr>
        <w:t>na pandemia de</w:t>
      </w:r>
      <w:r w:rsidRPr="00913ACD">
        <w:rPr>
          <w:rFonts w:ascii="Times New Roman" w:hAnsi="Times New Roman" w:cs="Times New Roman"/>
          <w:color w:val="000000" w:themeColor="text1"/>
          <w:sz w:val="22"/>
          <w:szCs w:val="22"/>
          <w:lang w:val="pt-BR"/>
        </w:rPr>
        <w:t xml:space="preserve"> </w:t>
      </w:r>
      <w:r w:rsidR="006C602F" w:rsidRPr="00913ACD">
        <w:rPr>
          <w:rFonts w:ascii="Times New Roman" w:hAnsi="Times New Roman" w:cs="Times New Roman"/>
          <w:color w:val="000000" w:themeColor="text1"/>
          <w:sz w:val="22"/>
          <w:szCs w:val="22"/>
          <w:lang w:val="pt-BR"/>
        </w:rPr>
        <w:t>covid</w:t>
      </w:r>
      <w:r w:rsidRPr="00913ACD">
        <w:rPr>
          <w:rFonts w:ascii="Times New Roman" w:hAnsi="Times New Roman" w:cs="Times New Roman"/>
          <w:color w:val="000000" w:themeColor="text1"/>
          <w:sz w:val="22"/>
          <w:szCs w:val="22"/>
          <w:lang w:val="pt-BR"/>
        </w:rPr>
        <w:t xml:space="preserve">-19, a América Latina e o Caribe foram </w:t>
      </w:r>
      <w:r w:rsidR="007800A2" w:rsidRPr="00913ACD">
        <w:rPr>
          <w:rFonts w:ascii="Times New Roman" w:hAnsi="Times New Roman" w:cs="Times New Roman"/>
          <w:color w:val="000000" w:themeColor="text1"/>
          <w:sz w:val="22"/>
          <w:szCs w:val="22"/>
          <w:lang w:val="pt-BR"/>
        </w:rPr>
        <w:t>“</w:t>
      </w:r>
      <w:r w:rsidRPr="00913ACD">
        <w:rPr>
          <w:rFonts w:ascii="Times New Roman" w:hAnsi="Times New Roman" w:cs="Times New Roman"/>
          <w:color w:val="000000" w:themeColor="text1"/>
          <w:sz w:val="22"/>
          <w:szCs w:val="22"/>
          <w:lang w:val="pt-BR"/>
        </w:rPr>
        <w:t>a região mais afetada do mundo em termos de horas trabalhadas e renda do trabalho</w:t>
      </w:r>
      <w:r w:rsidR="007800A2" w:rsidRPr="00913ACD">
        <w:rPr>
          <w:rFonts w:ascii="Times New Roman" w:hAnsi="Times New Roman" w:cs="Times New Roman"/>
          <w:color w:val="000000" w:themeColor="text1"/>
          <w:sz w:val="22"/>
          <w:szCs w:val="22"/>
          <w:lang w:val="pt-BR"/>
        </w:rPr>
        <w:t>”</w:t>
      </w:r>
      <w:r w:rsidRPr="00913ACD">
        <w:rPr>
          <w:rFonts w:ascii="Times New Roman" w:hAnsi="Times New Roman" w:cs="Times New Roman"/>
          <w:color w:val="000000" w:themeColor="text1"/>
          <w:sz w:val="22"/>
          <w:szCs w:val="22"/>
          <w:lang w:val="pt-BR"/>
        </w:rPr>
        <w:t xml:space="preserve">. O Fundo Monetário Internacional (FMI) concluiu em um estudo semelhante que </w:t>
      </w:r>
      <w:r w:rsidR="007800A2" w:rsidRPr="00913ACD">
        <w:rPr>
          <w:rFonts w:ascii="Times New Roman" w:hAnsi="Times New Roman" w:cs="Times New Roman"/>
          <w:color w:val="000000" w:themeColor="text1"/>
          <w:sz w:val="22"/>
          <w:szCs w:val="22"/>
          <w:lang w:val="pt-BR"/>
        </w:rPr>
        <w:t>“</w:t>
      </w:r>
      <w:r w:rsidRPr="00913ACD">
        <w:rPr>
          <w:rFonts w:ascii="Times New Roman" w:hAnsi="Times New Roman" w:cs="Times New Roman"/>
          <w:color w:val="000000" w:themeColor="text1"/>
          <w:sz w:val="22"/>
          <w:szCs w:val="22"/>
          <w:lang w:val="pt-BR"/>
        </w:rPr>
        <w:t xml:space="preserve">a contração [econômica] de 7% </w:t>
      </w:r>
      <w:r w:rsidR="00D917D1" w:rsidRPr="00913ACD">
        <w:rPr>
          <w:rFonts w:ascii="Times New Roman" w:hAnsi="Times New Roman" w:cs="Times New Roman"/>
          <w:color w:val="000000" w:themeColor="text1"/>
          <w:sz w:val="22"/>
          <w:szCs w:val="22"/>
          <w:lang w:val="pt-BR"/>
        </w:rPr>
        <w:t xml:space="preserve">da região </w:t>
      </w:r>
      <w:r w:rsidRPr="00913ACD">
        <w:rPr>
          <w:rFonts w:ascii="Times New Roman" w:hAnsi="Times New Roman" w:cs="Times New Roman"/>
          <w:color w:val="000000" w:themeColor="text1"/>
          <w:sz w:val="22"/>
          <w:szCs w:val="22"/>
          <w:lang w:val="pt-BR"/>
        </w:rPr>
        <w:t>em 2020 foi a mais acentuada do mundo</w:t>
      </w:r>
      <w:r w:rsidR="007800A2" w:rsidRPr="00913ACD">
        <w:rPr>
          <w:rFonts w:ascii="Times New Roman" w:hAnsi="Times New Roman" w:cs="Times New Roman"/>
          <w:color w:val="000000" w:themeColor="text1"/>
          <w:sz w:val="22"/>
          <w:szCs w:val="22"/>
          <w:lang w:val="pt-BR"/>
        </w:rPr>
        <w:t>”</w:t>
      </w:r>
      <w:r w:rsidRPr="00913ACD">
        <w:rPr>
          <w:rFonts w:ascii="Times New Roman" w:hAnsi="Times New Roman" w:cs="Times New Roman"/>
          <w:color w:val="000000" w:themeColor="text1"/>
          <w:sz w:val="22"/>
          <w:szCs w:val="22"/>
          <w:lang w:val="pt-BR"/>
        </w:rPr>
        <w:t xml:space="preserve">. Neste contexto, em 2021, enfrentando obstáculos sem precedentes, a SEDI reformulou a sua programação existente para </w:t>
      </w:r>
      <w:r w:rsidR="007E37F5" w:rsidRPr="00913ACD">
        <w:rPr>
          <w:rFonts w:ascii="Times New Roman" w:hAnsi="Times New Roman" w:cs="Times New Roman"/>
          <w:color w:val="000000" w:themeColor="text1"/>
          <w:sz w:val="22"/>
          <w:szCs w:val="22"/>
          <w:lang w:val="pt-BR"/>
        </w:rPr>
        <w:t>atender à</w:t>
      </w:r>
      <w:r w:rsidRPr="00913ACD">
        <w:rPr>
          <w:rFonts w:ascii="Times New Roman" w:hAnsi="Times New Roman" w:cs="Times New Roman"/>
          <w:color w:val="000000" w:themeColor="text1"/>
          <w:sz w:val="22"/>
          <w:szCs w:val="22"/>
          <w:lang w:val="pt-BR"/>
        </w:rPr>
        <w:t xml:space="preserve">s necessidades emergentes dos </w:t>
      </w:r>
      <w:r w:rsidR="007E37F5" w:rsidRPr="00913ACD">
        <w:rPr>
          <w:rFonts w:ascii="Times New Roman" w:hAnsi="Times New Roman" w:cs="Times New Roman"/>
          <w:color w:val="000000" w:themeColor="text1"/>
          <w:sz w:val="22"/>
          <w:szCs w:val="22"/>
          <w:lang w:val="pt-BR"/>
        </w:rPr>
        <w:t>Estados membros</w:t>
      </w:r>
      <w:r w:rsidR="004859C2" w:rsidRPr="00913ACD">
        <w:rPr>
          <w:rFonts w:ascii="Times New Roman" w:hAnsi="Times New Roman" w:cs="Times New Roman"/>
          <w:color w:val="000000" w:themeColor="text1"/>
          <w:sz w:val="22"/>
          <w:szCs w:val="22"/>
          <w:lang w:val="pt-BR"/>
        </w:rPr>
        <w:t xml:space="preserve">. </w:t>
      </w:r>
      <w:r w:rsidR="007B2949" w:rsidRPr="00913ACD">
        <w:rPr>
          <w:rFonts w:ascii="Times New Roman" w:hAnsi="Times New Roman" w:cs="Times New Roman"/>
          <w:color w:val="000000" w:themeColor="text1"/>
          <w:sz w:val="22"/>
          <w:szCs w:val="22"/>
          <w:lang w:val="pt-BR"/>
        </w:rPr>
        <w:t>Ne</w:t>
      </w:r>
      <w:r w:rsidR="004859C2" w:rsidRPr="00913ACD">
        <w:rPr>
          <w:rFonts w:ascii="Times New Roman" w:hAnsi="Times New Roman" w:cs="Times New Roman"/>
          <w:color w:val="000000" w:themeColor="text1"/>
          <w:sz w:val="22"/>
          <w:szCs w:val="22"/>
          <w:lang w:val="pt-BR"/>
        </w:rPr>
        <w:t>s</w:t>
      </w:r>
      <w:r w:rsidR="009C5BDA">
        <w:rPr>
          <w:rFonts w:ascii="Times New Roman" w:hAnsi="Times New Roman" w:cs="Times New Roman"/>
          <w:color w:val="000000" w:themeColor="text1"/>
          <w:sz w:val="22"/>
          <w:szCs w:val="22"/>
          <w:lang w:val="pt-BR"/>
        </w:rPr>
        <w:t>s</w:t>
      </w:r>
      <w:r w:rsidR="004859C2" w:rsidRPr="00913ACD">
        <w:rPr>
          <w:rFonts w:ascii="Times New Roman" w:hAnsi="Times New Roman" w:cs="Times New Roman"/>
          <w:color w:val="000000" w:themeColor="text1"/>
          <w:sz w:val="22"/>
          <w:szCs w:val="22"/>
          <w:lang w:val="pt-BR"/>
        </w:rPr>
        <w:t>e ano, apesar d</w:t>
      </w:r>
      <w:r w:rsidR="00C329FB">
        <w:rPr>
          <w:rFonts w:ascii="Times New Roman" w:hAnsi="Times New Roman" w:cs="Times New Roman"/>
          <w:color w:val="000000" w:themeColor="text1"/>
          <w:sz w:val="22"/>
          <w:szCs w:val="22"/>
          <w:lang w:val="pt-BR"/>
        </w:rPr>
        <w:t>e su</w:t>
      </w:r>
      <w:r w:rsidR="004859C2" w:rsidRPr="00913ACD">
        <w:rPr>
          <w:rFonts w:ascii="Times New Roman" w:hAnsi="Times New Roman" w:cs="Times New Roman"/>
          <w:color w:val="000000" w:themeColor="text1"/>
          <w:sz w:val="22"/>
          <w:szCs w:val="22"/>
          <w:lang w:val="pt-BR"/>
        </w:rPr>
        <w:t xml:space="preserve">a transição cautelosa para um ambiente pós-pandemia, </w:t>
      </w:r>
      <w:r w:rsidR="00C329FB">
        <w:rPr>
          <w:rFonts w:ascii="Times New Roman" w:hAnsi="Times New Roman" w:cs="Times New Roman"/>
          <w:color w:val="000000" w:themeColor="text1"/>
          <w:sz w:val="22"/>
          <w:szCs w:val="22"/>
          <w:lang w:val="pt-BR"/>
        </w:rPr>
        <w:t xml:space="preserve">a região </w:t>
      </w:r>
      <w:r w:rsidR="004859C2" w:rsidRPr="00913ACD">
        <w:rPr>
          <w:rFonts w:ascii="Times New Roman" w:hAnsi="Times New Roman" w:cs="Times New Roman"/>
          <w:color w:val="000000" w:themeColor="text1"/>
          <w:sz w:val="22"/>
          <w:szCs w:val="22"/>
          <w:lang w:val="pt-BR"/>
        </w:rPr>
        <w:t xml:space="preserve">permaneceu vulnerável </w:t>
      </w:r>
      <w:r w:rsidR="00031545">
        <w:rPr>
          <w:rFonts w:ascii="Times New Roman" w:hAnsi="Times New Roman" w:cs="Times New Roman"/>
          <w:color w:val="000000" w:themeColor="text1"/>
          <w:sz w:val="22"/>
          <w:szCs w:val="22"/>
          <w:lang w:val="pt-BR"/>
        </w:rPr>
        <w:t>às</w:t>
      </w:r>
      <w:r w:rsidR="004859C2" w:rsidRPr="00913ACD">
        <w:rPr>
          <w:rFonts w:ascii="Times New Roman" w:hAnsi="Times New Roman" w:cs="Times New Roman"/>
          <w:color w:val="000000" w:themeColor="text1"/>
          <w:sz w:val="22"/>
          <w:szCs w:val="22"/>
          <w:lang w:val="pt-BR"/>
        </w:rPr>
        <w:t xml:space="preserve"> desafiadoras</w:t>
      </w:r>
      <w:r w:rsidR="00031545" w:rsidRPr="00031545">
        <w:rPr>
          <w:rFonts w:ascii="Times New Roman" w:hAnsi="Times New Roman" w:cs="Times New Roman"/>
          <w:color w:val="000000" w:themeColor="text1"/>
          <w:sz w:val="22"/>
          <w:szCs w:val="22"/>
          <w:lang w:val="pt-BR"/>
        </w:rPr>
        <w:t xml:space="preserve"> </w:t>
      </w:r>
      <w:r w:rsidR="00031545" w:rsidRPr="00913ACD">
        <w:rPr>
          <w:rFonts w:ascii="Times New Roman" w:hAnsi="Times New Roman" w:cs="Times New Roman"/>
          <w:color w:val="000000" w:themeColor="text1"/>
          <w:sz w:val="22"/>
          <w:szCs w:val="22"/>
          <w:lang w:val="pt-BR"/>
        </w:rPr>
        <w:t>condições globais</w:t>
      </w:r>
      <w:r w:rsidR="004859C2" w:rsidRPr="00913ACD">
        <w:rPr>
          <w:rFonts w:ascii="Times New Roman" w:hAnsi="Times New Roman" w:cs="Times New Roman"/>
          <w:color w:val="000000" w:themeColor="text1"/>
          <w:sz w:val="22"/>
          <w:szCs w:val="22"/>
          <w:lang w:val="pt-BR"/>
        </w:rPr>
        <w:t xml:space="preserve">. Um relatório do Banco Mundial de junho de 2022 projetou que o crescimento econômico da América Latina e do Caribe </w:t>
      </w:r>
      <w:r w:rsidR="007800A2" w:rsidRPr="00913ACD">
        <w:rPr>
          <w:rFonts w:ascii="Times New Roman" w:hAnsi="Times New Roman" w:cs="Times New Roman"/>
          <w:color w:val="000000" w:themeColor="text1"/>
          <w:sz w:val="22"/>
          <w:szCs w:val="22"/>
          <w:lang w:val="pt-BR"/>
        </w:rPr>
        <w:t>“</w:t>
      </w:r>
      <w:r w:rsidR="004859C2" w:rsidRPr="00913ACD">
        <w:rPr>
          <w:rFonts w:ascii="Times New Roman" w:hAnsi="Times New Roman" w:cs="Times New Roman"/>
          <w:color w:val="000000" w:themeColor="text1"/>
          <w:sz w:val="22"/>
          <w:szCs w:val="22"/>
          <w:lang w:val="pt-BR"/>
        </w:rPr>
        <w:t>desaceler</w:t>
      </w:r>
      <w:r w:rsidR="009A3065">
        <w:rPr>
          <w:rFonts w:ascii="Times New Roman" w:hAnsi="Times New Roman" w:cs="Times New Roman"/>
          <w:color w:val="000000" w:themeColor="text1"/>
          <w:sz w:val="22"/>
          <w:szCs w:val="22"/>
          <w:lang w:val="pt-BR"/>
        </w:rPr>
        <w:t>ará</w:t>
      </w:r>
      <w:r w:rsidR="004859C2" w:rsidRPr="00913ACD">
        <w:rPr>
          <w:rFonts w:ascii="Times New Roman" w:hAnsi="Times New Roman" w:cs="Times New Roman"/>
          <w:color w:val="000000" w:themeColor="text1"/>
          <w:sz w:val="22"/>
          <w:szCs w:val="22"/>
          <w:lang w:val="pt-BR"/>
        </w:rPr>
        <w:t xml:space="preserve"> acentuadamente para 2,5% em 2022, após uma recuperação pós-pandemia de 6,7% em 2021</w:t>
      </w:r>
      <w:r w:rsidR="007800A2" w:rsidRPr="00913ACD">
        <w:rPr>
          <w:rFonts w:ascii="Times New Roman" w:hAnsi="Times New Roman" w:cs="Times New Roman"/>
          <w:color w:val="000000" w:themeColor="text1"/>
          <w:sz w:val="22"/>
          <w:szCs w:val="22"/>
          <w:lang w:val="pt-BR"/>
        </w:rPr>
        <w:t>”</w:t>
      </w:r>
      <w:r w:rsidR="004859C2" w:rsidRPr="00913ACD">
        <w:rPr>
          <w:rFonts w:ascii="Times New Roman" w:hAnsi="Times New Roman" w:cs="Times New Roman"/>
          <w:color w:val="000000" w:themeColor="text1"/>
          <w:sz w:val="22"/>
          <w:szCs w:val="22"/>
          <w:lang w:val="pt-BR"/>
        </w:rPr>
        <w:t xml:space="preserve">. </w:t>
      </w:r>
    </w:p>
    <w:p w14:paraId="06A0C4D9" w14:textId="60AC5C92" w:rsidR="00BC32BD" w:rsidRPr="00913ACD" w:rsidRDefault="00BC32BD" w:rsidP="00CB030B">
      <w:pPr>
        <w:pStyle w:val="PlainText"/>
        <w:jc w:val="both"/>
        <w:rPr>
          <w:rFonts w:ascii="Times New Roman" w:hAnsi="Times New Roman" w:cs="Times New Roman"/>
          <w:color w:val="000000" w:themeColor="text1"/>
          <w:sz w:val="22"/>
          <w:szCs w:val="22"/>
          <w:lang w:val="pt-BR"/>
        </w:rPr>
      </w:pPr>
    </w:p>
    <w:p w14:paraId="6E6245A9" w14:textId="2603CB66" w:rsidR="00756B6D" w:rsidRPr="00913ACD" w:rsidRDefault="003B3FBD" w:rsidP="00CB030B">
      <w:pPr>
        <w:pStyle w:val="PlainText"/>
        <w:ind w:firstLine="720"/>
        <w:jc w:val="both"/>
        <w:rPr>
          <w:rFonts w:ascii="Times New Roman" w:eastAsia="Cambria"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Um componente significativo dos esforços de reformulação da SEDI em 2021 foi a abordagem revisada </w:t>
      </w:r>
      <w:r w:rsidR="003C3420" w:rsidRPr="00913ACD">
        <w:rPr>
          <w:rFonts w:ascii="Times New Roman" w:hAnsi="Times New Roman" w:cs="Times New Roman"/>
          <w:color w:val="000000" w:themeColor="text1"/>
          <w:sz w:val="22"/>
          <w:szCs w:val="22"/>
          <w:lang w:val="pt-BR"/>
        </w:rPr>
        <w:t>d</w:t>
      </w:r>
      <w:r w:rsidRPr="00913ACD">
        <w:rPr>
          <w:rFonts w:ascii="Times New Roman" w:hAnsi="Times New Roman" w:cs="Times New Roman"/>
          <w:color w:val="000000" w:themeColor="text1"/>
          <w:sz w:val="22"/>
          <w:szCs w:val="22"/>
          <w:lang w:val="pt-BR"/>
        </w:rPr>
        <w:t xml:space="preserve">a digitalização </w:t>
      </w:r>
      <w:r w:rsidR="00F43822" w:rsidRPr="00913ACD">
        <w:rPr>
          <w:rFonts w:ascii="Times New Roman" w:hAnsi="Times New Roman" w:cs="Times New Roman"/>
          <w:color w:val="000000" w:themeColor="text1"/>
          <w:sz w:val="22"/>
          <w:szCs w:val="22"/>
          <w:lang w:val="pt-BR"/>
        </w:rPr>
        <w:t>d</w:t>
      </w:r>
      <w:r w:rsidRPr="00913ACD">
        <w:rPr>
          <w:rFonts w:ascii="Times New Roman" w:hAnsi="Times New Roman" w:cs="Times New Roman"/>
          <w:color w:val="000000" w:themeColor="text1"/>
          <w:sz w:val="22"/>
          <w:szCs w:val="22"/>
          <w:lang w:val="pt-BR"/>
        </w:rPr>
        <w:t>o Hemisfério –</w:t>
      </w:r>
      <w:r w:rsidR="00440CE3">
        <w:rPr>
          <w:rFonts w:ascii="Times New Roman" w:hAnsi="Times New Roman" w:cs="Times New Roman"/>
          <w:color w:val="000000" w:themeColor="text1"/>
          <w:sz w:val="22"/>
          <w:szCs w:val="22"/>
          <w:lang w:val="pt-BR"/>
        </w:rPr>
        <w:t xml:space="preserve"> </w:t>
      </w:r>
      <w:r w:rsidRPr="00913ACD">
        <w:rPr>
          <w:rFonts w:ascii="Times New Roman" w:hAnsi="Times New Roman" w:cs="Times New Roman"/>
          <w:color w:val="000000" w:themeColor="text1"/>
          <w:sz w:val="22"/>
          <w:szCs w:val="22"/>
          <w:lang w:val="pt-BR"/>
        </w:rPr>
        <w:t>abordagem que foi expandida significativamente em 2022. A pandemia colocou em foco a necessidade de mai</w:t>
      </w:r>
      <w:r w:rsidR="00277098" w:rsidRPr="00913ACD">
        <w:rPr>
          <w:rFonts w:ascii="Times New Roman" w:hAnsi="Times New Roman" w:cs="Times New Roman"/>
          <w:color w:val="000000" w:themeColor="text1"/>
          <w:sz w:val="22"/>
          <w:szCs w:val="22"/>
          <w:lang w:val="pt-BR"/>
        </w:rPr>
        <w:t>s</w:t>
      </w:r>
      <w:r w:rsidRPr="00913ACD">
        <w:rPr>
          <w:rFonts w:ascii="Times New Roman" w:hAnsi="Times New Roman" w:cs="Times New Roman"/>
          <w:color w:val="000000" w:themeColor="text1"/>
          <w:sz w:val="22"/>
          <w:szCs w:val="22"/>
          <w:lang w:val="pt-BR"/>
        </w:rPr>
        <w:t xml:space="preserve"> acesso digital – o Banco Mundial observa que cerca de 170 milhões de </w:t>
      </w:r>
      <w:r w:rsidR="00277098" w:rsidRPr="00913ACD">
        <w:rPr>
          <w:rFonts w:ascii="Times New Roman" w:hAnsi="Times New Roman" w:cs="Times New Roman"/>
          <w:color w:val="000000" w:themeColor="text1"/>
          <w:sz w:val="22"/>
          <w:szCs w:val="22"/>
          <w:lang w:val="pt-BR"/>
        </w:rPr>
        <w:t xml:space="preserve">alunos </w:t>
      </w:r>
      <w:r w:rsidRPr="00913ACD">
        <w:rPr>
          <w:rFonts w:ascii="Times New Roman" w:hAnsi="Times New Roman" w:cs="Times New Roman"/>
          <w:color w:val="000000" w:themeColor="text1"/>
          <w:sz w:val="22"/>
          <w:szCs w:val="22"/>
          <w:lang w:val="pt-BR"/>
        </w:rPr>
        <w:t xml:space="preserve">na região foram afetados pelo fechamento de escolas – e a SEDI respondeu </w:t>
      </w:r>
      <w:r w:rsidR="00756B6D" w:rsidRPr="00913ACD">
        <w:rPr>
          <w:rFonts w:ascii="Times New Roman" w:hAnsi="Times New Roman" w:cs="Times New Roman"/>
          <w:color w:val="000000" w:themeColor="text1"/>
          <w:sz w:val="22"/>
          <w:szCs w:val="22"/>
          <w:lang w:val="pt-BR"/>
        </w:rPr>
        <w:t xml:space="preserve">acelerando a adoção de novas tecnologias na região e facilitando seu ajuste aos ecossistemas digitais. Essa transformação digital em curso, caracterizada por uma programação inclusiva </w:t>
      </w:r>
      <w:r w:rsidR="00CA6FBE" w:rsidRPr="00913ACD">
        <w:rPr>
          <w:rFonts w:ascii="Times New Roman" w:hAnsi="Times New Roman" w:cs="Times New Roman"/>
          <w:color w:val="000000" w:themeColor="text1"/>
          <w:sz w:val="22"/>
          <w:szCs w:val="22"/>
          <w:lang w:val="pt-BR"/>
        </w:rPr>
        <w:t xml:space="preserve">que </w:t>
      </w:r>
      <w:r w:rsidR="00756B6D" w:rsidRPr="00913ACD">
        <w:rPr>
          <w:rFonts w:ascii="Times New Roman" w:hAnsi="Times New Roman" w:cs="Times New Roman"/>
          <w:color w:val="000000" w:themeColor="text1"/>
          <w:sz w:val="22"/>
          <w:szCs w:val="22"/>
          <w:lang w:val="pt-BR"/>
        </w:rPr>
        <w:t>envolve</w:t>
      </w:r>
      <w:r w:rsidR="00CA6FBE" w:rsidRPr="00913ACD">
        <w:rPr>
          <w:rFonts w:ascii="Times New Roman" w:hAnsi="Times New Roman" w:cs="Times New Roman"/>
          <w:color w:val="000000" w:themeColor="text1"/>
          <w:sz w:val="22"/>
          <w:szCs w:val="22"/>
          <w:lang w:val="pt-BR"/>
        </w:rPr>
        <w:t xml:space="preserve"> </w:t>
      </w:r>
      <w:r w:rsidR="00756B6D" w:rsidRPr="00913ACD">
        <w:rPr>
          <w:rFonts w:ascii="Times New Roman" w:hAnsi="Times New Roman" w:cs="Times New Roman"/>
          <w:color w:val="000000" w:themeColor="text1"/>
          <w:sz w:val="22"/>
          <w:szCs w:val="22"/>
          <w:lang w:val="pt-BR"/>
        </w:rPr>
        <w:t xml:space="preserve">pequenas empresas, mulheres e populações indígenas, está levando </w:t>
      </w:r>
      <w:r w:rsidR="00B03DCD" w:rsidRPr="00913ACD">
        <w:rPr>
          <w:rFonts w:ascii="Times New Roman" w:hAnsi="Times New Roman" w:cs="Times New Roman"/>
          <w:color w:val="000000" w:themeColor="text1"/>
          <w:sz w:val="22"/>
          <w:szCs w:val="22"/>
          <w:lang w:val="pt-BR"/>
        </w:rPr>
        <w:t xml:space="preserve">os </w:t>
      </w:r>
      <w:r w:rsidR="00B03DCD" w:rsidRPr="00913ACD">
        <w:rPr>
          <w:rFonts w:ascii="Times New Roman" w:hAnsi="Times New Roman" w:cs="Times New Roman"/>
          <w:sz w:val="22"/>
          <w:szCs w:val="22"/>
          <w:lang w:val="pt-BR"/>
        </w:rPr>
        <w:t xml:space="preserve">Estados </w:t>
      </w:r>
      <w:r w:rsidR="00B03DCD" w:rsidRPr="00913ACD">
        <w:rPr>
          <w:rFonts w:ascii="Times New Roman" w:hAnsi="Times New Roman" w:cs="Times New Roman"/>
          <w:color w:val="000000" w:themeColor="text1"/>
          <w:sz w:val="22"/>
          <w:szCs w:val="22"/>
          <w:lang w:val="pt-BR"/>
        </w:rPr>
        <w:t xml:space="preserve">membros da OEA </w:t>
      </w:r>
      <w:r w:rsidR="006B0A82">
        <w:rPr>
          <w:rFonts w:ascii="Times New Roman" w:hAnsi="Times New Roman" w:cs="Times New Roman"/>
          <w:color w:val="000000" w:themeColor="text1"/>
          <w:sz w:val="22"/>
          <w:szCs w:val="22"/>
          <w:lang w:val="pt-BR"/>
        </w:rPr>
        <w:t xml:space="preserve">rumo </w:t>
      </w:r>
      <w:r w:rsidR="00756B6D" w:rsidRPr="00913ACD">
        <w:rPr>
          <w:rFonts w:ascii="Times New Roman" w:hAnsi="Times New Roman" w:cs="Times New Roman"/>
          <w:color w:val="000000" w:themeColor="text1"/>
          <w:sz w:val="22"/>
          <w:szCs w:val="22"/>
          <w:lang w:val="pt-BR"/>
        </w:rPr>
        <w:t xml:space="preserve">a economias mais competitivas e resilientes. Além disso, exercícios de capacitação e parcerias importantes com instituições líderes estão </w:t>
      </w:r>
      <w:r w:rsidR="00AF11B3" w:rsidRPr="00913ACD">
        <w:rPr>
          <w:rFonts w:ascii="Times New Roman" w:hAnsi="Times New Roman" w:cs="Times New Roman"/>
          <w:color w:val="000000" w:themeColor="text1"/>
          <w:sz w:val="22"/>
          <w:szCs w:val="22"/>
          <w:lang w:val="pt-BR"/>
        </w:rPr>
        <w:t xml:space="preserve">contribuindo </w:t>
      </w:r>
      <w:r w:rsidR="00756B6D" w:rsidRPr="00913ACD">
        <w:rPr>
          <w:rFonts w:ascii="Times New Roman" w:hAnsi="Times New Roman" w:cs="Times New Roman"/>
          <w:color w:val="000000" w:themeColor="text1"/>
          <w:sz w:val="22"/>
          <w:szCs w:val="22"/>
          <w:lang w:val="pt-BR"/>
        </w:rPr>
        <w:t xml:space="preserve">para </w:t>
      </w:r>
      <w:r w:rsidR="00AF11B3" w:rsidRPr="00913ACD">
        <w:rPr>
          <w:rFonts w:ascii="Times New Roman" w:hAnsi="Times New Roman" w:cs="Times New Roman"/>
          <w:color w:val="000000" w:themeColor="text1"/>
          <w:sz w:val="22"/>
          <w:szCs w:val="22"/>
          <w:lang w:val="pt-BR"/>
        </w:rPr>
        <w:t xml:space="preserve">a </w:t>
      </w:r>
      <w:r w:rsidR="00756B6D" w:rsidRPr="00913ACD">
        <w:rPr>
          <w:rFonts w:ascii="Times New Roman" w:hAnsi="Times New Roman" w:cs="Times New Roman"/>
          <w:color w:val="000000" w:themeColor="text1"/>
          <w:sz w:val="22"/>
          <w:szCs w:val="22"/>
          <w:lang w:val="pt-BR"/>
        </w:rPr>
        <w:t>expan</w:t>
      </w:r>
      <w:r w:rsidR="00AF11B3" w:rsidRPr="00913ACD">
        <w:rPr>
          <w:rFonts w:ascii="Times New Roman" w:hAnsi="Times New Roman" w:cs="Times New Roman"/>
          <w:color w:val="000000" w:themeColor="text1"/>
          <w:sz w:val="22"/>
          <w:szCs w:val="22"/>
          <w:lang w:val="pt-BR"/>
        </w:rPr>
        <w:t>são d</w:t>
      </w:r>
      <w:r w:rsidR="00756B6D" w:rsidRPr="00913ACD">
        <w:rPr>
          <w:rFonts w:ascii="Times New Roman" w:hAnsi="Times New Roman" w:cs="Times New Roman"/>
          <w:color w:val="000000" w:themeColor="text1"/>
          <w:sz w:val="22"/>
          <w:szCs w:val="22"/>
          <w:lang w:val="pt-BR"/>
        </w:rPr>
        <w:t xml:space="preserve">os esforços de compartilhamento de conhecimento em toda a região. Uma </w:t>
      </w:r>
      <w:r w:rsidR="0027758F">
        <w:rPr>
          <w:rFonts w:ascii="Times New Roman" w:hAnsi="Times New Roman" w:cs="Times New Roman"/>
          <w:color w:val="000000" w:themeColor="text1"/>
          <w:sz w:val="22"/>
          <w:szCs w:val="22"/>
          <w:lang w:val="pt-BR"/>
        </w:rPr>
        <w:t xml:space="preserve">distribuição </w:t>
      </w:r>
      <w:r w:rsidR="008D7B73" w:rsidRPr="00913ACD">
        <w:rPr>
          <w:rFonts w:ascii="Times New Roman" w:hAnsi="Times New Roman" w:cs="Times New Roman"/>
          <w:color w:val="000000" w:themeColor="text1"/>
          <w:sz w:val="22"/>
          <w:szCs w:val="22"/>
          <w:lang w:val="pt-BR"/>
        </w:rPr>
        <w:t xml:space="preserve">maior </w:t>
      </w:r>
      <w:r w:rsidR="00756B6D" w:rsidRPr="00913ACD">
        <w:rPr>
          <w:rFonts w:ascii="Times New Roman" w:hAnsi="Times New Roman" w:cs="Times New Roman"/>
          <w:color w:val="000000" w:themeColor="text1"/>
          <w:sz w:val="22"/>
          <w:szCs w:val="22"/>
          <w:lang w:val="pt-BR"/>
        </w:rPr>
        <w:t xml:space="preserve">de conhecimentos – em particular </w:t>
      </w:r>
      <w:r w:rsidR="003F66A6">
        <w:rPr>
          <w:rFonts w:ascii="Times New Roman" w:hAnsi="Times New Roman" w:cs="Times New Roman"/>
          <w:color w:val="000000" w:themeColor="text1"/>
          <w:sz w:val="22"/>
          <w:szCs w:val="22"/>
          <w:lang w:val="pt-BR"/>
        </w:rPr>
        <w:t xml:space="preserve">para </w:t>
      </w:r>
      <w:r w:rsidR="00756B6D" w:rsidRPr="00913ACD">
        <w:rPr>
          <w:rFonts w:ascii="Times New Roman" w:hAnsi="Times New Roman" w:cs="Times New Roman"/>
          <w:color w:val="000000" w:themeColor="text1"/>
          <w:sz w:val="22"/>
          <w:szCs w:val="22"/>
          <w:lang w:val="pt-BR"/>
        </w:rPr>
        <w:t xml:space="preserve">populações tradicionalmente </w:t>
      </w:r>
      <w:r w:rsidR="00886506" w:rsidRPr="00913ACD">
        <w:rPr>
          <w:rFonts w:ascii="Times New Roman" w:hAnsi="Times New Roman" w:cs="Times New Roman"/>
          <w:color w:val="000000" w:themeColor="text1"/>
          <w:sz w:val="22"/>
          <w:szCs w:val="22"/>
          <w:lang w:val="pt-BR"/>
        </w:rPr>
        <w:t xml:space="preserve">marginalizadas </w:t>
      </w:r>
      <w:r w:rsidR="00756B6D" w:rsidRPr="00913ACD">
        <w:rPr>
          <w:rFonts w:ascii="Times New Roman" w:hAnsi="Times New Roman" w:cs="Times New Roman"/>
          <w:color w:val="000000" w:themeColor="text1"/>
          <w:sz w:val="22"/>
          <w:szCs w:val="22"/>
          <w:lang w:val="pt-BR"/>
        </w:rPr>
        <w:t>– permite que</w:t>
      </w:r>
      <w:r w:rsidR="005F30B1" w:rsidRPr="00913ACD">
        <w:rPr>
          <w:rFonts w:ascii="Times New Roman" w:hAnsi="Times New Roman" w:cs="Times New Roman"/>
          <w:color w:val="000000" w:themeColor="text1"/>
          <w:sz w:val="22"/>
          <w:szCs w:val="22"/>
          <w:lang w:val="pt-BR"/>
        </w:rPr>
        <w:t xml:space="preserve"> os </w:t>
      </w:r>
      <w:r w:rsidR="007E37F5" w:rsidRPr="00913ACD">
        <w:rPr>
          <w:rFonts w:ascii="Times New Roman" w:hAnsi="Times New Roman" w:cs="Times New Roman"/>
          <w:color w:val="000000" w:themeColor="text1"/>
          <w:sz w:val="22"/>
          <w:szCs w:val="22"/>
          <w:lang w:val="pt-BR"/>
        </w:rPr>
        <w:t>Estados membros</w:t>
      </w:r>
      <w:r w:rsidR="00756B6D" w:rsidRPr="00913ACD">
        <w:rPr>
          <w:rFonts w:ascii="Times New Roman" w:hAnsi="Times New Roman" w:cs="Times New Roman"/>
          <w:color w:val="000000" w:themeColor="text1"/>
          <w:sz w:val="22"/>
          <w:szCs w:val="22"/>
          <w:lang w:val="pt-BR"/>
        </w:rPr>
        <w:t xml:space="preserve"> promovam de forma mais eficiente o desenvolvimento econ</w:t>
      </w:r>
      <w:r w:rsidR="003D7419" w:rsidRPr="00913ACD">
        <w:rPr>
          <w:rFonts w:ascii="Times New Roman" w:hAnsi="Times New Roman" w:cs="Times New Roman"/>
          <w:color w:val="000000" w:themeColor="text1"/>
          <w:sz w:val="22"/>
          <w:szCs w:val="22"/>
          <w:lang w:val="pt-BR"/>
        </w:rPr>
        <w:t>ô</w:t>
      </w:r>
      <w:r w:rsidR="00756B6D" w:rsidRPr="00913ACD">
        <w:rPr>
          <w:rFonts w:ascii="Times New Roman" w:hAnsi="Times New Roman" w:cs="Times New Roman"/>
          <w:color w:val="000000" w:themeColor="text1"/>
          <w:sz w:val="22"/>
          <w:szCs w:val="22"/>
          <w:lang w:val="pt-BR"/>
        </w:rPr>
        <w:t>mico sustentável e inclusivo.</w:t>
      </w:r>
      <w:r w:rsidR="00C67D84" w:rsidRPr="00913ACD">
        <w:rPr>
          <w:rFonts w:ascii="Times New Roman" w:hAnsi="Times New Roman" w:cs="Times New Roman"/>
          <w:color w:val="000000" w:themeColor="text1"/>
          <w:sz w:val="22"/>
          <w:szCs w:val="22"/>
          <w:lang w:val="pt-BR"/>
        </w:rPr>
        <w:t xml:space="preserve"> </w:t>
      </w:r>
    </w:p>
    <w:p w14:paraId="56EEE7C8" w14:textId="77777777" w:rsidR="00756B6D" w:rsidRPr="00913ACD" w:rsidRDefault="00756B6D" w:rsidP="007F5574">
      <w:pPr>
        <w:pStyle w:val="PlainText"/>
        <w:jc w:val="both"/>
        <w:rPr>
          <w:rFonts w:ascii="Times New Roman" w:hAnsi="Times New Roman" w:cs="Times New Roman"/>
          <w:color w:val="000000" w:themeColor="text1"/>
          <w:sz w:val="22"/>
          <w:szCs w:val="22"/>
          <w:lang w:val="pt-BR"/>
        </w:rPr>
      </w:pPr>
    </w:p>
    <w:p w14:paraId="5F250EA5" w14:textId="280B7FBD" w:rsidR="00BF49B3" w:rsidRPr="00913ACD" w:rsidRDefault="0067583B" w:rsidP="00CB030B">
      <w:pPr>
        <w:pStyle w:val="PlainText"/>
        <w:ind w:firstLine="720"/>
        <w:jc w:val="both"/>
        <w:rPr>
          <w:rFonts w:ascii="Times New Roman" w:hAnsi="Times New Roman" w:cs="Times New Roman"/>
          <w:bCs/>
          <w:sz w:val="22"/>
          <w:szCs w:val="22"/>
          <w:lang w:val="pt-BR"/>
        </w:rPr>
      </w:pPr>
      <w:r w:rsidRPr="00913ACD">
        <w:rPr>
          <w:rFonts w:ascii="Times New Roman" w:hAnsi="Times New Roman" w:cs="Times New Roman"/>
          <w:color w:val="000000" w:themeColor="text1"/>
          <w:sz w:val="22"/>
          <w:szCs w:val="22"/>
          <w:lang w:val="pt-BR"/>
        </w:rPr>
        <w:t>Em 2022, a SEDI trouxe um foco renovado para a resiliência ambiental, continuando a fornecer</w:t>
      </w:r>
      <w:r w:rsidRPr="00913ACD">
        <w:rPr>
          <w:rFonts w:ascii="Times New Roman" w:hAnsi="Times New Roman" w:cs="Times New Roman"/>
          <w:bCs/>
          <w:sz w:val="22"/>
          <w:szCs w:val="22"/>
          <w:lang w:val="pt-BR"/>
        </w:rPr>
        <w:t xml:space="preserve"> uma programação crítica para fortalecer a sustentabilidade dos </w:t>
      </w:r>
      <w:r w:rsidR="007E37F5" w:rsidRPr="00913ACD">
        <w:rPr>
          <w:rFonts w:ascii="Times New Roman" w:hAnsi="Times New Roman" w:cs="Times New Roman"/>
          <w:bCs/>
          <w:sz w:val="22"/>
          <w:szCs w:val="22"/>
          <w:lang w:val="pt-BR"/>
        </w:rPr>
        <w:t>Estados membros</w:t>
      </w:r>
      <w:r w:rsidRPr="00913ACD">
        <w:rPr>
          <w:rFonts w:ascii="Times New Roman" w:hAnsi="Times New Roman" w:cs="Times New Roman"/>
          <w:bCs/>
          <w:sz w:val="22"/>
          <w:szCs w:val="22"/>
          <w:lang w:val="pt-BR"/>
        </w:rPr>
        <w:t>. A ameaça iminente de desastres – relacionados ao clima ou não – contextualiza em particular</w:t>
      </w:r>
      <w:r w:rsidR="00D97875" w:rsidRPr="00D97875">
        <w:rPr>
          <w:rFonts w:ascii="Times New Roman" w:hAnsi="Times New Roman" w:cs="Times New Roman"/>
          <w:bCs/>
          <w:sz w:val="22"/>
          <w:szCs w:val="22"/>
          <w:lang w:val="pt-BR"/>
        </w:rPr>
        <w:t xml:space="preserve"> </w:t>
      </w:r>
      <w:r w:rsidR="00D97875" w:rsidRPr="00913ACD">
        <w:rPr>
          <w:rFonts w:ascii="Times New Roman" w:hAnsi="Times New Roman" w:cs="Times New Roman"/>
          <w:bCs/>
          <w:sz w:val="22"/>
          <w:szCs w:val="22"/>
          <w:lang w:val="pt-BR"/>
        </w:rPr>
        <w:t>essa área prioritária</w:t>
      </w:r>
      <w:r w:rsidRPr="00913ACD">
        <w:rPr>
          <w:rFonts w:ascii="Times New Roman" w:hAnsi="Times New Roman" w:cs="Times New Roman"/>
          <w:bCs/>
          <w:sz w:val="22"/>
          <w:szCs w:val="22"/>
          <w:lang w:val="pt-BR"/>
        </w:rPr>
        <w:t xml:space="preserve">; </w:t>
      </w:r>
      <w:r w:rsidR="00E26663" w:rsidRPr="00913ACD">
        <w:rPr>
          <w:rFonts w:ascii="Times New Roman" w:hAnsi="Times New Roman" w:cs="Times New Roman"/>
          <w:bCs/>
          <w:sz w:val="22"/>
          <w:szCs w:val="22"/>
          <w:lang w:val="pt-BR"/>
        </w:rPr>
        <w:t>o</w:t>
      </w:r>
      <w:r w:rsidRPr="00913ACD">
        <w:rPr>
          <w:rFonts w:ascii="Times New Roman" w:hAnsi="Times New Roman" w:cs="Times New Roman"/>
          <w:bCs/>
          <w:sz w:val="22"/>
          <w:szCs w:val="22"/>
          <w:lang w:val="pt-BR"/>
        </w:rPr>
        <w:t xml:space="preserve"> Banco Mundial estima que, nas duas </w:t>
      </w:r>
      <w:r w:rsidR="00FF719A" w:rsidRPr="00913ACD">
        <w:rPr>
          <w:rFonts w:ascii="Times New Roman" w:hAnsi="Times New Roman" w:cs="Times New Roman"/>
          <w:bCs/>
          <w:sz w:val="22"/>
          <w:szCs w:val="22"/>
          <w:lang w:val="pt-BR"/>
        </w:rPr>
        <w:t xml:space="preserve">últimas </w:t>
      </w:r>
      <w:r w:rsidRPr="00913ACD">
        <w:rPr>
          <w:rFonts w:ascii="Times New Roman" w:hAnsi="Times New Roman" w:cs="Times New Roman"/>
          <w:bCs/>
          <w:sz w:val="22"/>
          <w:szCs w:val="22"/>
          <w:lang w:val="pt-BR"/>
        </w:rPr>
        <w:t xml:space="preserve">décadas, a região </w:t>
      </w:r>
      <w:r w:rsidR="007800A2" w:rsidRPr="00913ACD">
        <w:rPr>
          <w:rFonts w:ascii="Times New Roman" w:hAnsi="Times New Roman" w:cs="Times New Roman"/>
          <w:bCs/>
          <w:sz w:val="22"/>
          <w:szCs w:val="22"/>
          <w:lang w:val="pt-BR"/>
        </w:rPr>
        <w:t>“</w:t>
      </w:r>
      <w:r w:rsidRPr="00913ACD">
        <w:rPr>
          <w:rFonts w:ascii="Times New Roman" w:hAnsi="Times New Roman" w:cs="Times New Roman"/>
          <w:bCs/>
          <w:sz w:val="22"/>
          <w:szCs w:val="22"/>
          <w:lang w:val="pt-BR"/>
        </w:rPr>
        <w:t>perdeu o equivalente a 1,7% do PIB de um ano devido a desastres relacionados ao clima</w:t>
      </w:r>
      <w:r w:rsidR="007800A2" w:rsidRPr="00913ACD">
        <w:rPr>
          <w:rFonts w:ascii="Times New Roman" w:hAnsi="Times New Roman" w:cs="Times New Roman"/>
          <w:bCs/>
          <w:sz w:val="22"/>
          <w:szCs w:val="22"/>
          <w:lang w:val="pt-BR"/>
        </w:rPr>
        <w:t>”</w:t>
      </w:r>
      <w:r w:rsidRPr="00913ACD">
        <w:rPr>
          <w:rFonts w:ascii="Times New Roman" w:hAnsi="Times New Roman" w:cs="Times New Roman"/>
          <w:bCs/>
          <w:sz w:val="22"/>
          <w:szCs w:val="22"/>
          <w:lang w:val="pt-BR"/>
        </w:rPr>
        <w:t xml:space="preserve">. Assim, projetos como </w:t>
      </w:r>
      <w:r w:rsidR="007800A2" w:rsidRPr="00913ACD">
        <w:rPr>
          <w:rFonts w:ascii="Times New Roman" w:hAnsi="Times New Roman" w:cs="Times New Roman"/>
          <w:bCs/>
          <w:sz w:val="22"/>
          <w:szCs w:val="22"/>
          <w:lang w:val="pt-BR"/>
        </w:rPr>
        <w:t>“</w:t>
      </w:r>
      <w:r w:rsidRPr="00913ACD">
        <w:rPr>
          <w:rFonts w:ascii="Times New Roman" w:hAnsi="Times New Roman" w:cs="Times New Roman"/>
          <w:bCs/>
          <w:sz w:val="22"/>
          <w:szCs w:val="22"/>
          <w:lang w:val="pt-BR"/>
        </w:rPr>
        <w:t>Construindo</w:t>
      </w:r>
      <w:r w:rsidR="00C51D8E" w:rsidRPr="00913ACD">
        <w:rPr>
          <w:rFonts w:ascii="Times New Roman" w:hAnsi="Times New Roman" w:cs="Times New Roman"/>
          <w:bCs/>
          <w:sz w:val="22"/>
          <w:szCs w:val="22"/>
          <w:lang w:val="pt-BR"/>
        </w:rPr>
        <w:t xml:space="preserve"> </w:t>
      </w:r>
      <w:r w:rsidRPr="00913ACD">
        <w:rPr>
          <w:rFonts w:ascii="Times New Roman" w:hAnsi="Times New Roman" w:cs="Times New Roman"/>
          <w:sz w:val="22"/>
          <w:szCs w:val="22"/>
          <w:lang w:val="pt-BR"/>
        </w:rPr>
        <w:t xml:space="preserve">a </w:t>
      </w:r>
      <w:r w:rsidR="00344D52" w:rsidRPr="00913ACD">
        <w:rPr>
          <w:rFonts w:ascii="Times New Roman" w:hAnsi="Times New Roman" w:cs="Times New Roman"/>
          <w:bCs/>
          <w:sz w:val="22"/>
          <w:szCs w:val="22"/>
          <w:lang w:val="pt-BR"/>
        </w:rPr>
        <w:t>resiliência de pequenas empresas de turismo no Caribe a desastres</w:t>
      </w:r>
      <w:r w:rsidR="007800A2" w:rsidRPr="00913ACD">
        <w:rPr>
          <w:rFonts w:ascii="Times New Roman" w:hAnsi="Times New Roman" w:cs="Times New Roman"/>
          <w:bCs/>
          <w:sz w:val="22"/>
          <w:szCs w:val="22"/>
          <w:lang w:val="pt-BR"/>
        </w:rPr>
        <w:t>”</w:t>
      </w:r>
      <w:r w:rsidR="00385C63" w:rsidRPr="00913ACD">
        <w:rPr>
          <w:rFonts w:ascii="Times New Roman" w:hAnsi="Times New Roman" w:cs="Times New Roman"/>
          <w:bCs/>
          <w:sz w:val="22"/>
          <w:szCs w:val="22"/>
          <w:lang w:val="pt-BR"/>
        </w:rPr>
        <w:t xml:space="preserve"> são de importância </w:t>
      </w:r>
      <w:r w:rsidR="00AA73C8">
        <w:rPr>
          <w:rFonts w:ascii="Times New Roman" w:hAnsi="Times New Roman" w:cs="Times New Roman"/>
          <w:bCs/>
          <w:sz w:val="22"/>
          <w:szCs w:val="22"/>
          <w:lang w:val="pt-BR"/>
        </w:rPr>
        <w:t>fundamental</w:t>
      </w:r>
      <w:r w:rsidR="00385C63" w:rsidRPr="00913ACD">
        <w:rPr>
          <w:rFonts w:ascii="Times New Roman" w:hAnsi="Times New Roman" w:cs="Times New Roman"/>
          <w:bCs/>
          <w:sz w:val="22"/>
          <w:szCs w:val="22"/>
          <w:lang w:val="pt-BR"/>
        </w:rPr>
        <w:t xml:space="preserve">, representando um </w:t>
      </w:r>
      <w:r w:rsidR="00C20285" w:rsidRPr="00913ACD">
        <w:rPr>
          <w:rFonts w:ascii="Times New Roman" w:hAnsi="Times New Roman" w:cs="Times New Roman"/>
          <w:bCs/>
          <w:sz w:val="22"/>
          <w:szCs w:val="22"/>
          <w:lang w:val="pt-BR"/>
        </w:rPr>
        <w:t>marco n</w:t>
      </w:r>
      <w:r w:rsidR="00F1501E" w:rsidRPr="00913ACD">
        <w:rPr>
          <w:rFonts w:ascii="Times New Roman" w:hAnsi="Times New Roman" w:cs="Times New Roman"/>
          <w:bCs/>
          <w:sz w:val="22"/>
          <w:szCs w:val="22"/>
          <w:lang w:val="pt-BR"/>
        </w:rPr>
        <w:t>a</w:t>
      </w:r>
      <w:r w:rsidR="00385C63" w:rsidRPr="00913ACD">
        <w:rPr>
          <w:rFonts w:ascii="Times New Roman" w:hAnsi="Times New Roman" w:cs="Times New Roman"/>
          <w:bCs/>
          <w:sz w:val="22"/>
          <w:szCs w:val="22"/>
          <w:lang w:val="pt-BR"/>
        </w:rPr>
        <w:t xml:space="preserve"> agenda de sustentabilidade da SEDI. </w:t>
      </w:r>
    </w:p>
    <w:p w14:paraId="3ECB128D" w14:textId="0F9386A3" w:rsidR="00344D52" w:rsidRPr="00913ACD" w:rsidRDefault="00344D52" w:rsidP="00CB030B">
      <w:pPr>
        <w:pStyle w:val="PlainText"/>
        <w:ind w:firstLine="720"/>
        <w:jc w:val="both"/>
        <w:rPr>
          <w:rFonts w:ascii="Times New Roman" w:hAnsi="Times New Roman" w:cs="Times New Roman"/>
          <w:bCs/>
          <w:i/>
          <w:iCs/>
          <w:sz w:val="22"/>
          <w:szCs w:val="22"/>
          <w:lang w:val="pt-BR"/>
        </w:rPr>
      </w:pPr>
    </w:p>
    <w:p w14:paraId="115D3CA8" w14:textId="6E43702C" w:rsidR="00B31F3D" w:rsidRPr="00913ACD" w:rsidRDefault="002F38B8" w:rsidP="00CB030B">
      <w:pPr>
        <w:pStyle w:val="PlainText"/>
        <w:ind w:firstLine="720"/>
        <w:jc w:val="both"/>
        <w:rPr>
          <w:rFonts w:ascii="Times New Roman" w:hAnsi="Times New Roman" w:cs="Times New Roman"/>
          <w:bCs/>
          <w:sz w:val="22"/>
          <w:szCs w:val="22"/>
          <w:lang w:val="pt-BR"/>
        </w:rPr>
      </w:pPr>
      <w:r w:rsidRPr="00913ACD">
        <w:rPr>
          <w:rFonts w:ascii="Times New Roman" w:hAnsi="Times New Roman" w:cs="Times New Roman"/>
          <w:bCs/>
          <w:sz w:val="22"/>
          <w:szCs w:val="22"/>
          <w:lang w:val="pt-BR"/>
        </w:rPr>
        <w:t xml:space="preserve">A </w:t>
      </w:r>
      <w:r w:rsidR="006C602F" w:rsidRPr="00913ACD">
        <w:rPr>
          <w:rFonts w:ascii="Times New Roman" w:hAnsi="Times New Roman" w:cs="Times New Roman"/>
          <w:bCs/>
          <w:sz w:val="22"/>
          <w:szCs w:val="22"/>
          <w:lang w:val="pt-BR"/>
        </w:rPr>
        <w:t>covid</w:t>
      </w:r>
      <w:r w:rsidRPr="00913ACD">
        <w:rPr>
          <w:rFonts w:ascii="Times New Roman" w:hAnsi="Times New Roman" w:cs="Times New Roman"/>
          <w:bCs/>
          <w:sz w:val="22"/>
          <w:szCs w:val="22"/>
          <w:lang w:val="pt-BR"/>
        </w:rPr>
        <w:t>-19 exacerbou as divisões pr</w:t>
      </w:r>
      <w:r w:rsidR="00F1501E" w:rsidRPr="00913ACD">
        <w:rPr>
          <w:rFonts w:ascii="Times New Roman" w:hAnsi="Times New Roman" w:cs="Times New Roman"/>
          <w:bCs/>
          <w:sz w:val="22"/>
          <w:szCs w:val="22"/>
          <w:lang w:val="pt-BR"/>
        </w:rPr>
        <w:t>e</w:t>
      </w:r>
      <w:r w:rsidRPr="00913ACD">
        <w:rPr>
          <w:rFonts w:ascii="Times New Roman" w:hAnsi="Times New Roman" w:cs="Times New Roman"/>
          <w:bCs/>
          <w:sz w:val="22"/>
          <w:szCs w:val="22"/>
          <w:lang w:val="pt-BR"/>
        </w:rPr>
        <w:t xml:space="preserve">existentes tanto no acesso à educação de qualidade quanto na disponibilidade de trabalho decente em todo o Hemisfério. A SEDI respondeu aos </w:t>
      </w:r>
      <w:r w:rsidR="007D1A84">
        <w:rPr>
          <w:rFonts w:ascii="Times New Roman" w:hAnsi="Times New Roman" w:cs="Times New Roman"/>
          <w:bCs/>
          <w:sz w:val="22"/>
          <w:szCs w:val="22"/>
          <w:lang w:val="pt-BR"/>
        </w:rPr>
        <w:t xml:space="preserve">dois </w:t>
      </w:r>
      <w:r w:rsidRPr="00913ACD">
        <w:rPr>
          <w:rFonts w:ascii="Times New Roman" w:hAnsi="Times New Roman" w:cs="Times New Roman"/>
          <w:bCs/>
          <w:sz w:val="22"/>
          <w:szCs w:val="22"/>
          <w:lang w:val="pt-BR"/>
        </w:rPr>
        <w:t xml:space="preserve">desafios fortalecendo as oportunidades de capacitação entre suas principais partes interessadas. Sua programação para 2022 (por meio de parceiros estratégicos) incluiu instituições de formação de professores, oficinas virtuais, seminários, publicações, acordos, programas de treinamento e oportunidades de bolsas de estudo como parte de uma abordagem holística para promover a educação e o desenvolvimento humano nas Américas. Para promover oportunidades de trabalho decente, digno e produtivo, as ações da SEDI no ano passado </w:t>
      </w:r>
      <w:r w:rsidR="00B31F3D" w:rsidRPr="00913ACD">
        <w:rPr>
          <w:rFonts w:ascii="Times New Roman" w:hAnsi="Times New Roman" w:cs="Times New Roman"/>
          <w:sz w:val="22"/>
          <w:szCs w:val="22"/>
          <w:lang w:val="pt-BR"/>
        </w:rPr>
        <w:t xml:space="preserve">se concentraram no aprofundamento do diálogo social entre governos, trabalhadores e empregadores e no fortalecimento das capacidades dos </w:t>
      </w:r>
      <w:r w:rsidR="00615E99" w:rsidRPr="00913ACD">
        <w:rPr>
          <w:rFonts w:ascii="Times New Roman" w:hAnsi="Times New Roman" w:cs="Times New Roman"/>
          <w:sz w:val="22"/>
          <w:szCs w:val="22"/>
          <w:lang w:val="pt-BR"/>
        </w:rPr>
        <w:t>m</w:t>
      </w:r>
      <w:r w:rsidR="00B31F3D" w:rsidRPr="00913ACD">
        <w:rPr>
          <w:rFonts w:ascii="Times New Roman" w:hAnsi="Times New Roman" w:cs="Times New Roman"/>
          <w:sz w:val="22"/>
          <w:szCs w:val="22"/>
          <w:lang w:val="pt-BR"/>
        </w:rPr>
        <w:t xml:space="preserve">inistérios do </w:t>
      </w:r>
      <w:r w:rsidR="000170B2" w:rsidRPr="00913ACD">
        <w:rPr>
          <w:rFonts w:ascii="Times New Roman" w:hAnsi="Times New Roman" w:cs="Times New Roman"/>
          <w:sz w:val="22"/>
          <w:szCs w:val="22"/>
          <w:lang w:val="pt-BR"/>
        </w:rPr>
        <w:t>t</w:t>
      </w:r>
      <w:r w:rsidR="00B31F3D" w:rsidRPr="00913ACD">
        <w:rPr>
          <w:rFonts w:ascii="Times New Roman" w:hAnsi="Times New Roman" w:cs="Times New Roman"/>
          <w:sz w:val="22"/>
          <w:szCs w:val="22"/>
          <w:lang w:val="pt-BR"/>
        </w:rPr>
        <w:t xml:space="preserve">rabalho da região. Além disso, uma série de exercícios de cooperação bilateral forneceram aos trabalhadores da economia tradicionalmente informal as habilidades necessárias para a transição para a economia formal. </w:t>
      </w:r>
    </w:p>
    <w:p w14:paraId="1575E92C" w14:textId="677F0B82" w:rsidR="00344D52" w:rsidRPr="00913ACD" w:rsidRDefault="00344D52" w:rsidP="00CB030B">
      <w:pPr>
        <w:pStyle w:val="PlainText"/>
        <w:ind w:firstLine="720"/>
        <w:jc w:val="both"/>
        <w:rPr>
          <w:rFonts w:ascii="Times New Roman" w:hAnsi="Times New Roman" w:cs="Times New Roman"/>
          <w:bCs/>
          <w:i/>
          <w:iCs/>
          <w:sz w:val="22"/>
          <w:szCs w:val="22"/>
          <w:lang w:val="pt-BR"/>
        </w:rPr>
      </w:pPr>
    </w:p>
    <w:p w14:paraId="10A62614" w14:textId="5D55F8F2" w:rsidR="00BF49B3" w:rsidRPr="00913ACD" w:rsidRDefault="00962984" w:rsidP="00CB030B">
      <w:pPr>
        <w:pStyle w:val="PlainText"/>
        <w:ind w:firstLine="720"/>
        <w:jc w:val="both"/>
        <w:rPr>
          <w:rFonts w:ascii="Times New Roman" w:hAnsi="Times New Roman" w:cs="Times New Roman"/>
          <w:bCs/>
          <w:sz w:val="22"/>
          <w:szCs w:val="22"/>
          <w:lang w:val="pt-BR"/>
        </w:rPr>
      </w:pPr>
      <w:r w:rsidRPr="00913ACD">
        <w:rPr>
          <w:rFonts w:ascii="Times New Roman" w:hAnsi="Times New Roman" w:cs="Times New Roman"/>
          <w:bCs/>
          <w:sz w:val="22"/>
          <w:szCs w:val="22"/>
          <w:lang w:val="pt-BR"/>
        </w:rPr>
        <w:t>O mandato d</w:t>
      </w:r>
      <w:r w:rsidR="002D5955">
        <w:rPr>
          <w:rFonts w:ascii="Times New Roman" w:hAnsi="Times New Roman" w:cs="Times New Roman"/>
          <w:bCs/>
          <w:sz w:val="22"/>
          <w:szCs w:val="22"/>
          <w:lang w:val="pt-BR"/>
        </w:rPr>
        <w:t>a</w:t>
      </w:r>
      <w:r w:rsidRPr="00913ACD">
        <w:rPr>
          <w:rFonts w:ascii="Times New Roman" w:hAnsi="Times New Roman" w:cs="Times New Roman"/>
          <w:bCs/>
          <w:sz w:val="22"/>
          <w:szCs w:val="22"/>
          <w:lang w:val="pt-BR"/>
        </w:rPr>
        <w:t xml:space="preserve"> SEDI é vasto e</w:t>
      </w:r>
      <w:r w:rsidR="00DA2A25">
        <w:rPr>
          <w:rFonts w:ascii="Times New Roman" w:hAnsi="Times New Roman" w:cs="Times New Roman"/>
          <w:bCs/>
          <w:sz w:val="22"/>
          <w:szCs w:val="22"/>
          <w:lang w:val="pt-BR"/>
        </w:rPr>
        <w:t xml:space="preserve"> </w:t>
      </w:r>
      <w:r w:rsidRPr="00913ACD">
        <w:rPr>
          <w:rFonts w:ascii="Times New Roman" w:hAnsi="Times New Roman" w:cs="Times New Roman"/>
          <w:bCs/>
          <w:sz w:val="22"/>
          <w:szCs w:val="22"/>
          <w:lang w:val="pt-BR"/>
        </w:rPr>
        <w:t xml:space="preserve">depende em grande parte </w:t>
      </w:r>
      <w:r w:rsidR="00A4393A">
        <w:rPr>
          <w:rFonts w:ascii="Times New Roman" w:hAnsi="Times New Roman" w:cs="Times New Roman"/>
          <w:bCs/>
          <w:sz w:val="22"/>
          <w:szCs w:val="22"/>
          <w:lang w:val="pt-BR"/>
        </w:rPr>
        <w:t xml:space="preserve">e de forma crítica </w:t>
      </w:r>
      <w:r w:rsidRPr="00913ACD">
        <w:rPr>
          <w:rFonts w:ascii="Times New Roman" w:hAnsi="Times New Roman" w:cs="Times New Roman"/>
          <w:bCs/>
          <w:sz w:val="22"/>
          <w:szCs w:val="22"/>
          <w:lang w:val="pt-BR"/>
        </w:rPr>
        <w:t>de parcerias e contribuições voluntárias</w:t>
      </w:r>
      <w:r w:rsidR="00C51D8E" w:rsidRPr="00913ACD">
        <w:rPr>
          <w:rFonts w:ascii="Times New Roman" w:hAnsi="Times New Roman" w:cs="Times New Roman"/>
          <w:bCs/>
          <w:sz w:val="22"/>
          <w:szCs w:val="22"/>
          <w:lang w:val="pt-BR"/>
        </w:rPr>
        <w:t xml:space="preserve"> </w:t>
      </w:r>
      <w:r w:rsidR="005F30B1" w:rsidRPr="00913ACD">
        <w:rPr>
          <w:rFonts w:ascii="Times New Roman" w:hAnsi="Times New Roman" w:cs="Times New Roman"/>
          <w:bCs/>
          <w:sz w:val="22"/>
          <w:szCs w:val="22"/>
          <w:lang w:val="pt-BR"/>
        </w:rPr>
        <w:t xml:space="preserve">dos </w:t>
      </w:r>
      <w:r w:rsidR="007E37F5" w:rsidRPr="00913ACD">
        <w:rPr>
          <w:rFonts w:ascii="Times New Roman" w:hAnsi="Times New Roman" w:cs="Times New Roman"/>
          <w:bCs/>
          <w:sz w:val="22"/>
          <w:szCs w:val="22"/>
          <w:lang w:val="pt-BR"/>
        </w:rPr>
        <w:t>Estados membros</w:t>
      </w:r>
      <w:r w:rsidRPr="00913ACD">
        <w:rPr>
          <w:rFonts w:ascii="Times New Roman" w:hAnsi="Times New Roman" w:cs="Times New Roman"/>
          <w:bCs/>
          <w:sz w:val="22"/>
          <w:szCs w:val="22"/>
          <w:lang w:val="pt-BR"/>
        </w:rPr>
        <w:t xml:space="preserve"> e de outros doadores. Em uma arena de prioridades e agendas concorrentes, e em meio aos níveis de inflação global atipicamente altos de 2022, houve um declínio nos recursos de desenvolvimento disponíveis para a América Latina e o Caribe. Isso desafiou ainda mais a capacidade da SEDI de responder às necessidades emergentes dos</w:t>
      </w:r>
      <w:r w:rsidR="00C51D8E" w:rsidRPr="00913ACD">
        <w:rPr>
          <w:rFonts w:ascii="Times New Roman" w:hAnsi="Times New Roman" w:cs="Times New Roman"/>
          <w:bCs/>
          <w:sz w:val="22"/>
          <w:szCs w:val="22"/>
          <w:lang w:val="pt-BR"/>
        </w:rPr>
        <w:t xml:space="preserve"> </w:t>
      </w:r>
      <w:r w:rsidR="005F30B1" w:rsidRPr="00913ACD">
        <w:rPr>
          <w:rFonts w:ascii="Times New Roman" w:hAnsi="Times New Roman" w:cs="Times New Roman"/>
          <w:bCs/>
          <w:sz w:val="22"/>
          <w:szCs w:val="22"/>
          <w:lang w:val="pt-BR"/>
        </w:rPr>
        <w:t>Estados membros</w:t>
      </w:r>
      <w:r w:rsidR="00C05579" w:rsidRPr="00913ACD">
        <w:rPr>
          <w:rFonts w:ascii="Times New Roman" w:hAnsi="Times New Roman" w:cs="Times New Roman"/>
          <w:bCs/>
          <w:sz w:val="22"/>
          <w:szCs w:val="22"/>
          <w:lang w:val="pt-BR"/>
        </w:rPr>
        <w:t xml:space="preserve"> e comprometeu grande parte de seus esforços de programação. A mobilização de recursos continua sendo um componente significativo do trabalho da SEDI, razão pela qual parcerias com as principais organizações internacionais e regionais – Amazon, Agência Alemã de Cooperação Internacional (GIZ), Banco de Desenvolvimento da América Latina (CAF), Internet Society, IBM, Banco Interamericano de Desenvolvimento (BID), Fundação Espacial, Agência Suíça para o Desenvolvimento e Cooperação</w:t>
      </w:r>
      <w:r w:rsidR="00373D86">
        <w:rPr>
          <w:rFonts w:ascii="Times New Roman" w:hAnsi="Times New Roman" w:cs="Times New Roman"/>
          <w:bCs/>
          <w:sz w:val="22"/>
          <w:szCs w:val="22"/>
          <w:lang w:val="pt-BR"/>
        </w:rPr>
        <w:t xml:space="preserve"> (SDC)</w:t>
      </w:r>
      <w:r w:rsidR="00C05579" w:rsidRPr="00913ACD">
        <w:rPr>
          <w:rFonts w:ascii="Times New Roman" w:hAnsi="Times New Roman" w:cs="Times New Roman"/>
          <w:bCs/>
          <w:sz w:val="22"/>
          <w:szCs w:val="22"/>
          <w:lang w:val="pt-BR"/>
        </w:rPr>
        <w:t>, WhatsApp (M</w:t>
      </w:r>
      <w:r w:rsidR="002206A9" w:rsidRPr="00913ACD">
        <w:rPr>
          <w:rFonts w:ascii="Times New Roman" w:hAnsi="Times New Roman" w:cs="Times New Roman"/>
          <w:bCs/>
          <w:sz w:val="22"/>
          <w:szCs w:val="22"/>
          <w:lang w:val="pt-BR"/>
        </w:rPr>
        <w:t>eta</w:t>
      </w:r>
      <w:r w:rsidR="00C05579" w:rsidRPr="00913ACD">
        <w:rPr>
          <w:rFonts w:ascii="Times New Roman" w:hAnsi="Times New Roman" w:cs="Times New Roman"/>
          <w:bCs/>
          <w:sz w:val="22"/>
          <w:szCs w:val="22"/>
          <w:lang w:val="pt-BR"/>
        </w:rPr>
        <w:t xml:space="preserve">), </w:t>
      </w:r>
      <w:r w:rsidR="00A7732C">
        <w:rPr>
          <w:rFonts w:ascii="Times New Roman" w:hAnsi="Times New Roman" w:cs="Times New Roman"/>
          <w:bCs/>
          <w:sz w:val="22"/>
          <w:szCs w:val="22"/>
          <w:lang w:val="pt-BR"/>
        </w:rPr>
        <w:t xml:space="preserve">Agência dos </w:t>
      </w:r>
      <w:r w:rsidR="00A7732C" w:rsidRPr="00A7732C">
        <w:rPr>
          <w:rFonts w:ascii="Times New Roman" w:hAnsi="Times New Roman" w:cs="Times New Roman"/>
          <w:bCs/>
          <w:sz w:val="22"/>
          <w:szCs w:val="22"/>
          <w:lang w:val="pt-BR"/>
        </w:rPr>
        <w:t>Estados Unidos</w:t>
      </w:r>
      <w:r w:rsidR="00A7732C">
        <w:rPr>
          <w:rFonts w:ascii="Times New Roman" w:hAnsi="Times New Roman" w:cs="Times New Roman"/>
          <w:bCs/>
          <w:sz w:val="22"/>
          <w:szCs w:val="22"/>
          <w:lang w:val="pt-BR"/>
        </w:rPr>
        <w:t xml:space="preserve"> para o </w:t>
      </w:r>
      <w:r w:rsidR="00D4233B">
        <w:rPr>
          <w:rFonts w:ascii="Times New Roman" w:hAnsi="Times New Roman" w:cs="Times New Roman"/>
          <w:bCs/>
          <w:sz w:val="22"/>
          <w:szCs w:val="22"/>
          <w:lang w:val="pt-BR"/>
        </w:rPr>
        <w:t>Desenvolvimento Internacional (</w:t>
      </w:r>
      <w:r w:rsidR="00C05579" w:rsidRPr="00913ACD">
        <w:rPr>
          <w:rFonts w:ascii="Times New Roman" w:hAnsi="Times New Roman" w:cs="Times New Roman"/>
          <w:bCs/>
          <w:sz w:val="22"/>
          <w:szCs w:val="22"/>
          <w:lang w:val="pt-BR"/>
        </w:rPr>
        <w:t>USAID</w:t>
      </w:r>
      <w:r w:rsidR="00D4233B">
        <w:rPr>
          <w:rFonts w:ascii="Times New Roman" w:hAnsi="Times New Roman" w:cs="Times New Roman"/>
          <w:bCs/>
          <w:sz w:val="22"/>
          <w:szCs w:val="22"/>
          <w:lang w:val="pt-BR"/>
        </w:rPr>
        <w:t>)</w:t>
      </w:r>
      <w:r w:rsidR="00C51D8E" w:rsidRPr="00913ACD">
        <w:rPr>
          <w:rFonts w:ascii="Times New Roman" w:hAnsi="Times New Roman" w:cs="Times New Roman"/>
          <w:bCs/>
          <w:sz w:val="22"/>
          <w:szCs w:val="22"/>
          <w:lang w:val="pt-BR"/>
        </w:rPr>
        <w:t xml:space="preserve"> </w:t>
      </w:r>
      <w:r w:rsidR="00C05579" w:rsidRPr="00913ACD">
        <w:rPr>
          <w:rFonts w:ascii="Times New Roman" w:hAnsi="Times New Roman" w:cs="Times New Roman"/>
          <w:bCs/>
          <w:sz w:val="22"/>
          <w:szCs w:val="22"/>
          <w:lang w:val="pt-BR"/>
        </w:rPr>
        <w:t>e Departamento de Comércio dos EUA, entre outros – e as principais instituições acadêmicas – Duke University, Georgetown University, Texas A &amp; M University, University of California Riverside e University of Chicago – continuam sendo import</w:t>
      </w:r>
      <w:r w:rsidR="00FA31D1">
        <w:rPr>
          <w:rFonts w:ascii="Times New Roman" w:hAnsi="Times New Roman" w:cs="Times New Roman"/>
          <w:bCs/>
          <w:sz w:val="22"/>
          <w:szCs w:val="22"/>
          <w:lang w:val="pt-BR"/>
        </w:rPr>
        <w:t>antíssimas</w:t>
      </w:r>
      <w:r w:rsidR="00C05579" w:rsidRPr="00913ACD">
        <w:rPr>
          <w:rFonts w:ascii="Times New Roman" w:hAnsi="Times New Roman" w:cs="Times New Roman"/>
          <w:bCs/>
          <w:sz w:val="22"/>
          <w:szCs w:val="22"/>
          <w:lang w:val="pt-BR"/>
        </w:rPr>
        <w:t xml:space="preserve">. </w:t>
      </w:r>
    </w:p>
    <w:p w14:paraId="0CACC6BA" w14:textId="55FBDEA1" w:rsidR="00C05579" w:rsidRPr="00913ACD" w:rsidRDefault="00C05579" w:rsidP="00CB030B">
      <w:pPr>
        <w:pStyle w:val="PlainText"/>
        <w:jc w:val="both"/>
        <w:rPr>
          <w:rFonts w:ascii="Times New Roman" w:hAnsi="Times New Roman" w:cs="Times New Roman"/>
          <w:bCs/>
          <w:sz w:val="22"/>
          <w:szCs w:val="22"/>
          <w:lang w:val="pt-BR"/>
        </w:rPr>
      </w:pPr>
    </w:p>
    <w:p w14:paraId="5AC63BDF" w14:textId="5213DFED" w:rsidR="004859C2" w:rsidRPr="00913ACD" w:rsidRDefault="00674601" w:rsidP="00CB030B">
      <w:pPr>
        <w:ind w:firstLine="720"/>
        <w:jc w:val="both"/>
        <w:rPr>
          <w:rFonts w:ascii="Times New Roman" w:eastAsia="Calibri" w:hAnsi="Times New Roman" w:cs="Times New Roman"/>
          <w:bCs/>
          <w:sz w:val="22"/>
          <w:szCs w:val="22"/>
          <w:lang w:val="pt-BR"/>
        </w:rPr>
      </w:pPr>
      <w:r w:rsidRPr="00913ACD">
        <w:rPr>
          <w:rFonts w:ascii="Times New Roman" w:hAnsi="Times New Roman" w:cs="Times New Roman"/>
          <w:sz w:val="22"/>
          <w:szCs w:val="22"/>
          <w:lang w:val="pt-BR"/>
        </w:rPr>
        <w:t xml:space="preserve">Este relatório </w:t>
      </w:r>
      <w:r w:rsidR="008B796B" w:rsidRPr="00913ACD">
        <w:rPr>
          <w:rFonts w:ascii="Times New Roman" w:hAnsi="Times New Roman" w:cs="Times New Roman"/>
          <w:sz w:val="22"/>
          <w:szCs w:val="22"/>
          <w:lang w:val="pt-BR"/>
        </w:rPr>
        <w:t>apresenta</w:t>
      </w:r>
      <w:r w:rsidRPr="00913ACD">
        <w:rPr>
          <w:rFonts w:ascii="Times New Roman" w:hAnsi="Times New Roman" w:cs="Times New Roman"/>
          <w:sz w:val="22"/>
          <w:szCs w:val="22"/>
          <w:lang w:val="pt-BR"/>
        </w:rPr>
        <w:t xml:space="preserve"> uma visão geral da programação, </w:t>
      </w:r>
      <w:r w:rsidR="00171580" w:rsidRPr="00913ACD">
        <w:rPr>
          <w:rFonts w:ascii="Times New Roman" w:hAnsi="Times New Roman" w:cs="Times New Roman"/>
          <w:sz w:val="22"/>
          <w:szCs w:val="22"/>
          <w:lang w:val="pt-BR"/>
        </w:rPr>
        <w:t xml:space="preserve">dos </w:t>
      </w:r>
      <w:r w:rsidRPr="00913ACD">
        <w:rPr>
          <w:rFonts w:ascii="Times New Roman" w:hAnsi="Times New Roman" w:cs="Times New Roman"/>
          <w:sz w:val="22"/>
          <w:szCs w:val="22"/>
          <w:lang w:val="pt-BR"/>
        </w:rPr>
        <w:t xml:space="preserve">projetos e </w:t>
      </w:r>
      <w:r w:rsidR="00171580" w:rsidRPr="00913ACD">
        <w:rPr>
          <w:rFonts w:ascii="Times New Roman" w:hAnsi="Times New Roman" w:cs="Times New Roman"/>
          <w:sz w:val="22"/>
          <w:szCs w:val="22"/>
          <w:lang w:val="pt-BR"/>
        </w:rPr>
        <w:t xml:space="preserve">das </w:t>
      </w:r>
      <w:r w:rsidRPr="00913ACD">
        <w:rPr>
          <w:rFonts w:ascii="Times New Roman" w:hAnsi="Times New Roman" w:cs="Times New Roman"/>
          <w:sz w:val="22"/>
          <w:szCs w:val="22"/>
          <w:lang w:val="pt-BR"/>
        </w:rPr>
        <w:t xml:space="preserve">iniciativas da SEDI em 2022. Está organizado de acordo com as cinco linhas estratégicas e </w:t>
      </w:r>
      <w:r w:rsidR="00171580" w:rsidRPr="00913ACD">
        <w:rPr>
          <w:rFonts w:ascii="Times New Roman" w:hAnsi="Times New Roman" w:cs="Times New Roman"/>
          <w:sz w:val="22"/>
          <w:szCs w:val="22"/>
          <w:lang w:val="pt-BR"/>
        </w:rPr>
        <w:t xml:space="preserve">os </w:t>
      </w:r>
      <w:r w:rsidRPr="00913ACD">
        <w:rPr>
          <w:rFonts w:ascii="Times New Roman" w:hAnsi="Times New Roman" w:cs="Times New Roman"/>
          <w:sz w:val="22"/>
          <w:szCs w:val="22"/>
          <w:lang w:val="pt-BR"/>
        </w:rPr>
        <w:t xml:space="preserve">objetivos delineados no pilar de desenvolvimento do Plano Estratégico Integral </w:t>
      </w:r>
      <w:r w:rsidR="00F05716" w:rsidRPr="00913ACD">
        <w:rPr>
          <w:rFonts w:ascii="Times New Roman" w:hAnsi="Times New Roman" w:cs="Times New Roman"/>
          <w:sz w:val="22"/>
          <w:szCs w:val="22"/>
          <w:lang w:val="pt-BR"/>
        </w:rPr>
        <w:t>d</w:t>
      </w:r>
      <w:r w:rsidRPr="00913ACD">
        <w:rPr>
          <w:rFonts w:ascii="Times New Roman" w:hAnsi="Times New Roman" w:cs="Times New Roman"/>
          <w:sz w:val="22"/>
          <w:szCs w:val="22"/>
          <w:lang w:val="pt-BR"/>
        </w:rPr>
        <w:t xml:space="preserve">a Organização. </w:t>
      </w:r>
    </w:p>
    <w:p w14:paraId="382F7CD0" w14:textId="10D3F66E" w:rsidR="00674601" w:rsidRPr="00913ACD" w:rsidRDefault="00674601" w:rsidP="00CB030B">
      <w:pPr>
        <w:jc w:val="both"/>
        <w:rPr>
          <w:rFonts w:ascii="Times New Roman" w:eastAsia="Calibri" w:hAnsi="Times New Roman" w:cs="Times New Roman"/>
          <w:bCs/>
          <w:sz w:val="22"/>
          <w:szCs w:val="22"/>
          <w:lang w:val="pt-BR"/>
        </w:rPr>
      </w:pPr>
    </w:p>
    <w:p w14:paraId="2EA19CA6" w14:textId="18C9717F" w:rsidR="00674601" w:rsidRPr="00913ACD" w:rsidRDefault="00674601" w:rsidP="00CB030B">
      <w:pPr>
        <w:ind w:firstLine="720"/>
        <w:jc w:val="both"/>
        <w:rPr>
          <w:rFonts w:ascii="Times New Roman" w:eastAsia="Calibri" w:hAnsi="Times New Roman" w:cs="Times New Roman"/>
          <w:b/>
          <w:sz w:val="22"/>
          <w:szCs w:val="22"/>
          <w:lang w:val="pt-BR"/>
        </w:rPr>
      </w:pPr>
      <w:r w:rsidRPr="00913ACD">
        <w:rPr>
          <w:rFonts w:ascii="Times New Roman" w:hAnsi="Times New Roman" w:cs="Times New Roman"/>
          <w:b/>
          <w:sz w:val="22"/>
          <w:szCs w:val="22"/>
          <w:lang w:val="pt-BR"/>
        </w:rPr>
        <w:t xml:space="preserve">A SEDI agradece a todos os seus parceiros e </w:t>
      </w:r>
      <w:r w:rsidR="00F718B6">
        <w:rPr>
          <w:rFonts w:ascii="Times New Roman" w:hAnsi="Times New Roman" w:cs="Times New Roman"/>
          <w:b/>
          <w:sz w:val="22"/>
          <w:szCs w:val="22"/>
          <w:lang w:val="pt-BR"/>
        </w:rPr>
        <w:t xml:space="preserve">às </w:t>
      </w:r>
      <w:r w:rsidRPr="00913ACD">
        <w:rPr>
          <w:rFonts w:ascii="Times New Roman" w:hAnsi="Times New Roman" w:cs="Times New Roman"/>
          <w:b/>
          <w:sz w:val="22"/>
          <w:szCs w:val="22"/>
          <w:lang w:val="pt-BR"/>
        </w:rPr>
        <w:t>partes interessadas por mais um ano de engajamento e serviço ao Hemisfério.</w:t>
      </w:r>
    </w:p>
    <w:p w14:paraId="628D2C94" w14:textId="30EBF9FE" w:rsidR="004113B4" w:rsidRPr="00913ACD" w:rsidRDefault="004113B4" w:rsidP="00CB030B">
      <w:pPr>
        <w:rPr>
          <w:rFonts w:ascii="Times New Roman" w:hAnsi="Times New Roman" w:cs="Times New Roman"/>
          <w:b/>
          <w:bCs/>
          <w:sz w:val="22"/>
          <w:szCs w:val="22"/>
          <w:lang w:val="pt-BR"/>
        </w:rPr>
      </w:pPr>
    </w:p>
    <w:p w14:paraId="67E26255" w14:textId="77777777" w:rsidR="0074320E" w:rsidRPr="00913ACD" w:rsidRDefault="0074320E" w:rsidP="00CB030B">
      <w:pPr>
        <w:rPr>
          <w:rFonts w:ascii="Times New Roman" w:hAnsi="Times New Roman" w:cs="Times New Roman"/>
          <w:b/>
          <w:bCs/>
          <w:sz w:val="22"/>
          <w:szCs w:val="22"/>
          <w:lang w:val="pt-BR"/>
        </w:rPr>
      </w:pPr>
    </w:p>
    <w:p w14:paraId="64ADFDA8" w14:textId="762773AA" w:rsidR="0076146E" w:rsidRPr="00913ACD" w:rsidRDefault="00ED78BF"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1</w:t>
      </w:r>
    </w:p>
    <w:p w14:paraId="18B9EA6F" w14:textId="7D77370C" w:rsidR="00ED78BF" w:rsidRPr="00913ACD" w:rsidRDefault="00CB28A9" w:rsidP="00CB030B">
      <w:pPr>
        <w:pBdr>
          <w:bottom w:val="single" w:sz="6" w:space="1" w:color="auto"/>
        </w:pBdr>
        <w:rPr>
          <w:rFonts w:ascii="Times New Roman" w:hAnsi="Times New Roman" w:cs="Times New Roman"/>
          <w:sz w:val="22"/>
          <w:szCs w:val="22"/>
          <w:lang w:val="pt-BR"/>
        </w:rPr>
      </w:pPr>
      <w:r w:rsidRPr="00913ACD">
        <w:rPr>
          <w:rFonts w:ascii="Times New Roman" w:hAnsi="Times New Roman" w:cs="Times New Roman"/>
          <w:sz w:val="22"/>
          <w:szCs w:val="22"/>
          <w:lang w:val="pt-BR"/>
        </w:rPr>
        <w:t>PROMOVER ECONOMIAS INCLUSIVAS E COMPETITIVAS</w:t>
      </w:r>
    </w:p>
    <w:p w14:paraId="4402405D" w14:textId="256C0EA5" w:rsidR="00ED78BF" w:rsidRPr="00913ACD" w:rsidRDefault="00ED78BF" w:rsidP="00CB030B">
      <w:pPr>
        <w:rPr>
          <w:rFonts w:ascii="Times New Roman" w:hAnsi="Times New Roman" w:cs="Times New Roman"/>
          <w:b/>
          <w:bCs/>
          <w:sz w:val="22"/>
          <w:szCs w:val="22"/>
          <w:lang w:val="pt-BR"/>
        </w:rPr>
      </w:pPr>
    </w:p>
    <w:p w14:paraId="711FA741" w14:textId="5F8E6353" w:rsidR="002E459A" w:rsidRPr="00913ACD" w:rsidRDefault="0076146E" w:rsidP="00CB030B">
      <w:pPr>
        <w:ind w:firstLine="720"/>
        <w:contextualSpacing/>
        <w:jc w:val="both"/>
        <w:rPr>
          <w:rFonts w:ascii="Times New Roman" w:eastAsia="Cambria"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À medida que a região transita para um ambiente pós-pandemia, a SEDI continua comprometida em promover economias inclusivas e competitivas em todo o Hemisfério. Seu</w:t>
      </w:r>
      <w:r w:rsidR="00340274">
        <w:rPr>
          <w:rFonts w:ascii="Times New Roman" w:hAnsi="Times New Roman" w:cs="Times New Roman"/>
          <w:color w:val="000000" w:themeColor="text1"/>
          <w:sz w:val="22"/>
          <w:szCs w:val="22"/>
          <w:lang w:val="pt-BR"/>
        </w:rPr>
        <w:t xml:space="preserve"> trabalho</w:t>
      </w:r>
      <w:r w:rsidRPr="00913ACD">
        <w:rPr>
          <w:rFonts w:ascii="Times New Roman" w:hAnsi="Times New Roman" w:cs="Times New Roman"/>
          <w:color w:val="000000" w:themeColor="text1"/>
          <w:sz w:val="22"/>
          <w:szCs w:val="22"/>
          <w:lang w:val="pt-BR"/>
        </w:rPr>
        <w:t>, caracterizado por exercícios de capacitação e cooperação</w:t>
      </w:r>
      <w:r w:rsidR="00C51D8E" w:rsidRPr="00913ACD">
        <w:rPr>
          <w:rFonts w:ascii="Times New Roman" w:hAnsi="Times New Roman" w:cs="Times New Roman"/>
          <w:color w:val="000000" w:themeColor="text1"/>
          <w:sz w:val="22"/>
          <w:szCs w:val="22"/>
          <w:lang w:val="pt-BR"/>
        </w:rPr>
        <w:t xml:space="preserve"> </w:t>
      </w:r>
      <w:r w:rsidRPr="00913ACD">
        <w:rPr>
          <w:rFonts w:ascii="Times New Roman" w:hAnsi="Times New Roman" w:cs="Times New Roman"/>
          <w:sz w:val="22"/>
          <w:szCs w:val="22"/>
          <w:lang w:val="pt-BR"/>
        </w:rPr>
        <w:t>entre os</w:t>
      </w:r>
      <w:r w:rsidR="00C51D8E" w:rsidRPr="00913ACD">
        <w:rPr>
          <w:rFonts w:ascii="Times New Roman" w:hAnsi="Times New Roman" w:cs="Times New Roman"/>
          <w:sz w:val="22"/>
          <w:szCs w:val="22"/>
          <w:lang w:val="pt-BR"/>
        </w:rPr>
        <w:t xml:space="preserve"> </w:t>
      </w:r>
      <w:r w:rsidR="005F30B1" w:rsidRPr="00913ACD">
        <w:rPr>
          <w:rFonts w:ascii="Times New Roman" w:hAnsi="Times New Roman" w:cs="Times New Roman"/>
          <w:color w:val="000000" w:themeColor="text1"/>
          <w:sz w:val="22"/>
          <w:szCs w:val="22"/>
          <w:lang w:val="pt-BR"/>
        </w:rPr>
        <w:t>Estados membros</w:t>
      </w:r>
      <w:r w:rsidR="00CB28A9" w:rsidRPr="00913ACD">
        <w:rPr>
          <w:rFonts w:ascii="Times New Roman" w:hAnsi="Times New Roman" w:cs="Times New Roman"/>
          <w:color w:val="000000" w:themeColor="text1"/>
          <w:sz w:val="22"/>
          <w:szCs w:val="22"/>
          <w:lang w:val="pt-BR"/>
        </w:rPr>
        <w:t>, aceler</w:t>
      </w:r>
      <w:r w:rsidR="008A49A6">
        <w:rPr>
          <w:rFonts w:ascii="Times New Roman" w:hAnsi="Times New Roman" w:cs="Times New Roman"/>
          <w:color w:val="000000" w:themeColor="text1"/>
          <w:sz w:val="22"/>
          <w:szCs w:val="22"/>
          <w:lang w:val="pt-BR"/>
        </w:rPr>
        <w:t>ou</w:t>
      </w:r>
      <w:r w:rsidR="00CB28A9" w:rsidRPr="00913ACD">
        <w:rPr>
          <w:rFonts w:ascii="Times New Roman" w:hAnsi="Times New Roman" w:cs="Times New Roman"/>
          <w:color w:val="000000" w:themeColor="text1"/>
          <w:sz w:val="22"/>
          <w:szCs w:val="22"/>
          <w:lang w:val="pt-BR"/>
        </w:rPr>
        <w:t xml:space="preserve"> a adoção de novas tecnologias na região e facilit</w:t>
      </w:r>
      <w:r w:rsidR="008A49A6">
        <w:rPr>
          <w:rFonts w:ascii="Times New Roman" w:hAnsi="Times New Roman" w:cs="Times New Roman"/>
          <w:color w:val="000000" w:themeColor="text1"/>
          <w:sz w:val="22"/>
          <w:szCs w:val="22"/>
          <w:lang w:val="pt-BR"/>
        </w:rPr>
        <w:t>ou</w:t>
      </w:r>
      <w:r w:rsidR="00CB28A9" w:rsidRPr="00913ACD">
        <w:rPr>
          <w:rFonts w:ascii="Times New Roman" w:hAnsi="Times New Roman" w:cs="Times New Roman"/>
          <w:color w:val="000000" w:themeColor="text1"/>
          <w:sz w:val="22"/>
          <w:szCs w:val="22"/>
          <w:lang w:val="pt-BR"/>
        </w:rPr>
        <w:t xml:space="preserve"> seu ajuste aos ecossistemas digitais. Um foco particular </w:t>
      </w:r>
      <w:r w:rsidR="00C76952" w:rsidRPr="00913ACD">
        <w:rPr>
          <w:rFonts w:ascii="Times New Roman" w:hAnsi="Times New Roman" w:cs="Times New Roman"/>
          <w:color w:val="000000" w:themeColor="text1"/>
          <w:sz w:val="22"/>
          <w:szCs w:val="22"/>
          <w:lang w:val="pt-BR"/>
        </w:rPr>
        <w:t>nas</w:t>
      </w:r>
      <w:r w:rsidR="00CB28A9" w:rsidRPr="00913ACD">
        <w:rPr>
          <w:rFonts w:ascii="Times New Roman" w:hAnsi="Times New Roman" w:cs="Times New Roman"/>
          <w:color w:val="000000" w:themeColor="text1"/>
          <w:sz w:val="22"/>
          <w:szCs w:val="22"/>
          <w:lang w:val="pt-BR"/>
        </w:rPr>
        <w:t xml:space="preserve"> micro, pequenas e médias empresas (MPMEs) provou ser crítico na programação da SEDI. Reconhecendo que as MPMEs representam a espinha dorsal </w:t>
      </w:r>
      <w:r w:rsidR="007C06D0" w:rsidRPr="00913ACD">
        <w:rPr>
          <w:rFonts w:ascii="Times New Roman" w:hAnsi="Times New Roman" w:cs="Times New Roman"/>
          <w:color w:val="000000" w:themeColor="text1"/>
          <w:sz w:val="22"/>
          <w:szCs w:val="22"/>
          <w:lang w:val="pt-BR"/>
        </w:rPr>
        <w:t xml:space="preserve">da </w:t>
      </w:r>
      <w:r w:rsidR="00CB28A9" w:rsidRPr="00913ACD">
        <w:rPr>
          <w:rFonts w:ascii="Times New Roman" w:hAnsi="Times New Roman" w:cs="Times New Roman"/>
          <w:color w:val="000000" w:themeColor="text1"/>
          <w:sz w:val="22"/>
          <w:szCs w:val="22"/>
          <w:lang w:val="pt-BR"/>
        </w:rPr>
        <w:t>estrutura das economias dos</w:t>
      </w:r>
      <w:r w:rsidR="00C51D8E" w:rsidRPr="00913ACD">
        <w:rPr>
          <w:rFonts w:ascii="Times New Roman" w:hAnsi="Times New Roman" w:cs="Times New Roman"/>
          <w:color w:val="000000" w:themeColor="text1"/>
          <w:sz w:val="22"/>
          <w:szCs w:val="22"/>
          <w:lang w:val="pt-BR"/>
        </w:rPr>
        <w:t xml:space="preserve"> </w:t>
      </w:r>
      <w:r w:rsidR="00397959" w:rsidRPr="00913ACD">
        <w:rPr>
          <w:rFonts w:ascii="Times New Roman" w:hAnsi="Times New Roman" w:cs="Times New Roman"/>
          <w:color w:val="000000" w:themeColor="text1"/>
          <w:sz w:val="22"/>
          <w:szCs w:val="22"/>
          <w:lang w:val="pt-BR"/>
        </w:rPr>
        <w:t>Estados</w:t>
      </w:r>
      <w:r w:rsidRPr="00913ACD">
        <w:rPr>
          <w:rFonts w:ascii="Times New Roman" w:hAnsi="Times New Roman" w:cs="Times New Roman"/>
          <w:sz w:val="22"/>
          <w:szCs w:val="22"/>
          <w:lang w:val="pt-BR"/>
        </w:rPr>
        <w:t xml:space="preserve"> </w:t>
      </w:r>
      <w:r w:rsidR="00C67D84" w:rsidRPr="00913ACD">
        <w:rPr>
          <w:rFonts w:ascii="Times New Roman" w:hAnsi="Times New Roman" w:cs="Times New Roman"/>
          <w:color w:val="000000" w:themeColor="text1"/>
          <w:sz w:val="22"/>
          <w:szCs w:val="22"/>
          <w:lang w:val="pt-BR"/>
        </w:rPr>
        <w:t>membros</w:t>
      </w:r>
      <w:r w:rsidRPr="00913ACD">
        <w:rPr>
          <w:rFonts w:ascii="Times New Roman" w:hAnsi="Times New Roman" w:cs="Times New Roman"/>
          <w:sz w:val="22"/>
          <w:szCs w:val="22"/>
          <w:lang w:val="pt-BR"/>
        </w:rPr>
        <w:t xml:space="preserve"> da</w:t>
      </w:r>
      <w:r w:rsidR="00C51D8E" w:rsidRPr="00913ACD">
        <w:rPr>
          <w:rFonts w:ascii="Times New Roman" w:hAnsi="Times New Roman" w:cs="Times New Roman"/>
          <w:sz w:val="22"/>
          <w:szCs w:val="22"/>
          <w:lang w:val="pt-BR"/>
        </w:rPr>
        <w:t xml:space="preserve"> </w:t>
      </w:r>
      <w:r w:rsidR="00397959" w:rsidRPr="00913ACD">
        <w:rPr>
          <w:rFonts w:ascii="Times New Roman" w:hAnsi="Times New Roman" w:cs="Times New Roman"/>
          <w:color w:val="000000" w:themeColor="text1"/>
          <w:sz w:val="22"/>
          <w:szCs w:val="22"/>
          <w:lang w:val="pt-BR"/>
        </w:rPr>
        <w:t>OEA – e empregam 75% d</w:t>
      </w:r>
      <w:r w:rsidR="000D2425">
        <w:rPr>
          <w:rFonts w:ascii="Times New Roman" w:hAnsi="Times New Roman" w:cs="Times New Roman"/>
          <w:color w:val="000000" w:themeColor="text1"/>
          <w:sz w:val="22"/>
          <w:szCs w:val="22"/>
          <w:lang w:val="pt-BR"/>
        </w:rPr>
        <w:t xml:space="preserve">e sua </w:t>
      </w:r>
      <w:r w:rsidR="00397959" w:rsidRPr="00913ACD">
        <w:rPr>
          <w:rFonts w:ascii="Times New Roman" w:hAnsi="Times New Roman" w:cs="Times New Roman"/>
          <w:color w:val="000000" w:themeColor="text1"/>
          <w:sz w:val="22"/>
          <w:szCs w:val="22"/>
          <w:lang w:val="pt-BR"/>
        </w:rPr>
        <w:t xml:space="preserve">força de trabalho – a SEDI </w:t>
      </w:r>
      <w:r w:rsidR="00FE6211" w:rsidRPr="00913ACD">
        <w:rPr>
          <w:rFonts w:ascii="Times New Roman" w:hAnsi="Times New Roman" w:cs="Times New Roman"/>
          <w:color w:val="000000" w:themeColor="text1"/>
          <w:sz w:val="22"/>
          <w:szCs w:val="22"/>
          <w:lang w:val="pt-BR"/>
        </w:rPr>
        <w:t>deu continuidade a</w:t>
      </w:r>
      <w:r w:rsidR="00397959" w:rsidRPr="00913ACD">
        <w:rPr>
          <w:rFonts w:ascii="Times New Roman" w:hAnsi="Times New Roman" w:cs="Times New Roman"/>
          <w:color w:val="000000" w:themeColor="text1"/>
          <w:sz w:val="22"/>
          <w:szCs w:val="22"/>
          <w:lang w:val="pt-BR"/>
        </w:rPr>
        <w:t>os esforços de digitalização para ajudar essas empresas a alavancar novas oportunidades econômicas. As parcerias contínuas com o Governo do Chile, o WhatsApp e as pequenas empresas em todos</w:t>
      </w:r>
      <w:r w:rsidR="00C51D8E" w:rsidRPr="00913ACD">
        <w:rPr>
          <w:rFonts w:ascii="Times New Roman" w:hAnsi="Times New Roman" w:cs="Times New Roman"/>
          <w:color w:val="000000" w:themeColor="text1"/>
          <w:sz w:val="22"/>
          <w:szCs w:val="22"/>
          <w:lang w:val="pt-BR"/>
        </w:rPr>
        <w:t xml:space="preserve"> </w:t>
      </w:r>
      <w:r w:rsidR="005F30B1" w:rsidRPr="00913ACD">
        <w:rPr>
          <w:rFonts w:ascii="Times New Roman" w:hAnsi="Times New Roman" w:cs="Times New Roman"/>
          <w:color w:val="000000" w:themeColor="text1"/>
          <w:sz w:val="22"/>
          <w:szCs w:val="22"/>
          <w:lang w:val="pt-BR"/>
        </w:rPr>
        <w:t>os Estados membros da OEA</w:t>
      </w:r>
      <w:r w:rsidR="00591999" w:rsidRPr="00913ACD">
        <w:rPr>
          <w:rFonts w:ascii="Times New Roman" w:hAnsi="Times New Roman" w:cs="Times New Roman"/>
          <w:color w:val="000000" w:themeColor="text1"/>
          <w:sz w:val="22"/>
          <w:szCs w:val="22"/>
          <w:lang w:val="pt-BR"/>
        </w:rPr>
        <w:t xml:space="preserve"> também apoiam as iniciativas de crescimento das MPME</w:t>
      </w:r>
      <w:r w:rsidR="006919D7" w:rsidRPr="00913ACD">
        <w:rPr>
          <w:rFonts w:ascii="Times New Roman" w:hAnsi="Times New Roman" w:cs="Times New Roman"/>
          <w:color w:val="000000" w:themeColor="text1"/>
          <w:sz w:val="22"/>
          <w:szCs w:val="22"/>
          <w:lang w:val="pt-BR"/>
        </w:rPr>
        <w:t>s</w:t>
      </w:r>
      <w:r w:rsidR="00591999" w:rsidRPr="00913ACD">
        <w:rPr>
          <w:rFonts w:ascii="Times New Roman" w:hAnsi="Times New Roman" w:cs="Times New Roman"/>
          <w:color w:val="000000" w:themeColor="text1"/>
          <w:sz w:val="22"/>
          <w:szCs w:val="22"/>
          <w:lang w:val="pt-BR"/>
        </w:rPr>
        <w:t>. Além disso, a SEDI lançou o projeto</w:t>
      </w:r>
      <w:r w:rsidRPr="00913ACD">
        <w:rPr>
          <w:rFonts w:ascii="Times New Roman" w:hAnsi="Times New Roman" w:cs="Times New Roman"/>
          <w:sz w:val="22"/>
          <w:szCs w:val="22"/>
          <w:lang w:val="pt-BR"/>
        </w:rPr>
        <w:t xml:space="preserve"> </w:t>
      </w:r>
      <w:r w:rsidR="007800A2" w:rsidRPr="00913ACD">
        <w:rPr>
          <w:rFonts w:ascii="Times New Roman" w:hAnsi="Times New Roman" w:cs="Times New Roman"/>
          <w:sz w:val="22"/>
          <w:szCs w:val="22"/>
          <w:lang w:val="pt-BR"/>
        </w:rPr>
        <w:t>“</w:t>
      </w:r>
      <w:r w:rsidR="00591999" w:rsidRPr="00913ACD">
        <w:rPr>
          <w:rFonts w:ascii="Times New Roman" w:hAnsi="Times New Roman" w:cs="Times New Roman"/>
          <w:color w:val="000000" w:themeColor="text1"/>
          <w:sz w:val="22"/>
          <w:szCs w:val="22"/>
          <w:lang w:val="pt-BR"/>
        </w:rPr>
        <w:t>Mulheres Economicamente Empoderadas para Sociedades Equitativas e Resilientes</w:t>
      </w:r>
      <w:r w:rsidR="007800A2" w:rsidRPr="00913ACD">
        <w:rPr>
          <w:rFonts w:ascii="Times New Roman" w:hAnsi="Times New Roman" w:cs="Times New Roman"/>
          <w:color w:val="000000" w:themeColor="text1"/>
          <w:sz w:val="22"/>
          <w:szCs w:val="22"/>
          <w:lang w:val="pt-BR"/>
        </w:rPr>
        <w:t>”</w:t>
      </w:r>
      <w:r w:rsidR="00591999" w:rsidRPr="00913ACD">
        <w:rPr>
          <w:rFonts w:ascii="Times New Roman" w:hAnsi="Times New Roman" w:cs="Times New Roman"/>
          <w:color w:val="000000" w:themeColor="text1"/>
          <w:sz w:val="22"/>
          <w:szCs w:val="22"/>
          <w:lang w:val="pt-BR"/>
        </w:rPr>
        <w:t xml:space="preserve"> </w:t>
      </w:r>
      <w:r w:rsidR="004B79FF">
        <w:rPr>
          <w:rFonts w:ascii="Times New Roman" w:hAnsi="Times New Roman" w:cs="Times New Roman"/>
          <w:color w:val="000000" w:themeColor="text1"/>
          <w:sz w:val="22"/>
          <w:szCs w:val="22"/>
          <w:lang w:val="pt-BR"/>
        </w:rPr>
        <w:t xml:space="preserve">a fim de </w:t>
      </w:r>
      <w:r w:rsidR="00591999" w:rsidRPr="00913ACD">
        <w:rPr>
          <w:rFonts w:ascii="Times New Roman" w:hAnsi="Times New Roman" w:cs="Times New Roman"/>
          <w:color w:val="000000" w:themeColor="text1"/>
          <w:sz w:val="22"/>
          <w:szCs w:val="22"/>
          <w:lang w:val="pt-BR"/>
        </w:rPr>
        <w:t>aumentar a participação das mulheres na crescente economia digital da região.</w:t>
      </w:r>
    </w:p>
    <w:p w14:paraId="3B13FD7D" w14:textId="08F0672D" w:rsidR="00ED7A8E" w:rsidRPr="00913ACD" w:rsidRDefault="00ED7A8E" w:rsidP="007F5574">
      <w:pPr>
        <w:contextualSpacing/>
        <w:jc w:val="both"/>
        <w:rPr>
          <w:rFonts w:ascii="Times New Roman" w:eastAsia="Cambria" w:hAnsi="Times New Roman" w:cs="Times New Roman"/>
          <w:color w:val="000000" w:themeColor="text1"/>
          <w:sz w:val="22"/>
          <w:szCs w:val="22"/>
          <w:lang w:val="pt-BR"/>
        </w:rPr>
      </w:pPr>
    </w:p>
    <w:p w14:paraId="6A9A662B" w14:textId="76A2D0C3" w:rsidR="00ED7A8E" w:rsidRPr="00913ACD" w:rsidRDefault="00ED7A8E" w:rsidP="00CB030B">
      <w:pPr>
        <w:ind w:firstLine="720"/>
        <w:contextualSpacing/>
        <w:jc w:val="both"/>
        <w:rPr>
          <w:rFonts w:ascii="Times New Roman" w:eastAsia="Cambria"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Outras iniciativas apoiaram o compartilhamento de conhecimento e a colaboração intersetorial, particularmente na recuperação econômica inclusiva, no desenvolvimento econômico e na transformação digital. A cooperação contínua com a Comissão Interamericana de Ciência e Tecnologia (COMCYT) produziu avanços significativos na preparação econômica inclusiva para populações jovens e, muitas vezes, em risco nas Américas. Além disso, o trabalho da SEDI </w:t>
      </w:r>
      <w:r w:rsidR="00A264E2" w:rsidRPr="00913ACD">
        <w:rPr>
          <w:rFonts w:ascii="Times New Roman" w:hAnsi="Times New Roman" w:cs="Times New Roman"/>
          <w:color w:val="000000" w:themeColor="text1"/>
          <w:sz w:val="22"/>
          <w:szCs w:val="22"/>
          <w:lang w:val="pt-BR"/>
        </w:rPr>
        <w:t xml:space="preserve">de </w:t>
      </w:r>
      <w:r w:rsidRPr="00913ACD">
        <w:rPr>
          <w:rFonts w:ascii="Times New Roman" w:hAnsi="Times New Roman" w:cs="Times New Roman"/>
          <w:color w:val="000000" w:themeColor="text1"/>
          <w:sz w:val="22"/>
          <w:szCs w:val="22"/>
          <w:lang w:val="pt-BR"/>
        </w:rPr>
        <w:t>consolida</w:t>
      </w:r>
      <w:r w:rsidR="00A264E2" w:rsidRPr="00913ACD">
        <w:rPr>
          <w:rFonts w:ascii="Times New Roman" w:hAnsi="Times New Roman" w:cs="Times New Roman"/>
          <w:color w:val="000000" w:themeColor="text1"/>
          <w:sz w:val="22"/>
          <w:szCs w:val="22"/>
          <w:lang w:val="pt-BR"/>
        </w:rPr>
        <w:t xml:space="preserve">ção da </w:t>
      </w:r>
      <w:r w:rsidR="00392C24" w:rsidRPr="00913ACD">
        <w:rPr>
          <w:rFonts w:ascii="Times New Roman" w:hAnsi="Times New Roman" w:cs="Times New Roman"/>
          <w:sz w:val="22"/>
          <w:szCs w:val="22"/>
          <w:lang w:val="pt-BR"/>
        </w:rPr>
        <w:t xml:space="preserve">Colaboração </w:t>
      </w:r>
      <w:r w:rsidR="00123490" w:rsidRPr="00913ACD">
        <w:rPr>
          <w:rFonts w:ascii="Times New Roman" w:hAnsi="Times New Roman" w:cs="Times New Roman"/>
          <w:sz w:val="22"/>
          <w:szCs w:val="22"/>
          <w:lang w:val="pt-BR"/>
        </w:rPr>
        <w:t>no</w:t>
      </w:r>
      <w:r w:rsidR="00392C24" w:rsidRPr="00913ACD">
        <w:rPr>
          <w:rFonts w:ascii="Times New Roman" w:hAnsi="Times New Roman" w:cs="Times New Roman"/>
          <w:sz w:val="22"/>
          <w:szCs w:val="22"/>
          <w:lang w:val="pt-BR"/>
        </w:rPr>
        <w:t xml:space="preserve"> Turismo Indígena das Américas (ITCA) continua sendo um corolário importante para o trabalho de outros parceiros estratégicos. </w:t>
      </w:r>
    </w:p>
    <w:p w14:paraId="6C504B9F" w14:textId="77777777" w:rsidR="00E01782" w:rsidRPr="00913ACD" w:rsidRDefault="00E01782" w:rsidP="007F5574">
      <w:pPr>
        <w:contextualSpacing/>
        <w:jc w:val="both"/>
        <w:rPr>
          <w:rFonts w:ascii="Times New Roman" w:eastAsia="Cambria" w:hAnsi="Times New Roman" w:cs="Times New Roman"/>
          <w:b/>
          <w:bCs/>
          <w:color w:val="000000" w:themeColor="text1"/>
          <w:sz w:val="22"/>
          <w:szCs w:val="22"/>
          <w:lang w:val="pt-BR"/>
        </w:rPr>
      </w:pPr>
    </w:p>
    <w:p w14:paraId="7018626A" w14:textId="14586F73" w:rsidR="004C5116" w:rsidRPr="00913ACD" w:rsidRDefault="007427DB" w:rsidP="00CB030B">
      <w:pPr>
        <w:contextualSpacing/>
        <w:rPr>
          <w:rFonts w:ascii="Times New Roman" w:eastAsia="Cambria" w:hAnsi="Times New Roman" w:cs="Times New Roman"/>
          <w:b/>
          <w:bCs/>
          <w:color w:val="000000" w:themeColor="text1"/>
          <w:sz w:val="22"/>
          <w:szCs w:val="22"/>
          <w:u w:val="single"/>
          <w:lang w:val="pt-BR"/>
        </w:rPr>
      </w:pPr>
      <w:r w:rsidRPr="00913ACD">
        <w:rPr>
          <w:rFonts w:ascii="Times New Roman" w:hAnsi="Times New Roman" w:cs="Times New Roman"/>
          <w:b/>
          <w:color w:val="000000" w:themeColor="text1"/>
          <w:sz w:val="22"/>
          <w:szCs w:val="22"/>
          <w:u w:val="single"/>
          <w:lang w:val="pt-BR"/>
        </w:rPr>
        <w:t>OBJETIVO</w:t>
      </w:r>
      <w:r w:rsidR="00ED78BF" w:rsidRPr="00913ACD">
        <w:rPr>
          <w:rFonts w:ascii="Times New Roman" w:hAnsi="Times New Roman" w:cs="Times New Roman"/>
          <w:b/>
          <w:color w:val="000000" w:themeColor="text1"/>
          <w:sz w:val="22"/>
          <w:szCs w:val="22"/>
          <w:u w:val="single"/>
          <w:lang w:val="pt-BR"/>
        </w:rPr>
        <w:t xml:space="preserve"> 1.1</w:t>
      </w:r>
    </w:p>
    <w:p w14:paraId="4685982C" w14:textId="77777777" w:rsidR="0027642A" w:rsidRPr="00913ACD" w:rsidRDefault="0027642A" w:rsidP="00CB030B">
      <w:pPr>
        <w:contextualSpacing/>
        <w:rPr>
          <w:rFonts w:ascii="Times New Roman" w:eastAsia="Cambria" w:hAnsi="Times New Roman" w:cs="Times New Roman"/>
          <w:b/>
          <w:bCs/>
          <w:color w:val="000000" w:themeColor="text1"/>
          <w:sz w:val="22"/>
          <w:szCs w:val="22"/>
          <w:u w:val="single"/>
          <w:lang w:val="pt-BR"/>
        </w:rPr>
      </w:pPr>
    </w:p>
    <w:p w14:paraId="021BB249" w14:textId="372EADC9" w:rsidR="00ED78BF" w:rsidRPr="00913ACD" w:rsidRDefault="009D5B6D" w:rsidP="00CB030B">
      <w:pPr>
        <w:ind w:firstLine="720"/>
        <w:contextualSpacing/>
        <w:jc w:val="both"/>
        <w:rPr>
          <w:rFonts w:ascii="Times New Roman" w:eastAsia="Cambria" w:hAnsi="Times New Roman" w:cs="Times New Roman"/>
          <w:color w:val="000000" w:themeColor="text1"/>
          <w:sz w:val="22"/>
          <w:szCs w:val="22"/>
          <w:lang w:val="pt-BR"/>
        </w:rPr>
      </w:pPr>
      <w:r w:rsidRPr="00913ACD">
        <w:rPr>
          <w:rFonts w:ascii="Times New Roman" w:hAnsi="Times New Roman" w:cs="Times New Roman"/>
          <w:sz w:val="22"/>
          <w:szCs w:val="22"/>
          <w:lang w:val="pt-BR"/>
        </w:rPr>
        <w:t>Aumentar a capacidade das instituições dos Estados membros que apoiem a implementação de políticas e programas que promovam a produtividade, o empreendedorismo, a inovação e a internacionalização das micro, pequenas e médias empresas (MPMEs) bem como das cooperativas e outras unidades de produção</w:t>
      </w:r>
      <w:r w:rsidR="009B0089" w:rsidRPr="00913ACD">
        <w:rPr>
          <w:rFonts w:ascii="Times New Roman" w:hAnsi="Times New Roman" w:cs="Times New Roman"/>
          <w:color w:val="000000" w:themeColor="text1"/>
          <w:sz w:val="22"/>
          <w:szCs w:val="22"/>
          <w:lang w:val="pt-BR"/>
        </w:rPr>
        <w:t xml:space="preserve">. </w:t>
      </w:r>
    </w:p>
    <w:p w14:paraId="7B93417B" w14:textId="77777777" w:rsidR="00ED78BF" w:rsidRPr="00913ACD" w:rsidRDefault="00ED78BF" w:rsidP="00CB030B">
      <w:pPr>
        <w:jc w:val="both"/>
        <w:rPr>
          <w:rFonts w:ascii="Times New Roman" w:hAnsi="Times New Roman" w:cs="Times New Roman"/>
          <w:b/>
          <w:bCs/>
          <w:iCs/>
          <w:color w:val="000000" w:themeColor="text1"/>
          <w:sz w:val="22"/>
          <w:szCs w:val="22"/>
          <w:lang w:val="pt-BR"/>
        </w:rPr>
      </w:pPr>
    </w:p>
    <w:p w14:paraId="5B43F6E8" w14:textId="07C86C94" w:rsidR="00ED78BF" w:rsidRPr="00913ACD" w:rsidRDefault="00923DA8" w:rsidP="00CB030B">
      <w:pPr>
        <w:ind w:firstLine="720"/>
        <w:jc w:val="both"/>
        <w:rPr>
          <w:rFonts w:ascii="Times New Roman" w:hAnsi="Times New Roman" w:cs="Times New Roman"/>
          <w:b/>
          <w:bCs/>
          <w:color w:val="000000"/>
          <w:sz w:val="22"/>
          <w:szCs w:val="22"/>
          <w:lang w:val="pt-BR"/>
        </w:rPr>
      </w:pPr>
      <w:r w:rsidRPr="00913ACD">
        <w:rPr>
          <w:rFonts w:ascii="Times New Roman" w:hAnsi="Times New Roman" w:cs="Times New Roman"/>
          <w:b/>
          <w:color w:val="000000"/>
          <w:sz w:val="22"/>
          <w:szCs w:val="22"/>
          <w:lang w:val="pt-BR"/>
        </w:rPr>
        <w:t>Fortalecimento</w:t>
      </w:r>
      <w:r w:rsidR="00ED78BF" w:rsidRPr="00913ACD">
        <w:rPr>
          <w:rFonts w:ascii="Times New Roman" w:hAnsi="Times New Roman" w:cs="Times New Roman"/>
          <w:b/>
          <w:color w:val="000000"/>
          <w:sz w:val="22"/>
          <w:szCs w:val="22"/>
          <w:lang w:val="pt-BR"/>
        </w:rPr>
        <w:t xml:space="preserve"> da</w:t>
      </w:r>
      <w:r w:rsidR="009B3107" w:rsidRPr="00913ACD">
        <w:rPr>
          <w:rFonts w:ascii="Times New Roman" w:hAnsi="Times New Roman" w:cs="Times New Roman"/>
          <w:b/>
          <w:color w:val="000000"/>
          <w:sz w:val="22"/>
          <w:szCs w:val="22"/>
          <w:lang w:val="pt-BR"/>
        </w:rPr>
        <w:t>s</w:t>
      </w:r>
      <w:r w:rsidR="00ED78BF" w:rsidRPr="00913ACD">
        <w:rPr>
          <w:rFonts w:ascii="Times New Roman" w:hAnsi="Times New Roman" w:cs="Times New Roman"/>
          <w:b/>
          <w:color w:val="000000"/>
          <w:sz w:val="22"/>
          <w:szCs w:val="22"/>
          <w:lang w:val="pt-BR"/>
        </w:rPr>
        <w:t xml:space="preserve"> MPME</w:t>
      </w:r>
      <w:r w:rsidR="009B3107" w:rsidRPr="00913ACD">
        <w:rPr>
          <w:rFonts w:ascii="Times New Roman" w:hAnsi="Times New Roman" w:cs="Times New Roman"/>
          <w:b/>
          <w:color w:val="000000"/>
          <w:sz w:val="22"/>
          <w:szCs w:val="22"/>
          <w:lang w:val="pt-BR"/>
        </w:rPr>
        <w:t>s</w:t>
      </w:r>
      <w:r w:rsidR="00ED78BF" w:rsidRPr="00913ACD">
        <w:rPr>
          <w:rFonts w:ascii="Times New Roman" w:hAnsi="Times New Roman" w:cs="Times New Roman"/>
          <w:b/>
          <w:color w:val="000000"/>
          <w:sz w:val="22"/>
          <w:szCs w:val="22"/>
          <w:lang w:val="pt-BR"/>
        </w:rPr>
        <w:t xml:space="preserve"> e Cooperação Regional</w:t>
      </w:r>
    </w:p>
    <w:p w14:paraId="5964105A" w14:textId="77777777" w:rsidR="00ED78BF" w:rsidRPr="00913ACD" w:rsidRDefault="00ED78BF" w:rsidP="00CB030B">
      <w:pPr>
        <w:jc w:val="both"/>
        <w:rPr>
          <w:rFonts w:ascii="Times New Roman" w:hAnsi="Times New Roman" w:cs="Times New Roman"/>
          <w:b/>
          <w:bCs/>
          <w:color w:val="000000"/>
          <w:sz w:val="22"/>
          <w:szCs w:val="22"/>
          <w:lang w:val="pt-BR"/>
        </w:rPr>
      </w:pPr>
    </w:p>
    <w:p w14:paraId="6ED42003" w14:textId="777C99F1" w:rsidR="00ED78BF" w:rsidRPr="00913ACD" w:rsidRDefault="00ED78BF" w:rsidP="00CB030B">
      <w:pPr>
        <w:pStyle w:val="ListParagraph"/>
        <w:numPr>
          <w:ilvl w:val="0"/>
          <w:numId w:val="6"/>
        </w:numPr>
        <w:ind w:left="1440" w:hanging="720"/>
        <w:contextualSpacing/>
        <w:jc w:val="both"/>
        <w:rPr>
          <w:color w:val="000000" w:themeColor="text1"/>
          <w:sz w:val="22"/>
          <w:szCs w:val="22"/>
          <w:lang w:val="pt-BR"/>
        </w:rPr>
      </w:pPr>
      <w:r w:rsidRPr="00913ACD">
        <w:rPr>
          <w:color w:val="000000" w:themeColor="text1"/>
          <w:sz w:val="22"/>
          <w:szCs w:val="22"/>
          <w:lang w:val="pt-BR"/>
        </w:rPr>
        <w:t xml:space="preserve">Em parceria com a agência de assistência às micro e pequenas empresas do Governo do Chile (SERCOTEC), </w:t>
      </w:r>
      <w:r w:rsidR="000872D5" w:rsidRPr="00913ACD">
        <w:rPr>
          <w:color w:val="000000" w:themeColor="text1"/>
          <w:sz w:val="22"/>
          <w:szCs w:val="22"/>
          <w:lang w:val="pt-BR"/>
        </w:rPr>
        <w:t xml:space="preserve">foram realizados </w:t>
      </w:r>
      <w:r w:rsidRPr="00913ACD">
        <w:rPr>
          <w:color w:val="000000" w:themeColor="text1"/>
          <w:sz w:val="22"/>
          <w:szCs w:val="22"/>
          <w:lang w:val="pt-BR"/>
        </w:rPr>
        <w:t>quatro webinars personalizados (</w:t>
      </w:r>
      <w:r w:rsidR="00D14608">
        <w:rPr>
          <w:color w:val="000000" w:themeColor="text1"/>
          <w:sz w:val="22"/>
          <w:szCs w:val="22"/>
          <w:lang w:val="pt-BR"/>
        </w:rPr>
        <w:t>I</w:t>
      </w:r>
      <w:r w:rsidRPr="00913ACD">
        <w:rPr>
          <w:color w:val="000000" w:themeColor="text1"/>
          <w:sz w:val="22"/>
          <w:szCs w:val="22"/>
          <w:lang w:val="pt-BR"/>
        </w:rPr>
        <w:t>nstituições de apoio às MPME</w:t>
      </w:r>
      <w:r w:rsidR="00EA0C6D" w:rsidRPr="00913ACD">
        <w:rPr>
          <w:color w:val="000000" w:themeColor="text1"/>
          <w:sz w:val="22"/>
          <w:szCs w:val="22"/>
          <w:lang w:val="pt-BR"/>
        </w:rPr>
        <w:t>s</w:t>
      </w:r>
      <w:r w:rsidRPr="00913ACD">
        <w:rPr>
          <w:color w:val="000000" w:themeColor="text1"/>
          <w:sz w:val="22"/>
          <w:szCs w:val="22"/>
          <w:lang w:val="pt-BR"/>
        </w:rPr>
        <w:t xml:space="preserve">, </w:t>
      </w:r>
      <w:r w:rsidR="00D14608">
        <w:rPr>
          <w:color w:val="000000" w:themeColor="text1"/>
          <w:sz w:val="22"/>
          <w:szCs w:val="22"/>
          <w:lang w:val="pt-BR"/>
        </w:rPr>
        <w:t>E</w:t>
      </w:r>
      <w:r w:rsidRPr="00913ACD">
        <w:rPr>
          <w:color w:val="000000" w:themeColor="text1"/>
          <w:sz w:val="22"/>
          <w:szCs w:val="22"/>
          <w:lang w:val="pt-BR"/>
        </w:rPr>
        <w:t xml:space="preserve">cossistema empreendedor chileno, </w:t>
      </w:r>
      <w:r w:rsidR="00441049">
        <w:rPr>
          <w:color w:val="000000" w:themeColor="text1"/>
          <w:sz w:val="22"/>
          <w:szCs w:val="22"/>
          <w:lang w:val="pt-BR"/>
        </w:rPr>
        <w:t>C</w:t>
      </w:r>
      <w:r w:rsidRPr="00913ACD">
        <w:rPr>
          <w:color w:val="000000" w:themeColor="text1"/>
          <w:sz w:val="22"/>
          <w:szCs w:val="22"/>
          <w:lang w:val="pt-BR"/>
        </w:rPr>
        <w:t xml:space="preserve">omércio local e </w:t>
      </w:r>
      <w:r w:rsidR="00441049">
        <w:rPr>
          <w:color w:val="000000" w:themeColor="text1"/>
          <w:sz w:val="22"/>
          <w:szCs w:val="22"/>
          <w:lang w:val="pt-BR"/>
        </w:rPr>
        <w:t>C</w:t>
      </w:r>
      <w:r w:rsidRPr="00913ACD">
        <w:rPr>
          <w:color w:val="000000" w:themeColor="text1"/>
          <w:sz w:val="22"/>
          <w:szCs w:val="22"/>
          <w:lang w:val="pt-BR"/>
        </w:rPr>
        <w:t>omércio eletrônico) no âmbito do Acordo de Cooperação entre a OEA e o Governo do Peru para apoiar as MPMEs.</w:t>
      </w:r>
    </w:p>
    <w:p w14:paraId="5ADD12B1" w14:textId="77777777" w:rsidR="00ED78BF" w:rsidRPr="00913ACD" w:rsidRDefault="00ED78BF" w:rsidP="007F5574">
      <w:pPr>
        <w:pStyle w:val="paragraph"/>
        <w:spacing w:before="0" w:beforeAutospacing="0" w:after="0" w:afterAutospacing="0"/>
        <w:jc w:val="both"/>
        <w:textAlignment w:val="baseline"/>
        <w:rPr>
          <w:color w:val="000000"/>
          <w:sz w:val="22"/>
          <w:szCs w:val="22"/>
          <w:lang w:val="pt-BR"/>
        </w:rPr>
      </w:pPr>
    </w:p>
    <w:p w14:paraId="6E22F706" w14:textId="707474E8" w:rsidR="00ED78BF" w:rsidRPr="00913ACD" w:rsidRDefault="00ED78BF" w:rsidP="00CB030B">
      <w:pPr>
        <w:pStyle w:val="paragraph"/>
        <w:spacing w:before="0" w:beforeAutospacing="0" w:after="0" w:afterAutospacing="0"/>
        <w:ind w:left="1440" w:hanging="720"/>
        <w:jc w:val="both"/>
        <w:textAlignment w:val="baseline"/>
        <w:rPr>
          <w:b/>
          <w:bCs/>
          <w:color w:val="000000"/>
          <w:sz w:val="22"/>
          <w:szCs w:val="22"/>
          <w:lang w:val="pt-BR"/>
        </w:rPr>
      </w:pPr>
      <w:r w:rsidRPr="00913ACD">
        <w:rPr>
          <w:b/>
          <w:bCs/>
          <w:color w:val="000000"/>
          <w:sz w:val="22"/>
          <w:szCs w:val="22"/>
          <w:lang w:val="pt-BR"/>
        </w:rPr>
        <w:t>Programa da OEA</w:t>
      </w:r>
      <w:r w:rsidR="00AB4431" w:rsidRPr="00913ACD">
        <w:rPr>
          <w:b/>
          <w:bCs/>
          <w:color w:val="000000"/>
          <w:sz w:val="22"/>
          <w:szCs w:val="22"/>
          <w:lang w:val="pt-BR"/>
        </w:rPr>
        <w:t xml:space="preserve"> </w:t>
      </w:r>
      <w:r w:rsidR="00A8636D" w:rsidRPr="00913ACD">
        <w:rPr>
          <w:b/>
          <w:bCs/>
          <w:color w:val="000000"/>
          <w:sz w:val="22"/>
          <w:szCs w:val="22"/>
          <w:lang w:val="pt-BR"/>
        </w:rPr>
        <w:t>para a</w:t>
      </w:r>
      <w:r w:rsidR="00AB4431" w:rsidRPr="00913ACD">
        <w:rPr>
          <w:b/>
          <w:bCs/>
          <w:color w:val="000000"/>
          <w:sz w:val="22"/>
          <w:szCs w:val="22"/>
          <w:lang w:val="pt-BR"/>
        </w:rPr>
        <w:t xml:space="preserve"> </w:t>
      </w:r>
      <w:r w:rsidR="00833BC9" w:rsidRPr="00913ACD">
        <w:rPr>
          <w:b/>
          <w:bCs/>
          <w:color w:val="000000"/>
          <w:sz w:val="22"/>
          <w:szCs w:val="22"/>
          <w:lang w:val="pt-BR"/>
        </w:rPr>
        <w:t>d</w:t>
      </w:r>
      <w:r w:rsidR="00AB4431" w:rsidRPr="00913ACD">
        <w:rPr>
          <w:b/>
          <w:bCs/>
          <w:color w:val="000000"/>
          <w:sz w:val="22"/>
          <w:szCs w:val="22"/>
          <w:lang w:val="pt-BR"/>
        </w:rPr>
        <w:t>igitalização das MPMEs</w:t>
      </w:r>
    </w:p>
    <w:p w14:paraId="4E6BA281" w14:textId="77777777" w:rsidR="00ED78BF" w:rsidRPr="00913ACD" w:rsidRDefault="00ED78BF" w:rsidP="007F5574">
      <w:pPr>
        <w:pStyle w:val="paragraph"/>
        <w:spacing w:before="0" w:beforeAutospacing="0" w:after="0" w:afterAutospacing="0"/>
        <w:jc w:val="both"/>
        <w:textAlignment w:val="baseline"/>
        <w:rPr>
          <w:b/>
          <w:bCs/>
          <w:color w:val="000000"/>
          <w:sz w:val="22"/>
          <w:szCs w:val="22"/>
          <w:lang w:val="pt-BR"/>
        </w:rPr>
      </w:pPr>
    </w:p>
    <w:p w14:paraId="12461C7D" w14:textId="614D33AA" w:rsidR="00ED78BF" w:rsidRPr="00913ACD" w:rsidRDefault="00ED78BF" w:rsidP="00CB030B">
      <w:pPr>
        <w:pStyle w:val="ListParagraph"/>
        <w:numPr>
          <w:ilvl w:val="0"/>
          <w:numId w:val="6"/>
        </w:numPr>
        <w:ind w:left="1440" w:hanging="720"/>
        <w:contextualSpacing/>
        <w:jc w:val="both"/>
        <w:rPr>
          <w:color w:val="000000" w:themeColor="text1"/>
          <w:sz w:val="22"/>
          <w:szCs w:val="22"/>
          <w:lang w:val="pt-BR"/>
        </w:rPr>
      </w:pPr>
      <w:r w:rsidRPr="00913ACD">
        <w:rPr>
          <w:color w:val="000000" w:themeColor="text1"/>
          <w:sz w:val="22"/>
          <w:szCs w:val="22"/>
          <w:lang w:val="pt-BR"/>
        </w:rPr>
        <w:t xml:space="preserve">No âmbito da Parceria Empresarial OEA-WhatsApp para MPMEs, o WhatsApp se ofereceu para colaborar com a OEA </w:t>
      </w:r>
      <w:r w:rsidR="002E1484" w:rsidRPr="00913ACD">
        <w:rPr>
          <w:color w:val="000000" w:themeColor="text1"/>
          <w:sz w:val="22"/>
          <w:szCs w:val="22"/>
          <w:lang w:val="pt-BR"/>
        </w:rPr>
        <w:t xml:space="preserve">na </w:t>
      </w:r>
      <w:r w:rsidRPr="00913ACD">
        <w:rPr>
          <w:color w:val="000000" w:themeColor="text1"/>
          <w:sz w:val="22"/>
          <w:szCs w:val="22"/>
          <w:lang w:val="pt-BR"/>
        </w:rPr>
        <w:t>entrega</w:t>
      </w:r>
      <w:r w:rsidR="002E1484" w:rsidRPr="00913ACD">
        <w:rPr>
          <w:color w:val="000000" w:themeColor="text1"/>
          <w:sz w:val="22"/>
          <w:szCs w:val="22"/>
          <w:lang w:val="pt-BR"/>
        </w:rPr>
        <w:t xml:space="preserve"> de</w:t>
      </w:r>
      <w:r w:rsidRPr="00913ACD">
        <w:rPr>
          <w:color w:val="000000" w:themeColor="text1"/>
          <w:sz w:val="22"/>
          <w:szCs w:val="22"/>
          <w:lang w:val="pt-BR"/>
        </w:rPr>
        <w:t xml:space="preserve"> uma série de sessões de Treinamento </w:t>
      </w:r>
      <w:r w:rsidR="00013D2F" w:rsidRPr="00913ACD">
        <w:rPr>
          <w:color w:val="000000" w:themeColor="text1"/>
          <w:sz w:val="22"/>
          <w:szCs w:val="22"/>
          <w:lang w:val="pt-BR"/>
        </w:rPr>
        <w:t>d</w:t>
      </w:r>
      <w:r w:rsidRPr="00913ACD">
        <w:rPr>
          <w:color w:val="000000" w:themeColor="text1"/>
          <w:sz w:val="22"/>
          <w:szCs w:val="22"/>
          <w:lang w:val="pt-BR"/>
        </w:rPr>
        <w:t xml:space="preserve">o </w:t>
      </w:r>
      <w:r w:rsidR="00750266">
        <w:rPr>
          <w:color w:val="000000" w:themeColor="text1"/>
          <w:sz w:val="22"/>
          <w:szCs w:val="22"/>
          <w:lang w:val="pt-BR"/>
        </w:rPr>
        <w:t xml:space="preserve">Treinador </w:t>
      </w:r>
      <w:r w:rsidRPr="00913ACD">
        <w:rPr>
          <w:color w:val="000000" w:themeColor="text1"/>
          <w:sz w:val="22"/>
          <w:szCs w:val="22"/>
          <w:lang w:val="pt-BR"/>
        </w:rPr>
        <w:t>para autoridades e outros funcionários encarregados de apoiar o desenvolvimento do setor d</w:t>
      </w:r>
      <w:r w:rsidR="00822786" w:rsidRPr="00913ACD">
        <w:rPr>
          <w:color w:val="000000" w:themeColor="text1"/>
          <w:sz w:val="22"/>
          <w:szCs w:val="22"/>
          <w:lang w:val="pt-BR"/>
        </w:rPr>
        <w:t>as</w:t>
      </w:r>
      <w:r w:rsidRPr="00913ACD">
        <w:rPr>
          <w:color w:val="000000" w:themeColor="text1"/>
          <w:sz w:val="22"/>
          <w:szCs w:val="22"/>
          <w:lang w:val="pt-BR"/>
        </w:rPr>
        <w:t xml:space="preserve"> MPME</w:t>
      </w:r>
      <w:r w:rsidR="00822786" w:rsidRPr="00913ACD">
        <w:rPr>
          <w:color w:val="000000" w:themeColor="text1"/>
          <w:sz w:val="22"/>
          <w:szCs w:val="22"/>
          <w:lang w:val="pt-BR"/>
        </w:rPr>
        <w:t>s</w:t>
      </w:r>
      <w:r w:rsidRPr="00913ACD">
        <w:rPr>
          <w:color w:val="000000" w:themeColor="text1"/>
          <w:sz w:val="22"/>
          <w:szCs w:val="22"/>
          <w:lang w:val="pt-BR"/>
        </w:rPr>
        <w:t xml:space="preserve"> no uso de ferramentas WhatsApp Business </w:t>
      </w:r>
      <w:r w:rsidR="00437968">
        <w:rPr>
          <w:color w:val="000000" w:themeColor="text1"/>
          <w:sz w:val="22"/>
          <w:szCs w:val="22"/>
          <w:lang w:val="pt-BR"/>
        </w:rPr>
        <w:t xml:space="preserve">visando-se </w:t>
      </w:r>
      <w:r w:rsidR="00C40541" w:rsidRPr="00913ACD">
        <w:rPr>
          <w:color w:val="000000" w:themeColor="text1"/>
          <w:sz w:val="22"/>
          <w:szCs w:val="22"/>
          <w:lang w:val="pt-BR"/>
        </w:rPr>
        <w:t xml:space="preserve">a </w:t>
      </w:r>
      <w:r w:rsidRPr="00913ACD">
        <w:rPr>
          <w:color w:val="000000" w:themeColor="text1"/>
          <w:sz w:val="22"/>
          <w:szCs w:val="22"/>
          <w:lang w:val="pt-BR"/>
        </w:rPr>
        <w:t>que as MPMEs se conectem diretamente com os clientes e alcancem novos mercados gratuita</w:t>
      </w:r>
      <w:r w:rsidR="00DD452D">
        <w:rPr>
          <w:color w:val="000000" w:themeColor="text1"/>
          <w:sz w:val="22"/>
          <w:szCs w:val="22"/>
          <w:lang w:val="pt-BR"/>
        </w:rPr>
        <w:t>mente</w:t>
      </w:r>
      <w:r w:rsidR="00FA33DD" w:rsidRPr="00913ACD">
        <w:rPr>
          <w:color w:val="000000" w:themeColor="text1"/>
          <w:sz w:val="22"/>
          <w:szCs w:val="22"/>
          <w:lang w:val="pt-BR"/>
        </w:rPr>
        <w:t xml:space="preserve"> e com</w:t>
      </w:r>
      <w:r w:rsidR="00C51D8E" w:rsidRPr="00913ACD">
        <w:rPr>
          <w:color w:val="000000" w:themeColor="text1"/>
          <w:sz w:val="22"/>
          <w:szCs w:val="22"/>
          <w:lang w:val="pt-BR"/>
        </w:rPr>
        <w:t xml:space="preserve"> </w:t>
      </w:r>
      <w:r w:rsidRPr="00913ACD">
        <w:rPr>
          <w:color w:val="000000" w:themeColor="text1"/>
          <w:sz w:val="22"/>
          <w:szCs w:val="22"/>
          <w:lang w:val="pt-BR"/>
        </w:rPr>
        <w:t>tecnologia simples, confiável e segura.</w:t>
      </w:r>
    </w:p>
    <w:p w14:paraId="26BF90EC" w14:textId="4BA686E1" w:rsidR="0074320E" w:rsidRPr="00913ACD" w:rsidRDefault="0074320E" w:rsidP="007F5574">
      <w:pPr>
        <w:jc w:val="both"/>
        <w:rPr>
          <w:rFonts w:ascii="Times New Roman" w:hAnsi="Times New Roman" w:cs="Times New Roman"/>
          <w:color w:val="000000"/>
          <w:sz w:val="22"/>
          <w:szCs w:val="22"/>
          <w:lang w:val="pt-BR"/>
        </w:rPr>
      </w:pPr>
    </w:p>
    <w:p w14:paraId="1E277957" w14:textId="369AB2BB" w:rsidR="00ED78BF" w:rsidRPr="00913ACD" w:rsidRDefault="00ED78BF" w:rsidP="00CB030B">
      <w:pPr>
        <w:ind w:left="1440" w:hanging="720"/>
        <w:jc w:val="both"/>
        <w:rPr>
          <w:rFonts w:ascii="Times New Roman" w:hAnsi="Times New Roman" w:cs="Times New Roman"/>
          <w:b/>
          <w:bCs/>
          <w:color w:val="000000"/>
          <w:sz w:val="22"/>
          <w:szCs w:val="22"/>
          <w:lang w:val="pt-BR"/>
        </w:rPr>
      </w:pPr>
      <w:r w:rsidRPr="00913ACD">
        <w:rPr>
          <w:rFonts w:ascii="Times New Roman" w:hAnsi="Times New Roman" w:cs="Times New Roman"/>
          <w:b/>
          <w:color w:val="000000"/>
          <w:sz w:val="22"/>
          <w:szCs w:val="22"/>
          <w:lang w:val="pt-BR"/>
        </w:rPr>
        <w:t xml:space="preserve">Empoderamento </w:t>
      </w:r>
      <w:r w:rsidR="00833BC9" w:rsidRPr="00913ACD">
        <w:rPr>
          <w:rFonts w:ascii="Times New Roman" w:hAnsi="Times New Roman" w:cs="Times New Roman"/>
          <w:b/>
          <w:color w:val="000000"/>
          <w:sz w:val="22"/>
          <w:szCs w:val="22"/>
          <w:lang w:val="pt-BR"/>
        </w:rPr>
        <w:t>e</w:t>
      </w:r>
      <w:r w:rsidRPr="00913ACD">
        <w:rPr>
          <w:rFonts w:ascii="Times New Roman" w:hAnsi="Times New Roman" w:cs="Times New Roman"/>
          <w:b/>
          <w:color w:val="000000"/>
          <w:sz w:val="22"/>
          <w:szCs w:val="22"/>
          <w:lang w:val="pt-BR"/>
        </w:rPr>
        <w:t xml:space="preserve">conômico da </w:t>
      </w:r>
      <w:r w:rsidR="00833BC9" w:rsidRPr="00913ACD">
        <w:rPr>
          <w:rFonts w:ascii="Times New Roman" w:hAnsi="Times New Roman" w:cs="Times New Roman"/>
          <w:b/>
          <w:color w:val="000000"/>
          <w:sz w:val="22"/>
          <w:szCs w:val="22"/>
          <w:lang w:val="pt-BR"/>
        </w:rPr>
        <w:t>m</w:t>
      </w:r>
      <w:r w:rsidRPr="00913ACD">
        <w:rPr>
          <w:rFonts w:ascii="Times New Roman" w:hAnsi="Times New Roman" w:cs="Times New Roman"/>
          <w:b/>
          <w:color w:val="000000"/>
          <w:sz w:val="22"/>
          <w:szCs w:val="22"/>
          <w:lang w:val="pt-BR"/>
        </w:rPr>
        <w:t>ulher</w:t>
      </w:r>
    </w:p>
    <w:p w14:paraId="6B66BCA5" w14:textId="77777777" w:rsidR="00ED78BF" w:rsidRPr="00913ACD" w:rsidRDefault="00ED78BF" w:rsidP="00CB030B">
      <w:pPr>
        <w:jc w:val="both"/>
        <w:rPr>
          <w:rFonts w:ascii="Times New Roman" w:hAnsi="Times New Roman" w:cs="Times New Roman"/>
          <w:b/>
          <w:bCs/>
          <w:color w:val="000000"/>
          <w:sz w:val="22"/>
          <w:szCs w:val="22"/>
          <w:lang w:val="pt-BR"/>
        </w:rPr>
      </w:pPr>
    </w:p>
    <w:p w14:paraId="5F5FEF10" w14:textId="5C51CC8C" w:rsidR="00ED78BF" w:rsidRPr="00913ACD" w:rsidRDefault="00ED78BF" w:rsidP="00CB030B">
      <w:pPr>
        <w:pStyle w:val="ListParagraph"/>
        <w:numPr>
          <w:ilvl w:val="0"/>
          <w:numId w:val="6"/>
        </w:numPr>
        <w:ind w:left="1440" w:hanging="720"/>
        <w:contextualSpacing/>
        <w:jc w:val="both"/>
        <w:rPr>
          <w:color w:val="000000" w:themeColor="text1"/>
          <w:sz w:val="22"/>
          <w:szCs w:val="22"/>
          <w:lang w:val="pt-BR"/>
        </w:rPr>
      </w:pPr>
      <w:r w:rsidRPr="00913ACD">
        <w:rPr>
          <w:color w:val="000000" w:themeColor="text1"/>
          <w:sz w:val="22"/>
          <w:szCs w:val="22"/>
          <w:lang w:val="pt-BR"/>
        </w:rPr>
        <w:t xml:space="preserve">Lançou o projeto </w:t>
      </w:r>
      <w:r w:rsidR="007800A2" w:rsidRPr="00913ACD">
        <w:rPr>
          <w:color w:val="000000" w:themeColor="text1"/>
          <w:sz w:val="22"/>
          <w:szCs w:val="22"/>
          <w:lang w:val="pt-BR"/>
        </w:rPr>
        <w:t>“</w:t>
      </w:r>
      <w:r w:rsidRPr="00913ACD">
        <w:rPr>
          <w:b/>
          <w:bCs/>
          <w:color w:val="000000" w:themeColor="text1"/>
          <w:sz w:val="22"/>
          <w:szCs w:val="22"/>
          <w:lang w:val="pt-BR"/>
        </w:rPr>
        <w:t>Mulheres Economicamente Empoderadas para Sociedades Equitativas e Resilientes</w:t>
      </w:r>
      <w:r w:rsidR="007800A2" w:rsidRPr="00913ACD">
        <w:rPr>
          <w:b/>
          <w:bCs/>
          <w:color w:val="000000" w:themeColor="text1"/>
          <w:sz w:val="22"/>
          <w:szCs w:val="22"/>
          <w:lang w:val="pt-BR"/>
        </w:rPr>
        <w:t>”</w:t>
      </w:r>
      <w:r w:rsidRPr="00913ACD">
        <w:rPr>
          <w:b/>
          <w:bCs/>
          <w:color w:val="000000" w:themeColor="text1"/>
          <w:sz w:val="22"/>
          <w:szCs w:val="22"/>
          <w:lang w:val="pt-BR"/>
        </w:rPr>
        <w:t xml:space="preserve"> </w:t>
      </w:r>
      <w:r w:rsidRPr="00913ACD">
        <w:rPr>
          <w:color w:val="000000" w:themeColor="text1"/>
          <w:sz w:val="22"/>
          <w:szCs w:val="22"/>
          <w:lang w:val="pt-BR"/>
        </w:rPr>
        <w:t>em três</w:t>
      </w:r>
      <w:r w:rsidR="00E05025" w:rsidRPr="00913ACD">
        <w:rPr>
          <w:color w:val="000000" w:themeColor="text1"/>
          <w:sz w:val="22"/>
          <w:szCs w:val="22"/>
          <w:lang w:val="pt-BR"/>
        </w:rPr>
        <w:t xml:space="preserve"> </w:t>
      </w:r>
      <w:r w:rsidR="00251A08" w:rsidRPr="00913ACD">
        <w:rPr>
          <w:color w:val="000000" w:themeColor="text1"/>
          <w:sz w:val="22"/>
          <w:szCs w:val="22"/>
          <w:lang w:val="pt-BR"/>
        </w:rPr>
        <w:t>E</w:t>
      </w:r>
      <w:r w:rsidRPr="00913ACD">
        <w:rPr>
          <w:sz w:val="22"/>
          <w:szCs w:val="22"/>
          <w:lang w:val="pt-BR"/>
        </w:rPr>
        <w:t xml:space="preserve">stados </w:t>
      </w:r>
      <w:r w:rsidR="00251A08" w:rsidRPr="00913ACD">
        <w:rPr>
          <w:sz w:val="22"/>
          <w:szCs w:val="22"/>
          <w:lang w:val="pt-BR"/>
        </w:rPr>
        <w:t xml:space="preserve">membros </w:t>
      </w:r>
      <w:r w:rsidRPr="00913ACD">
        <w:rPr>
          <w:sz w:val="22"/>
          <w:szCs w:val="22"/>
          <w:lang w:val="pt-BR"/>
        </w:rPr>
        <w:t>do</w:t>
      </w:r>
      <w:r w:rsidR="00C51D8E" w:rsidRPr="00913ACD">
        <w:rPr>
          <w:sz w:val="22"/>
          <w:szCs w:val="22"/>
          <w:lang w:val="pt-BR"/>
        </w:rPr>
        <w:t xml:space="preserve"> </w:t>
      </w:r>
      <w:r w:rsidRPr="00913ACD">
        <w:rPr>
          <w:color w:val="000000" w:themeColor="text1"/>
          <w:sz w:val="22"/>
          <w:szCs w:val="22"/>
          <w:lang w:val="pt-BR"/>
        </w:rPr>
        <w:t xml:space="preserve">Triângulo Norte (El Salvador, Guatemala e Honduras) e nos seis países do Caribe Oriental (OECS) que são </w:t>
      </w:r>
      <w:r w:rsidR="00986FA3" w:rsidRPr="00913ACD">
        <w:rPr>
          <w:color w:val="000000" w:themeColor="text1"/>
          <w:sz w:val="22"/>
          <w:szCs w:val="22"/>
          <w:lang w:val="pt-BR"/>
        </w:rPr>
        <w:t>E</w:t>
      </w:r>
      <w:r w:rsidRPr="00913ACD">
        <w:rPr>
          <w:color w:val="000000" w:themeColor="text1"/>
          <w:sz w:val="22"/>
          <w:szCs w:val="22"/>
          <w:lang w:val="pt-BR"/>
        </w:rPr>
        <w:t>stados membros da O</w:t>
      </w:r>
      <w:r w:rsidR="00986FA3" w:rsidRPr="00913ACD">
        <w:rPr>
          <w:color w:val="000000" w:themeColor="text1"/>
          <w:sz w:val="22"/>
          <w:szCs w:val="22"/>
          <w:lang w:val="pt-BR"/>
        </w:rPr>
        <w:t>E</w:t>
      </w:r>
      <w:r w:rsidRPr="00913ACD">
        <w:rPr>
          <w:color w:val="000000" w:themeColor="text1"/>
          <w:sz w:val="22"/>
          <w:szCs w:val="22"/>
          <w:lang w:val="pt-BR"/>
        </w:rPr>
        <w:t>A</w:t>
      </w:r>
      <w:r w:rsidR="00E05025" w:rsidRPr="00913ACD">
        <w:rPr>
          <w:color w:val="000000" w:themeColor="text1"/>
          <w:sz w:val="22"/>
          <w:szCs w:val="22"/>
          <w:lang w:val="pt-BR"/>
        </w:rPr>
        <w:t xml:space="preserve"> </w:t>
      </w:r>
      <w:r w:rsidRPr="00913ACD">
        <w:rPr>
          <w:color w:val="000000" w:themeColor="text1"/>
          <w:sz w:val="22"/>
          <w:szCs w:val="22"/>
          <w:lang w:val="pt-BR"/>
        </w:rPr>
        <w:t>(Antígua e Barbuda, S</w:t>
      </w:r>
      <w:r w:rsidR="00B61C23" w:rsidRPr="00913ACD">
        <w:rPr>
          <w:color w:val="000000" w:themeColor="text1"/>
          <w:sz w:val="22"/>
          <w:szCs w:val="22"/>
          <w:lang w:val="pt-BR"/>
        </w:rPr>
        <w:t>aint Kitts e</w:t>
      </w:r>
      <w:r w:rsidRPr="00913ACD">
        <w:rPr>
          <w:color w:val="000000" w:themeColor="text1"/>
          <w:sz w:val="22"/>
          <w:szCs w:val="22"/>
          <w:lang w:val="pt-BR"/>
        </w:rPr>
        <w:t xml:space="preserve"> Névis, Dominica, Santa Lúcia, São Vicente e Granadinas e Granada),</w:t>
      </w:r>
      <w:r w:rsidR="00C51D8E" w:rsidRPr="00913ACD">
        <w:rPr>
          <w:color w:val="000000" w:themeColor="text1"/>
          <w:sz w:val="22"/>
          <w:szCs w:val="22"/>
          <w:lang w:val="pt-BR"/>
        </w:rPr>
        <w:t xml:space="preserve"> </w:t>
      </w:r>
      <w:r w:rsidRPr="00913ACD">
        <w:rPr>
          <w:color w:val="000000" w:themeColor="text1"/>
          <w:sz w:val="22"/>
          <w:szCs w:val="22"/>
          <w:lang w:val="pt-BR"/>
        </w:rPr>
        <w:t xml:space="preserve">com financiamento da Missão Permanente dos EUA junto à OEA e </w:t>
      </w:r>
      <w:r w:rsidR="00B61C23" w:rsidRPr="00913ACD">
        <w:rPr>
          <w:color w:val="000000" w:themeColor="text1"/>
          <w:sz w:val="22"/>
          <w:szCs w:val="22"/>
          <w:lang w:val="pt-BR"/>
        </w:rPr>
        <w:t>da</w:t>
      </w:r>
      <w:r w:rsidRPr="00913ACD">
        <w:rPr>
          <w:color w:val="000000" w:themeColor="text1"/>
          <w:sz w:val="22"/>
          <w:szCs w:val="22"/>
          <w:lang w:val="pt-BR"/>
        </w:rPr>
        <w:t xml:space="preserve"> M</w:t>
      </w:r>
      <w:r w:rsidR="00B61C23" w:rsidRPr="00913ACD">
        <w:rPr>
          <w:color w:val="000000" w:themeColor="text1"/>
          <w:sz w:val="22"/>
          <w:szCs w:val="22"/>
          <w:lang w:val="pt-BR"/>
        </w:rPr>
        <w:t>eta</w:t>
      </w:r>
      <w:r w:rsidRPr="00913ACD">
        <w:rPr>
          <w:color w:val="000000" w:themeColor="text1"/>
          <w:sz w:val="22"/>
          <w:szCs w:val="22"/>
          <w:lang w:val="pt-BR"/>
        </w:rPr>
        <w:t xml:space="preserve">, para aumentar a capacidade das mulheres de funcionar efetivamente na economia, construir meios de subsistência sustentáveis e aumentar sua participação na formulação de políticas e </w:t>
      </w:r>
      <w:r w:rsidR="00476D1D" w:rsidRPr="00913ACD">
        <w:rPr>
          <w:color w:val="000000" w:themeColor="text1"/>
          <w:sz w:val="22"/>
          <w:szCs w:val="22"/>
          <w:lang w:val="pt-BR"/>
        </w:rPr>
        <w:t xml:space="preserve">na </w:t>
      </w:r>
      <w:r w:rsidRPr="00913ACD">
        <w:rPr>
          <w:color w:val="000000" w:themeColor="text1"/>
          <w:sz w:val="22"/>
          <w:szCs w:val="22"/>
          <w:lang w:val="pt-BR"/>
        </w:rPr>
        <w:t>liderança em suas sociedades.</w:t>
      </w:r>
    </w:p>
    <w:p w14:paraId="7E633304" w14:textId="77777777" w:rsidR="00ED78BF" w:rsidRPr="00913ACD" w:rsidRDefault="00ED78BF" w:rsidP="00CB030B">
      <w:pPr>
        <w:jc w:val="both"/>
        <w:rPr>
          <w:rFonts w:ascii="Times New Roman" w:hAnsi="Times New Roman" w:cs="Times New Roman"/>
          <w:color w:val="000000" w:themeColor="text1"/>
          <w:sz w:val="22"/>
          <w:szCs w:val="22"/>
          <w:lang w:val="pt-BR"/>
        </w:rPr>
      </w:pPr>
    </w:p>
    <w:p w14:paraId="3EA92A79" w14:textId="12C72755" w:rsidR="00ED78BF" w:rsidRPr="00913ACD" w:rsidRDefault="00ED78BF" w:rsidP="00CB030B">
      <w:pPr>
        <w:tabs>
          <w:tab w:val="left" w:pos="720"/>
        </w:tabs>
        <w:ind w:left="720"/>
        <w:jc w:val="both"/>
        <w:rPr>
          <w:rFonts w:ascii="Times New Roman" w:hAnsi="Times New Roman" w:cs="Times New Roman"/>
          <w:b/>
          <w:bCs/>
          <w:color w:val="000000" w:themeColor="text1"/>
          <w:sz w:val="22"/>
          <w:szCs w:val="22"/>
          <w:lang w:val="pt-BR"/>
        </w:rPr>
      </w:pPr>
      <w:bookmarkStart w:id="0" w:name="_Hlk87013042"/>
      <w:r w:rsidRPr="00913ACD">
        <w:rPr>
          <w:rFonts w:ascii="Times New Roman" w:hAnsi="Times New Roman" w:cs="Times New Roman"/>
          <w:b/>
          <w:color w:val="000000" w:themeColor="text1"/>
          <w:sz w:val="22"/>
          <w:szCs w:val="22"/>
          <w:lang w:val="pt-BR"/>
        </w:rPr>
        <w:t>Programa Centros de Desenvolvimento de Pequenas Empresas do Caribe (SBDC)</w:t>
      </w:r>
    </w:p>
    <w:p w14:paraId="7ACF2DE8" w14:textId="77777777" w:rsidR="00ED78BF" w:rsidRPr="00913ACD" w:rsidRDefault="00ED78BF" w:rsidP="007F5574">
      <w:pPr>
        <w:tabs>
          <w:tab w:val="left" w:pos="720"/>
        </w:tabs>
        <w:contextualSpacing/>
        <w:jc w:val="both"/>
        <w:rPr>
          <w:rFonts w:ascii="Times New Roman" w:hAnsi="Times New Roman" w:cs="Times New Roman"/>
          <w:color w:val="000000" w:themeColor="text1"/>
          <w:sz w:val="22"/>
          <w:szCs w:val="22"/>
          <w:lang w:val="pt-BR"/>
        </w:rPr>
      </w:pPr>
    </w:p>
    <w:bookmarkEnd w:id="0"/>
    <w:p w14:paraId="02BB8E8B" w14:textId="13BADB34" w:rsidR="00603D26" w:rsidRPr="00913ACD" w:rsidRDefault="00ED78BF" w:rsidP="00C67D84">
      <w:pPr>
        <w:pStyle w:val="ListParagraph"/>
        <w:numPr>
          <w:ilvl w:val="0"/>
          <w:numId w:val="6"/>
        </w:numPr>
        <w:tabs>
          <w:tab w:val="left" w:pos="720"/>
        </w:tabs>
        <w:ind w:left="1440" w:hanging="720"/>
        <w:contextualSpacing/>
        <w:jc w:val="both"/>
        <w:rPr>
          <w:color w:val="000000" w:themeColor="text1"/>
          <w:sz w:val="22"/>
          <w:szCs w:val="22"/>
          <w:lang w:val="pt-BR"/>
        </w:rPr>
      </w:pPr>
      <w:r w:rsidRPr="00913ACD">
        <w:rPr>
          <w:color w:val="000000" w:themeColor="text1"/>
          <w:sz w:val="22"/>
          <w:szCs w:val="22"/>
          <w:lang w:val="pt-BR"/>
        </w:rPr>
        <w:t xml:space="preserve">O Programa SBDC cimentou relações </w:t>
      </w:r>
      <w:r w:rsidR="00F13525" w:rsidRPr="00913ACD">
        <w:rPr>
          <w:color w:val="000000" w:themeColor="text1"/>
          <w:sz w:val="22"/>
          <w:szCs w:val="22"/>
          <w:lang w:val="pt-BR"/>
        </w:rPr>
        <w:t>n</w:t>
      </w:r>
      <w:r w:rsidRPr="00913ACD">
        <w:rPr>
          <w:color w:val="000000" w:themeColor="text1"/>
          <w:sz w:val="22"/>
          <w:szCs w:val="22"/>
          <w:lang w:val="pt-BR"/>
        </w:rPr>
        <w:t xml:space="preserve">a execução de diversos </w:t>
      </w:r>
      <w:r w:rsidR="007A626F" w:rsidRPr="00913ACD">
        <w:rPr>
          <w:color w:val="000000" w:themeColor="text1"/>
          <w:sz w:val="22"/>
          <w:szCs w:val="22"/>
          <w:lang w:val="pt-BR"/>
        </w:rPr>
        <w:t>m</w:t>
      </w:r>
      <w:r w:rsidRPr="00913ACD">
        <w:rPr>
          <w:color w:val="000000" w:themeColor="text1"/>
          <w:sz w:val="22"/>
          <w:szCs w:val="22"/>
          <w:lang w:val="pt-BR"/>
        </w:rPr>
        <w:t xml:space="preserve">emorandos de </w:t>
      </w:r>
      <w:r w:rsidR="00561409" w:rsidRPr="00913ACD">
        <w:rPr>
          <w:color w:val="000000" w:themeColor="text1"/>
          <w:sz w:val="22"/>
          <w:szCs w:val="22"/>
          <w:lang w:val="pt-BR"/>
        </w:rPr>
        <w:t>e</w:t>
      </w:r>
      <w:r w:rsidRPr="00913ACD">
        <w:rPr>
          <w:color w:val="000000" w:themeColor="text1"/>
          <w:sz w:val="22"/>
          <w:szCs w:val="22"/>
          <w:lang w:val="pt-BR"/>
        </w:rPr>
        <w:t xml:space="preserve">ntendimento </w:t>
      </w:r>
      <w:r w:rsidR="00561409" w:rsidRPr="00913ACD">
        <w:rPr>
          <w:color w:val="000000" w:themeColor="text1"/>
          <w:sz w:val="22"/>
          <w:szCs w:val="22"/>
          <w:lang w:val="pt-BR"/>
        </w:rPr>
        <w:t xml:space="preserve">(MOU) </w:t>
      </w:r>
      <w:r w:rsidRPr="00913ACD">
        <w:rPr>
          <w:color w:val="000000" w:themeColor="text1"/>
          <w:sz w:val="22"/>
          <w:szCs w:val="22"/>
          <w:lang w:val="pt-BR"/>
        </w:rPr>
        <w:t>com o Governo do Equador e com o SEBRAE, órgão nacional de amparo às MPME</w:t>
      </w:r>
      <w:r w:rsidR="00561409" w:rsidRPr="00913ACD">
        <w:rPr>
          <w:color w:val="000000" w:themeColor="text1"/>
          <w:sz w:val="22"/>
          <w:szCs w:val="22"/>
          <w:lang w:val="pt-BR"/>
        </w:rPr>
        <w:t>s</w:t>
      </w:r>
      <w:r w:rsidRPr="00913ACD">
        <w:rPr>
          <w:color w:val="000000" w:themeColor="text1"/>
          <w:sz w:val="22"/>
          <w:szCs w:val="22"/>
          <w:lang w:val="pt-BR"/>
        </w:rPr>
        <w:t xml:space="preserve"> do Brasil. A assinatura desses MOU</w:t>
      </w:r>
      <w:r w:rsidR="00561409" w:rsidRPr="00913ACD">
        <w:rPr>
          <w:color w:val="000000" w:themeColor="text1"/>
          <w:sz w:val="22"/>
          <w:szCs w:val="22"/>
          <w:lang w:val="pt-BR"/>
        </w:rPr>
        <w:t>s</w:t>
      </w:r>
      <w:r w:rsidRPr="00913ACD">
        <w:rPr>
          <w:color w:val="000000" w:themeColor="text1"/>
          <w:sz w:val="22"/>
          <w:szCs w:val="22"/>
          <w:lang w:val="pt-BR"/>
        </w:rPr>
        <w:t xml:space="preserve"> com novos países do projeto é um passo crítico no início do projeto, pois permite a definição de papéis e responsabilidades entre a OEA, as partes interessadas do país beneficiário e os consultores para </w:t>
      </w:r>
      <w:r w:rsidR="00FE12C0" w:rsidRPr="00913ACD">
        <w:rPr>
          <w:color w:val="000000" w:themeColor="text1"/>
          <w:sz w:val="22"/>
          <w:szCs w:val="22"/>
          <w:lang w:val="pt-BR"/>
        </w:rPr>
        <w:t xml:space="preserve">a </w:t>
      </w:r>
      <w:r w:rsidRPr="00913ACD">
        <w:rPr>
          <w:color w:val="000000" w:themeColor="text1"/>
          <w:sz w:val="22"/>
          <w:szCs w:val="22"/>
          <w:lang w:val="pt-BR"/>
        </w:rPr>
        <w:t>formaliza</w:t>
      </w:r>
      <w:r w:rsidR="00FE12C0" w:rsidRPr="00913ACD">
        <w:rPr>
          <w:color w:val="000000" w:themeColor="text1"/>
          <w:sz w:val="22"/>
          <w:szCs w:val="22"/>
          <w:lang w:val="pt-BR"/>
        </w:rPr>
        <w:t>ção d</w:t>
      </w:r>
      <w:r w:rsidRPr="00913ACD">
        <w:rPr>
          <w:color w:val="000000" w:themeColor="text1"/>
          <w:sz w:val="22"/>
          <w:szCs w:val="22"/>
          <w:lang w:val="pt-BR"/>
        </w:rPr>
        <w:t>os compromissos governamentais na adaptação do modelo do SBDC no país.</w:t>
      </w:r>
    </w:p>
    <w:p w14:paraId="4858E24C" w14:textId="77777777" w:rsidR="00603D26" w:rsidRPr="00913ACD" w:rsidRDefault="00603D26" w:rsidP="00CB030B">
      <w:pPr>
        <w:tabs>
          <w:tab w:val="left" w:pos="720"/>
        </w:tabs>
        <w:ind w:left="720"/>
        <w:contextualSpacing/>
        <w:jc w:val="both"/>
        <w:rPr>
          <w:rFonts w:ascii="Times New Roman" w:hAnsi="Times New Roman" w:cs="Times New Roman"/>
          <w:color w:val="000000" w:themeColor="text1"/>
          <w:sz w:val="22"/>
          <w:szCs w:val="22"/>
          <w:lang w:val="pt-BR"/>
        </w:rPr>
      </w:pPr>
    </w:p>
    <w:p w14:paraId="64402FAB" w14:textId="3E012F41" w:rsidR="00ED78BF" w:rsidRPr="00913ACD" w:rsidRDefault="00ED78BF" w:rsidP="00CB030B">
      <w:pPr>
        <w:pStyle w:val="ListParagraph"/>
        <w:numPr>
          <w:ilvl w:val="0"/>
          <w:numId w:val="6"/>
        </w:numPr>
        <w:tabs>
          <w:tab w:val="left" w:pos="1440"/>
        </w:tabs>
        <w:ind w:left="1440" w:hanging="720"/>
        <w:contextualSpacing/>
        <w:jc w:val="both"/>
        <w:rPr>
          <w:color w:val="000000" w:themeColor="text1"/>
          <w:sz w:val="22"/>
          <w:szCs w:val="22"/>
          <w:lang w:val="pt-BR"/>
        </w:rPr>
      </w:pPr>
      <w:r w:rsidRPr="00913ACD">
        <w:rPr>
          <w:color w:val="000000" w:themeColor="text1"/>
          <w:sz w:val="22"/>
          <w:szCs w:val="22"/>
          <w:lang w:val="pt-BR"/>
        </w:rPr>
        <w:t>Para isso, o SEBRAE concluiu a implementação de diversas atividades iniciais na Fase de Transferência do modelo, incluindo a criação de uma equipe administrativa da rede nacional do SBDC e consultas com as principais partes interessadas de apoio às MPME</w:t>
      </w:r>
      <w:r w:rsidR="000B3888" w:rsidRPr="00913ACD">
        <w:rPr>
          <w:color w:val="000000" w:themeColor="text1"/>
          <w:sz w:val="22"/>
          <w:szCs w:val="22"/>
          <w:lang w:val="pt-BR"/>
        </w:rPr>
        <w:t>s</w:t>
      </w:r>
      <w:r w:rsidRPr="00913ACD">
        <w:rPr>
          <w:color w:val="000000" w:themeColor="text1"/>
          <w:sz w:val="22"/>
          <w:szCs w:val="22"/>
          <w:lang w:val="pt-BR"/>
        </w:rPr>
        <w:t xml:space="preserve"> para garantir a adesão. A equipe do SEBRAE também participou de visitas técnicas ao SBDC da Universidade do Texas em San Antonio (UTSA) e </w:t>
      </w:r>
      <w:r w:rsidR="00814F12">
        <w:rPr>
          <w:color w:val="000000" w:themeColor="text1"/>
          <w:sz w:val="22"/>
          <w:szCs w:val="22"/>
          <w:lang w:val="pt-BR"/>
        </w:rPr>
        <w:t xml:space="preserve">a </w:t>
      </w:r>
      <w:r w:rsidRPr="00913ACD">
        <w:rPr>
          <w:color w:val="000000" w:themeColor="text1"/>
          <w:sz w:val="22"/>
          <w:szCs w:val="22"/>
          <w:lang w:val="pt-BR"/>
        </w:rPr>
        <w:t>Washington, D.C.</w:t>
      </w:r>
      <w:r w:rsidR="002F12DF" w:rsidRPr="00913ACD">
        <w:rPr>
          <w:color w:val="000000" w:themeColor="text1"/>
          <w:sz w:val="22"/>
          <w:szCs w:val="22"/>
          <w:lang w:val="pt-BR"/>
        </w:rPr>
        <w:t>,</w:t>
      </w:r>
      <w:r w:rsidRPr="00913ACD">
        <w:rPr>
          <w:color w:val="000000" w:themeColor="text1"/>
          <w:sz w:val="22"/>
          <w:szCs w:val="22"/>
          <w:lang w:val="pt-BR"/>
        </w:rPr>
        <w:t xml:space="preserve"> para </w:t>
      </w:r>
      <w:r w:rsidR="00E72C94" w:rsidRPr="00913ACD">
        <w:rPr>
          <w:color w:val="000000" w:themeColor="text1"/>
          <w:sz w:val="22"/>
          <w:szCs w:val="22"/>
          <w:lang w:val="pt-BR"/>
        </w:rPr>
        <w:t xml:space="preserve">obter </w:t>
      </w:r>
      <w:r w:rsidRPr="00913ACD">
        <w:rPr>
          <w:color w:val="000000" w:themeColor="text1"/>
          <w:sz w:val="22"/>
          <w:szCs w:val="22"/>
          <w:lang w:val="pt-BR"/>
        </w:rPr>
        <w:t>uma compreensão mais profunda do funcionamento do modelo SBDC no contexto norte-americano. Além das consultas com a liderança do SBDC da UTSA, a delegação de alto nível do Brasil se beneficiou de reuniões com os representantes da Associação de Pequenas Empresas dos EUA, do Departamento de Estado, do Senado dos EUA e do Comitê de Pequenas Empresas do Congresso para compartilhar boas práticas da administração da rede d</w:t>
      </w:r>
      <w:r w:rsidR="00F84579" w:rsidRPr="00913ACD">
        <w:rPr>
          <w:color w:val="000000" w:themeColor="text1"/>
          <w:sz w:val="22"/>
          <w:szCs w:val="22"/>
          <w:lang w:val="pt-BR"/>
        </w:rPr>
        <w:t>e</w:t>
      </w:r>
      <w:r w:rsidRPr="00913ACD">
        <w:rPr>
          <w:color w:val="000000" w:themeColor="text1"/>
          <w:sz w:val="22"/>
          <w:szCs w:val="22"/>
          <w:lang w:val="pt-BR"/>
        </w:rPr>
        <w:t xml:space="preserve"> SBDC</w:t>
      </w:r>
      <w:r w:rsidR="00D37060" w:rsidRPr="00913ACD">
        <w:rPr>
          <w:color w:val="000000" w:themeColor="text1"/>
          <w:sz w:val="22"/>
          <w:szCs w:val="22"/>
          <w:lang w:val="pt-BR"/>
        </w:rPr>
        <w:t>s</w:t>
      </w:r>
      <w:r w:rsidRPr="00913ACD">
        <w:rPr>
          <w:color w:val="000000" w:themeColor="text1"/>
          <w:sz w:val="22"/>
          <w:szCs w:val="22"/>
          <w:lang w:val="pt-BR"/>
        </w:rPr>
        <w:t xml:space="preserve"> dos EUA e da criação e supervisão de políticas de MPME.</w:t>
      </w:r>
    </w:p>
    <w:p w14:paraId="3F8A4D90" w14:textId="77777777" w:rsidR="004C5116" w:rsidRPr="00913ACD" w:rsidRDefault="004C5116" w:rsidP="00CB030B">
      <w:pPr>
        <w:pStyle w:val="ListParagraph"/>
        <w:tabs>
          <w:tab w:val="left" w:pos="1440"/>
        </w:tabs>
        <w:ind w:left="1440" w:hanging="720"/>
        <w:contextualSpacing/>
        <w:jc w:val="both"/>
        <w:rPr>
          <w:color w:val="000000" w:themeColor="text1"/>
          <w:sz w:val="22"/>
          <w:szCs w:val="22"/>
          <w:lang w:val="pt-BR"/>
        </w:rPr>
      </w:pPr>
    </w:p>
    <w:p w14:paraId="0D719D00" w14:textId="6F41CBC1" w:rsidR="00ED78BF" w:rsidRDefault="004C5116" w:rsidP="00CB030B">
      <w:pPr>
        <w:pStyle w:val="ListParagraph"/>
        <w:numPr>
          <w:ilvl w:val="0"/>
          <w:numId w:val="6"/>
        </w:numPr>
        <w:tabs>
          <w:tab w:val="left" w:pos="1440"/>
        </w:tabs>
        <w:ind w:left="1440" w:hanging="720"/>
        <w:contextualSpacing/>
        <w:jc w:val="both"/>
        <w:rPr>
          <w:color w:val="000000" w:themeColor="text1"/>
          <w:sz w:val="22"/>
          <w:szCs w:val="22"/>
          <w:lang w:val="pt-BR"/>
        </w:rPr>
      </w:pPr>
      <w:r w:rsidRPr="00913ACD">
        <w:rPr>
          <w:color w:val="000000" w:themeColor="text1"/>
          <w:sz w:val="22"/>
          <w:szCs w:val="22"/>
          <w:lang w:val="pt-BR"/>
        </w:rPr>
        <w:t>Impacto econômico geral</w:t>
      </w:r>
      <w:r w:rsidRPr="00913ACD">
        <w:rPr>
          <w:b/>
          <w:bCs/>
          <w:color w:val="000000" w:themeColor="text1"/>
          <w:sz w:val="22"/>
          <w:szCs w:val="22"/>
          <w:lang w:val="pt-BR"/>
        </w:rPr>
        <w:t>:</w:t>
      </w:r>
      <w:r w:rsidRPr="00913ACD">
        <w:rPr>
          <w:sz w:val="22"/>
          <w:szCs w:val="22"/>
          <w:lang w:val="pt-BR"/>
        </w:rPr>
        <w:t xml:space="preserve"> 4</w:t>
      </w:r>
      <w:r w:rsidR="00A000E8" w:rsidRPr="00913ACD">
        <w:rPr>
          <w:sz w:val="22"/>
          <w:szCs w:val="22"/>
          <w:lang w:val="pt-BR"/>
        </w:rPr>
        <w:t>.</w:t>
      </w:r>
      <w:r w:rsidRPr="00913ACD">
        <w:rPr>
          <w:sz w:val="22"/>
          <w:szCs w:val="22"/>
          <w:lang w:val="pt-BR"/>
        </w:rPr>
        <w:t>628</w:t>
      </w:r>
      <w:r w:rsidR="00C51D8E" w:rsidRPr="00913ACD">
        <w:rPr>
          <w:sz w:val="22"/>
          <w:szCs w:val="22"/>
          <w:lang w:val="pt-BR"/>
        </w:rPr>
        <w:t xml:space="preserve"> </w:t>
      </w:r>
      <w:r w:rsidR="00ED78BF" w:rsidRPr="00913ACD">
        <w:rPr>
          <w:color w:val="000000" w:themeColor="text1"/>
          <w:sz w:val="22"/>
          <w:szCs w:val="22"/>
          <w:lang w:val="pt-BR"/>
        </w:rPr>
        <w:t>clientes atendidos, 91 novos negócios iniciados, 2</w:t>
      </w:r>
      <w:r w:rsidR="00A000E8" w:rsidRPr="00913ACD">
        <w:rPr>
          <w:color w:val="000000" w:themeColor="text1"/>
          <w:sz w:val="22"/>
          <w:szCs w:val="22"/>
          <w:lang w:val="pt-BR"/>
        </w:rPr>
        <w:t>.</w:t>
      </w:r>
      <w:r w:rsidR="00ED78BF" w:rsidRPr="00913ACD">
        <w:rPr>
          <w:color w:val="000000" w:themeColor="text1"/>
          <w:sz w:val="22"/>
          <w:szCs w:val="22"/>
          <w:lang w:val="pt-BR"/>
        </w:rPr>
        <w:t>158 empregos criados e 6</w:t>
      </w:r>
      <w:r w:rsidR="00A000E8" w:rsidRPr="00913ACD">
        <w:rPr>
          <w:color w:val="000000" w:themeColor="text1"/>
          <w:sz w:val="22"/>
          <w:szCs w:val="22"/>
          <w:lang w:val="pt-BR"/>
        </w:rPr>
        <w:t>.</w:t>
      </w:r>
      <w:r w:rsidR="00ED78BF" w:rsidRPr="00913ACD">
        <w:rPr>
          <w:color w:val="000000" w:themeColor="text1"/>
          <w:sz w:val="22"/>
          <w:szCs w:val="22"/>
          <w:lang w:val="pt-BR"/>
        </w:rPr>
        <w:t>678 empregos apoiados por meio de intervenções do SBDC, US$</w:t>
      </w:r>
      <w:r w:rsidR="00DF2708" w:rsidRPr="00913ACD">
        <w:rPr>
          <w:color w:val="000000" w:themeColor="text1"/>
          <w:sz w:val="22"/>
          <w:szCs w:val="22"/>
          <w:lang w:val="pt-BR"/>
        </w:rPr>
        <w:t> </w:t>
      </w:r>
      <w:r w:rsidR="00ED78BF" w:rsidRPr="00913ACD">
        <w:rPr>
          <w:color w:val="000000" w:themeColor="text1"/>
          <w:sz w:val="22"/>
          <w:szCs w:val="22"/>
          <w:lang w:val="pt-BR"/>
        </w:rPr>
        <w:t>96.078.265,25 em receita de vendas e US$ 7.645.798,50 em lucro gerado, 11 expansões de negócios e US$ 61.425.554,63 em infusão de capital alavancado por meio de empréstimos e capital em cinco</w:t>
      </w:r>
      <w:r w:rsidR="00C51D8E" w:rsidRPr="00913ACD">
        <w:rPr>
          <w:color w:val="000000" w:themeColor="text1"/>
          <w:sz w:val="22"/>
          <w:szCs w:val="22"/>
          <w:lang w:val="pt-BR"/>
        </w:rPr>
        <w:t xml:space="preserve"> </w:t>
      </w:r>
      <w:r w:rsidR="00AF16D4" w:rsidRPr="00913ACD">
        <w:rPr>
          <w:color w:val="000000" w:themeColor="text1"/>
          <w:sz w:val="22"/>
          <w:szCs w:val="22"/>
          <w:lang w:val="pt-BR"/>
        </w:rPr>
        <w:t>Estados membros</w:t>
      </w:r>
      <w:r w:rsidRPr="00913ACD">
        <w:rPr>
          <w:sz w:val="22"/>
          <w:szCs w:val="22"/>
          <w:lang w:val="pt-BR"/>
        </w:rPr>
        <w:t xml:space="preserve"> do Caribe</w:t>
      </w:r>
      <w:r w:rsidR="00ED78BF" w:rsidRPr="00913ACD">
        <w:rPr>
          <w:color w:val="000000" w:themeColor="text1"/>
          <w:sz w:val="22"/>
          <w:szCs w:val="22"/>
          <w:lang w:val="pt-BR"/>
        </w:rPr>
        <w:t>.</w:t>
      </w:r>
    </w:p>
    <w:p w14:paraId="13CF2097" w14:textId="77777777" w:rsidR="007F652E" w:rsidRPr="007F652E" w:rsidRDefault="007F652E" w:rsidP="007F652E">
      <w:pPr>
        <w:pStyle w:val="ListParagraph"/>
        <w:rPr>
          <w:color w:val="000000" w:themeColor="text1"/>
          <w:sz w:val="22"/>
          <w:szCs w:val="22"/>
          <w:lang w:val="pt-BR"/>
        </w:rPr>
      </w:pPr>
    </w:p>
    <w:p w14:paraId="4A32A41F" w14:textId="77777777" w:rsidR="007F652E" w:rsidRPr="007F652E" w:rsidRDefault="007F652E" w:rsidP="007F652E">
      <w:pPr>
        <w:tabs>
          <w:tab w:val="left" w:pos="1440"/>
        </w:tabs>
        <w:contextualSpacing/>
        <w:jc w:val="both"/>
        <w:rPr>
          <w:color w:val="000000" w:themeColor="text1"/>
          <w:sz w:val="22"/>
          <w:szCs w:val="22"/>
          <w:lang w:val="pt-BR"/>
        </w:rPr>
      </w:pPr>
    </w:p>
    <w:p w14:paraId="61745C9F" w14:textId="77777777" w:rsidR="00ED78BF" w:rsidRPr="00913ACD" w:rsidRDefault="00ED78BF" w:rsidP="00CB030B">
      <w:pPr>
        <w:tabs>
          <w:tab w:val="left" w:pos="720"/>
        </w:tabs>
        <w:ind w:left="720"/>
        <w:jc w:val="both"/>
        <w:rPr>
          <w:rFonts w:ascii="Times New Roman" w:hAnsi="Times New Roman" w:cs="Times New Roman"/>
          <w:color w:val="000000"/>
          <w:sz w:val="22"/>
          <w:szCs w:val="22"/>
          <w:lang w:val="pt-BR"/>
        </w:rPr>
      </w:pPr>
    </w:p>
    <w:p w14:paraId="481237CC" w14:textId="33B07D4A" w:rsidR="00ED78BF" w:rsidRPr="00913ACD" w:rsidRDefault="00ED78BF" w:rsidP="00CB030B">
      <w:pPr>
        <w:tabs>
          <w:tab w:val="left" w:pos="720"/>
        </w:tabs>
        <w:ind w:left="720"/>
        <w:jc w:val="both"/>
        <w:rPr>
          <w:rFonts w:ascii="Times New Roman" w:hAnsi="Times New Roman" w:cs="Times New Roman"/>
          <w:b/>
          <w:bCs/>
          <w:color w:val="000000"/>
          <w:sz w:val="22"/>
          <w:szCs w:val="22"/>
          <w:lang w:val="pt-BR"/>
        </w:rPr>
      </w:pPr>
      <w:r w:rsidRPr="00913ACD">
        <w:rPr>
          <w:rFonts w:ascii="Times New Roman" w:hAnsi="Times New Roman" w:cs="Times New Roman"/>
          <w:b/>
          <w:color w:val="000000"/>
          <w:sz w:val="22"/>
          <w:szCs w:val="22"/>
          <w:lang w:val="pt-BR"/>
        </w:rPr>
        <w:t xml:space="preserve">Sistema de Informação </w:t>
      </w:r>
      <w:r w:rsidR="00DC7D85" w:rsidRPr="00913ACD">
        <w:rPr>
          <w:rFonts w:ascii="Times New Roman" w:hAnsi="Times New Roman" w:cs="Times New Roman"/>
          <w:b/>
          <w:color w:val="000000"/>
          <w:sz w:val="22"/>
          <w:szCs w:val="22"/>
          <w:lang w:val="pt-BR"/>
        </w:rPr>
        <w:t>sobre</w:t>
      </w:r>
      <w:r w:rsidRPr="00913ACD">
        <w:rPr>
          <w:rFonts w:ascii="Times New Roman" w:hAnsi="Times New Roman" w:cs="Times New Roman"/>
          <w:b/>
          <w:color w:val="000000"/>
          <w:sz w:val="22"/>
          <w:szCs w:val="22"/>
          <w:lang w:val="pt-BR"/>
        </w:rPr>
        <w:t xml:space="preserve"> Comércio Exterior (SICE) da OEA</w:t>
      </w:r>
    </w:p>
    <w:p w14:paraId="7DF3667F" w14:textId="77777777" w:rsidR="00ED78BF" w:rsidRPr="00913ACD" w:rsidRDefault="00ED78BF" w:rsidP="00CB030B">
      <w:pPr>
        <w:pStyle w:val="ListParagraph"/>
        <w:tabs>
          <w:tab w:val="left" w:pos="720"/>
        </w:tabs>
        <w:contextualSpacing/>
        <w:jc w:val="both"/>
        <w:rPr>
          <w:color w:val="000000" w:themeColor="text1"/>
          <w:sz w:val="22"/>
          <w:szCs w:val="22"/>
          <w:lang w:val="pt-BR"/>
        </w:rPr>
      </w:pPr>
    </w:p>
    <w:p w14:paraId="7DB00AB9" w14:textId="64C3AB5C" w:rsidR="00ED78BF" w:rsidRPr="00913ACD" w:rsidRDefault="00ED78BF" w:rsidP="00CB030B">
      <w:pPr>
        <w:pStyle w:val="ListParagraph"/>
        <w:numPr>
          <w:ilvl w:val="0"/>
          <w:numId w:val="7"/>
        </w:numPr>
        <w:tabs>
          <w:tab w:val="left" w:pos="1440"/>
        </w:tabs>
        <w:ind w:left="1440" w:hanging="720"/>
        <w:contextualSpacing/>
        <w:jc w:val="both"/>
        <w:rPr>
          <w:color w:val="000000" w:themeColor="text1"/>
          <w:sz w:val="22"/>
          <w:szCs w:val="22"/>
          <w:lang w:val="pt-BR"/>
        </w:rPr>
      </w:pPr>
      <w:r w:rsidRPr="00913ACD">
        <w:rPr>
          <w:color w:val="000000" w:themeColor="text1"/>
          <w:sz w:val="22"/>
          <w:szCs w:val="22"/>
          <w:lang w:val="pt-BR"/>
        </w:rPr>
        <w:t>Atualizou a Câmara de Compensação On</w:t>
      </w:r>
      <w:r w:rsidR="009924CF">
        <w:rPr>
          <w:color w:val="000000" w:themeColor="text1"/>
          <w:sz w:val="22"/>
          <w:szCs w:val="22"/>
          <w:lang w:val="pt-BR"/>
        </w:rPr>
        <w:t>-</w:t>
      </w:r>
      <w:r w:rsidRPr="00913ACD">
        <w:rPr>
          <w:color w:val="000000" w:themeColor="text1"/>
          <w:sz w:val="22"/>
          <w:szCs w:val="22"/>
          <w:lang w:val="pt-BR"/>
        </w:rPr>
        <w:t xml:space="preserve">line das MPME e produziu </w:t>
      </w:r>
      <w:r w:rsidR="003452E3" w:rsidRPr="00913ACD">
        <w:rPr>
          <w:color w:val="000000" w:themeColor="text1"/>
          <w:sz w:val="22"/>
          <w:szCs w:val="22"/>
          <w:lang w:val="pt-BR"/>
        </w:rPr>
        <w:t xml:space="preserve">11 </w:t>
      </w:r>
      <w:r w:rsidRPr="00913ACD">
        <w:rPr>
          <w:color w:val="000000" w:themeColor="text1"/>
          <w:sz w:val="22"/>
          <w:szCs w:val="22"/>
          <w:lang w:val="pt-BR"/>
        </w:rPr>
        <w:t>edições especiais do Boletim</w:t>
      </w:r>
      <w:r w:rsidR="00710D4C" w:rsidRPr="00913ACD">
        <w:rPr>
          <w:color w:val="000000" w:themeColor="text1"/>
          <w:sz w:val="22"/>
          <w:szCs w:val="22"/>
          <w:lang w:val="pt-BR"/>
        </w:rPr>
        <w:t xml:space="preserve"> </w:t>
      </w:r>
      <w:r w:rsidRPr="00913ACD">
        <w:rPr>
          <w:color w:val="000000" w:themeColor="text1"/>
          <w:sz w:val="22"/>
          <w:szCs w:val="22"/>
          <w:lang w:val="pt-BR"/>
        </w:rPr>
        <w:t>MPME da OEA para aprimorar o compartilhamento de boas práticas, iniciativas de cooperação horizontal, políticas, programas e projetos que apoiam o setor d</w:t>
      </w:r>
      <w:r w:rsidR="00710D4C" w:rsidRPr="00913ACD">
        <w:rPr>
          <w:color w:val="000000" w:themeColor="text1"/>
          <w:sz w:val="22"/>
          <w:szCs w:val="22"/>
          <w:lang w:val="pt-BR"/>
        </w:rPr>
        <w:t>as</w:t>
      </w:r>
      <w:r w:rsidRPr="00913ACD">
        <w:rPr>
          <w:color w:val="000000" w:themeColor="text1"/>
          <w:sz w:val="22"/>
          <w:szCs w:val="22"/>
          <w:lang w:val="pt-BR"/>
        </w:rPr>
        <w:t xml:space="preserve"> MPME</w:t>
      </w:r>
      <w:r w:rsidR="00710D4C" w:rsidRPr="00913ACD">
        <w:rPr>
          <w:color w:val="000000" w:themeColor="text1"/>
          <w:sz w:val="22"/>
          <w:szCs w:val="22"/>
          <w:lang w:val="pt-BR"/>
        </w:rPr>
        <w:t>s</w:t>
      </w:r>
      <w:r w:rsidRPr="00913ACD">
        <w:rPr>
          <w:color w:val="000000" w:themeColor="text1"/>
          <w:sz w:val="22"/>
          <w:szCs w:val="22"/>
          <w:lang w:val="pt-BR"/>
        </w:rPr>
        <w:t xml:space="preserve"> nos </w:t>
      </w:r>
      <w:r w:rsidR="00710D4C" w:rsidRPr="00913ACD">
        <w:rPr>
          <w:color w:val="000000" w:themeColor="text1"/>
          <w:sz w:val="22"/>
          <w:szCs w:val="22"/>
          <w:lang w:val="pt-BR"/>
        </w:rPr>
        <w:t>Estados membros</w:t>
      </w:r>
      <w:r w:rsidRPr="00913ACD">
        <w:rPr>
          <w:sz w:val="22"/>
          <w:szCs w:val="22"/>
          <w:lang w:val="pt-BR"/>
        </w:rPr>
        <w:t xml:space="preserve"> da</w:t>
      </w:r>
      <w:r w:rsidR="00C51D8E" w:rsidRPr="00913ACD">
        <w:rPr>
          <w:sz w:val="22"/>
          <w:szCs w:val="22"/>
          <w:lang w:val="pt-BR"/>
        </w:rPr>
        <w:t xml:space="preserve"> </w:t>
      </w:r>
      <w:r w:rsidR="005F30B1" w:rsidRPr="00913ACD">
        <w:rPr>
          <w:color w:val="000000" w:themeColor="text1"/>
          <w:sz w:val="22"/>
          <w:szCs w:val="22"/>
          <w:lang w:val="pt-BR"/>
        </w:rPr>
        <w:t>OEA</w:t>
      </w:r>
      <w:r w:rsidRPr="00913ACD">
        <w:rPr>
          <w:color w:val="000000" w:themeColor="text1"/>
          <w:sz w:val="22"/>
          <w:szCs w:val="22"/>
          <w:lang w:val="pt-BR"/>
        </w:rPr>
        <w:t>.</w:t>
      </w:r>
    </w:p>
    <w:p w14:paraId="65984D52" w14:textId="77777777" w:rsidR="00ED78BF" w:rsidRPr="00913ACD" w:rsidRDefault="00ED78BF" w:rsidP="00CB030B">
      <w:pPr>
        <w:pStyle w:val="ListParagraph"/>
        <w:tabs>
          <w:tab w:val="left" w:pos="720"/>
        </w:tabs>
        <w:contextualSpacing/>
        <w:jc w:val="both"/>
        <w:rPr>
          <w:color w:val="000000" w:themeColor="text1"/>
          <w:sz w:val="22"/>
          <w:szCs w:val="22"/>
          <w:lang w:val="pt-BR"/>
        </w:rPr>
      </w:pPr>
    </w:p>
    <w:p w14:paraId="1EDB3535" w14:textId="7913053A" w:rsidR="00ED78BF" w:rsidRPr="00913ACD" w:rsidRDefault="0019310D" w:rsidP="00C67D84">
      <w:pPr>
        <w:pStyle w:val="ListParagraph"/>
        <w:numPr>
          <w:ilvl w:val="0"/>
          <w:numId w:val="7"/>
        </w:numPr>
        <w:tabs>
          <w:tab w:val="left" w:pos="720"/>
        </w:tabs>
        <w:ind w:left="1440" w:hanging="720"/>
        <w:contextualSpacing/>
        <w:jc w:val="both"/>
        <w:rPr>
          <w:color w:val="000000" w:themeColor="text1"/>
          <w:sz w:val="22"/>
          <w:szCs w:val="22"/>
          <w:lang w:val="pt-BR"/>
        </w:rPr>
      </w:pPr>
      <w:r w:rsidRPr="00913ACD">
        <w:rPr>
          <w:color w:val="000000" w:themeColor="text1"/>
          <w:sz w:val="22"/>
          <w:szCs w:val="22"/>
          <w:lang w:val="pt-BR"/>
        </w:rPr>
        <w:t xml:space="preserve">Aprimorou o </w:t>
      </w:r>
      <w:r w:rsidR="00ED78BF" w:rsidRPr="00913ACD">
        <w:rPr>
          <w:color w:val="000000" w:themeColor="text1"/>
          <w:sz w:val="22"/>
          <w:szCs w:val="22"/>
          <w:lang w:val="pt-BR"/>
        </w:rPr>
        <w:t>Portal On</w:t>
      </w:r>
      <w:r w:rsidR="00122B93">
        <w:rPr>
          <w:color w:val="000000" w:themeColor="text1"/>
          <w:sz w:val="22"/>
          <w:szCs w:val="22"/>
          <w:lang w:val="pt-BR"/>
        </w:rPr>
        <w:t>-</w:t>
      </w:r>
      <w:r w:rsidR="00ED78BF" w:rsidRPr="00913ACD">
        <w:rPr>
          <w:color w:val="000000" w:themeColor="text1"/>
          <w:sz w:val="22"/>
          <w:szCs w:val="22"/>
          <w:lang w:val="pt-BR"/>
        </w:rPr>
        <w:t xml:space="preserve">line </w:t>
      </w:r>
      <w:r w:rsidR="00F52B46" w:rsidRPr="00913ACD">
        <w:rPr>
          <w:color w:val="000000" w:themeColor="text1"/>
          <w:sz w:val="22"/>
          <w:szCs w:val="22"/>
          <w:lang w:val="pt-BR"/>
        </w:rPr>
        <w:t>de Política de Comércio</w:t>
      </w:r>
      <w:r w:rsidR="00ED78BF" w:rsidRPr="00913ACD">
        <w:rPr>
          <w:color w:val="000000" w:themeColor="text1"/>
          <w:sz w:val="22"/>
          <w:szCs w:val="22"/>
          <w:lang w:val="pt-BR"/>
        </w:rPr>
        <w:t>: mais de 37</w:t>
      </w:r>
      <w:r w:rsidR="00762148">
        <w:rPr>
          <w:color w:val="000000" w:themeColor="text1"/>
          <w:sz w:val="22"/>
          <w:szCs w:val="22"/>
          <w:lang w:val="pt-BR"/>
        </w:rPr>
        <w:t xml:space="preserve"> mil </w:t>
      </w:r>
      <w:r w:rsidR="00ED78BF" w:rsidRPr="00913ACD">
        <w:rPr>
          <w:color w:val="000000" w:themeColor="text1"/>
          <w:sz w:val="22"/>
          <w:szCs w:val="22"/>
          <w:lang w:val="pt-BR"/>
        </w:rPr>
        <w:t>documentos oficiais e 37 milhões de visualizações.</w:t>
      </w:r>
    </w:p>
    <w:p w14:paraId="1F57906C" w14:textId="4E9130E4" w:rsidR="00ED78BF" w:rsidRPr="00913ACD" w:rsidRDefault="00ED78BF" w:rsidP="00CB030B">
      <w:pPr>
        <w:jc w:val="both"/>
        <w:rPr>
          <w:rFonts w:ascii="Times New Roman" w:hAnsi="Times New Roman" w:cs="Times New Roman"/>
          <w:iCs/>
          <w:color w:val="000000" w:themeColor="text1"/>
          <w:sz w:val="22"/>
          <w:szCs w:val="22"/>
          <w:lang w:val="pt-BR"/>
        </w:rPr>
      </w:pPr>
    </w:p>
    <w:p w14:paraId="330D7BC9" w14:textId="77777777" w:rsidR="005F2C83" w:rsidRPr="00913ACD" w:rsidRDefault="005F2C83" w:rsidP="00CB030B">
      <w:pPr>
        <w:jc w:val="both"/>
        <w:rPr>
          <w:rFonts w:ascii="Times New Roman" w:hAnsi="Times New Roman" w:cs="Times New Roman"/>
          <w:iCs/>
          <w:color w:val="000000" w:themeColor="text1"/>
          <w:sz w:val="22"/>
          <w:szCs w:val="22"/>
          <w:lang w:val="pt-BR"/>
        </w:rPr>
      </w:pPr>
    </w:p>
    <w:p w14:paraId="26185495" w14:textId="7E8FBE37" w:rsidR="004C5116" w:rsidRPr="00913ACD" w:rsidRDefault="007427DB" w:rsidP="00CB030B">
      <w:pPr>
        <w:contextualSpacing/>
        <w:jc w:val="both"/>
        <w:rPr>
          <w:rFonts w:ascii="Times New Roman" w:eastAsia="Cambria" w:hAnsi="Times New Roman" w:cs="Times New Roman"/>
          <w:b/>
          <w:bCs/>
          <w:color w:val="000000" w:themeColor="text1"/>
          <w:sz w:val="22"/>
          <w:szCs w:val="22"/>
          <w:u w:val="single"/>
          <w:lang w:val="pt-BR"/>
        </w:rPr>
      </w:pPr>
      <w:r w:rsidRPr="00913ACD">
        <w:rPr>
          <w:rFonts w:ascii="Times New Roman" w:hAnsi="Times New Roman" w:cs="Times New Roman"/>
          <w:b/>
          <w:color w:val="000000" w:themeColor="text1"/>
          <w:sz w:val="22"/>
          <w:szCs w:val="22"/>
          <w:u w:val="single"/>
          <w:lang w:val="pt-BR"/>
        </w:rPr>
        <w:t>OBJETIVO</w:t>
      </w:r>
      <w:r w:rsidR="00ED78BF" w:rsidRPr="00913ACD">
        <w:rPr>
          <w:rFonts w:ascii="Times New Roman" w:hAnsi="Times New Roman" w:cs="Times New Roman"/>
          <w:b/>
          <w:color w:val="000000" w:themeColor="text1"/>
          <w:sz w:val="22"/>
          <w:szCs w:val="22"/>
          <w:u w:val="single"/>
          <w:lang w:val="pt-BR"/>
        </w:rPr>
        <w:t xml:space="preserve"> 1.2</w:t>
      </w:r>
    </w:p>
    <w:p w14:paraId="75A61063" w14:textId="77777777" w:rsidR="0074320E" w:rsidRPr="00913ACD" w:rsidRDefault="0074320E" w:rsidP="00CB030B">
      <w:pPr>
        <w:contextualSpacing/>
        <w:jc w:val="both"/>
        <w:rPr>
          <w:rFonts w:ascii="Times New Roman" w:eastAsia="Cambria" w:hAnsi="Times New Roman" w:cs="Times New Roman"/>
          <w:b/>
          <w:bCs/>
          <w:color w:val="000000" w:themeColor="text1"/>
          <w:sz w:val="22"/>
          <w:szCs w:val="22"/>
          <w:u w:val="single"/>
          <w:lang w:val="pt-BR"/>
        </w:rPr>
      </w:pPr>
    </w:p>
    <w:p w14:paraId="7D4C5540" w14:textId="476B69ED" w:rsidR="00ED78BF" w:rsidRPr="00913ACD" w:rsidRDefault="003D32FE" w:rsidP="00CB030B">
      <w:pPr>
        <w:ind w:firstLine="720"/>
        <w:contextualSpacing/>
        <w:jc w:val="both"/>
        <w:rPr>
          <w:rFonts w:ascii="Times New Roman" w:eastAsia="Cambria" w:hAnsi="Times New Roman" w:cs="Times New Roman"/>
          <w:color w:val="000000" w:themeColor="text1"/>
          <w:sz w:val="22"/>
          <w:szCs w:val="22"/>
          <w:lang w:val="pt-BR"/>
        </w:rPr>
      </w:pPr>
      <w:r w:rsidRPr="00913ACD">
        <w:rPr>
          <w:rFonts w:ascii="Times New Roman" w:hAnsi="Times New Roman" w:cs="Times New Roman"/>
          <w:sz w:val="22"/>
          <w:szCs w:val="22"/>
          <w:lang w:val="pt-BR"/>
        </w:rPr>
        <w:t>Aumentar a cooperação regional, o intercâmbio de conhecimentos e a transferência de tecnologia, em termos e condições mutuamente acordados, além da colaboração intersetorial nos Estados membros e entre eles em matéria de competitividade, produtividade e inovação</w:t>
      </w:r>
      <w:r w:rsidR="00ED78BF" w:rsidRPr="00913ACD">
        <w:rPr>
          <w:rFonts w:ascii="Times New Roman" w:hAnsi="Times New Roman" w:cs="Times New Roman"/>
          <w:color w:val="000000" w:themeColor="text1"/>
          <w:sz w:val="22"/>
          <w:szCs w:val="22"/>
          <w:lang w:val="pt-BR"/>
        </w:rPr>
        <w:t>.</w:t>
      </w:r>
    </w:p>
    <w:p w14:paraId="746F662B" w14:textId="77777777" w:rsidR="00ED78BF" w:rsidRPr="00913ACD" w:rsidRDefault="00ED78BF" w:rsidP="00CB030B">
      <w:pPr>
        <w:ind w:left="1440" w:hanging="720"/>
        <w:jc w:val="both"/>
        <w:rPr>
          <w:rFonts w:ascii="Times New Roman" w:hAnsi="Times New Roman" w:cs="Times New Roman"/>
          <w:b/>
          <w:bCs/>
          <w:color w:val="000000" w:themeColor="text1"/>
          <w:sz w:val="22"/>
          <w:szCs w:val="22"/>
          <w:lang w:val="pt-BR"/>
        </w:rPr>
      </w:pPr>
    </w:p>
    <w:p w14:paraId="70AF6B71" w14:textId="77777777" w:rsidR="00ED78BF" w:rsidRPr="00913ACD" w:rsidRDefault="00ED78BF" w:rsidP="00CB030B">
      <w:pPr>
        <w:ind w:left="720"/>
        <w:jc w:val="both"/>
        <w:rPr>
          <w:rFonts w:ascii="Times New Roman"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Rede Interamericana de Competitividade (RIAC), Intercâmbio de Competitividade das Américas (ACE)</w:t>
      </w:r>
    </w:p>
    <w:p w14:paraId="14B9B694" w14:textId="77777777" w:rsidR="00ED78BF" w:rsidRPr="00913ACD" w:rsidRDefault="00ED78BF" w:rsidP="00CB030B">
      <w:pPr>
        <w:ind w:left="1440" w:hanging="720"/>
        <w:contextualSpacing/>
        <w:jc w:val="both"/>
        <w:rPr>
          <w:rFonts w:ascii="Times New Roman" w:eastAsia="Cambria" w:hAnsi="Times New Roman" w:cs="Times New Roman"/>
          <w:b/>
          <w:bCs/>
          <w:color w:val="000000" w:themeColor="text1"/>
          <w:sz w:val="22"/>
          <w:szCs w:val="22"/>
          <w:lang w:val="pt-BR"/>
        </w:rPr>
      </w:pPr>
    </w:p>
    <w:p w14:paraId="339E0E3A" w14:textId="7694F839" w:rsidR="00ED78BF" w:rsidRPr="00913ACD" w:rsidRDefault="00ED78BF" w:rsidP="00CB030B">
      <w:pPr>
        <w:pStyle w:val="NormalWeb"/>
        <w:numPr>
          <w:ilvl w:val="0"/>
          <w:numId w:val="8"/>
        </w:numPr>
        <w:spacing w:before="0" w:beforeAutospacing="0" w:after="0" w:afterAutospacing="0"/>
        <w:ind w:left="1440" w:hanging="720"/>
        <w:jc w:val="both"/>
        <w:rPr>
          <w:color w:val="000000" w:themeColor="text1"/>
          <w:sz w:val="22"/>
          <w:szCs w:val="22"/>
          <w:lang w:val="pt-BR"/>
        </w:rPr>
      </w:pPr>
      <w:r w:rsidRPr="00913ACD">
        <w:rPr>
          <w:color w:val="000000" w:themeColor="text1"/>
          <w:sz w:val="22"/>
          <w:szCs w:val="22"/>
          <w:bdr w:val="none" w:sz="0" w:space="0" w:color="auto" w:frame="1"/>
          <w:shd w:val="clear" w:color="auto" w:fill="FFFFFF"/>
          <w:lang w:val="pt-BR"/>
        </w:rPr>
        <w:t xml:space="preserve">Compartilhou mais de 30 boas práticas </w:t>
      </w:r>
      <w:r w:rsidRPr="00913ACD">
        <w:rPr>
          <w:color w:val="000000" w:themeColor="text1"/>
          <w:sz w:val="22"/>
          <w:szCs w:val="22"/>
          <w:bdr w:val="none" w:sz="0" w:space="0" w:color="auto" w:frame="1"/>
          <w:lang w:val="pt-BR"/>
        </w:rPr>
        <w:t>relacionadas ao desenvolvimento econômico inclusivo e à recuperação econômica</w:t>
      </w:r>
      <w:r w:rsidR="00C51D8E" w:rsidRPr="00913ACD">
        <w:rPr>
          <w:color w:val="000000" w:themeColor="text1"/>
          <w:sz w:val="22"/>
          <w:szCs w:val="22"/>
          <w:bdr w:val="none" w:sz="0" w:space="0" w:color="auto" w:frame="1"/>
          <w:lang w:val="pt-BR"/>
        </w:rPr>
        <w:t xml:space="preserve"> </w:t>
      </w:r>
      <w:r w:rsidRPr="00913ACD">
        <w:rPr>
          <w:sz w:val="22"/>
          <w:szCs w:val="22"/>
          <w:lang w:val="pt-BR"/>
        </w:rPr>
        <w:t xml:space="preserve">de centros de </w:t>
      </w:r>
      <w:r w:rsidRPr="00913ACD">
        <w:rPr>
          <w:color w:val="000000" w:themeColor="text1"/>
          <w:sz w:val="22"/>
          <w:szCs w:val="22"/>
          <w:bdr w:val="none" w:sz="0" w:space="0" w:color="auto" w:frame="1"/>
          <w:shd w:val="clear" w:color="auto" w:fill="FFFFFF"/>
          <w:lang w:val="pt-BR"/>
        </w:rPr>
        <w:t xml:space="preserve">inovação, centros de pesquisa, empresas, universidades e entidades públicas em Nova Orleans, Baton Rouge, Lafayette e Acadiana, </w:t>
      </w:r>
      <w:r w:rsidR="00057A52" w:rsidRPr="00913ACD">
        <w:rPr>
          <w:color w:val="000000" w:themeColor="text1"/>
          <w:sz w:val="22"/>
          <w:szCs w:val="22"/>
          <w:bdr w:val="none" w:sz="0" w:space="0" w:color="auto" w:frame="1"/>
          <w:shd w:val="clear" w:color="auto" w:fill="FFFFFF"/>
          <w:lang w:val="pt-BR"/>
        </w:rPr>
        <w:t xml:space="preserve">na </w:t>
      </w:r>
      <w:r w:rsidRPr="00913ACD">
        <w:rPr>
          <w:color w:val="000000" w:themeColor="text1"/>
          <w:sz w:val="22"/>
          <w:szCs w:val="22"/>
          <w:bdr w:val="none" w:sz="0" w:space="0" w:color="auto" w:frame="1"/>
          <w:shd w:val="clear" w:color="auto" w:fill="FFFFFF"/>
          <w:lang w:val="pt-BR"/>
        </w:rPr>
        <w:t>Louisiana, n</w:t>
      </w:r>
      <w:r w:rsidR="007453DC" w:rsidRPr="00913ACD">
        <w:rPr>
          <w:color w:val="000000" w:themeColor="text1"/>
          <w:sz w:val="22"/>
          <w:szCs w:val="22"/>
          <w:bdr w:val="none" w:sz="0" w:space="0" w:color="auto" w:frame="1"/>
          <w:shd w:val="clear" w:color="auto" w:fill="FFFFFF"/>
          <w:lang w:val="pt-BR"/>
        </w:rPr>
        <w:t>o</w:t>
      </w:r>
      <w:r w:rsidRPr="00913ACD">
        <w:rPr>
          <w:color w:val="000000" w:themeColor="text1"/>
          <w:sz w:val="22"/>
          <w:szCs w:val="22"/>
          <w:bdr w:val="none" w:sz="0" w:space="0" w:color="auto" w:frame="1"/>
          <w:shd w:val="clear" w:color="auto" w:fill="FFFFFF"/>
          <w:lang w:val="pt-BR"/>
        </w:rPr>
        <w:t xml:space="preserve"> 14ª</w:t>
      </w:r>
      <w:r w:rsidRPr="00913ACD">
        <w:rPr>
          <w:color w:val="000000" w:themeColor="text1"/>
          <w:sz w:val="22"/>
          <w:szCs w:val="22"/>
          <w:lang w:val="pt-BR"/>
        </w:rPr>
        <w:t xml:space="preserve"> ACE, realizad</w:t>
      </w:r>
      <w:r w:rsidR="007453DC" w:rsidRPr="00913ACD">
        <w:rPr>
          <w:color w:val="000000" w:themeColor="text1"/>
          <w:sz w:val="22"/>
          <w:szCs w:val="22"/>
          <w:lang w:val="pt-BR"/>
        </w:rPr>
        <w:t>o</w:t>
      </w:r>
      <w:r w:rsidRPr="00913ACD">
        <w:rPr>
          <w:color w:val="000000" w:themeColor="text1"/>
          <w:sz w:val="22"/>
          <w:szCs w:val="22"/>
          <w:lang w:val="pt-BR"/>
        </w:rPr>
        <w:t xml:space="preserve"> de 27 de março a 2 de abril de 2022</w:t>
      </w:r>
      <w:r w:rsidRPr="00913ACD">
        <w:rPr>
          <w:sz w:val="22"/>
          <w:szCs w:val="22"/>
          <w:lang w:val="pt-BR"/>
        </w:rPr>
        <w:t xml:space="preserve">, </w:t>
      </w:r>
      <w:r w:rsidR="00C92AB9">
        <w:rPr>
          <w:sz w:val="22"/>
          <w:szCs w:val="22"/>
          <w:lang w:val="pt-BR"/>
        </w:rPr>
        <w:t xml:space="preserve">o qual resultou </w:t>
      </w:r>
      <w:r w:rsidR="006E402C" w:rsidRPr="00913ACD">
        <w:rPr>
          <w:color w:val="000000" w:themeColor="text1"/>
          <w:sz w:val="22"/>
          <w:szCs w:val="22"/>
          <w:bdr w:val="none" w:sz="0" w:space="0" w:color="auto" w:frame="1"/>
          <w:shd w:val="clear" w:color="auto" w:fill="FFFFFF"/>
          <w:lang w:val="pt-BR"/>
        </w:rPr>
        <w:t>em</w:t>
      </w:r>
      <w:r w:rsidRPr="00913ACD">
        <w:rPr>
          <w:color w:val="000000" w:themeColor="text1"/>
          <w:sz w:val="22"/>
          <w:szCs w:val="22"/>
          <w:bdr w:val="none" w:sz="0" w:space="0" w:color="auto" w:frame="1"/>
          <w:shd w:val="clear" w:color="auto" w:fill="FFFFFF"/>
          <w:lang w:val="pt-BR"/>
        </w:rPr>
        <w:t xml:space="preserve"> mais de 30 </w:t>
      </w:r>
      <w:r w:rsidR="00795AE9" w:rsidRPr="00913ACD">
        <w:rPr>
          <w:color w:val="000000" w:themeColor="text1"/>
          <w:sz w:val="22"/>
          <w:szCs w:val="22"/>
          <w:bdr w:val="none" w:sz="0" w:space="0" w:color="auto" w:frame="1"/>
          <w:shd w:val="clear" w:color="auto" w:fill="FFFFFF"/>
          <w:lang w:val="pt-BR"/>
        </w:rPr>
        <w:t xml:space="preserve">modelos </w:t>
      </w:r>
      <w:r w:rsidR="007C74CA" w:rsidRPr="00913ACD">
        <w:rPr>
          <w:color w:val="000000" w:themeColor="text1"/>
          <w:sz w:val="22"/>
          <w:szCs w:val="22"/>
          <w:bdr w:val="none" w:sz="0" w:space="0" w:color="auto" w:frame="1"/>
          <w:shd w:val="clear" w:color="auto" w:fill="FFFFFF"/>
          <w:lang w:val="pt-BR"/>
        </w:rPr>
        <w:t>concret</w:t>
      </w:r>
      <w:r w:rsidR="00795AE9" w:rsidRPr="00913ACD">
        <w:rPr>
          <w:color w:val="000000" w:themeColor="text1"/>
          <w:sz w:val="22"/>
          <w:szCs w:val="22"/>
          <w:bdr w:val="none" w:sz="0" w:space="0" w:color="auto" w:frame="1"/>
          <w:shd w:val="clear" w:color="auto" w:fill="FFFFFF"/>
          <w:lang w:val="pt-BR"/>
        </w:rPr>
        <w:t>o</w:t>
      </w:r>
      <w:r w:rsidR="007C74CA" w:rsidRPr="00913ACD">
        <w:rPr>
          <w:color w:val="000000" w:themeColor="text1"/>
          <w:sz w:val="22"/>
          <w:szCs w:val="22"/>
          <w:bdr w:val="none" w:sz="0" w:space="0" w:color="auto" w:frame="1"/>
          <w:shd w:val="clear" w:color="auto" w:fill="FFFFFF"/>
          <w:lang w:val="pt-BR"/>
        </w:rPr>
        <w:t xml:space="preserve">s </w:t>
      </w:r>
      <w:r w:rsidRPr="00913ACD">
        <w:rPr>
          <w:color w:val="000000" w:themeColor="text1"/>
          <w:sz w:val="22"/>
          <w:szCs w:val="22"/>
          <w:bdr w:val="none" w:sz="0" w:space="0" w:color="auto" w:frame="1"/>
          <w:shd w:val="clear" w:color="auto" w:fill="FFFFFF"/>
          <w:lang w:val="pt-BR"/>
        </w:rPr>
        <w:t xml:space="preserve">de colaboração entre mais de 60 líderes </w:t>
      </w:r>
      <w:r w:rsidR="00777D52" w:rsidRPr="00913ACD">
        <w:rPr>
          <w:color w:val="000000" w:themeColor="text1"/>
          <w:sz w:val="22"/>
          <w:szCs w:val="22"/>
          <w:bdr w:val="none" w:sz="0" w:space="0" w:color="auto" w:frame="1"/>
          <w:shd w:val="clear" w:color="auto" w:fill="FFFFFF"/>
          <w:lang w:val="pt-BR"/>
        </w:rPr>
        <w:t xml:space="preserve">dos </w:t>
      </w:r>
      <w:r w:rsidRPr="00913ACD">
        <w:rPr>
          <w:color w:val="000000" w:themeColor="text1"/>
          <w:sz w:val="22"/>
          <w:szCs w:val="22"/>
          <w:bdr w:val="none" w:sz="0" w:space="0" w:color="auto" w:frame="1"/>
          <w:shd w:val="clear" w:color="auto" w:fill="FFFFFF"/>
          <w:lang w:val="pt-BR"/>
        </w:rPr>
        <w:t xml:space="preserve">setores </w:t>
      </w:r>
      <w:r w:rsidR="00D32DD0" w:rsidRPr="00913ACD">
        <w:rPr>
          <w:color w:val="000000" w:themeColor="text1"/>
          <w:sz w:val="22"/>
          <w:szCs w:val="22"/>
          <w:bdr w:val="none" w:sz="0" w:space="0" w:color="auto" w:frame="1"/>
          <w:shd w:val="clear" w:color="auto" w:fill="FFFFFF"/>
          <w:lang w:val="pt-BR"/>
        </w:rPr>
        <w:t xml:space="preserve">privado, </w:t>
      </w:r>
      <w:r w:rsidRPr="00913ACD">
        <w:rPr>
          <w:color w:val="000000" w:themeColor="text1"/>
          <w:sz w:val="22"/>
          <w:szCs w:val="22"/>
          <w:bdr w:val="none" w:sz="0" w:space="0" w:color="auto" w:frame="1"/>
          <w:shd w:val="clear" w:color="auto" w:fill="FFFFFF"/>
          <w:lang w:val="pt-BR"/>
        </w:rPr>
        <w:t>público e acadêmico dos</w:t>
      </w:r>
      <w:r w:rsidR="00C51D8E" w:rsidRPr="00913ACD">
        <w:rPr>
          <w:color w:val="000000" w:themeColor="text1"/>
          <w:sz w:val="22"/>
          <w:szCs w:val="22"/>
          <w:bdr w:val="none" w:sz="0" w:space="0" w:color="auto" w:frame="1"/>
          <w:shd w:val="clear" w:color="auto" w:fill="FFFFFF"/>
          <w:lang w:val="pt-BR"/>
        </w:rPr>
        <w:t xml:space="preserve"> </w:t>
      </w:r>
      <w:r w:rsidR="005F30B1" w:rsidRPr="00913ACD">
        <w:rPr>
          <w:color w:val="000000" w:themeColor="text1"/>
          <w:sz w:val="22"/>
          <w:szCs w:val="22"/>
          <w:lang w:val="pt-BR"/>
        </w:rPr>
        <w:t>Estados</w:t>
      </w:r>
      <w:r w:rsidRPr="00913ACD">
        <w:rPr>
          <w:color w:val="000000" w:themeColor="text1"/>
          <w:sz w:val="22"/>
          <w:szCs w:val="22"/>
          <w:bdr w:val="none" w:sz="0" w:space="0" w:color="auto" w:frame="1"/>
          <w:shd w:val="clear" w:color="auto" w:fill="FFFFFF"/>
          <w:lang w:val="pt-BR"/>
        </w:rPr>
        <w:t xml:space="preserve"> membros e </w:t>
      </w:r>
      <w:r w:rsidR="00D32DD0" w:rsidRPr="00913ACD">
        <w:rPr>
          <w:color w:val="000000" w:themeColor="text1"/>
          <w:sz w:val="22"/>
          <w:szCs w:val="22"/>
          <w:bdr w:val="none" w:sz="0" w:space="0" w:color="auto" w:frame="1"/>
          <w:shd w:val="clear" w:color="auto" w:fill="FFFFFF"/>
          <w:lang w:val="pt-BR"/>
        </w:rPr>
        <w:t xml:space="preserve">de </w:t>
      </w:r>
      <w:r w:rsidRPr="00913ACD">
        <w:rPr>
          <w:color w:val="000000" w:themeColor="text1"/>
          <w:sz w:val="22"/>
          <w:szCs w:val="22"/>
          <w:bdr w:val="none" w:sz="0" w:space="0" w:color="auto" w:frame="1"/>
          <w:shd w:val="clear" w:color="auto" w:fill="FFFFFF"/>
          <w:lang w:val="pt-BR"/>
        </w:rPr>
        <w:t>parceiros da OEA.</w:t>
      </w:r>
    </w:p>
    <w:p w14:paraId="5194A554" w14:textId="77777777" w:rsidR="00ED78BF" w:rsidRPr="00913ACD" w:rsidRDefault="00ED78BF" w:rsidP="00CB030B">
      <w:pPr>
        <w:pStyle w:val="NormalWeb"/>
        <w:spacing w:before="0" w:beforeAutospacing="0" w:after="0" w:afterAutospacing="0"/>
        <w:ind w:left="1440" w:hanging="720"/>
        <w:jc w:val="both"/>
        <w:rPr>
          <w:color w:val="000000" w:themeColor="text1"/>
          <w:sz w:val="22"/>
          <w:szCs w:val="22"/>
          <w:lang w:val="pt-BR"/>
        </w:rPr>
      </w:pPr>
    </w:p>
    <w:p w14:paraId="4E9774B0" w14:textId="5AB3341C" w:rsidR="00ED78BF" w:rsidRPr="00913ACD" w:rsidRDefault="00ED78BF" w:rsidP="00CB030B">
      <w:pPr>
        <w:pStyle w:val="NormalWeb"/>
        <w:numPr>
          <w:ilvl w:val="0"/>
          <w:numId w:val="8"/>
        </w:numPr>
        <w:spacing w:before="0" w:beforeAutospacing="0" w:after="0" w:afterAutospacing="0"/>
        <w:ind w:left="1440" w:hanging="720"/>
        <w:jc w:val="both"/>
        <w:rPr>
          <w:color w:val="000000" w:themeColor="text1"/>
          <w:sz w:val="22"/>
          <w:szCs w:val="22"/>
          <w:lang w:val="pt-BR"/>
        </w:rPr>
      </w:pPr>
      <w:r w:rsidRPr="00913ACD">
        <w:rPr>
          <w:color w:val="000000" w:themeColor="text1"/>
          <w:sz w:val="22"/>
          <w:szCs w:val="22"/>
          <w:bdr w:val="none" w:sz="0" w:space="0" w:color="auto" w:frame="1"/>
          <w:shd w:val="clear" w:color="auto" w:fill="FFFFFF"/>
          <w:lang w:val="pt-BR"/>
        </w:rPr>
        <w:t xml:space="preserve">Compartilhou mais de 20 boas práticas </w:t>
      </w:r>
      <w:r w:rsidRPr="00913ACD">
        <w:rPr>
          <w:color w:val="000000" w:themeColor="text1"/>
          <w:sz w:val="22"/>
          <w:szCs w:val="22"/>
          <w:bdr w:val="none" w:sz="0" w:space="0" w:color="auto" w:frame="1"/>
          <w:lang w:val="pt-BR"/>
        </w:rPr>
        <w:t xml:space="preserve">relacionadas ao desenvolvimento econômico, inovação e empreendedorismo sustentáveis, inclusivos e equitativos </w:t>
      </w:r>
      <w:r w:rsidR="00F56633">
        <w:rPr>
          <w:color w:val="000000" w:themeColor="text1"/>
          <w:sz w:val="22"/>
          <w:szCs w:val="22"/>
          <w:bdr w:val="none" w:sz="0" w:space="0" w:color="auto" w:frame="1"/>
          <w:lang w:val="pt-BR"/>
        </w:rPr>
        <w:t xml:space="preserve">em </w:t>
      </w:r>
      <w:r w:rsidRPr="00913ACD">
        <w:rPr>
          <w:color w:val="000000" w:themeColor="text1"/>
          <w:sz w:val="22"/>
          <w:szCs w:val="22"/>
          <w:bdr w:val="none" w:sz="0" w:space="0" w:color="auto" w:frame="1"/>
          <w:lang w:val="pt-BR"/>
        </w:rPr>
        <w:t xml:space="preserve">espaços de </w:t>
      </w:r>
      <w:r w:rsidR="00CA3C54" w:rsidRPr="00913ACD">
        <w:rPr>
          <w:color w:val="000000" w:themeColor="text1"/>
          <w:sz w:val="22"/>
          <w:szCs w:val="22"/>
          <w:bdr w:val="none" w:sz="0" w:space="0" w:color="auto" w:frame="1"/>
          <w:lang w:val="pt-BR"/>
        </w:rPr>
        <w:t>co</w:t>
      </w:r>
      <w:r w:rsidR="003E34F7" w:rsidRPr="00913ACD">
        <w:rPr>
          <w:color w:val="000000" w:themeColor="text1"/>
          <w:sz w:val="22"/>
          <w:szCs w:val="22"/>
          <w:bdr w:val="none" w:sz="0" w:space="0" w:color="auto" w:frame="1"/>
          <w:lang w:val="pt-BR"/>
        </w:rPr>
        <w:t>working</w:t>
      </w:r>
      <w:r w:rsidRPr="00913ACD">
        <w:rPr>
          <w:color w:val="000000" w:themeColor="text1"/>
          <w:sz w:val="22"/>
          <w:szCs w:val="22"/>
          <w:bdr w:val="none" w:sz="0" w:space="0" w:color="auto" w:frame="1"/>
          <w:lang w:val="pt-BR"/>
        </w:rPr>
        <w:t>, empresas de crescimento</w:t>
      </w:r>
      <w:r w:rsidR="00FF3E19" w:rsidRPr="00FF3E19">
        <w:rPr>
          <w:color w:val="000000" w:themeColor="text1"/>
          <w:sz w:val="22"/>
          <w:szCs w:val="22"/>
          <w:bdr w:val="none" w:sz="0" w:space="0" w:color="auto" w:frame="1"/>
          <w:lang w:val="pt-BR"/>
        </w:rPr>
        <w:t xml:space="preserve"> </w:t>
      </w:r>
      <w:r w:rsidR="00FF3E19" w:rsidRPr="00913ACD">
        <w:rPr>
          <w:color w:val="000000" w:themeColor="text1"/>
          <w:sz w:val="22"/>
          <w:szCs w:val="22"/>
          <w:bdr w:val="none" w:sz="0" w:space="0" w:color="auto" w:frame="1"/>
          <w:lang w:val="pt-BR"/>
        </w:rPr>
        <w:t>rápido</w:t>
      </w:r>
      <w:r w:rsidRPr="00913ACD">
        <w:rPr>
          <w:color w:val="000000" w:themeColor="text1"/>
          <w:sz w:val="22"/>
          <w:szCs w:val="22"/>
          <w:bdr w:val="none" w:sz="0" w:space="0" w:color="auto" w:frame="1"/>
          <w:lang w:val="pt-BR"/>
        </w:rPr>
        <w:t xml:space="preserve">, clusters industriais, iniciativas empresariais, instituições acadêmicas e outros centros de inovação </w:t>
      </w:r>
      <w:r w:rsidRPr="00913ACD">
        <w:rPr>
          <w:color w:val="000000" w:themeColor="text1"/>
          <w:sz w:val="22"/>
          <w:szCs w:val="22"/>
          <w:bdr w:val="none" w:sz="0" w:space="0" w:color="auto" w:frame="1"/>
          <w:shd w:val="clear" w:color="auto" w:fill="FFFFFF"/>
          <w:lang w:val="pt-BR"/>
        </w:rPr>
        <w:t>em Quito, Equador, no 15º</w:t>
      </w:r>
      <w:r w:rsidRPr="00913ACD">
        <w:rPr>
          <w:color w:val="000000" w:themeColor="text1"/>
          <w:sz w:val="22"/>
          <w:szCs w:val="22"/>
          <w:lang w:val="pt-BR"/>
        </w:rPr>
        <w:t xml:space="preserve"> ACE realizado de 13 a 17</w:t>
      </w:r>
      <w:r w:rsidRPr="00913ACD">
        <w:rPr>
          <w:sz w:val="22"/>
          <w:szCs w:val="22"/>
          <w:lang w:val="pt-BR"/>
        </w:rPr>
        <w:t xml:space="preserve"> </w:t>
      </w:r>
      <w:r w:rsidRPr="00913ACD">
        <w:rPr>
          <w:color w:val="000000" w:themeColor="text1"/>
          <w:sz w:val="22"/>
          <w:szCs w:val="22"/>
          <w:bdr w:val="none" w:sz="0" w:space="0" w:color="auto" w:frame="1"/>
          <w:shd w:val="clear" w:color="auto" w:fill="FFFFFF"/>
          <w:lang w:val="pt-BR"/>
        </w:rPr>
        <w:t xml:space="preserve">de novembro </w:t>
      </w:r>
      <w:r w:rsidR="00897763" w:rsidRPr="00913ACD">
        <w:rPr>
          <w:color w:val="000000" w:themeColor="text1"/>
          <w:sz w:val="22"/>
          <w:szCs w:val="22"/>
          <w:bdr w:val="none" w:sz="0" w:space="0" w:color="auto" w:frame="1"/>
          <w:shd w:val="clear" w:color="auto" w:fill="FFFFFF"/>
          <w:lang w:val="pt-BR"/>
        </w:rPr>
        <w:t>de</w:t>
      </w:r>
      <w:r w:rsidRPr="00913ACD">
        <w:rPr>
          <w:color w:val="000000" w:themeColor="text1"/>
          <w:sz w:val="22"/>
          <w:szCs w:val="22"/>
          <w:bdr w:val="none" w:sz="0" w:space="0" w:color="auto" w:frame="1"/>
          <w:shd w:val="clear" w:color="auto" w:fill="FFFFFF"/>
          <w:lang w:val="pt-BR"/>
        </w:rPr>
        <w:t xml:space="preserve"> 2022, </w:t>
      </w:r>
      <w:r w:rsidR="00F065FD">
        <w:rPr>
          <w:color w:val="000000" w:themeColor="text1"/>
          <w:sz w:val="22"/>
          <w:szCs w:val="22"/>
          <w:bdr w:val="none" w:sz="0" w:space="0" w:color="auto" w:frame="1"/>
          <w:shd w:val="clear" w:color="auto" w:fill="FFFFFF"/>
          <w:lang w:val="pt-BR"/>
        </w:rPr>
        <w:t xml:space="preserve">o qual resultou </w:t>
      </w:r>
      <w:r w:rsidRPr="00913ACD">
        <w:rPr>
          <w:color w:val="000000" w:themeColor="text1"/>
          <w:sz w:val="22"/>
          <w:szCs w:val="22"/>
          <w:bdr w:val="none" w:sz="0" w:space="0" w:color="auto" w:frame="1"/>
          <w:shd w:val="clear" w:color="auto" w:fill="FFFFFF"/>
          <w:lang w:val="pt-BR"/>
        </w:rPr>
        <w:t xml:space="preserve">em mais de 25 </w:t>
      </w:r>
      <w:r w:rsidR="001E7EC3" w:rsidRPr="00913ACD">
        <w:rPr>
          <w:color w:val="000000" w:themeColor="text1"/>
          <w:sz w:val="22"/>
          <w:szCs w:val="22"/>
          <w:bdr w:val="none" w:sz="0" w:space="0" w:color="auto" w:frame="1"/>
          <w:shd w:val="clear" w:color="auto" w:fill="FFFFFF"/>
          <w:lang w:val="pt-BR"/>
        </w:rPr>
        <w:t xml:space="preserve">modelos </w:t>
      </w:r>
      <w:r w:rsidR="00C4279F" w:rsidRPr="00913ACD">
        <w:rPr>
          <w:color w:val="000000" w:themeColor="text1"/>
          <w:sz w:val="22"/>
          <w:szCs w:val="22"/>
          <w:bdr w:val="none" w:sz="0" w:space="0" w:color="auto" w:frame="1"/>
          <w:shd w:val="clear" w:color="auto" w:fill="FFFFFF"/>
          <w:lang w:val="pt-BR"/>
        </w:rPr>
        <w:t>concret</w:t>
      </w:r>
      <w:r w:rsidR="001E7EC3" w:rsidRPr="00913ACD">
        <w:rPr>
          <w:color w:val="000000" w:themeColor="text1"/>
          <w:sz w:val="22"/>
          <w:szCs w:val="22"/>
          <w:bdr w:val="none" w:sz="0" w:space="0" w:color="auto" w:frame="1"/>
          <w:shd w:val="clear" w:color="auto" w:fill="FFFFFF"/>
          <w:lang w:val="pt-BR"/>
        </w:rPr>
        <w:t>o</w:t>
      </w:r>
      <w:r w:rsidR="00C4279F" w:rsidRPr="00913ACD">
        <w:rPr>
          <w:color w:val="000000" w:themeColor="text1"/>
          <w:sz w:val="22"/>
          <w:szCs w:val="22"/>
          <w:bdr w:val="none" w:sz="0" w:space="0" w:color="auto" w:frame="1"/>
          <w:shd w:val="clear" w:color="auto" w:fill="FFFFFF"/>
          <w:lang w:val="pt-BR"/>
        </w:rPr>
        <w:t xml:space="preserve">s </w:t>
      </w:r>
      <w:r w:rsidRPr="00913ACD">
        <w:rPr>
          <w:color w:val="000000" w:themeColor="text1"/>
          <w:sz w:val="22"/>
          <w:szCs w:val="22"/>
          <w:bdr w:val="none" w:sz="0" w:space="0" w:color="auto" w:frame="1"/>
          <w:shd w:val="clear" w:color="auto" w:fill="FFFFFF"/>
          <w:lang w:val="pt-BR"/>
        </w:rPr>
        <w:t>de colaboração entre mais de 60 líderes dos setores privado, público e acadêmico dos</w:t>
      </w:r>
      <w:r w:rsidR="00C51D8E" w:rsidRPr="00913ACD">
        <w:rPr>
          <w:color w:val="000000" w:themeColor="text1"/>
          <w:sz w:val="22"/>
          <w:szCs w:val="22"/>
          <w:bdr w:val="none" w:sz="0" w:space="0" w:color="auto" w:frame="1"/>
          <w:shd w:val="clear" w:color="auto" w:fill="FFFFFF"/>
          <w:lang w:val="pt-BR"/>
        </w:rPr>
        <w:t xml:space="preserve"> </w:t>
      </w:r>
      <w:r w:rsidR="005F30B1" w:rsidRPr="00913ACD">
        <w:rPr>
          <w:color w:val="000000" w:themeColor="text1"/>
          <w:sz w:val="22"/>
          <w:szCs w:val="22"/>
          <w:lang w:val="pt-BR"/>
        </w:rPr>
        <w:t>Estados membros</w:t>
      </w:r>
      <w:r w:rsidRPr="00913ACD">
        <w:rPr>
          <w:color w:val="000000" w:themeColor="text1"/>
          <w:sz w:val="22"/>
          <w:szCs w:val="22"/>
          <w:bdr w:val="none" w:sz="0" w:space="0" w:color="auto" w:frame="1"/>
          <w:shd w:val="clear" w:color="auto" w:fill="FFFFFF"/>
          <w:lang w:val="pt-BR"/>
        </w:rPr>
        <w:t xml:space="preserve"> e </w:t>
      </w:r>
      <w:r w:rsidR="00F065FD">
        <w:rPr>
          <w:color w:val="000000" w:themeColor="text1"/>
          <w:sz w:val="22"/>
          <w:szCs w:val="22"/>
          <w:bdr w:val="none" w:sz="0" w:space="0" w:color="auto" w:frame="1"/>
          <w:shd w:val="clear" w:color="auto" w:fill="FFFFFF"/>
          <w:lang w:val="pt-BR"/>
        </w:rPr>
        <w:t xml:space="preserve">de </w:t>
      </w:r>
      <w:r w:rsidRPr="00913ACD">
        <w:rPr>
          <w:color w:val="000000" w:themeColor="text1"/>
          <w:sz w:val="22"/>
          <w:szCs w:val="22"/>
          <w:bdr w:val="none" w:sz="0" w:space="0" w:color="auto" w:frame="1"/>
          <w:shd w:val="clear" w:color="auto" w:fill="FFFFFF"/>
          <w:lang w:val="pt-BR"/>
        </w:rPr>
        <w:t>parceiros da OEA.</w:t>
      </w:r>
    </w:p>
    <w:p w14:paraId="2364505E" w14:textId="77777777" w:rsidR="00ED78BF" w:rsidRPr="00913ACD" w:rsidRDefault="00ED78BF" w:rsidP="00CB030B">
      <w:pPr>
        <w:pStyle w:val="ListParagraph"/>
        <w:ind w:left="1440" w:hanging="720"/>
        <w:rPr>
          <w:color w:val="000000" w:themeColor="text1"/>
          <w:sz w:val="22"/>
          <w:szCs w:val="22"/>
          <w:bdr w:val="none" w:sz="0" w:space="0" w:color="auto" w:frame="1"/>
          <w:shd w:val="clear" w:color="auto" w:fill="FFFFFF"/>
          <w:lang w:val="pt-BR"/>
        </w:rPr>
      </w:pPr>
    </w:p>
    <w:p w14:paraId="781B0EB0" w14:textId="78E47C8A" w:rsidR="00ED78BF" w:rsidRPr="00913ACD" w:rsidRDefault="00382C14" w:rsidP="00CB030B">
      <w:pPr>
        <w:pStyle w:val="NormalWeb"/>
        <w:numPr>
          <w:ilvl w:val="0"/>
          <w:numId w:val="8"/>
        </w:numPr>
        <w:spacing w:before="0" w:beforeAutospacing="0" w:after="0" w:afterAutospacing="0"/>
        <w:ind w:left="1440" w:hanging="720"/>
        <w:jc w:val="both"/>
        <w:rPr>
          <w:color w:val="000000" w:themeColor="text1"/>
          <w:sz w:val="22"/>
          <w:szCs w:val="22"/>
          <w:lang w:val="pt-BR"/>
        </w:rPr>
      </w:pPr>
      <w:r w:rsidRPr="00913ACD">
        <w:rPr>
          <w:color w:val="000000" w:themeColor="text1"/>
          <w:sz w:val="22"/>
          <w:szCs w:val="22"/>
          <w:bdr w:val="none" w:sz="0" w:space="0" w:color="auto" w:frame="1"/>
          <w:shd w:val="clear" w:color="auto" w:fill="FFFFFF"/>
          <w:lang w:val="pt-BR"/>
        </w:rPr>
        <w:t>Programas, parcerias e iniciativas desenvolvid</w:t>
      </w:r>
      <w:r w:rsidR="00F43902" w:rsidRPr="00913ACD">
        <w:rPr>
          <w:color w:val="000000" w:themeColor="text1"/>
          <w:sz w:val="22"/>
          <w:szCs w:val="22"/>
          <w:bdr w:val="none" w:sz="0" w:space="0" w:color="auto" w:frame="1"/>
          <w:shd w:val="clear" w:color="auto" w:fill="FFFFFF"/>
          <w:lang w:val="pt-BR"/>
        </w:rPr>
        <w:t>o</w:t>
      </w:r>
      <w:r w:rsidRPr="00913ACD">
        <w:rPr>
          <w:color w:val="000000" w:themeColor="text1"/>
          <w:sz w:val="22"/>
          <w:szCs w:val="22"/>
          <w:bdr w:val="none" w:sz="0" w:space="0" w:color="auto" w:frame="1"/>
          <w:shd w:val="clear" w:color="auto" w:fill="FFFFFF"/>
          <w:lang w:val="pt-BR"/>
        </w:rPr>
        <w:t xml:space="preserve">s </w:t>
      </w:r>
      <w:r w:rsidR="00610EE8" w:rsidRPr="00913ACD">
        <w:rPr>
          <w:color w:val="000000" w:themeColor="text1"/>
          <w:sz w:val="22"/>
          <w:szCs w:val="22"/>
          <w:bdr w:val="none" w:sz="0" w:space="0" w:color="auto" w:frame="1"/>
          <w:shd w:val="clear" w:color="auto" w:fill="FFFFFF"/>
          <w:lang w:val="pt-BR"/>
        </w:rPr>
        <w:t>pel</w:t>
      </w:r>
      <w:r w:rsidRPr="00913ACD">
        <w:rPr>
          <w:color w:val="000000" w:themeColor="text1"/>
          <w:sz w:val="22"/>
          <w:szCs w:val="22"/>
          <w:bdr w:val="none" w:sz="0" w:space="0" w:color="auto" w:frame="1"/>
          <w:shd w:val="clear" w:color="auto" w:fill="FFFFFF"/>
          <w:lang w:val="pt-BR"/>
        </w:rPr>
        <w:t>as partes interessadas do programa ACE 2021/2022:</w:t>
      </w:r>
    </w:p>
    <w:p w14:paraId="5E4A8A63" w14:textId="77777777" w:rsidR="003C2BE7" w:rsidRPr="00913ACD" w:rsidRDefault="003C2BE7" w:rsidP="00CB030B">
      <w:pPr>
        <w:pStyle w:val="NormalWeb"/>
        <w:spacing w:before="0" w:beforeAutospacing="0" w:after="0" w:afterAutospacing="0"/>
        <w:ind w:left="720"/>
        <w:jc w:val="both"/>
        <w:rPr>
          <w:color w:val="000000" w:themeColor="text1"/>
          <w:sz w:val="22"/>
          <w:szCs w:val="22"/>
          <w:lang w:val="pt-BR"/>
        </w:rPr>
      </w:pPr>
    </w:p>
    <w:p w14:paraId="1906A1B5" w14:textId="6DA7166C" w:rsidR="003C2BE7" w:rsidRPr="00913ACD" w:rsidRDefault="00ED78BF" w:rsidP="00CB030B">
      <w:pPr>
        <w:pStyle w:val="NormalWeb"/>
        <w:numPr>
          <w:ilvl w:val="1"/>
          <w:numId w:val="8"/>
        </w:numPr>
        <w:spacing w:before="0" w:beforeAutospacing="0" w:after="0" w:afterAutospacing="0"/>
        <w:ind w:left="1980" w:hanging="540"/>
        <w:jc w:val="both"/>
        <w:rPr>
          <w:color w:val="000000" w:themeColor="text1"/>
          <w:sz w:val="22"/>
          <w:szCs w:val="22"/>
          <w:lang w:val="pt-BR"/>
        </w:rPr>
      </w:pPr>
      <w:r w:rsidRPr="00913ACD">
        <w:rPr>
          <w:color w:val="000000" w:themeColor="text1"/>
          <w:sz w:val="22"/>
          <w:szCs w:val="22"/>
          <w:bdr w:val="none" w:sz="0" w:space="0" w:color="auto" w:frame="1"/>
          <w:shd w:val="clear" w:color="auto" w:fill="FFFFFF"/>
          <w:lang w:val="pt-BR"/>
        </w:rPr>
        <w:t xml:space="preserve">Mais de 40 novas colaborações entre partes interessadas </w:t>
      </w:r>
      <w:r w:rsidR="004C5DE5" w:rsidRPr="00913ACD">
        <w:rPr>
          <w:color w:val="000000" w:themeColor="text1"/>
          <w:sz w:val="22"/>
          <w:szCs w:val="22"/>
          <w:bdr w:val="none" w:sz="0" w:space="0" w:color="auto" w:frame="1"/>
          <w:shd w:val="clear" w:color="auto" w:fill="FFFFFF"/>
          <w:lang w:val="pt-BR"/>
        </w:rPr>
        <w:t xml:space="preserve">novas e antigas </w:t>
      </w:r>
      <w:r w:rsidRPr="00913ACD">
        <w:rPr>
          <w:color w:val="000000" w:themeColor="text1"/>
          <w:sz w:val="22"/>
          <w:szCs w:val="22"/>
          <w:bdr w:val="none" w:sz="0" w:space="0" w:color="auto" w:frame="1"/>
          <w:shd w:val="clear" w:color="auto" w:fill="FFFFFF"/>
          <w:lang w:val="pt-BR"/>
        </w:rPr>
        <w:t>d</w:t>
      </w:r>
      <w:r w:rsidR="004D2917" w:rsidRPr="00913ACD">
        <w:rPr>
          <w:color w:val="000000" w:themeColor="text1"/>
          <w:sz w:val="22"/>
          <w:szCs w:val="22"/>
          <w:bdr w:val="none" w:sz="0" w:space="0" w:color="auto" w:frame="1"/>
          <w:shd w:val="clear" w:color="auto" w:fill="FFFFFF"/>
          <w:lang w:val="pt-BR"/>
        </w:rPr>
        <w:t>o</w:t>
      </w:r>
      <w:r w:rsidR="00C31718" w:rsidRPr="00913ACD">
        <w:rPr>
          <w:color w:val="000000" w:themeColor="text1"/>
          <w:sz w:val="22"/>
          <w:szCs w:val="22"/>
          <w:bdr w:val="none" w:sz="0" w:space="0" w:color="auto" w:frame="1"/>
          <w:shd w:val="clear" w:color="auto" w:fill="FFFFFF"/>
          <w:lang w:val="pt-BR"/>
        </w:rPr>
        <w:t>s</w:t>
      </w:r>
      <w:r w:rsidRPr="00913ACD">
        <w:rPr>
          <w:color w:val="000000" w:themeColor="text1"/>
          <w:sz w:val="22"/>
          <w:szCs w:val="22"/>
          <w:bdr w:val="none" w:sz="0" w:space="0" w:color="auto" w:frame="1"/>
          <w:shd w:val="clear" w:color="auto" w:fill="FFFFFF"/>
          <w:lang w:val="pt-BR"/>
        </w:rPr>
        <w:t xml:space="preserve"> ACE</w:t>
      </w:r>
      <w:r w:rsidR="00E94E0F">
        <w:rPr>
          <w:color w:val="000000" w:themeColor="text1"/>
          <w:sz w:val="22"/>
          <w:szCs w:val="22"/>
          <w:bdr w:val="none" w:sz="0" w:space="0" w:color="auto" w:frame="1"/>
          <w:shd w:val="clear" w:color="auto" w:fill="FFFFFF"/>
          <w:lang w:val="pt-BR"/>
        </w:rPr>
        <w:t>s</w:t>
      </w:r>
      <w:r w:rsidR="00C51D8E" w:rsidRPr="00913ACD">
        <w:rPr>
          <w:color w:val="000000" w:themeColor="text1"/>
          <w:sz w:val="22"/>
          <w:szCs w:val="22"/>
          <w:bdr w:val="none" w:sz="0" w:space="0" w:color="auto" w:frame="1"/>
          <w:shd w:val="clear" w:color="auto" w:fill="FFFFFF"/>
          <w:lang w:val="pt-BR"/>
        </w:rPr>
        <w:t xml:space="preserve"> </w:t>
      </w:r>
      <w:r w:rsidRPr="00913ACD">
        <w:rPr>
          <w:sz w:val="22"/>
          <w:szCs w:val="22"/>
          <w:lang w:val="pt-BR"/>
        </w:rPr>
        <w:t>dos</w:t>
      </w:r>
      <w:r w:rsidR="00C51D8E" w:rsidRPr="00913ACD">
        <w:rPr>
          <w:sz w:val="22"/>
          <w:szCs w:val="22"/>
          <w:lang w:val="pt-BR"/>
        </w:rPr>
        <w:t xml:space="preserve"> </w:t>
      </w:r>
      <w:r w:rsidR="004D2917" w:rsidRPr="00913ACD">
        <w:rPr>
          <w:color w:val="000000" w:themeColor="text1"/>
          <w:sz w:val="22"/>
          <w:szCs w:val="22"/>
          <w:bdr w:val="none" w:sz="0" w:space="0" w:color="auto" w:frame="1"/>
          <w:shd w:val="clear" w:color="auto" w:fill="FFFFFF"/>
          <w:lang w:val="pt-BR"/>
        </w:rPr>
        <w:t>Estados membros</w:t>
      </w:r>
      <w:r w:rsidRPr="00913ACD">
        <w:rPr>
          <w:color w:val="000000" w:themeColor="text1"/>
          <w:sz w:val="22"/>
          <w:szCs w:val="22"/>
          <w:bdr w:val="none" w:sz="0" w:space="0" w:color="auto" w:frame="1"/>
          <w:shd w:val="clear" w:color="auto" w:fill="FFFFFF"/>
          <w:lang w:val="pt-BR"/>
        </w:rPr>
        <w:t xml:space="preserve"> da OEA com o objetivo de promover a inovação</w:t>
      </w:r>
      <w:r w:rsidR="009E71FB">
        <w:rPr>
          <w:color w:val="000000" w:themeColor="text1"/>
          <w:sz w:val="22"/>
          <w:szCs w:val="22"/>
          <w:bdr w:val="none" w:sz="0" w:space="0" w:color="auto" w:frame="1"/>
          <w:shd w:val="clear" w:color="auto" w:fill="FFFFFF"/>
          <w:lang w:val="pt-BR"/>
        </w:rPr>
        <w:t xml:space="preserve"> e</w:t>
      </w:r>
      <w:r w:rsidRPr="00913ACD">
        <w:rPr>
          <w:color w:val="000000" w:themeColor="text1"/>
          <w:sz w:val="22"/>
          <w:szCs w:val="22"/>
          <w:bdr w:val="none" w:sz="0" w:space="0" w:color="auto" w:frame="1"/>
          <w:shd w:val="clear" w:color="auto" w:fill="FFFFFF"/>
          <w:lang w:val="pt-BR"/>
        </w:rPr>
        <w:t xml:space="preserve"> o empreendedorismo foram documentadas </w:t>
      </w:r>
      <w:r w:rsidR="006D6276" w:rsidRPr="00913ACD">
        <w:rPr>
          <w:color w:val="000000" w:themeColor="text1"/>
          <w:sz w:val="22"/>
          <w:szCs w:val="22"/>
          <w:bdr w:val="none" w:sz="0" w:space="0" w:color="auto" w:frame="1"/>
          <w:shd w:val="clear" w:color="auto" w:fill="FFFFFF"/>
          <w:lang w:val="pt-BR"/>
        </w:rPr>
        <w:t>n</w:t>
      </w:r>
      <w:r w:rsidRPr="00913ACD">
        <w:rPr>
          <w:color w:val="000000" w:themeColor="text1"/>
          <w:sz w:val="22"/>
          <w:szCs w:val="22"/>
          <w:bdr w:val="none" w:sz="0" w:space="0" w:color="auto" w:frame="1"/>
          <w:shd w:val="clear" w:color="auto" w:fill="FFFFFF"/>
          <w:lang w:val="pt-BR"/>
        </w:rPr>
        <w:t xml:space="preserve">o período do relatório. </w:t>
      </w:r>
    </w:p>
    <w:p w14:paraId="0B558018" w14:textId="1000C2F6" w:rsidR="003C2BE7" w:rsidRPr="00913ACD"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pt-BR"/>
        </w:rPr>
      </w:pPr>
      <w:r w:rsidRPr="00913ACD">
        <w:rPr>
          <w:color w:val="000000" w:themeColor="text1"/>
          <w:sz w:val="22"/>
          <w:szCs w:val="22"/>
          <w:bdr w:val="none" w:sz="0" w:space="0" w:color="auto" w:frame="1"/>
          <w:shd w:val="clear" w:color="auto" w:fill="FFFFFF"/>
          <w:lang w:val="pt-BR"/>
        </w:rPr>
        <w:t xml:space="preserve">O Programa </w:t>
      </w:r>
      <w:r w:rsidRPr="00913ACD">
        <w:rPr>
          <w:i/>
          <w:iCs/>
          <w:color w:val="000000" w:themeColor="text1"/>
          <w:sz w:val="22"/>
          <w:szCs w:val="22"/>
          <w:bdr w:val="none" w:sz="0" w:space="0" w:color="auto" w:frame="1"/>
          <w:shd w:val="clear" w:color="auto" w:fill="FFFFFF"/>
          <w:lang w:val="pt-BR"/>
        </w:rPr>
        <w:t>Córdoba Acelera</w:t>
      </w:r>
      <w:r w:rsidRPr="00913ACD">
        <w:rPr>
          <w:sz w:val="22"/>
          <w:szCs w:val="22"/>
          <w:lang w:val="pt-BR"/>
        </w:rPr>
        <w:t xml:space="preserve"> –</w:t>
      </w:r>
      <w:r w:rsidR="00C51D8E" w:rsidRPr="00913ACD">
        <w:rPr>
          <w:sz w:val="22"/>
          <w:szCs w:val="22"/>
          <w:lang w:val="pt-BR"/>
        </w:rPr>
        <w:t xml:space="preserve"> </w:t>
      </w:r>
      <w:r w:rsidRPr="00913ACD">
        <w:rPr>
          <w:color w:val="000000" w:themeColor="text1"/>
          <w:sz w:val="22"/>
          <w:szCs w:val="22"/>
          <w:bdr w:val="none" w:sz="0" w:space="0" w:color="auto" w:frame="1"/>
          <w:shd w:val="clear" w:color="auto" w:fill="FFFFFF"/>
          <w:lang w:val="pt-BR"/>
        </w:rPr>
        <w:t xml:space="preserve">projetado e implementado no Município de Córdoba, Argentina – visa </w:t>
      </w:r>
      <w:r w:rsidR="006D6276" w:rsidRPr="00913ACD">
        <w:rPr>
          <w:color w:val="000000" w:themeColor="text1"/>
          <w:sz w:val="22"/>
          <w:szCs w:val="22"/>
          <w:bdr w:val="none" w:sz="0" w:space="0" w:color="auto" w:frame="1"/>
          <w:shd w:val="clear" w:color="auto" w:fill="FFFFFF"/>
          <w:lang w:val="pt-BR"/>
        </w:rPr>
        <w:t xml:space="preserve">a </w:t>
      </w:r>
      <w:r w:rsidRPr="00913ACD">
        <w:rPr>
          <w:color w:val="000000" w:themeColor="text1"/>
          <w:sz w:val="22"/>
          <w:szCs w:val="22"/>
          <w:bdr w:val="none" w:sz="0" w:space="0" w:color="auto" w:frame="1"/>
          <w:shd w:val="clear" w:color="auto" w:fill="FFFFFF"/>
          <w:lang w:val="pt-BR"/>
        </w:rPr>
        <w:t>apoiar projetos empreendedores inovadores e tecnológicos para a melhoria do desempenho socioeconômico da região.</w:t>
      </w:r>
      <w:r w:rsidR="00C51D8E" w:rsidRPr="00913ACD">
        <w:rPr>
          <w:color w:val="000000" w:themeColor="text1"/>
          <w:sz w:val="22"/>
          <w:szCs w:val="22"/>
          <w:bdr w:val="none" w:sz="0" w:space="0" w:color="auto" w:frame="1"/>
          <w:shd w:val="clear" w:color="auto" w:fill="FFFFFF"/>
          <w:lang w:val="pt-BR"/>
        </w:rPr>
        <w:t xml:space="preserve"> </w:t>
      </w:r>
      <w:r w:rsidRPr="00913ACD">
        <w:rPr>
          <w:i/>
          <w:iCs/>
          <w:color w:val="000000" w:themeColor="text1"/>
          <w:sz w:val="22"/>
          <w:szCs w:val="22"/>
          <w:bdr w:val="none" w:sz="0" w:space="0" w:color="auto" w:frame="1"/>
          <w:shd w:val="clear" w:color="auto" w:fill="FFFFFF"/>
          <w:lang w:val="pt-BR"/>
        </w:rPr>
        <w:t>Córdoba</w:t>
      </w:r>
      <w:r w:rsidRPr="00913ACD">
        <w:rPr>
          <w:color w:val="000000" w:themeColor="text1"/>
          <w:sz w:val="22"/>
          <w:szCs w:val="22"/>
          <w:bdr w:val="none" w:sz="0" w:space="0" w:color="auto" w:frame="1"/>
          <w:shd w:val="clear" w:color="auto" w:fill="FFFFFF"/>
          <w:lang w:val="pt-BR"/>
        </w:rPr>
        <w:t xml:space="preserve"> </w:t>
      </w:r>
      <w:r w:rsidRPr="00913ACD">
        <w:rPr>
          <w:i/>
          <w:iCs/>
          <w:color w:val="000000" w:themeColor="text1"/>
          <w:sz w:val="22"/>
          <w:szCs w:val="22"/>
          <w:bdr w:val="none" w:sz="0" w:space="0" w:color="auto" w:frame="1"/>
          <w:shd w:val="clear" w:color="auto" w:fill="FFFFFF"/>
          <w:lang w:val="pt-BR"/>
        </w:rPr>
        <w:t>Acelera</w:t>
      </w:r>
      <w:r w:rsidRPr="00913ACD">
        <w:rPr>
          <w:color w:val="000000" w:themeColor="text1"/>
          <w:sz w:val="22"/>
          <w:szCs w:val="22"/>
          <w:bdr w:val="none" w:sz="0" w:space="0" w:color="auto" w:frame="1"/>
          <w:shd w:val="clear" w:color="auto" w:fill="FFFFFF"/>
          <w:lang w:val="pt-BR"/>
        </w:rPr>
        <w:t xml:space="preserve"> conta com o apoio d</w:t>
      </w:r>
      <w:r w:rsidR="006C5636" w:rsidRPr="00913ACD">
        <w:rPr>
          <w:color w:val="000000" w:themeColor="text1"/>
          <w:sz w:val="22"/>
          <w:szCs w:val="22"/>
          <w:bdr w:val="none" w:sz="0" w:space="0" w:color="auto" w:frame="1"/>
          <w:shd w:val="clear" w:color="auto" w:fill="FFFFFF"/>
          <w:lang w:val="pt-BR"/>
        </w:rPr>
        <w:t>e</w:t>
      </w:r>
      <w:r w:rsidRPr="00913ACD">
        <w:rPr>
          <w:color w:val="000000" w:themeColor="text1"/>
          <w:sz w:val="22"/>
          <w:szCs w:val="22"/>
          <w:bdr w:val="none" w:sz="0" w:space="0" w:color="auto" w:frame="1"/>
          <w:shd w:val="clear" w:color="auto" w:fill="FFFFFF"/>
          <w:lang w:val="pt-BR"/>
        </w:rPr>
        <w:t xml:space="preserve"> atores regionais do</w:t>
      </w:r>
      <w:r w:rsidR="006C5636" w:rsidRPr="00913ACD">
        <w:rPr>
          <w:color w:val="000000" w:themeColor="text1"/>
          <w:sz w:val="22"/>
          <w:szCs w:val="22"/>
          <w:bdr w:val="none" w:sz="0" w:space="0" w:color="auto" w:frame="1"/>
          <w:shd w:val="clear" w:color="auto" w:fill="FFFFFF"/>
          <w:lang w:val="pt-BR"/>
        </w:rPr>
        <w:t>s</w:t>
      </w:r>
      <w:r w:rsidRPr="00913ACD">
        <w:rPr>
          <w:color w:val="000000" w:themeColor="text1"/>
          <w:sz w:val="22"/>
          <w:szCs w:val="22"/>
          <w:bdr w:val="none" w:sz="0" w:space="0" w:color="auto" w:frame="1"/>
          <w:shd w:val="clear" w:color="auto" w:fill="FFFFFF"/>
          <w:lang w:val="pt-BR"/>
        </w:rPr>
        <w:t xml:space="preserve"> setor</w:t>
      </w:r>
      <w:r w:rsidR="006C5636" w:rsidRPr="00913ACD">
        <w:rPr>
          <w:color w:val="000000" w:themeColor="text1"/>
          <w:sz w:val="22"/>
          <w:szCs w:val="22"/>
          <w:bdr w:val="none" w:sz="0" w:space="0" w:color="auto" w:frame="1"/>
          <w:shd w:val="clear" w:color="auto" w:fill="FFFFFF"/>
          <w:lang w:val="pt-BR"/>
        </w:rPr>
        <w:t>es</w:t>
      </w:r>
      <w:r w:rsidRPr="00913ACD">
        <w:rPr>
          <w:color w:val="000000" w:themeColor="text1"/>
          <w:sz w:val="22"/>
          <w:szCs w:val="22"/>
          <w:bdr w:val="none" w:sz="0" w:space="0" w:color="auto" w:frame="1"/>
          <w:shd w:val="clear" w:color="auto" w:fill="FFFFFF"/>
          <w:lang w:val="pt-BR"/>
        </w:rPr>
        <w:t xml:space="preserve"> público, privado e acadêmico e busca posicionar C</w:t>
      </w:r>
      <w:r w:rsidR="006C0416" w:rsidRPr="00913ACD">
        <w:rPr>
          <w:color w:val="000000" w:themeColor="text1"/>
          <w:sz w:val="22"/>
          <w:szCs w:val="22"/>
          <w:bdr w:val="none" w:sz="0" w:space="0" w:color="auto" w:frame="1"/>
          <w:shd w:val="clear" w:color="auto" w:fill="FFFFFF"/>
          <w:lang w:val="pt-BR"/>
        </w:rPr>
        <w:t>ó</w:t>
      </w:r>
      <w:r w:rsidRPr="00913ACD">
        <w:rPr>
          <w:color w:val="000000" w:themeColor="text1"/>
          <w:sz w:val="22"/>
          <w:szCs w:val="22"/>
          <w:bdr w:val="none" w:sz="0" w:space="0" w:color="auto" w:frame="1"/>
          <w:shd w:val="clear" w:color="auto" w:fill="FFFFFF"/>
          <w:lang w:val="pt-BR"/>
        </w:rPr>
        <w:t>rdoba como uma região inovadora e moderna, pronta para atrair talentos e investimentos.</w:t>
      </w:r>
    </w:p>
    <w:p w14:paraId="5FB2F9CD" w14:textId="4CA1789D" w:rsidR="003C2BE7" w:rsidRPr="00913ACD"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pt-BR"/>
        </w:rPr>
      </w:pPr>
      <w:r w:rsidRPr="00913ACD">
        <w:rPr>
          <w:color w:val="000000" w:themeColor="text1"/>
          <w:sz w:val="22"/>
          <w:szCs w:val="22"/>
          <w:bdr w:val="none" w:sz="0" w:space="0" w:color="auto" w:frame="1"/>
          <w:shd w:val="clear" w:color="auto" w:fill="FFFFFF"/>
          <w:lang w:val="pt-BR"/>
        </w:rPr>
        <w:t xml:space="preserve">O Observatório de Competitividade da Universidade Santiago de Guayaquil foi projetado e lançado em colaboração com a EPICO, empresa privada da cidade dedicada à promoção da competitividade e </w:t>
      </w:r>
      <w:r w:rsidR="002302FE">
        <w:rPr>
          <w:color w:val="000000" w:themeColor="text1"/>
          <w:sz w:val="22"/>
          <w:szCs w:val="22"/>
          <w:bdr w:val="none" w:sz="0" w:space="0" w:color="auto" w:frame="1"/>
          <w:shd w:val="clear" w:color="auto" w:fill="FFFFFF"/>
          <w:lang w:val="pt-BR"/>
        </w:rPr>
        <w:t xml:space="preserve">da </w:t>
      </w:r>
      <w:r w:rsidRPr="00913ACD">
        <w:rPr>
          <w:color w:val="000000" w:themeColor="text1"/>
          <w:sz w:val="22"/>
          <w:szCs w:val="22"/>
          <w:bdr w:val="none" w:sz="0" w:space="0" w:color="auto" w:frame="1"/>
          <w:shd w:val="clear" w:color="auto" w:fill="FFFFFF"/>
          <w:lang w:val="pt-BR"/>
        </w:rPr>
        <w:t>inovação.</w:t>
      </w:r>
    </w:p>
    <w:p w14:paraId="015772AF" w14:textId="243CD0D4" w:rsidR="003C2BE7" w:rsidRPr="00913ACD"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pt-BR"/>
        </w:rPr>
      </w:pPr>
      <w:r w:rsidRPr="00913ACD">
        <w:rPr>
          <w:color w:val="000000" w:themeColor="text1"/>
          <w:sz w:val="22"/>
          <w:szCs w:val="22"/>
          <w:bdr w:val="none" w:sz="0" w:space="0" w:color="auto" w:frame="1"/>
          <w:shd w:val="clear" w:color="auto" w:fill="FFFFFF"/>
          <w:lang w:val="pt-BR"/>
        </w:rPr>
        <w:t>A Empresa Brasileira</w:t>
      </w:r>
      <w:r w:rsidR="00B14BB2" w:rsidRPr="00913ACD">
        <w:rPr>
          <w:color w:val="000000" w:themeColor="text1"/>
          <w:sz w:val="22"/>
          <w:szCs w:val="22"/>
          <w:bdr w:val="none" w:sz="0" w:space="0" w:color="auto" w:frame="1"/>
          <w:shd w:val="clear" w:color="auto" w:fill="FFFFFF"/>
          <w:lang w:val="pt-BR"/>
        </w:rPr>
        <w:t xml:space="preserve"> Orbital Engenharia </w:t>
      </w:r>
      <w:r w:rsidRPr="00913ACD">
        <w:rPr>
          <w:color w:val="000000" w:themeColor="text1"/>
          <w:sz w:val="22"/>
          <w:szCs w:val="22"/>
          <w:bdr w:val="none" w:sz="0" w:space="0" w:color="auto" w:frame="1"/>
          <w:shd w:val="clear" w:color="auto" w:fill="FFFFFF"/>
          <w:lang w:val="pt-BR"/>
        </w:rPr>
        <w:t xml:space="preserve">assinou um </w:t>
      </w:r>
      <w:r w:rsidR="00F0656E" w:rsidRPr="00913ACD">
        <w:rPr>
          <w:color w:val="000000" w:themeColor="text1"/>
          <w:sz w:val="22"/>
          <w:szCs w:val="22"/>
          <w:bdr w:val="none" w:sz="0" w:space="0" w:color="auto" w:frame="1"/>
          <w:shd w:val="clear" w:color="auto" w:fill="FFFFFF"/>
          <w:lang w:val="pt-BR"/>
        </w:rPr>
        <w:t>a</w:t>
      </w:r>
      <w:r w:rsidRPr="00913ACD">
        <w:rPr>
          <w:color w:val="000000" w:themeColor="text1"/>
          <w:sz w:val="22"/>
          <w:szCs w:val="22"/>
          <w:bdr w:val="none" w:sz="0" w:space="0" w:color="auto" w:frame="1"/>
          <w:shd w:val="clear" w:color="auto" w:fill="FFFFFF"/>
          <w:lang w:val="pt-BR"/>
        </w:rPr>
        <w:t xml:space="preserve">cordo </w:t>
      </w:r>
      <w:r w:rsidR="00F0656E" w:rsidRPr="00913ACD">
        <w:rPr>
          <w:color w:val="000000" w:themeColor="text1"/>
          <w:sz w:val="22"/>
          <w:szCs w:val="22"/>
          <w:bdr w:val="none" w:sz="0" w:space="0" w:color="auto" w:frame="1"/>
          <w:shd w:val="clear" w:color="auto" w:fill="FFFFFF"/>
          <w:lang w:val="pt-BR"/>
        </w:rPr>
        <w:t>c</w:t>
      </w:r>
      <w:r w:rsidRPr="00913ACD">
        <w:rPr>
          <w:color w:val="000000" w:themeColor="text1"/>
          <w:sz w:val="22"/>
          <w:szCs w:val="22"/>
          <w:bdr w:val="none" w:sz="0" w:space="0" w:color="auto" w:frame="1"/>
          <w:shd w:val="clear" w:color="auto" w:fill="FFFFFF"/>
          <w:lang w:val="pt-BR"/>
        </w:rPr>
        <w:t xml:space="preserve">omercial e </w:t>
      </w:r>
      <w:r w:rsidR="00F0656E" w:rsidRPr="00913ACD">
        <w:rPr>
          <w:color w:val="000000" w:themeColor="text1"/>
          <w:sz w:val="22"/>
          <w:szCs w:val="22"/>
          <w:bdr w:val="none" w:sz="0" w:space="0" w:color="auto" w:frame="1"/>
          <w:shd w:val="clear" w:color="auto" w:fill="FFFFFF"/>
          <w:lang w:val="pt-BR"/>
        </w:rPr>
        <w:t>t</w:t>
      </w:r>
      <w:r w:rsidRPr="00913ACD">
        <w:rPr>
          <w:color w:val="000000" w:themeColor="text1"/>
          <w:sz w:val="22"/>
          <w:szCs w:val="22"/>
          <w:bdr w:val="none" w:sz="0" w:space="0" w:color="auto" w:frame="1"/>
          <w:shd w:val="clear" w:color="auto" w:fill="FFFFFF"/>
          <w:lang w:val="pt-BR"/>
        </w:rPr>
        <w:t xml:space="preserve">ecnológico com a Cubesat (empresa norte-americana) e projetou e implementou uma série de </w:t>
      </w:r>
      <w:r w:rsidR="00BD3AF3" w:rsidRPr="00913ACD">
        <w:rPr>
          <w:color w:val="000000" w:themeColor="text1"/>
          <w:sz w:val="22"/>
          <w:szCs w:val="22"/>
          <w:bdr w:val="none" w:sz="0" w:space="0" w:color="auto" w:frame="1"/>
          <w:shd w:val="clear" w:color="auto" w:fill="FFFFFF"/>
          <w:lang w:val="pt-BR"/>
        </w:rPr>
        <w:t>seminários sobre t</w:t>
      </w:r>
      <w:r w:rsidRPr="00913ACD">
        <w:rPr>
          <w:color w:val="000000" w:themeColor="text1"/>
          <w:sz w:val="22"/>
          <w:szCs w:val="22"/>
          <w:bdr w:val="none" w:sz="0" w:space="0" w:color="auto" w:frame="1"/>
          <w:shd w:val="clear" w:color="auto" w:fill="FFFFFF"/>
          <w:lang w:val="pt-BR"/>
        </w:rPr>
        <w:t xml:space="preserve">ecnologias </w:t>
      </w:r>
      <w:r w:rsidR="00BD3AF3" w:rsidRPr="00913ACD">
        <w:rPr>
          <w:color w:val="000000" w:themeColor="text1"/>
          <w:sz w:val="22"/>
          <w:szCs w:val="22"/>
          <w:bdr w:val="none" w:sz="0" w:space="0" w:color="auto" w:frame="1"/>
          <w:shd w:val="clear" w:color="auto" w:fill="FFFFFF"/>
          <w:lang w:val="pt-BR"/>
        </w:rPr>
        <w:t>e</w:t>
      </w:r>
      <w:r w:rsidRPr="00913ACD">
        <w:rPr>
          <w:color w:val="000000" w:themeColor="text1"/>
          <w:sz w:val="22"/>
          <w:szCs w:val="22"/>
          <w:bdr w:val="none" w:sz="0" w:space="0" w:color="auto" w:frame="1"/>
          <w:shd w:val="clear" w:color="auto" w:fill="FFFFFF"/>
          <w:lang w:val="pt-BR"/>
        </w:rPr>
        <w:t xml:space="preserve">spaciais em Tucuman, Argentina, ao longo de 2022. </w:t>
      </w:r>
    </w:p>
    <w:p w14:paraId="0FCCC89A" w14:textId="2E506250" w:rsidR="00ED78BF" w:rsidRPr="00913ACD"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pt-BR"/>
        </w:rPr>
      </w:pPr>
      <w:r w:rsidRPr="00913ACD">
        <w:rPr>
          <w:color w:val="000000" w:themeColor="text1"/>
          <w:sz w:val="22"/>
          <w:szCs w:val="22"/>
          <w:bdr w:val="none" w:sz="0" w:space="0" w:color="auto" w:frame="1"/>
          <w:shd w:val="clear" w:color="auto" w:fill="FFFFFF"/>
          <w:lang w:val="pt-BR"/>
        </w:rPr>
        <w:t xml:space="preserve">A Primeira Unidade ACE foi criada pela Região 9 em Minnesota, Estados Unidos, como uma força-tarefa especial com o objetivo principal de aumentar as parcerias internacionais em coordenação com redes locais, estaduais e federais </w:t>
      </w:r>
      <w:r w:rsidR="00756A41">
        <w:rPr>
          <w:color w:val="000000" w:themeColor="text1"/>
          <w:sz w:val="22"/>
          <w:szCs w:val="22"/>
          <w:bdr w:val="none" w:sz="0" w:space="0" w:color="auto" w:frame="1"/>
          <w:shd w:val="clear" w:color="auto" w:fill="FFFFFF"/>
          <w:lang w:val="pt-BR"/>
        </w:rPr>
        <w:t xml:space="preserve">a fim de </w:t>
      </w:r>
      <w:r w:rsidRPr="00913ACD">
        <w:rPr>
          <w:color w:val="000000" w:themeColor="text1"/>
          <w:sz w:val="22"/>
          <w:szCs w:val="22"/>
          <w:bdr w:val="none" w:sz="0" w:space="0" w:color="auto" w:frame="1"/>
          <w:shd w:val="clear" w:color="auto" w:fill="FFFFFF"/>
          <w:lang w:val="pt-BR"/>
        </w:rPr>
        <w:t xml:space="preserve">melhorar o desempenho econômico da região. Uma das principais prioridades da Unidade ACE é otimizar o desenvolvimento e a retenção de mão-de-obra qualificada local, a criação de empregos bem remunerados e os empreendimentos empresariais, facilitando e alavancando as oportunidades de </w:t>
      </w:r>
      <w:r w:rsidR="004F7413" w:rsidRPr="00913ACD">
        <w:rPr>
          <w:color w:val="000000" w:themeColor="text1"/>
          <w:sz w:val="22"/>
          <w:szCs w:val="22"/>
          <w:bdr w:val="none" w:sz="0" w:space="0" w:color="auto" w:frame="1"/>
          <w:shd w:val="clear" w:color="auto" w:fill="FFFFFF"/>
          <w:lang w:val="pt-BR"/>
        </w:rPr>
        <w:t>i</w:t>
      </w:r>
      <w:r w:rsidRPr="00913ACD">
        <w:rPr>
          <w:color w:val="000000" w:themeColor="text1"/>
          <w:sz w:val="22"/>
          <w:szCs w:val="22"/>
          <w:bdr w:val="none" w:sz="0" w:space="0" w:color="auto" w:frame="1"/>
          <w:shd w:val="clear" w:color="auto" w:fill="FFFFFF"/>
          <w:lang w:val="pt-BR"/>
        </w:rPr>
        <w:t xml:space="preserve">nvestimento </w:t>
      </w:r>
      <w:r w:rsidR="004F7413" w:rsidRPr="00913ACD">
        <w:rPr>
          <w:color w:val="000000" w:themeColor="text1"/>
          <w:sz w:val="22"/>
          <w:szCs w:val="22"/>
          <w:bdr w:val="none" w:sz="0" w:space="0" w:color="auto" w:frame="1"/>
          <w:shd w:val="clear" w:color="auto" w:fill="FFFFFF"/>
          <w:lang w:val="pt-BR"/>
        </w:rPr>
        <w:t>e</w:t>
      </w:r>
      <w:r w:rsidRPr="00913ACD">
        <w:rPr>
          <w:color w:val="000000" w:themeColor="text1"/>
          <w:sz w:val="22"/>
          <w:szCs w:val="22"/>
          <w:bdr w:val="none" w:sz="0" w:space="0" w:color="auto" w:frame="1"/>
          <w:shd w:val="clear" w:color="auto" w:fill="FFFFFF"/>
          <w:lang w:val="pt-BR"/>
        </w:rPr>
        <w:t xml:space="preserve">strangeiro </w:t>
      </w:r>
      <w:r w:rsidR="004F7413" w:rsidRPr="00913ACD">
        <w:rPr>
          <w:color w:val="000000" w:themeColor="text1"/>
          <w:sz w:val="22"/>
          <w:szCs w:val="22"/>
          <w:bdr w:val="none" w:sz="0" w:space="0" w:color="auto" w:frame="1"/>
          <w:shd w:val="clear" w:color="auto" w:fill="FFFFFF"/>
          <w:lang w:val="pt-BR"/>
        </w:rPr>
        <w:t>d</w:t>
      </w:r>
      <w:r w:rsidRPr="00913ACD">
        <w:rPr>
          <w:color w:val="000000" w:themeColor="text1"/>
          <w:sz w:val="22"/>
          <w:szCs w:val="22"/>
          <w:bdr w:val="none" w:sz="0" w:space="0" w:color="auto" w:frame="1"/>
          <w:shd w:val="clear" w:color="auto" w:fill="FFFFFF"/>
          <w:lang w:val="pt-BR"/>
        </w:rPr>
        <w:t>ireto (IED).</w:t>
      </w:r>
    </w:p>
    <w:p w14:paraId="15E3963D" w14:textId="7F95C1D3" w:rsidR="00ED78BF" w:rsidRPr="00913ACD"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pt-BR"/>
        </w:rPr>
      </w:pPr>
      <w:r w:rsidRPr="00913ACD">
        <w:rPr>
          <w:color w:val="000000" w:themeColor="text1"/>
          <w:sz w:val="22"/>
          <w:szCs w:val="22"/>
          <w:bdr w:val="none" w:sz="0" w:space="0" w:color="auto" w:frame="1"/>
          <w:shd w:val="clear" w:color="auto" w:fill="FFFFFF"/>
          <w:lang w:val="pt-BR"/>
        </w:rPr>
        <w:t xml:space="preserve">O Desafio de Resiliência Empresarial do Caribe Oriental foi lançado em Trinidad e Tobago com o apoio do Ministério da Educação e contratou empreendedores locais em colaboração com a </w:t>
      </w:r>
      <w:r w:rsidR="005203F1" w:rsidRPr="00913ACD">
        <w:rPr>
          <w:color w:val="000000" w:themeColor="text1"/>
          <w:sz w:val="22"/>
          <w:szCs w:val="22"/>
          <w:bdr w:val="none" w:sz="0" w:space="0" w:color="auto" w:frame="1"/>
          <w:shd w:val="clear" w:color="auto" w:fill="FFFFFF"/>
          <w:lang w:val="pt-BR"/>
        </w:rPr>
        <w:t>FUPAD</w:t>
      </w:r>
      <w:r w:rsidRPr="00913ACD">
        <w:rPr>
          <w:color w:val="000000" w:themeColor="text1"/>
          <w:sz w:val="22"/>
          <w:szCs w:val="22"/>
          <w:bdr w:val="none" w:sz="0" w:space="0" w:color="auto" w:frame="1"/>
          <w:shd w:val="clear" w:color="auto" w:fill="FFFFFF"/>
          <w:lang w:val="pt-BR"/>
        </w:rPr>
        <w:t>.</w:t>
      </w:r>
    </w:p>
    <w:p w14:paraId="4EFA250F" w14:textId="36DAB73D" w:rsidR="00ED78BF" w:rsidRPr="00913ACD" w:rsidRDefault="00ED78BF" w:rsidP="00CB030B">
      <w:pPr>
        <w:pStyle w:val="ListParagraph"/>
        <w:numPr>
          <w:ilvl w:val="1"/>
          <w:numId w:val="8"/>
        </w:numPr>
        <w:ind w:left="1980" w:hanging="540"/>
        <w:contextualSpacing/>
        <w:jc w:val="both"/>
        <w:rPr>
          <w:color w:val="000000" w:themeColor="text1"/>
          <w:sz w:val="22"/>
          <w:szCs w:val="22"/>
          <w:bdr w:val="none" w:sz="0" w:space="0" w:color="auto" w:frame="1"/>
          <w:shd w:val="clear" w:color="auto" w:fill="FFFFFF"/>
          <w:lang w:val="pt-BR"/>
        </w:rPr>
      </w:pPr>
      <w:r w:rsidRPr="00913ACD">
        <w:rPr>
          <w:color w:val="000000" w:themeColor="text1"/>
          <w:sz w:val="22"/>
          <w:szCs w:val="22"/>
          <w:bdr w:val="none" w:sz="0" w:space="0" w:color="auto" w:frame="1"/>
          <w:shd w:val="clear" w:color="auto" w:fill="FFFFFF"/>
          <w:lang w:val="pt-BR"/>
        </w:rPr>
        <w:t xml:space="preserve">A </w:t>
      </w:r>
      <w:r w:rsidR="007E1CA0" w:rsidRPr="00913ACD">
        <w:rPr>
          <w:color w:val="000000" w:themeColor="text1"/>
          <w:sz w:val="22"/>
          <w:szCs w:val="22"/>
          <w:bdr w:val="none" w:sz="0" w:space="0" w:color="auto" w:frame="1"/>
          <w:shd w:val="clear" w:color="auto" w:fill="FFFFFF"/>
          <w:lang w:val="pt-BR"/>
        </w:rPr>
        <w:t xml:space="preserve">Universidade Estadual de </w:t>
      </w:r>
      <w:r w:rsidRPr="00913ACD">
        <w:rPr>
          <w:color w:val="000000" w:themeColor="text1"/>
          <w:sz w:val="22"/>
          <w:szCs w:val="22"/>
          <w:bdr w:val="none" w:sz="0" w:space="0" w:color="auto" w:frame="1"/>
          <w:shd w:val="clear" w:color="auto" w:fill="FFFFFF"/>
          <w:lang w:val="pt-BR"/>
        </w:rPr>
        <w:t xml:space="preserve">Fort Valley (FVSU) estabeleceu uma parceria com a Georgia Tech que resultou em </w:t>
      </w:r>
      <w:r w:rsidR="002B2C15" w:rsidRPr="00913ACD">
        <w:rPr>
          <w:color w:val="000000" w:themeColor="text1"/>
          <w:sz w:val="22"/>
          <w:szCs w:val="22"/>
          <w:bdr w:val="none" w:sz="0" w:space="0" w:color="auto" w:frame="1"/>
          <w:shd w:val="clear" w:color="auto" w:fill="FFFFFF"/>
          <w:lang w:val="pt-BR"/>
        </w:rPr>
        <w:t xml:space="preserve">seminários sobre </w:t>
      </w:r>
      <w:r w:rsidRPr="00913ACD">
        <w:rPr>
          <w:color w:val="000000" w:themeColor="text1"/>
          <w:sz w:val="22"/>
          <w:szCs w:val="22"/>
          <w:bdr w:val="none" w:sz="0" w:space="0" w:color="auto" w:frame="1"/>
          <w:shd w:val="clear" w:color="auto" w:fill="FFFFFF"/>
          <w:lang w:val="pt-BR"/>
        </w:rPr>
        <w:t>empreendedorismo conduzidos na FVSU. Além disso, a FVSU, como parte do Projeto de Inovação da Geórgia Média, recebeu fundos de subvenção do Departamento de Comércio dos EUA.</w:t>
      </w:r>
    </w:p>
    <w:p w14:paraId="65842703" w14:textId="481CB5F2" w:rsidR="00ED78BF" w:rsidRPr="00913ACD" w:rsidRDefault="00ED78BF" w:rsidP="00CB030B">
      <w:pPr>
        <w:pStyle w:val="ListParagraph"/>
        <w:numPr>
          <w:ilvl w:val="1"/>
          <w:numId w:val="8"/>
        </w:numPr>
        <w:ind w:left="1980" w:hanging="540"/>
        <w:contextualSpacing/>
        <w:jc w:val="both"/>
        <w:rPr>
          <w:rFonts w:eastAsia="Cambria"/>
          <w:b/>
          <w:bCs/>
          <w:color w:val="000000" w:themeColor="text1"/>
          <w:sz w:val="22"/>
          <w:szCs w:val="22"/>
          <w:lang w:val="pt-BR"/>
        </w:rPr>
      </w:pPr>
      <w:r w:rsidRPr="00913ACD">
        <w:rPr>
          <w:sz w:val="22"/>
          <w:szCs w:val="22"/>
          <w:lang w:val="pt-BR"/>
        </w:rPr>
        <w:t>A South Hive, uma empresa de Córdoba, Argentina, foi selecionada para o programa Denver Global Landing Pad 2022 (um programa de aceleração de negócios de oito semanas) como resultado de sua participação n</w:t>
      </w:r>
      <w:r w:rsidR="009C3476" w:rsidRPr="00913ACD">
        <w:rPr>
          <w:sz w:val="22"/>
          <w:szCs w:val="22"/>
          <w:lang w:val="pt-BR"/>
        </w:rPr>
        <w:t>o</w:t>
      </w:r>
      <w:r w:rsidRPr="00913ACD">
        <w:rPr>
          <w:sz w:val="22"/>
          <w:szCs w:val="22"/>
          <w:lang w:val="pt-BR"/>
        </w:rPr>
        <w:t xml:space="preserve"> ACE Colorado. </w:t>
      </w:r>
    </w:p>
    <w:p w14:paraId="15F5DA16" w14:textId="77777777" w:rsidR="003C2BE7" w:rsidRPr="00913ACD" w:rsidRDefault="003C2BE7" w:rsidP="00CB030B">
      <w:pPr>
        <w:contextualSpacing/>
        <w:jc w:val="both"/>
        <w:rPr>
          <w:rFonts w:ascii="Times New Roman" w:eastAsia="Cambria" w:hAnsi="Times New Roman" w:cs="Times New Roman"/>
          <w:b/>
          <w:bCs/>
          <w:color w:val="000000" w:themeColor="text1"/>
          <w:sz w:val="22"/>
          <w:szCs w:val="22"/>
          <w:lang w:val="pt-BR"/>
        </w:rPr>
      </w:pPr>
    </w:p>
    <w:p w14:paraId="19D97CBA" w14:textId="1B224F04" w:rsidR="00ED78BF" w:rsidRPr="00913ACD" w:rsidRDefault="00ED78BF" w:rsidP="00CB030B">
      <w:pPr>
        <w:ind w:firstLine="720"/>
        <w:contextualSpacing/>
        <w:jc w:val="both"/>
        <w:rPr>
          <w:rFonts w:ascii="Times New Roman" w:eastAsia="Cambria" w:hAnsi="Times New Roman" w:cs="Times New Roman"/>
          <w:b/>
          <w:bCs/>
          <w:iCs/>
          <w:color w:val="000000" w:themeColor="text1"/>
          <w:sz w:val="22"/>
          <w:szCs w:val="22"/>
          <w:lang w:val="pt-BR"/>
        </w:rPr>
      </w:pPr>
      <w:bookmarkStart w:id="1" w:name="_Hlk87264737"/>
      <w:r w:rsidRPr="00913ACD">
        <w:rPr>
          <w:rFonts w:ascii="Times New Roman" w:hAnsi="Times New Roman" w:cs="Times New Roman"/>
          <w:b/>
          <w:color w:val="000000" w:themeColor="text1"/>
          <w:sz w:val="22"/>
          <w:szCs w:val="22"/>
          <w:lang w:val="pt-BR"/>
        </w:rPr>
        <w:t xml:space="preserve">Grupo de Peritos em Competitividade Subnacional </w:t>
      </w:r>
    </w:p>
    <w:p w14:paraId="4792AEDB" w14:textId="77777777" w:rsidR="00ED78BF" w:rsidRPr="00913ACD" w:rsidRDefault="00ED78BF" w:rsidP="00CB030B">
      <w:pPr>
        <w:ind w:firstLine="720"/>
        <w:contextualSpacing/>
        <w:jc w:val="both"/>
        <w:rPr>
          <w:rFonts w:ascii="Times New Roman" w:eastAsia="Cambria" w:hAnsi="Times New Roman" w:cs="Times New Roman"/>
          <w:b/>
          <w:color w:val="000000" w:themeColor="text1"/>
          <w:sz w:val="22"/>
          <w:szCs w:val="22"/>
          <w:lang w:val="pt-BR"/>
        </w:rPr>
      </w:pPr>
    </w:p>
    <w:p w14:paraId="614AE5BE" w14:textId="07CBF8CA" w:rsidR="00ED78BF" w:rsidRPr="00913ACD" w:rsidRDefault="00ED78BF" w:rsidP="00CB030B">
      <w:pPr>
        <w:pStyle w:val="ListParagraph"/>
        <w:numPr>
          <w:ilvl w:val="0"/>
          <w:numId w:val="9"/>
        </w:numPr>
        <w:ind w:left="1440" w:hanging="720"/>
        <w:contextualSpacing/>
        <w:jc w:val="both"/>
        <w:rPr>
          <w:color w:val="000000" w:themeColor="text1"/>
          <w:sz w:val="22"/>
          <w:szCs w:val="22"/>
          <w:bdr w:val="none" w:sz="0" w:space="0" w:color="auto" w:frame="1"/>
          <w:shd w:val="clear" w:color="auto" w:fill="FFFFFF"/>
          <w:lang w:val="pt-BR"/>
        </w:rPr>
      </w:pPr>
      <w:r w:rsidRPr="00913ACD">
        <w:rPr>
          <w:color w:val="000000" w:themeColor="text1"/>
          <w:sz w:val="22"/>
          <w:szCs w:val="22"/>
          <w:bdr w:val="none" w:sz="0" w:space="0" w:color="auto" w:frame="1"/>
          <w:shd w:val="clear" w:color="auto" w:fill="FFFFFF"/>
          <w:lang w:val="pt-BR"/>
        </w:rPr>
        <w:t xml:space="preserve">Documentou e compartilhou dez boas práticas e diretrizes para promover a transformação digital por meio do Grupo de Trabalho sobre Indicadores e do Grupo de Trabalho sobre Licenças de Construção entre as partes interessadas nos Estados </w:t>
      </w:r>
      <w:r w:rsidR="00C67D84" w:rsidRPr="00913ACD">
        <w:rPr>
          <w:color w:val="000000" w:themeColor="text1"/>
          <w:sz w:val="22"/>
          <w:szCs w:val="22"/>
          <w:bdr w:val="none" w:sz="0" w:space="0" w:color="auto" w:frame="1"/>
          <w:shd w:val="clear" w:color="auto" w:fill="FFFFFF"/>
          <w:lang w:val="pt-BR"/>
        </w:rPr>
        <w:t>membros da</w:t>
      </w:r>
      <w:r w:rsidR="005F30B1" w:rsidRPr="00913ACD">
        <w:rPr>
          <w:color w:val="000000" w:themeColor="text1"/>
          <w:sz w:val="22"/>
          <w:szCs w:val="22"/>
          <w:bdr w:val="none" w:sz="0" w:space="0" w:color="auto" w:frame="1"/>
          <w:shd w:val="clear" w:color="auto" w:fill="FFFFFF"/>
          <w:lang w:val="pt-BR"/>
        </w:rPr>
        <w:t xml:space="preserve"> OEA</w:t>
      </w:r>
      <w:r w:rsidRPr="00913ACD">
        <w:rPr>
          <w:color w:val="000000" w:themeColor="text1"/>
          <w:sz w:val="22"/>
          <w:szCs w:val="22"/>
          <w:bdr w:val="none" w:sz="0" w:space="0" w:color="auto" w:frame="1"/>
          <w:shd w:val="clear" w:color="auto" w:fill="FFFFFF"/>
          <w:lang w:val="pt-BR"/>
        </w:rPr>
        <w:t>.</w:t>
      </w:r>
    </w:p>
    <w:p w14:paraId="115C903B" w14:textId="77777777" w:rsidR="00ED78BF" w:rsidRPr="00913ACD" w:rsidRDefault="00ED78BF" w:rsidP="00CB030B">
      <w:pPr>
        <w:pStyle w:val="ListParagraph"/>
        <w:ind w:left="1440" w:hanging="720"/>
        <w:contextualSpacing/>
        <w:jc w:val="both"/>
        <w:rPr>
          <w:color w:val="000000" w:themeColor="text1"/>
          <w:sz w:val="22"/>
          <w:szCs w:val="22"/>
          <w:bdr w:val="none" w:sz="0" w:space="0" w:color="auto" w:frame="1"/>
          <w:shd w:val="clear" w:color="auto" w:fill="FFFFFF"/>
          <w:lang w:val="pt-BR"/>
        </w:rPr>
      </w:pPr>
    </w:p>
    <w:p w14:paraId="2715D19F" w14:textId="7153175E" w:rsidR="00ED78BF" w:rsidRPr="00913ACD" w:rsidRDefault="00ED78BF" w:rsidP="00CB030B">
      <w:pPr>
        <w:pStyle w:val="ListParagraph"/>
        <w:numPr>
          <w:ilvl w:val="0"/>
          <w:numId w:val="9"/>
        </w:numPr>
        <w:ind w:left="1440" w:hanging="720"/>
        <w:contextualSpacing/>
        <w:jc w:val="both"/>
        <w:rPr>
          <w:color w:val="000000" w:themeColor="text1"/>
          <w:sz w:val="22"/>
          <w:szCs w:val="22"/>
          <w:bdr w:val="none" w:sz="0" w:space="0" w:color="auto" w:frame="1"/>
          <w:shd w:val="clear" w:color="auto" w:fill="FFFFFF"/>
          <w:lang w:val="pt-BR"/>
        </w:rPr>
      </w:pPr>
      <w:r w:rsidRPr="00913ACD">
        <w:rPr>
          <w:color w:val="000000" w:themeColor="text1"/>
          <w:sz w:val="22"/>
          <w:szCs w:val="22"/>
          <w:bdr w:val="none" w:sz="0" w:space="0" w:color="auto" w:frame="1"/>
          <w:shd w:val="clear" w:color="auto" w:fill="FFFFFF"/>
          <w:lang w:val="pt-BR"/>
        </w:rPr>
        <w:t xml:space="preserve">Curso Internacional sobre Indicadores Subnacionais e Progresso Social projetado e implementado pela Universidade Católica do Uruguai em colaboração com a Pontifícia Universidade Católica do Peru para partes interessadas, tomadores de decisão de competitividade e pesquisadores nas Américas. </w:t>
      </w:r>
    </w:p>
    <w:bookmarkEnd w:id="1"/>
    <w:p w14:paraId="1F572860" w14:textId="63A048C2" w:rsidR="00ED78BF" w:rsidRPr="00913ACD" w:rsidRDefault="00ED78BF" w:rsidP="00CB030B">
      <w:pPr>
        <w:contextualSpacing/>
        <w:jc w:val="both"/>
        <w:rPr>
          <w:rFonts w:ascii="Times New Roman" w:eastAsia="Cambria" w:hAnsi="Times New Roman" w:cs="Times New Roman"/>
          <w:b/>
          <w:bCs/>
          <w:color w:val="000000" w:themeColor="text1"/>
          <w:sz w:val="22"/>
          <w:szCs w:val="22"/>
          <w:lang w:val="pt-BR"/>
        </w:rPr>
      </w:pPr>
    </w:p>
    <w:p w14:paraId="79EF125C" w14:textId="5A60A28A" w:rsidR="00603D26" w:rsidRPr="00913ACD" w:rsidRDefault="007427DB" w:rsidP="00CB030B">
      <w:pPr>
        <w:contextualSpacing/>
        <w:jc w:val="both"/>
        <w:rPr>
          <w:rFonts w:ascii="Times New Roman" w:eastAsia="Cambria" w:hAnsi="Times New Roman" w:cs="Times New Roman"/>
          <w:b/>
          <w:bCs/>
          <w:color w:val="000000" w:themeColor="text1"/>
          <w:sz w:val="22"/>
          <w:szCs w:val="22"/>
          <w:u w:val="single"/>
          <w:lang w:val="pt-BR"/>
        </w:rPr>
      </w:pPr>
      <w:r w:rsidRPr="00913ACD">
        <w:rPr>
          <w:rFonts w:ascii="Times New Roman" w:hAnsi="Times New Roman" w:cs="Times New Roman"/>
          <w:b/>
          <w:color w:val="000000" w:themeColor="text1"/>
          <w:sz w:val="22"/>
          <w:szCs w:val="22"/>
          <w:u w:val="single"/>
          <w:lang w:val="pt-BR"/>
        </w:rPr>
        <w:t>OBJETIVO</w:t>
      </w:r>
      <w:r w:rsidR="00ED78BF" w:rsidRPr="00913ACD">
        <w:rPr>
          <w:rFonts w:ascii="Times New Roman" w:hAnsi="Times New Roman" w:cs="Times New Roman"/>
          <w:b/>
          <w:color w:val="000000" w:themeColor="text1"/>
          <w:sz w:val="22"/>
          <w:szCs w:val="22"/>
          <w:u w:val="single"/>
          <w:lang w:val="pt-BR"/>
        </w:rPr>
        <w:t xml:space="preserve"> 1.3</w:t>
      </w:r>
    </w:p>
    <w:p w14:paraId="43BB0DAD" w14:textId="77777777" w:rsidR="0074320E" w:rsidRPr="00913ACD" w:rsidRDefault="0074320E" w:rsidP="00CB030B">
      <w:pPr>
        <w:contextualSpacing/>
        <w:jc w:val="both"/>
        <w:rPr>
          <w:rFonts w:ascii="Times New Roman" w:eastAsia="Cambria" w:hAnsi="Times New Roman" w:cs="Times New Roman"/>
          <w:b/>
          <w:bCs/>
          <w:color w:val="000000" w:themeColor="text1"/>
          <w:sz w:val="22"/>
          <w:szCs w:val="22"/>
          <w:u w:val="single"/>
          <w:lang w:val="pt-BR"/>
        </w:rPr>
      </w:pPr>
    </w:p>
    <w:p w14:paraId="6DB4B101" w14:textId="2C0843CD" w:rsidR="00ED78BF" w:rsidRPr="00913ACD" w:rsidRDefault="007E791F" w:rsidP="00CB030B">
      <w:pPr>
        <w:ind w:firstLine="720"/>
        <w:contextualSpacing/>
        <w:jc w:val="both"/>
        <w:rPr>
          <w:rFonts w:ascii="Times New Roman" w:eastAsia="Cambria" w:hAnsi="Times New Roman" w:cs="Times New Roman"/>
          <w:color w:val="000000" w:themeColor="text1"/>
          <w:sz w:val="22"/>
          <w:szCs w:val="22"/>
          <w:lang w:val="pt-BR"/>
        </w:rPr>
      </w:pPr>
      <w:r w:rsidRPr="00913ACD">
        <w:rPr>
          <w:rFonts w:ascii="Times New Roman" w:hAnsi="Times New Roman" w:cs="Times New Roman"/>
          <w:sz w:val="22"/>
          <w:szCs w:val="22"/>
          <w:lang w:val="pt-BR"/>
        </w:rPr>
        <w:t>Aumentar a cooperação para fortalecer a capacidade institucional dos Estados membros de incorporar inovação e tecnologia transformadoras, que gerem valor agregado e diversificação de suas economias, de maneira sustentável e inclusiva</w:t>
      </w:r>
      <w:r w:rsidR="00ED78BF" w:rsidRPr="00913ACD">
        <w:rPr>
          <w:rFonts w:ascii="Times New Roman" w:hAnsi="Times New Roman" w:cs="Times New Roman"/>
          <w:color w:val="000000" w:themeColor="text1"/>
          <w:sz w:val="22"/>
          <w:szCs w:val="22"/>
          <w:lang w:val="pt-BR"/>
        </w:rPr>
        <w:t>.</w:t>
      </w:r>
    </w:p>
    <w:p w14:paraId="47F7742A" w14:textId="77777777" w:rsidR="00ED78BF" w:rsidRPr="00913ACD" w:rsidRDefault="00ED78BF" w:rsidP="00CB030B">
      <w:pPr>
        <w:jc w:val="both"/>
        <w:rPr>
          <w:rFonts w:ascii="Times New Roman" w:hAnsi="Times New Roman" w:cs="Times New Roman"/>
          <w:b/>
          <w:bCs/>
          <w:color w:val="000000" w:themeColor="text1"/>
          <w:sz w:val="22"/>
          <w:szCs w:val="22"/>
          <w:lang w:val="pt-BR"/>
        </w:rPr>
      </w:pPr>
    </w:p>
    <w:p w14:paraId="7B305262" w14:textId="4A0BAB6F" w:rsidR="00ED78BF" w:rsidRPr="00913ACD" w:rsidRDefault="00ED78BF" w:rsidP="00CB030B">
      <w:pPr>
        <w:ind w:left="1440" w:hanging="720"/>
        <w:jc w:val="both"/>
        <w:rPr>
          <w:rFonts w:ascii="Times New Roman"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 xml:space="preserve">Ciência, </w:t>
      </w:r>
      <w:r w:rsidR="00580226" w:rsidRPr="00913ACD">
        <w:rPr>
          <w:rFonts w:ascii="Times New Roman" w:hAnsi="Times New Roman" w:cs="Times New Roman"/>
          <w:b/>
          <w:color w:val="000000" w:themeColor="text1"/>
          <w:sz w:val="22"/>
          <w:szCs w:val="22"/>
          <w:lang w:val="pt-BR"/>
        </w:rPr>
        <w:t>t</w:t>
      </w:r>
      <w:r w:rsidRPr="00913ACD">
        <w:rPr>
          <w:rFonts w:ascii="Times New Roman" w:hAnsi="Times New Roman" w:cs="Times New Roman"/>
          <w:b/>
          <w:color w:val="000000" w:themeColor="text1"/>
          <w:sz w:val="22"/>
          <w:szCs w:val="22"/>
          <w:lang w:val="pt-BR"/>
        </w:rPr>
        <w:t xml:space="preserve">ecnologia e </w:t>
      </w:r>
      <w:r w:rsidR="001F023F" w:rsidRPr="00913ACD">
        <w:rPr>
          <w:rFonts w:ascii="Times New Roman" w:hAnsi="Times New Roman" w:cs="Times New Roman"/>
          <w:b/>
          <w:color w:val="000000" w:themeColor="text1"/>
          <w:sz w:val="22"/>
          <w:szCs w:val="22"/>
          <w:lang w:val="pt-BR"/>
        </w:rPr>
        <w:t>i</w:t>
      </w:r>
      <w:r w:rsidRPr="00913ACD">
        <w:rPr>
          <w:rFonts w:ascii="Times New Roman" w:hAnsi="Times New Roman" w:cs="Times New Roman"/>
          <w:b/>
          <w:color w:val="000000" w:themeColor="text1"/>
          <w:sz w:val="22"/>
          <w:szCs w:val="22"/>
          <w:lang w:val="pt-BR"/>
        </w:rPr>
        <w:t>novação (</w:t>
      </w:r>
      <w:r w:rsidR="008467C1" w:rsidRPr="00913ACD">
        <w:rPr>
          <w:rFonts w:ascii="Times New Roman" w:hAnsi="Times New Roman" w:cs="Times New Roman"/>
          <w:b/>
          <w:color w:val="000000" w:themeColor="text1"/>
          <w:sz w:val="22"/>
          <w:szCs w:val="22"/>
          <w:lang w:val="pt-BR"/>
        </w:rPr>
        <w:t>CTI</w:t>
      </w:r>
      <w:r w:rsidRPr="00913ACD">
        <w:rPr>
          <w:rFonts w:ascii="Times New Roman" w:hAnsi="Times New Roman" w:cs="Times New Roman"/>
          <w:b/>
          <w:color w:val="000000" w:themeColor="text1"/>
          <w:sz w:val="22"/>
          <w:szCs w:val="22"/>
          <w:lang w:val="pt-BR"/>
        </w:rPr>
        <w:t>)</w:t>
      </w:r>
    </w:p>
    <w:p w14:paraId="07D585B9" w14:textId="77777777" w:rsidR="00ED78BF" w:rsidRPr="00913ACD" w:rsidRDefault="00ED78BF" w:rsidP="00CB030B">
      <w:pPr>
        <w:ind w:left="1440" w:hanging="720"/>
        <w:contextualSpacing/>
        <w:jc w:val="both"/>
        <w:rPr>
          <w:rFonts w:ascii="Times New Roman" w:hAnsi="Times New Roman" w:cs="Times New Roman"/>
          <w:color w:val="000000" w:themeColor="text1"/>
          <w:sz w:val="22"/>
          <w:szCs w:val="22"/>
          <w:lang w:val="pt-BR"/>
        </w:rPr>
      </w:pPr>
    </w:p>
    <w:p w14:paraId="2577B119" w14:textId="45C12E64" w:rsidR="00ED78BF" w:rsidRPr="00913ACD" w:rsidRDefault="001D5AED" w:rsidP="00CB030B">
      <w:pPr>
        <w:pStyle w:val="ListParagraph"/>
        <w:numPr>
          <w:ilvl w:val="0"/>
          <w:numId w:val="10"/>
        </w:numPr>
        <w:ind w:left="1440" w:hanging="720"/>
        <w:contextualSpacing/>
        <w:jc w:val="both"/>
        <w:rPr>
          <w:color w:val="000000" w:themeColor="text1"/>
          <w:sz w:val="22"/>
          <w:szCs w:val="22"/>
          <w:lang w:val="pt-BR"/>
        </w:rPr>
      </w:pPr>
      <w:r w:rsidRPr="00913ACD">
        <w:rPr>
          <w:color w:val="000000" w:themeColor="text1"/>
          <w:sz w:val="22"/>
          <w:szCs w:val="22"/>
          <w:lang w:val="pt-BR"/>
        </w:rPr>
        <w:t>N</w:t>
      </w:r>
      <w:r w:rsidR="00ED78BF" w:rsidRPr="00913ACD">
        <w:rPr>
          <w:color w:val="000000" w:themeColor="text1"/>
          <w:sz w:val="22"/>
          <w:szCs w:val="22"/>
          <w:lang w:val="pt-BR"/>
        </w:rPr>
        <w:t>o período coberto por este relatório, as autoridades d</w:t>
      </w:r>
      <w:r w:rsidRPr="00913ACD">
        <w:rPr>
          <w:color w:val="000000" w:themeColor="text1"/>
          <w:sz w:val="22"/>
          <w:szCs w:val="22"/>
          <w:lang w:val="pt-BR"/>
        </w:rPr>
        <w:t>a</w:t>
      </w:r>
      <w:r w:rsidR="00ED78BF" w:rsidRPr="00913ACD">
        <w:rPr>
          <w:color w:val="000000" w:themeColor="text1"/>
          <w:sz w:val="22"/>
          <w:szCs w:val="22"/>
          <w:lang w:val="pt-BR"/>
        </w:rPr>
        <w:t xml:space="preserve"> COMCYT foram eleitas na reunião ordinária do CIDI </w:t>
      </w:r>
      <w:r w:rsidR="00813672">
        <w:rPr>
          <w:color w:val="000000" w:themeColor="text1"/>
          <w:sz w:val="22"/>
          <w:szCs w:val="22"/>
          <w:lang w:val="pt-BR"/>
        </w:rPr>
        <w:t>de</w:t>
      </w:r>
      <w:r w:rsidR="00ED78BF" w:rsidRPr="00913ACD">
        <w:rPr>
          <w:color w:val="000000" w:themeColor="text1"/>
          <w:sz w:val="22"/>
          <w:szCs w:val="22"/>
          <w:lang w:val="pt-BR"/>
        </w:rPr>
        <w:t xml:space="preserve"> 30 de agosto de 2022. </w:t>
      </w:r>
      <w:r w:rsidRPr="00913ACD">
        <w:rPr>
          <w:color w:val="000000" w:themeColor="text1"/>
          <w:sz w:val="22"/>
          <w:szCs w:val="22"/>
          <w:lang w:val="pt-BR"/>
        </w:rPr>
        <w:t xml:space="preserve">Sua Excelência </w:t>
      </w:r>
      <w:r w:rsidR="00ED78BF" w:rsidRPr="00913ACD">
        <w:rPr>
          <w:color w:val="000000" w:themeColor="text1"/>
          <w:sz w:val="22"/>
          <w:szCs w:val="22"/>
          <w:lang w:val="pt-BR"/>
        </w:rPr>
        <w:t>Daryl Vaz, Ministro da Ciência, Energia e Tecnologia da Jamaica</w:t>
      </w:r>
      <w:r w:rsidR="008273B5" w:rsidRPr="00913ACD">
        <w:rPr>
          <w:color w:val="000000" w:themeColor="text1"/>
          <w:sz w:val="22"/>
          <w:szCs w:val="22"/>
          <w:lang w:val="pt-BR"/>
        </w:rPr>
        <w:t>,</w:t>
      </w:r>
      <w:r w:rsidR="00ED78BF" w:rsidRPr="00913ACD">
        <w:rPr>
          <w:color w:val="000000" w:themeColor="text1"/>
          <w:sz w:val="22"/>
          <w:szCs w:val="22"/>
          <w:lang w:val="pt-BR"/>
        </w:rPr>
        <w:t xml:space="preserve"> foi eleito Presidente; e o Dr. Benjamin Abelardo Marticorena Castillo, Presidente do Conselho Nacional de Ciência, Tecnologia e Inovação Tecnológica (CONCYTEC) do Peru, e o Dr. Flavio Salazar Onfray, Ministro da Ciência, Tecnologia, Conhecimento e Inovação do Chile, Vice-Presidentes.</w:t>
      </w:r>
    </w:p>
    <w:p w14:paraId="7BD1C9F8" w14:textId="77777777" w:rsidR="00ED78BF" w:rsidRPr="00913ACD" w:rsidRDefault="00ED78BF" w:rsidP="00CB030B">
      <w:pPr>
        <w:ind w:left="1440" w:hanging="720"/>
        <w:contextualSpacing/>
        <w:jc w:val="both"/>
        <w:rPr>
          <w:rFonts w:ascii="Times New Roman" w:hAnsi="Times New Roman" w:cs="Times New Roman"/>
          <w:color w:val="000000" w:themeColor="text1"/>
          <w:sz w:val="22"/>
          <w:szCs w:val="22"/>
          <w:lang w:val="pt-BR"/>
        </w:rPr>
      </w:pPr>
    </w:p>
    <w:p w14:paraId="3A3E30A5" w14:textId="4AFD094C" w:rsidR="00ED78BF" w:rsidRPr="00913ACD" w:rsidRDefault="003549D7" w:rsidP="00CB030B">
      <w:pPr>
        <w:pStyle w:val="ListParagraph"/>
        <w:numPr>
          <w:ilvl w:val="0"/>
          <w:numId w:val="4"/>
        </w:numPr>
        <w:shd w:val="clear" w:color="auto" w:fill="FFFFFF"/>
        <w:ind w:left="1440" w:hanging="720"/>
        <w:jc w:val="both"/>
        <w:rPr>
          <w:color w:val="000000"/>
          <w:sz w:val="22"/>
          <w:szCs w:val="22"/>
          <w:lang w:val="pt-BR"/>
        </w:rPr>
      </w:pPr>
      <w:r w:rsidRPr="00913ACD">
        <w:rPr>
          <w:color w:val="000000"/>
          <w:sz w:val="22"/>
          <w:szCs w:val="22"/>
          <w:lang w:val="pt-BR"/>
        </w:rPr>
        <w:t xml:space="preserve">O Plano de Trabalho 2022-2024 </w:t>
      </w:r>
      <w:r w:rsidR="00DC09A8" w:rsidRPr="00913ACD">
        <w:rPr>
          <w:color w:val="000000"/>
          <w:sz w:val="22"/>
          <w:szCs w:val="22"/>
          <w:lang w:val="pt-BR"/>
        </w:rPr>
        <w:t xml:space="preserve">da COMCYT </w:t>
      </w:r>
      <w:r w:rsidRPr="00913ACD">
        <w:rPr>
          <w:color w:val="000000"/>
          <w:sz w:val="22"/>
          <w:szCs w:val="22"/>
          <w:lang w:val="pt-BR"/>
        </w:rPr>
        <w:t xml:space="preserve">foi acordado pelas Autoridades </w:t>
      </w:r>
      <w:r w:rsidR="00FC23D8" w:rsidRPr="00913ACD">
        <w:rPr>
          <w:color w:val="000000"/>
          <w:sz w:val="22"/>
          <w:szCs w:val="22"/>
          <w:lang w:val="pt-BR"/>
        </w:rPr>
        <w:t xml:space="preserve">da </w:t>
      </w:r>
      <w:r w:rsidRPr="00913ACD">
        <w:rPr>
          <w:color w:val="000000"/>
          <w:sz w:val="22"/>
          <w:szCs w:val="22"/>
          <w:lang w:val="pt-BR"/>
        </w:rPr>
        <w:t>COMCYT e pela Troi</w:t>
      </w:r>
      <w:r w:rsidR="001D3A18" w:rsidRPr="00913ACD">
        <w:rPr>
          <w:color w:val="000000"/>
          <w:sz w:val="22"/>
          <w:szCs w:val="22"/>
          <w:lang w:val="pt-BR"/>
        </w:rPr>
        <w:t>c</w:t>
      </w:r>
      <w:r w:rsidRPr="00913ACD">
        <w:rPr>
          <w:color w:val="000000"/>
          <w:sz w:val="22"/>
          <w:szCs w:val="22"/>
          <w:lang w:val="pt-BR"/>
        </w:rPr>
        <w:t xml:space="preserve">a </w:t>
      </w:r>
      <w:r w:rsidR="001D3A18" w:rsidRPr="00913ACD">
        <w:rPr>
          <w:color w:val="000000"/>
          <w:sz w:val="22"/>
          <w:szCs w:val="22"/>
          <w:lang w:val="pt-BR"/>
        </w:rPr>
        <w:t>n</w:t>
      </w:r>
      <w:r w:rsidRPr="00913ACD">
        <w:rPr>
          <w:color w:val="000000"/>
          <w:sz w:val="22"/>
          <w:szCs w:val="22"/>
          <w:lang w:val="pt-BR"/>
        </w:rPr>
        <w:t>a Reunião de Planejamento das Autoridades do Processo Ministerial de Ciência e Tecnologia do CIDI, realizada em 2 de novembro de 2022.</w:t>
      </w:r>
      <w:r w:rsidR="00606F12" w:rsidRPr="00913ACD">
        <w:rPr>
          <w:color w:val="000000"/>
          <w:sz w:val="22"/>
          <w:szCs w:val="22"/>
          <w:lang w:val="pt-BR"/>
        </w:rPr>
        <w:t xml:space="preserve"> </w:t>
      </w:r>
      <w:r w:rsidRPr="00913ACD">
        <w:rPr>
          <w:color w:val="000000"/>
          <w:sz w:val="22"/>
          <w:szCs w:val="22"/>
          <w:lang w:val="pt-BR"/>
        </w:rPr>
        <w:t xml:space="preserve">O Plano de Trabalho estabelece um roteiro para </w:t>
      </w:r>
      <w:r w:rsidR="00DA2935" w:rsidRPr="00913ACD">
        <w:rPr>
          <w:color w:val="000000"/>
          <w:sz w:val="22"/>
          <w:szCs w:val="22"/>
          <w:lang w:val="pt-BR"/>
        </w:rPr>
        <w:t xml:space="preserve">a </w:t>
      </w:r>
      <w:r w:rsidRPr="00913ACD">
        <w:rPr>
          <w:color w:val="000000"/>
          <w:sz w:val="22"/>
          <w:szCs w:val="22"/>
          <w:lang w:val="pt-BR"/>
        </w:rPr>
        <w:t>implementa</w:t>
      </w:r>
      <w:r w:rsidR="00DA2935" w:rsidRPr="00913ACD">
        <w:rPr>
          <w:color w:val="000000"/>
          <w:sz w:val="22"/>
          <w:szCs w:val="22"/>
          <w:lang w:val="pt-BR"/>
        </w:rPr>
        <w:t>ção d</w:t>
      </w:r>
      <w:r w:rsidRPr="00913ACD">
        <w:rPr>
          <w:color w:val="000000"/>
          <w:sz w:val="22"/>
          <w:szCs w:val="22"/>
          <w:lang w:val="pt-BR"/>
        </w:rPr>
        <w:t>os mandatos d</w:t>
      </w:r>
      <w:r w:rsidR="00E53987">
        <w:rPr>
          <w:color w:val="000000"/>
          <w:sz w:val="22"/>
          <w:szCs w:val="22"/>
          <w:lang w:val="pt-BR"/>
        </w:rPr>
        <w:t>a</w:t>
      </w:r>
      <w:r w:rsidR="00ED78BF" w:rsidRPr="00913ACD">
        <w:rPr>
          <w:b/>
          <w:bCs/>
          <w:color w:val="000000"/>
          <w:sz w:val="22"/>
          <w:szCs w:val="22"/>
          <w:lang w:val="pt-BR"/>
        </w:rPr>
        <w:t xml:space="preserve"> Declaração da Jamaica</w:t>
      </w:r>
      <w:r w:rsidR="00646DF3" w:rsidRPr="00913ACD">
        <w:rPr>
          <w:b/>
          <w:bCs/>
          <w:color w:val="000000"/>
          <w:sz w:val="22"/>
          <w:szCs w:val="22"/>
          <w:lang w:val="pt-BR"/>
        </w:rPr>
        <w:t>,</w:t>
      </w:r>
      <w:r w:rsidR="00ED78BF" w:rsidRPr="00913ACD">
        <w:rPr>
          <w:color w:val="000000"/>
          <w:sz w:val="22"/>
          <w:szCs w:val="22"/>
          <w:lang w:val="pt-BR"/>
        </w:rPr>
        <w:t xml:space="preserve"> </w:t>
      </w:r>
      <w:r w:rsidR="007800A2" w:rsidRPr="00913ACD">
        <w:rPr>
          <w:color w:val="000000"/>
          <w:sz w:val="22"/>
          <w:szCs w:val="22"/>
          <w:lang w:val="pt-BR"/>
        </w:rPr>
        <w:t>“</w:t>
      </w:r>
      <w:r w:rsidR="005D47BD" w:rsidRPr="00913ACD">
        <w:rPr>
          <w:color w:val="000000"/>
          <w:sz w:val="22"/>
          <w:szCs w:val="22"/>
          <w:lang w:val="pt-BR"/>
        </w:rPr>
        <w:t xml:space="preserve">Canalizando </w:t>
      </w:r>
      <w:r w:rsidR="00ED78BF" w:rsidRPr="00913ACD">
        <w:rPr>
          <w:color w:val="000000"/>
          <w:sz w:val="22"/>
          <w:szCs w:val="22"/>
          <w:lang w:val="pt-BR"/>
        </w:rPr>
        <w:t>o Poder da Ciência e das Tecnologias Transformadoras para Impulsionar Nossas Comunidades</w:t>
      </w:r>
      <w:r w:rsidR="004D4083" w:rsidRPr="00913ACD">
        <w:rPr>
          <w:color w:val="000000"/>
          <w:sz w:val="22"/>
          <w:szCs w:val="22"/>
          <w:lang w:val="pt-BR"/>
        </w:rPr>
        <w:t>”,</w:t>
      </w:r>
      <w:r w:rsidR="00ED78BF" w:rsidRPr="00913ACD">
        <w:rPr>
          <w:color w:val="000000"/>
          <w:sz w:val="22"/>
          <w:szCs w:val="22"/>
          <w:lang w:val="pt-BR"/>
        </w:rPr>
        <w:t xml:space="preserve"> a</w:t>
      </w:r>
      <w:r w:rsidR="004D4083" w:rsidRPr="00913ACD">
        <w:rPr>
          <w:color w:val="000000"/>
          <w:sz w:val="22"/>
          <w:szCs w:val="22"/>
          <w:lang w:val="pt-BR"/>
        </w:rPr>
        <w:t>provada n</w:t>
      </w:r>
      <w:r w:rsidR="00ED78BF" w:rsidRPr="00913ACD">
        <w:rPr>
          <w:color w:val="000000"/>
          <w:sz w:val="22"/>
          <w:szCs w:val="22"/>
          <w:lang w:val="pt-BR"/>
        </w:rPr>
        <w:t xml:space="preserve">a Sexta Reunião de Ministros e Altas Autoridades de Ciência e Tecnologia, realizada virtualmente </w:t>
      </w:r>
      <w:r w:rsidR="006B4FAE">
        <w:rPr>
          <w:color w:val="000000"/>
          <w:sz w:val="22"/>
          <w:szCs w:val="22"/>
          <w:lang w:val="pt-BR"/>
        </w:rPr>
        <w:t xml:space="preserve">em </w:t>
      </w:r>
      <w:r w:rsidR="00ED78BF" w:rsidRPr="00913ACD">
        <w:rPr>
          <w:color w:val="000000"/>
          <w:sz w:val="22"/>
          <w:szCs w:val="22"/>
          <w:lang w:val="pt-BR"/>
        </w:rPr>
        <w:t xml:space="preserve">7 e 8 de dezembro de 2021. As principais áreas de ação incluem </w:t>
      </w:r>
      <w:r w:rsidR="0068537F">
        <w:rPr>
          <w:color w:val="000000"/>
          <w:sz w:val="22"/>
          <w:szCs w:val="22"/>
          <w:lang w:val="pt-BR"/>
        </w:rPr>
        <w:t xml:space="preserve">preenchimento </w:t>
      </w:r>
      <w:r w:rsidR="00D37132" w:rsidRPr="00913ACD">
        <w:rPr>
          <w:color w:val="000000"/>
          <w:sz w:val="22"/>
          <w:szCs w:val="22"/>
          <w:lang w:val="pt-BR"/>
        </w:rPr>
        <w:t>d</w:t>
      </w:r>
      <w:r w:rsidR="00ED78BF" w:rsidRPr="00913ACD">
        <w:rPr>
          <w:color w:val="000000"/>
          <w:sz w:val="22"/>
          <w:szCs w:val="22"/>
          <w:lang w:val="pt-BR"/>
        </w:rPr>
        <w:t>a lacuna de competências dos jovens e preparação para a indústria 4.0; promo</w:t>
      </w:r>
      <w:r w:rsidR="00257C1C" w:rsidRPr="00913ACD">
        <w:rPr>
          <w:color w:val="000000"/>
          <w:sz w:val="22"/>
          <w:szCs w:val="22"/>
          <w:lang w:val="pt-BR"/>
        </w:rPr>
        <w:t>ção d</w:t>
      </w:r>
      <w:r w:rsidR="00ED78BF" w:rsidRPr="00913ACD">
        <w:rPr>
          <w:color w:val="000000"/>
          <w:sz w:val="22"/>
          <w:szCs w:val="22"/>
          <w:lang w:val="pt-BR"/>
        </w:rPr>
        <w:t xml:space="preserve">a inclusão </w:t>
      </w:r>
      <w:r w:rsidR="009E0B16">
        <w:rPr>
          <w:color w:val="000000"/>
          <w:sz w:val="22"/>
          <w:szCs w:val="22"/>
          <w:lang w:val="pt-BR"/>
        </w:rPr>
        <w:t>em</w:t>
      </w:r>
      <w:r w:rsidR="000E4E64" w:rsidRPr="00913ACD">
        <w:rPr>
          <w:color w:val="000000"/>
          <w:sz w:val="22"/>
          <w:szCs w:val="22"/>
          <w:lang w:val="pt-BR"/>
        </w:rPr>
        <w:t xml:space="preserve"> CTI </w:t>
      </w:r>
      <w:r w:rsidR="00ED78BF" w:rsidRPr="00913ACD">
        <w:rPr>
          <w:color w:val="000000"/>
          <w:sz w:val="22"/>
          <w:szCs w:val="22"/>
          <w:lang w:val="pt-BR"/>
        </w:rPr>
        <w:t xml:space="preserve">de mulheres, comunidades rurais e indígenas e </w:t>
      </w:r>
      <w:r w:rsidR="00AA7737">
        <w:rPr>
          <w:color w:val="000000"/>
          <w:sz w:val="22"/>
          <w:szCs w:val="22"/>
          <w:lang w:val="pt-BR"/>
        </w:rPr>
        <w:t xml:space="preserve">de </w:t>
      </w:r>
      <w:r w:rsidR="00ED78BF" w:rsidRPr="00913ACD">
        <w:rPr>
          <w:color w:val="000000"/>
          <w:sz w:val="22"/>
          <w:szCs w:val="22"/>
          <w:lang w:val="pt-BR"/>
        </w:rPr>
        <w:t xml:space="preserve">populações em situação de vulnerabilidade; previsão tecnológica como insumo para decisões de políticas públicas; e colaboração efetiva público-privada-academia para melhorar a qualidade de vida e as MPMEs por meio de </w:t>
      </w:r>
      <w:r w:rsidR="006C6882" w:rsidRPr="00913ACD">
        <w:rPr>
          <w:color w:val="000000"/>
          <w:sz w:val="22"/>
          <w:szCs w:val="22"/>
          <w:lang w:val="pt-BR"/>
        </w:rPr>
        <w:t>C</w:t>
      </w:r>
      <w:r w:rsidR="00FD3FC6" w:rsidRPr="00913ACD">
        <w:rPr>
          <w:color w:val="000000"/>
          <w:sz w:val="22"/>
          <w:szCs w:val="22"/>
          <w:lang w:val="pt-BR"/>
        </w:rPr>
        <w:t>TI</w:t>
      </w:r>
      <w:r w:rsidR="00ED78BF" w:rsidRPr="00913ACD">
        <w:rPr>
          <w:color w:val="000000"/>
          <w:sz w:val="22"/>
          <w:szCs w:val="22"/>
          <w:lang w:val="pt-BR"/>
        </w:rPr>
        <w:t>.</w:t>
      </w:r>
    </w:p>
    <w:p w14:paraId="7EDD0606" w14:textId="77777777" w:rsidR="00ED78BF" w:rsidRPr="00913ACD" w:rsidRDefault="00ED78BF" w:rsidP="00CB030B">
      <w:pPr>
        <w:ind w:left="1440" w:hanging="720"/>
        <w:contextualSpacing/>
        <w:jc w:val="both"/>
        <w:rPr>
          <w:rFonts w:ascii="Times New Roman" w:hAnsi="Times New Roman" w:cs="Times New Roman"/>
          <w:color w:val="000000" w:themeColor="text1"/>
          <w:sz w:val="22"/>
          <w:szCs w:val="22"/>
          <w:lang w:val="pt-BR"/>
        </w:rPr>
      </w:pPr>
    </w:p>
    <w:p w14:paraId="003D1D74" w14:textId="256AC69C" w:rsidR="00ED78BF" w:rsidRPr="00913ACD" w:rsidRDefault="00122CA5" w:rsidP="00CB030B">
      <w:pPr>
        <w:numPr>
          <w:ilvl w:val="0"/>
          <w:numId w:val="4"/>
        </w:numPr>
        <w:ind w:left="1440" w:hanging="720"/>
        <w:contextualSpacing/>
        <w:jc w:val="both"/>
        <w:rPr>
          <w:rFonts w:ascii="Times New Roman" w:hAnsi="Times New Roman" w:cs="Times New Roman"/>
          <w:color w:val="000000" w:themeColor="text1"/>
          <w:sz w:val="22"/>
          <w:szCs w:val="22"/>
          <w:lang w:val="pt-BR"/>
        </w:rPr>
      </w:pPr>
      <w:r>
        <w:rPr>
          <w:rFonts w:ascii="Times New Roman" w:hAnsi="Times New Roman" w:cs="Times New Roman"/>
          <w:color w:val="000000" w:themeColor="text1"/>
          <w:sz w:val="22"/>
          <w:szCs w:val="22"/>
          <w:lang w:val="pt-BR"/>
        </w:rPr>
        <w:t>Em</w:t>
      </w:r>
      <w:r w:rsidR="00ED78BF" w:rsidRPr="00913ACD">
        <w:rPr>
          <w:rFonts w:ascii="Times New Roman" w:hAnsi="Times New Roman" w:cs="Times New Roman"/>
          <w:color w:val="000000" w:themeColor="text1"/>
          <w:sz w:val="22"/>
          <w:szCs w:val="22"/>
          <w:lang w:val="pt-BR"/>
        </w:rPr>
        <w:t xml:space="preserve"> 18 e 19 de maio de 2022, o </w:t>
      </w:r>
      <w:r>
        <w:rPr>
          <w:rFonts w:ascii="Times New Roman" w:hAnsi="Times New Roman" w:cs="Times New Roman"/>
          <w:color w:val="000000" w:themeColor="text1"/>
          <w:sz w:val="22"/>
          <w:szCs w:val="22"/>
          <w:lang w:val="pt-BR"/>
        </w:rPr>
        <w:t>s</w:t>
      </w:r>
      <w:r w:rsidR="00ED78BF" w:rsidRPr="00913ACD">
        <w:rPr>
          <w:rFonts w:ascii="Times New Roman" w:hAnsi="Times New Roman" w:cs="Times New Roman"/>
          <w:color w:val="000000" w:themeColor="text1"/>
          <w:sz w:val="22"/>
          <w:szCs w:val="22"/>
          <w:lang w:val="pt-BR"/>
        </w:rPr>
        <w:t xml:space="preserve">eminário </w:t>
      </w:r>
      <w:r>
        <w:rPr>
          <w:rFonts w:ascii="Times New Roman" w:hAnsi="Times New Roman" w:cs="Times New Roman"/>
          <w:color w:val="000000" w:themeColor="text1"/>
          <w:sz w:val="22"/>
          <w:szCs w:val="22"/>
          <w:lang w:val="pt-BR"/>
        </w:rPr>
        <w:t>i</w:t>
      </w:r>
      <w:r w:rsidR="00ED78BF" w:rsidRPr="00913ACD">
        <w:rPr>
          <w:rFonts w:ascii="Times New Roman" w:hAnsi="Times New Roman" w:cs="Times New Roman"/>
          <w:color w:val="000000" w:themeColor="text1"/>
          <w:sz w:val="22"/>
          <w:szCs w:val="22"/>
          <w:lang w:val="pt-BR"/>
        </w:rPr>
        <w:t xml:space="preserve">nternacional </w:t>
      </w:r>
      <w:r w:rsidR="007800A2" w:rsidRPr="006504A3">
        <w:rPr>
          <w:rFonts w:ascii="Times New Roman" w:hAnsi="Times New Roman" w:cs="Times New Roman"/>
          <w:color w:val="000000" w:themeColor="text1"/>
          <w:sz w:val="22"/>
          <w:szCs w:val="22"/>
          <w:lang w:val="pt-BR"/>
        </w:rPr>
        <w:t>“</w:t>
      </w:r>
      <w:r w:rsidR="0074320E" w:rsidRPr="006504A3">
        <w:rPr>
          <w:rFonts w:ascii="Times New Roman" w:hAnsi="Times New Roman" w:cs="Times New Roman"/>
          <w:color w:val="000000" w:themeColor="text1"/>
          <w:sz w:val="22"/>
          <w:szCs w:val="22"/>
          <w:lang w:val="pt-BR"/>
        </w:rPr>
        <w:t>Prospecta Americas</w:t>
      </w:r>
      <w:r w:rsidR="007800A2" w:rsidRPr="006504A3">
        <w:rPr>
          <w:rFonts w:ascii="Times New Roman" w:hAnsi="Times New Roman" w:cs="Times New Roman"/>
          <w:color w:val="000000" w:themeColor="text1"/>
          <w:sz w:val="22"/>
          <w:szCs w:val="22"/>
          <w:lang w:val="pt-BR"/>
        </w:rPr>
        <w:t>”</w:t>
      </w:r>
      <w:r w:rsidR="00ED78BF" w:rsidRPr="00913ACD">
        <w:rPr>
          <w:rFonts w:ascii="Times New Roman" w:hAnsi="Times New Roman" w:cs="Times New Roman"/>
          <w:color w:val="000000" w:themeColor="text1"/>
          <w:sz w:val="22"/>
          <w:szCs w:val="22"/>
          <w:lang w:val="pt-BR"/>
        </w:rPr>
        <w:t xml:space="preserve"> sobre tecnologias transformadoras e suas implicações para o futuro econômico, social e ambiental das Américas foi realizado </w:t>
      </w:r>
      <w:r w:rsidR="00DB368B" w:rsidRPr="00913ACD">
        <w:rPr>
          <w:rFonts w:ascii="Times New Roman" w:hAnsi="Times New Roman" w:cs="Times New Roman"/>
          <w:color w:val="000000" w:themeColor="text1"/>
          <w:sz w:val="22"/>
          <w:szCs w:val="22"/>
          <w:lang w:val="pt-BR"/>
        </w:rPr>
        <w:t xml:space="preserve">no âmbito </w:t>
      </w:r>
      <w:r w:rsidR="00ED78BF" w:rsidRPr="00913ACD">
        <w:rPr>
          <w:rFonts w:ascii="Times New Roman" w:hAnsi="Times New Roman" w:cs="Times New Roman"/>
          <w:color w:val="000000" w:themeColor="text1"/>
          <w:sz w:val="22"/>
          <w:szCs w:val="22"/>
          <w:lang w:val="pt-BR"/>
        </w:rPr>
        <w:t>da COM</w:t>
      </w:r>
      <w:r w:rsidR="00D0177F" w:rsidRPr="00913ACD">
        <w:rPr>
          <w:rFonts w:ascii="Times New Roman" w:hAnsi="Times New Roman" w:cs="Times New Roman"/>
          <w:color w:val="000000" w:themeColor="text1"/>
          <w:sz w:val="22"/>
          <w:szCs w:val="22"/>
          <w:lang w:val="pt-BR"/>
        </w:rPr>
        <w:t>CY</w:t>
      </w:r>
      <w:r w:rsidR="00C36031" w:rsidRPr="00913ACD">
        <w:rPr>
          <w:rFonts w:ascii="Times New Roman" w:hAnsi="Times New Roman" w:cs="Times New Roman"/>
          <w:color w:val="000000" w:themeColor="text1"/>
          <w:sz w:val="22"/>
          <w:szCs w:val="22"/>
          <w:lang w:val="pt-BR"/>
        </w:rPr>
        <w:t>T</w:t>
      </w:r>
      <w:r w:rsidR="00ED78BF" w:rsidRPr="00913ACD">
        <w:rPr>
          <w:rFonts w:ascii="Times New Roman" w:hAnsi="Times New Roman" w:cs="Times New Roman"/>
          <w:color w:val="000000" w:themeColor="text1"/>
          <w:sz w:val="22"/>
          <w:szCs w:val="22"/>
          <w:lang w:val="pt-BR"/>
        </w:rPr>
        <w:t xml:space="preserve">. O evento </w:t>
      </w:r>
      <w:r w:rsidR="007A047D">
        <w:rPr>
          <w:rFonts w:ascii="Times New Roman" w:hAnsi="Times New Roman" w:cs="Times New Roman"/>
          <w:color w:val="000000" w:themeColor="text1"/>
          <w:sz w:val="22"/>
          <w:szCs w:val="22"/>
          <w:lang w:val="pt-BR"/>
        </w:rPr>
        <w:t>aconteceu</w:t>
      </w:r>
      <w:r w:rsidR="00170C7B">
        <w:rPr>
          <w:rFonts w:ascii="Times New Roman" w:hAnsi="Times New Roman" w:cs="Times New Roman"/>
          <w:color w:val="000000" w:themeColor="text1"/>
          <w:sz w:val="22"/>
          <w:szCs w:val="22"/>
          <w:lang w:val="pt-BR"/>
        </w:rPr>
        <w:t xml:space="preserve"> </w:t>
      </w:r>
      <w:r w:rsidR="00ED78BF" w:rsidRPr="00913ACD">
        <w:rPr>
          <w:rFonts w:ascii="Times New Roman" w:hAnsi="Times New Roman" w:cs="Times New Roman"/>
          <w:color w:val="000000" w:themeColor="text1"/>
          <w:sz w:val="22"/>
          <w:szCs w:val="22"/>
          <w:lang w:val="pt-BR"/>
        </w:rPr>
        <w:t>em formato híbrido – virtual</w:t>
      </w:r>
      <w:r w:rsidR="00C36031" w:rsidRPr="00913ACD">
        <w:rPr>
          <w:rFonts w:ascii="Times New Roman" w:hAnsi="Times New Roman" w:cs="Times New Roman"/>
          <w:color w:val="000000" w:themeColor="text1"/>
          <w:sz w:val="22"/>
          <w:szCs w:val="22"/>
          <w:lang w:val="pt-BR"/>
        </w:rPr>
        <w:t xml:space="preserve"> </w:t>
      </w:r>
      <w:r w:rsidR="00ED78BF" w:rsidRPr="00913ACD">
        <w:rPr>
          <w:rFonts w:ascii="Times New Roman" w:hAnsi="Times New Roman" w:cs="Times New Roman"/>
          <w:color w:val="000000" w:themeColor="text1"/>
          <w:sz w:val="22"/>
          <w:szCs w:val="22"/>
          <w:lang w:val="pt-BR"/>
        </w:rPr>
        <w:t xml:space="preserve">e </w:t>
      </w:r>
      <w:r w:rsidR="00C36031" w:rsidRPr="00913ACD">
        <w:rPr>
          <w:rFonts w:ascii="Times New Roman" w:hAnsi="Times New Roman" w:cs="Times New Roman"/>
          <w:color w:val="000000" w:themeColor="text1"/>
          <w:sz w:val="22"/>
          <w:szCs w:val="22"/>
          <w:lang w:val="pt-BR"/>
        </w:rPr>
        <w:t>presencialmente</w:t>
      </w:r>
      <w:r w:rsidR="008A2032" w:rsidRPr="00913ACD">
        <w:rPr>
          <w:rFonts w:ascii="Times New Roman" w:hAnsi="Times New Roman" w:cs="Times New Roman"/>
          <w:color w:val="000000" w:themeColor="text1"/>
          <w:sz w:val="22"/>
          <w:szCs w:val="22"/>
          <w:lang w:val="pt-BR"/>
        </w:rPr>
        <w:t xml:space="preserve"> –</w:t>
      </w:r>
      <w:r w:rsidR="00C36031" w:rsidRPr="00913ACD">
        <w:rPr>
          <w:rFonts w:ascii="Times New Roman" w:hAnsi="Times New Roman" w:cs="Times New Roman"/>
          <w:color w:val="000000" w:themeColor="text1"/>
          <w:sz w:val="22"/>
          <w:szCs w:val="22"/>
          <w:lang w:val="pt-BR"/>
        </w:rPr>
        <w:t xml:space="preserve"> </w:t>
      </w:r>
      <w:r w:rsidR="00ED78BF" w:rsidRPr="00913ACD">
        <w:rPr>
          <w:rFonts w:ascii="Times New Roman" w:hAnsi="Times New Roman" w:cs="Times New Roman"/>
          <w:color w:val="000000" w:themeColor="text1"/>
          <w:sz w:val="22"/>
          <w:szCs w:val="22"/>
          <w:lang w:val="pt-BR"/>
        </w:rPr>
        <w:t>em Pachuca, Hidalgo, México</w:t>
      </w:r>
      <w:r w:rsidR="008A2032" w:rsidRPr="00913ACD">
        <w:rPr>
          <w:rFonts w:ascii="Times New Roman" w:hAnsi="Times New Roman" w:cs="Times New Roman"/>
          <w:color w:val="000000" w:themeColor="text1"/>
          <w:sz w:val="22"/>
          <w:szCs w:val="22"/>
          <w:lang w:val="pt-BR"/>
        </w:rPr>
        <w:t xml:space="preserve">, </w:t>
      </w:r>
      <w:r w:rsidR="00ED78BF" w:rsidRPr="00913ACD">
        <w:rPr>
          <w:rFonts w:ascii="Times New Roman" w:hAnsi="Times New Roman" w:cs="Times New Roman"/>
          <w:color w:val="000000" w:themeColor="text1"/>
          <w:sz w:val="22"/>
          <w:szCs w:val="22"/>
          <w:lang w:val="pt-BR"/>
        </w:rPr>
        <w:t xml:space="preserve">organizado pela OEA e pelo Governo do Estado de Hidalgo em colaboração com o Ministério das Relações Exteriores do México (SRE) e </w:t>
      </w:r>
      <w:r w:rsidR="00BE4173" w:rsidRPr="00913ACD">
        <w:rPr>
          <w:rFonts w:ascii="Times New Roman" w:hAnsi="Times New Roman" w:cs="Times New Roman"/>
          <w:color w:val="000000" w:themeColor="text1"/>
          <w:sz w:val="22"/>
          <w:szCs w:val="22"/>
          <w:lang w:val="pt-BR"/>
        </w:rPr>
        <w:t>o</w:t>
      </w:r>
      <w:r w:rsidR="00ED78BF" w:rsidRPr="00913ACD">
        <w:rPr>
          <w:rFonts w:ascii="Times New Roman" w:hAnsi="Times New Roman" w:cs="Times New Roman"/>
          <w:color w:val="000000" w:themeColor="text1"/>
          <w:sz w:val="22"/>
          <w:szCs w:val="22"/>
          <w:lang w:val="pt-BR"/>
        </w:rPr>
        <w:t xml:space="preserve"> </w:t>
      </w:r>
      <w:r w:rsidR="003E09C7">
        <w:rPr>
          <w:rFonts w:ascii="Times New Roman" w:hAnsi="Times New Roman" w:cs="Times New Roman"/>
          <w:color w:val="000000" w:themeColor="text1"/>
          <w:sz w:val="22"/>
          <w:szCs w:val="22"/>
          <w:lang w:val="pt-BR"/>
        </w:rPr>
        <w:t>Conselho Nac</w:t>
      </w:r>
      <w:r w:rsidR="00106619">
        <w:rPr>
          <w:rFonts w:ascii="Times New Roman" w:hAnsi="Times New Roman" w:cs="Times New Roman"/>
          <w:color w:val="000000" w:themeColor="text1"/>
          <w:sz w:val="22"/>
          <w:szCs w:val="22"/>
          <w:lang w:val="pt-BR"/>
        </w:rPr>
        <w:t xml:space="preserve">ional de </w:t>
      </w:r>
      <w:r w:rsidR="00321DF6">
        <w:rPr>
          <w:rFonts w:ascii="Times New Roman" w:hAnsi="Times New Roman" w:cs="Times New Roman"/>
          <w:color w:val="000000" w:themeColor="text1"/>
          <w:sz w:val="22"/>
          <w:szCs w:val="22"/>
          <w:lang w:val="pt-BR"/>
        </w:rPr>
        <w:t>Ciência, Tecnologia e Inovação Tecnológica (</w:t>
      </w:r>
      <w:r w:rsidR="00ED78BF" w:rsidRPr="00913ACD">
        <w:rPr>
          <w:rFonts w:ascii="Times New Roman" w:hAnsi="Times New Roman" w:cs="Times New Roman"/>
          <w:color w:val="000000" w:themeColor="text1"/>
          <w:sz w:val="22"/>
          <w:szCs w:val="22"/>
          <w:lang w:val="pt-BR"/>
        </w:rPr>
        <w:t>CONACYT</w:t>
      </w:r>
      <w:r w:rsidR="00C06873">
        <w:rPr>
          <w:rFonts w:ascii="Times New Roman" w:hAnsi="Times New Roman" w:cs="Times New Roman"/>
          <w:color w:val="000000" w:themeColor="text1"/>
          <w:sz w:val="22"/>
          <w:szCs w:val="22"/>
          <w:lang w:val="pt-BR"/>
        </w:rPr>
        <w:t>)</w:t>
      </w:r>
      <w:r w:rsidR="00ED78BF" w:rsidRPr="00913ACD">
        <w:rPr>
          <w:rFonts w:ascii="Times New Roman" w:hAnsi="Times New Roman" w:cs="Times New Roman"/>
          <w:color w:val="000000" w:themeColor="text1"/>
          <w:sz w:val="22"/>
          <w:szCs w:val="22"/>
          <w:lang w:val="pt-BR"/>
        </w:rPr>
        <w:t xml:space="preserve">. 981 especialistas, acadêmicos e autoridades </w:t>
      </w:r>
      <w:r w:rsidR="00773FE4" w:rsidRPr="00913ACD">
        <w:rPr>
          <w:rFonts w:ascii="Times New Roman" w:hAnsi="Times New Roman" w:cs="Times New Roman"/>
          <w:color w:val="000000" w:themeColor="text1"/>
          <w:sz w:val="22"/>
          <w:szCs w:val="22"/>
          <w:lang w:val="pt-BR"/>
        </w:rPr>
        <w:t>d</w:t>
      </w:r>
      <w:r w:rsidR="00ED78BF" w:rsidRPr="00913ACD">
        <w:rPr>
          <w:rFonts w:ascii="Times New Roman" w:hAnsi="Times New Roman" w:cs="Times New Roman"/>
          <w:color w:val="000000" w:themeColor="text1"/>
          <w:sz w:val="22"/>
          <w:szCs w:val="22"/>
          <w:lang w:val="pt-BR"/>
        </w:rPr>
        <w:t xml:space="preserve">as áreas de ciência, tecnologia e inovação de </w:t>
      </w:r>
      <w:r w:rsidR="00773FE4" w:rsidRPr="00913ACD">
        <w:rPr>
          <w:rFonts w:ascii="Times New Roman" w:hAnsi="Times New Roman" w:cs="Times New Roman"/>
          <w:color w:val="000000" w:themeColor="text1"/>
          <w:sz w:val="22"/>
          <w:szCs w:val="22"/>
          <w:lang w:val="pt-BR"/>
        </w:rPr>
        <w:t>20</w:t>
      </w:r>
      <w:r w:rsidR="00ED78BF" w:rsidRPr="00913ACD">
        <w:rPr>
          <w:rFonts w:ascii="Times New Roman" w:hAnsi="Times New Roman" w:cs="Times New Roman"/>
          <w:color w:val="000000" w:themeColor="text1"/>
          <w:sz w:val="22"/>
          <w:szCs w:val="22"/>
          <w:lang w:val="pt-BR"/>
        </w:rPr>
        <w:t xml:space="preserve"> países da região compartilharam </w:t>
      </w:r>
      <w:r w:rsidR="00773FE4" w:rsidRPr="00913ACD">
        <w:rPr>
          <w:rFonts w:ascii="Times New Roman" w:hAnsi="Times New Roman" w:cs="Times New Roman"/>
          <w:color w:val="000000" w:themeColor="text1"/>
          <w:sz w:val="22"/>
          <w:szCs w:val="22"/>
          <w:lang w:val="pt-BR"/>
        </w:rPr>
        <w:t xml:space="preserve">15 </w:t>
      </w:r>
      <w:r w:rsidR="00ED78BF" w:rsidRPr="00913ACD">
        <w:rPr>
          <w:rFonts w:ascii="Times New Roman" w:hAnsi="Times New Roman" w:cs="Times New Roman"/>
          <w:color w:val="000000" w:themeColor="text1"/>
          <w:sz w:val="22"/>
          <w:szCs w:val="22"/>
          <w:lang w:val="pt-BR"/>
        </w:rPr>
        <w:t xml:space="preserve">boas práticas e abordaram questões críticas como o futuro da economia, indústria, educação, transporte e saúde nas Américas. Mais de 400 </w:t>
      </w:r>
      <w:r w:rsidR="00C67D84" w:rsidRPr="00913ACD">
        <w:rPr>
          <w:rFonts w:ascii="Times New Roman" w:hAnsi="Times New Roman" w:cs="Times New Roman"/>
          <w:color w:val="000000" w:themeColor="text1"/>
          <w:sz w:val="22"/>
          <w:szCs w:val="22"/>
          <w:lang w:val="pt-BR"/>
        </w:rPr>
        <w:t>membros</w:t>
      </w:r>
      <w:r w:rsidR="00773FE4" w:rsidRPr="00913ACD">
        <w:rPr>
          <w:rFonts w:ascii="Times New Roman" w:hAnsi="Times New Roman" w:cs="Times New Roman"/>
          <w:color w:val="000000" w:themeColor="text1"/>
          <w:sz w:val="22"/>
          <w:szCs w:val="22"/>
          <w:lang w:val="pt-BR"/>
        </w:rPr>
        <w:t xml:space="preserve"> </w:t>
      </w:r>
      <w:r w:rsidR="00ED78BF" w:rsidRPr="00913ACD">
        <w:rPr>
          <w:rFonts w:ascii="Times New Roman" w:hAnsi="Times New Roman" w:cs="Times New Roman"/>
          <w:color w:val="000000" w:themeColor="text1"/>
          <w:sz w:val="22"/>
          <w:szCs w:val="22"/>
          <w:lang w:val="pt-BR"/>
        </w:rPr>
        <w:t xml:space="preserve">da comunidade científica </w:t>
      </w:r>
      <w:r w:rsidR="00C106BE" w:rsidRPr="00913ACD">
        <w:rPr>
          <w:rFonts w:ascii="Times New Roman" w:hAnsi="Times New Roman" w:cs="Times New Roman"/>
          <w:color w:val="000000" w:themeColor="text1"/>
          <w:sz w:val="22"/>
          <w:szCs w:val="22"/>
          <w:lang w:val="pt-BR"/>
        </w:rPr>
        <w:t>de</w:t>
      </w:r>
      <w:r w:rsidR="00ED78BF" w:rsidRPr="00913ACD">
        <w:rPr>
          <w:rFonts w:ascii="Times New Roman" w:hAnsi="Times New Roman" w:cs="Times New Roman"/>
          <w:color w:val="000000" w:themeColor="text1"/>
          <w:sz w:val="22"/>
          <w:szCs w:val="22"/>
          <w:lang w:val="pt-BR"/>
        </w:rPr>
        <w:t xml:space="preserve"> Hidalgo, México, e participantes internacionais foram treinados em tecnologias transformadoras</w:t>
      </w:r>
      <w:r w:rsidR="002073EF" w:rsidRPr="002073EF">
        <w:rPr>
          <w:rFonts w:ascii="Times New Roman" w:hAnsi="Times New Roman" w:cs="Times New Roman"/>
          <w:color w:val="000000" w:themeColor="text1"/>
          <w:sz w:val="22"/>
          <w:szCs w:val="22"/>
          <w:lang w:val="pt-BR"/>
        </w:rPr>
        <w:t xml:space="preserve"> </w:t>
      </w:r>
      <w:r w:rsidR="002073EF" w:rsidRPr="00913ACD">
        <w:rPr>
          <w:rFonts w:ascii="Times New Roman" w:hAnsi="Times New Roman" w:cs="Times New Roman"/>
          <w:color w:val="000000" w:themeColor="text1"/>
          <w:sz w:val="22"/>
          <w:szCs w:val="22"/>
          <w:lang w:val="pt-BR"/>
        </w:rPr>
        <w:t>em 13 seminários</w:t>
      </w:r>
      <w:r w:rsidR="00ED78BF" w:rsidRPr="00913ACD">
        <w:rPr>
          <w:rFonts w:ascii="Times New Roman" w:hAnsi="Times New Roman" w:cs="Times New Roman"/>
          <w:color w:val="000000" w:themeColor="text1"/>
          <w:sz w:val="22"/>
          <w:szCs w:val="22"/>
          <w:lang w:val="pt-BR"/>
        </w:rPr>
        <w:t xml:space="preserve">. O </w:t>
      </w:r>
      <w:r w:rsidR="00ED78BF" w:rsidRPr="00913ACD">
        <w:rPr>
          <w:rFonts w:ascii="Times New Roman" w:hAnsi="Times New Roman" w:cs="Times New Roman"/>
          <w:iCs/>
          <w:color w:val="000000" w:themeColor="text1"/>
          <w:sz w:val="22"/>
          <w:szCs w:val="22"/>
          <w:lang w:val="pt-BR"/>
        </w:rPr>
        <w:t xml:space="preserve">Seminário </w:t>
      </w:r>
      <w:r w:rsidR="006536E0" w:rsidRPr="00F174A8">
        <w:rPr>
          <w:rFonts w:ascii="Times New Roman" w:hAnsi="Times New Roman" w:cs="Times New Roman"/>
          <w:iCs/>
          <w:color w:val="000000" w:themeColor="text1"/>
          <w:sz w:val="22"/>
          <w:szCs w:val="22"/>
          <w:lang w:val="pt-BR"/>
        </w:rPr>
        <w:t>“</w:t>
      </w:r>
      <w:r w:rsidR="00ED78BF" w:rsidRPr="00F174A8">
        <w:rPr>
          <w:rFonts w:ascii="Times New Roman" w:hAnsi="Times New Roman" w:cs="Times New Roman"/>
          <w:iCs/>
          <w:color w:val="000000" w:themeColor="text1"/>
          <w:sz w:val="22"/>
          <w:szCs w:val="22"/>
          <w:lang w:val="pt-BR"/>
        </w:rPr>
        <w:t>Prospecta Americas</w:t>
      </w:r>
      <w:r w:rsidR="006536E0" w:rsidRPr="00F174A8">
        <w:rPr>
          <w:rFonts w:ascii="Times New Roman" w:hAnsi="Times New Roman" w:cs="Times New Roman"/>
          <w:iCs/>
          <w:color w:val="000000" w:themeColor="text1"/>
          <w:sz w:val="22"/>
          <w:szCs w:val="22"/>
          <w:lang w:val="pt-BR"/>
        </w:rPr>
        <w:t>”</w:t>
      </w:r>
      <w:r w:rsidR="00ED78BF" w:rsidRPr="00913ACD">
        <w:rPr>
          <w:rFonts w:ascii="Times New Roman" w:hAnsi="Times New Roman" w:cs="Times New Roman"/>
          <w:color w:val="000000" w:themeColor="text1"/>
          <w:sz w:val="22"/>
          <w:szCs w:val="22"/>
          <w:lang w:val="pt-BR"/>
        </w:rPr>
        <w:t xml:space="preserve"> resultou em dez novas </w:t>
      </w:r>
      <w:r w:rsidR="002673BA">
        <w:rPr>
          <w:rFonts w:ascii="Times New Roman" w:hAnsi="Times New Roman" w:cs="Times New Roman"/>
          <w:color w:val="000000" w:themeColor="text1"/>
          <w:sz w:val="22"/>
          <w:szCs w:val="22"/>
          <w:lang w:val="pt-BR"/>
        </w:rPr>
        <w:t xml:space="preserve">vias </w:t>
      </w:r>
      <w:r w:rsidR="00ED78BF" w:rsidRPr="00913ACD">
        <w:rPr>
          <w:rFonts w:ascii="Times New Roman" w:hAnsi="Times New Roman" w:cs="Times New Roman"/>
          <w:color w:val="000000" w:themeColor="text1"/>
          <w:sz w:val="22"/>
          <w:szCs w:val="22"/>
          <w:lang w:val="pt-BR"/>
        </w:rPr>
        <w:t xml:space="preserve">para colaboração, </w:t>
      </w:r>
      <w:r w:rsidR="005A6E23" w:rsidRPr="00913ACD">
        <w:rPr>
          <w:rFonts w:ascii="Times New Roman" w:hAnsi="Times New Roman" w:cs="Times New Roman"/>
          <w:color w:val="000000" w:themeColor="text1"/>
          <w:sz w:val="22"/>
          <w:szCs w:val="22"/>
          <w:lang w:val="pt-BR"/>
        </w:rPr>
        <w:t xml:space="preserve">entre as quais </w:t>
      </w:r>
      <w:r w:rsidR="00ED78BF" w:rsidRPr="00913ACD">
        <w:rPr>
          <w:rFonts w:ascii="Times New Roman" w:hAnsi="Times New Roman" w:cs="Times New Roman"/>
          <w:color w:val="000000" w:themeColor="text1"/>
          <w:sz w:val="22"/>
          <w:szCs w:val="22"/>
          <w:lang w:val="pt-BR"/>
        </w:rPr>
        <w:t xml:space="preserve">acordos e parcerias com </w:t>
      </w:r>
      <w:r w:rsidR="009548FC" w:rsidRPr="00913ACD">
        <w:rPr>
          <w:rFonts w:ascii="Times New Roman" w:hAnsi="Times New Roman" w:cs="Times New Roman"/>
          <w:color w:val="000000" w:themeColor="text1"/>
          <w:sz w:val="22"/>
          <w:szCs w:val="22"/>
          <w:lang w:val="pt-BR"/>
        </w:rPr>
        <w:t>c</w:t>
      </w:r>
      <w:r w:rsidR="00ED78BF" w:rsidRPr="00913ACD">
        <w:rPr>
          <w:rFonts w:ascii="Times New Roman" w:hAnsi="Times New Roman" w:cs="Times New Roman"/>
          <w:color w:val="000000" w:themeColor="text1"/>
          <w:sz w:val="22"/>
          <w:szCs w:val="22"/>
          <w:lang w:val="pt-BR"/>
        </w:rPr>
        <w:t xml:space="preserve">entros de </w:t>
      </w:r>
      <w:r w:rsidR="009548FC" w:rsidRPr="00913ACD">
        <w:rPr>
          <w:rFonts w:ascii="Times New Roman" w:hAnsi="Times New Roman" w:cs="Times New Roman"/>
          <w:color w:val="000000" w:themeColor="text1"/>
          <w:sz w:val="22"/>
          <w:szCs w:val="22"/>
          <w:lang w:val="pt-BR"/>
        </w:rPr>
        <w:t>e</w:t>
      </w:r>
      <w:r w:rsidR="00ED78BF" w:rsidRPr="00913ACD">
        <w:rPr>
          <w:rFonts w:ascii="Times New Roman" w:hAnsi="Times New Roman" w:cs="Times New Roman"/>
          <w:color w:val="000000" w:themeColor="text1"/>
          <w:sz w:val="22"/>
          <w:szCs w:val="22"/>
          <w:lang w:val="pt-BR"/>
        </w:rPr>
        <w:t xml:space="preserve">xcelência em </w:t>
      </w:r>
      <w:r w:rsidR="009548FC" w:rsidRPr="00913ACD">
        <w:rPr>
          <w:rFonts w:ascii="Times New Roman" w:hAnsi="Times New Roman" w:cs="Times New Roman"/>
          <w:color w:val="000000" w:themeColor="text1"/>
          <w:sz w:val="22"/>
          <w:szCs w:val="22"/>
          <w:lang w:val="pt-BR"/>
        </w:rPr>
        <w:t>t</w:t>
      </w:r>
      <w:r w:rsidR="00ED78BF" w:rsidRPr="00913ACD">
        <w:rPr>
          <w:rFonts w:ascii="Times New Roman" w:hAnsi="Times New Roman" w:cs="Times New Roman"/>
          <w:color w:val="000000" w:themeColor="text1"/>
          <w:sz w:val="22"/>
          <w:szCs w:val="22"/>
          <w:lang w:val="pt-BR"/>
        </w:rPr>
        <w:t xml:space="preserve">ecnologias </w:t>
      </w:r>
      <w:r w:rsidR="009548FC" w:rsidRPr="00913ACD">
        <w:rPr>
          <w:rFonts w:ascii="Times New Roman" w:hAnsi="Times New Roman" w:cs="Times New Roman"/>
          <w:color w:val="000000" w:themeColor="text1"/>
          <w:sz w:val="22"/>
          <w:szCs w:val="22"/>
          <w:lang w:val="pt-BR"/>
        </w:rPr>
        <w:t>t</w:t>
      </w:r>
      <w:r w:rsidR="00ED78BF" w:rsidRPr="00913ACD">
        <w:rPr>
          <w:rFonts w:ascii="Times New Roman" w:hAnsi="Times New Roman" w:cs="Times New Roman"/>
          <w:color w:val="000000" w:themeColor="text1"/>
          <w:sz w:val="22"/>
          <w:szCs w:val="22"/>
          <w:lang w:val="pt-BR"/>
        </w:rPr>
        <w:t xml:space="preserve">ransformadoras, </w:t>
      </w:r>
      <w:r w:rsidR="00E00A67">
        <w:rPr>
          <w:rFonts w:ascii="Times New Roman" w:hAnsi="Times New Roman" w:cs="Times New Roman"/>
          <w:color w:val="000000" w:themeColor="text1"/>
          <w:sz w:val="22"/>
          <w:szCs w:val="22"/>
          <w:lang w:val="pt-BR"/>
        </w:rPr>
        <w:t xml:space="preserve">como </w:t>
      </w:r>
      <w:r w:rsidR="004F4133" w:rsidRPr="00913ACD">
        <w:rPr>
          <w:rFonts w:ascii="Times New Roman" w:hAnsi="Times New Roman" w:cs="Times New Roman"/>
          <w:color w:val="000000" w:themeColor="text1"/>
          <w:sz w:val="22"/>
          <w:szCs w:val="22"/>
          <w:lang w:val="pt-BR"/>
        </w:rPr>
        <w:t>b</w:t>
      </w:r>
      <w:r w:rsidR="00ED78BF" w:rsidRPr="00913ACD">
        <w:rPr>
          <w:rFonts w:ascii="Times New Roman" w:hAnsi="Times New Roman" w:cs="Times New Roman"/>
          <w:color w:val="000000" w:themeColor="text1"/>
          <w:sz w:val="22"/>
          <w:szCs w:val="22"/>
          <w:lang w:val="pt-BR"/>
        </w:rPr>
        <w:t>lockchain em Hidalgo, México</w:t>
      </w:r>
      <w:r w:rsidR="009548FC" w:rsidRPr="00913ACD">
        <w:rPr>
          <w:rFonts w:ascii="Times New Roman" w:hAnsi="Times New Roman" w:cs="Times New Roman"/>
          <w:color w:val="000000" w:themeColor="text1"/>
          <w:sz w:val="22"/>
          <w:szCs w:val="22"/>
          <w:lang w:val="pt-BR"/>
        </w:rPr>
        <w:t>,</w:t>
      </w:r>
      <w:r w:rsidR="00ED78BF" w:rsidRPr="00913ACD">
        <w:rPr>
          <w:rFonts w:ascii="Times New Roman" w:hAnsi="Times New Roman" w:cs="Times New Roman"/>
          <w:color w:val="000000" w:themeColor="text1"/>
          <w:sz w:val="22"/>
          <w:szCs w:val="22"/>
          <w:lang w:val="pt-BR"/>
        </w:rPr>
        <w:t xml:space="preserve"> </w:t>
      </w:r>
      <w:r w:rsidR="004F4133" w:rsidRPr="00913ACD">
        <w:rPr>
          <w:rFonts w:ascii="Times New Roman" w:hAnsi="Times New Roman" w:cs="Times New Roman"/>
          <w:color w:val="000000" w:themeColor="text1"/>
          <w:sz w:val="22"/>
          <w:szCs w:val="22"/>
          <w:lang w:val="pt-BR"/>
        </w:rPr>
        <w:t>i</w:t>
      </w:r>
      <w:r w:rsidR="00ED78BF" w:rsidRPr="00913ACD">
        <w:rPr>
          <w:rFonts w:ascii="Times New Roman" w:hAnsi="Times New Roman" w:cs="Times New Roman"/>
          <w:color w:val="000000" w:themeColor="text1"/>
          <w:sz w:val="22"/>
          <w:szCs w:val="22"/>
          <w:lang w:val="pt-BR"/>
        </w:rPr>
        <w:t xml:space="preserve">nteligência </w:t>
      </w:r>
      <w:r w:rsidR="004F4133" w:rsidRPr="00913ACD">
        <w:rPr>
          <w:rFonts w:ascii="Times New Roman" w:hAnsi="Times New Roman" w:cs="Times New Roman"/>
          <w:color w:val="000000" w:themeColor="text1"/>
          <w:sz w:val="22"/>
          <w:szCs w:val="22"/>
          <w:lang w:val="pt-BR"/>
        </w:rPr>
        <w:t>a</w:t>
      </w:r>
      <w:r w:rsidR="00ED78BF" w:rsidRPr="00913ACD">
        <w:rPr>
          <w:rFonts w:ascii="Times New Roman" w:hAnsi="Times New Roman" w:cs="Times New Roman"/>
          <w:color w:val="000000" w:themeColor="text1"/>
          <w:sz w:val="22"/>
          <w:szCs w:val="22"/>
          <w:lang w:val="pt-BR"/>
        </w:rPr>
        <w:t xml:space="preserve">rtificial e </w:t>
      </w:r>
      <w:r w:rsidR="004F4133" w:rsidRPr="00913ACD">
        <w:rPr>
          <w:rFonts w:ascii="Times New Roman" w:hAnsi="Times New Roman" w:cs="Times New Roman"/>
          <w:color w:val="000000" w:themeColor="text1"/>
          <w:sz w:val="22"/>
          <w:szCs w:val="22"/>
          <w:lang w:val="pt-BR"/>
        </w:rPr>
        <w:t>r</w:t>
      </w:r>
      <w:r w:rsidR="00ED78BF" w:rsidRPr="00913ACD">
        <w:rPr>
          <w:rFonts w:ascii="Times New Roman" w:hAnsi="Times New Roman" w:cs="Times New Roman"/>
          <w:color w:val="000000" w:themeColor="text1"/>
          <w:sz w:val="22"/>
          <w:szCs w:val="22"/>
          <w:lang w:val="pt-BR"/>
        </w:rPr>
        <w:t>obótica em Barranquilla, Colômbia</w:t>
      </w:r>
      <w:r w:rsidR="004F4133" w:rsidRPr="00913ACD">
        <w:rPr>
          <w:rFonts w:ascii="Times New Roman" w:hAnsi="Times New Roman" w:cs="Times New Roman"/>
          <w:color w:val="000000" w:themeColor="text1"/>
          <w:sz w:val="22"/>
          <w:szCs w:val="22"/>
          <w:lang w:val="pt-BR"/>
        </w:rPr>
        <w:t xml:space="preserve">, e </w:t>
      </w:r>
      <w:r w:rsidR="00D17246" w:rsidRPr="00913ACD">
        <w:rPr>
          <w:rFonts w:ascii="Times New Roman" w:hAnsi="Times New Roman" w:cs="Times New Roman"/>
          <w:color w:val="000000" w:themeColor="text1"/>
          <w:sz w:val="22"/>
          <w:szCs w:val="22"/>
          <w:lang w:val="pt-BR"/>
        </w:rPr>
        <w:t>m</w:t>
      </w:r>
      <w:r w:rsidR="00ED78BF" w:rsidRPr="00913ACD">
        <w:rPr>
          <w:rFonts w:ascii="Times New Roman" w:hAnsi="Times New Roman" w:cs="Times New Roman"/>
          <w:color w:val="000000" w:themeColor="text1"/>
          <w:sz w:val="22"/>
          <w:szCs w:val="22"/>
          <w:lang w:val="pt-BR"/>
        </w:rPr>
        <w:t xml:space="preserve">ateriais </w:t>
      </w:r>
      <w:r w:rsidR="00D17246" w:rsidRPr="00913ACD">
        <w:rPr>
          <w:rFonts w:ascii="Times New Roman" w:hAnsi="Times New Roman" w:cs="Times New Roman"/>
          <w:color w:val="000000" w:themeColor="text1"/>
          <w:sz w:val="22"/>
          <w:szCs w:val="22"/>
          <w:lang w:val="pt-BR"/>
        </w:rPr>
        <w:t>a</w:t>
      </w:r>
      <w:r w:rsidR="00ED78BF" w:rsidRPr="00913ACD">
        <w:rPr>
          <w:rFonts w:ascii="Times New Roman" w:hAnsi="Times New Roman" w:cs="Times New Roman"/>
          <w:color w:val="000000" w:themeColor="text1"/>
          <w:sz w:val="22"/>
          <w:szCs w:val="22"/>
          <w:lang w:val="pt-BR"/>
        </w:rPr>
        <w:t xml:space="preserve">vançados e </w:t>
      </w:r>
      <w:r w:rsidR="00D17246" w:rsidRPr="00913ACD">
        <w:rPr>
          <w:rFonts w:ascii="Times New Roman" w:hAnsi="Times New Roman" w:cs="Times New Roman"/>
          <w:color w:val="000000" w:themeColor="text1"/>
          <w:sz w:val="22"/>
          <w:szCs w:val="22"/>
          <w:lang w:val="pt-BR"/>
        </w:rPr>
        <w:t>n</w:t>
      </w:r>
      <w:r w:rsidR="00ED78BF" w:rsidRPr="00913ACD">
        <w:rPr>
          <w:rFonts w:ascii="Times New Roman" w:hAnsi="Times New Roman" w:cs="Times New Roman"/>
          <w:color w:val="000000" w:themeColor="text1"/>
          <w:sz w:val="22"/>
          <w:szCs w:val="22"/>
          <w:lang w:val="pt-BR"/>
        </w:rPr>
        <w:t>anotecnologias em Lima, Peru.</w:t>
      </w:r>
    </w:p>
    <w:p w14:paraId="439F95A0" w14:textId="77777777" w:rsidR="00ED78BF" w:rsidRPr="00913ACD" w:rsidRDefault="00ED78BF" w:rsidP="00CB030B">
      <w:pPr>
        <w:shd w:val="clear" w:color="auto" w:fill="FFFFFF"/>
        <w:ind w:left="1440" w:hanging="720"/>
        <w:jc w:val="both"/>
        <w:rPr>
          <w:rFonts w:ascii="Times New Roman" w:hAnsi="Times New Roman" w:cs="Times New Roman"/>
          <w:color w:val="000000"/>
          <w:sz w:val="22"/>
          <w:szCs w:val="22"/>
          <w:lang w:val="pt-BR"/>
        </w:rPr>
      </w:pPr>
    </w:p>
    <w:p w14:paraId="5C3BF497" w14:textId="340C98C3" w:rsidR="00ED78BF" w:rsidRPr="00913ACD" w:rsidRDefault="00ED78BF" w:rsidP="00CB030B">
      <w:pPr>
        <w:pStyle w:val="ListParagraph"/>
        <w:numPr>
          <w:ilvl w:val="0"/>
          <w:numId w:val="4"/>
        </w:numPr>
        <w:shd w:val="clear" w:color="auto" w:fill="FFFFFF"/>
        <w:ind w:left="1440" w:hanging="720"/>
        <w:contextualSpacing/>
        <w:jc w:val="both"/>
        <w:rPr>
          <w:color w:val="000000"/>
          <w:sz w:val="22"/>
          <w:szCs w:val="22"/>
          <w:lang w:val="pt-BR"/>
        </w:rPr>
      </w:pPr>
      <w:r w:rsidRPr="00913ACD">
        <w:rPr>
          <w:color w:val="000000" w:themeColor="text1"/>
          <w:sz w:val="22"/>
          <w:szCs w:val="22"/>
          <w:lang w:val="pt-BR"/>
        </w:rPr>
        <w:t xml:space="preserve">A Academia da Juventude da OEA </w:t>
      </w:r>
      <w:r w:rsidR="000C7560" w:rsidRPr="00913ACD">
        <w:rPr>
          <w:color w:val="000000" w:themeColor="text1"/>
          <w:sz w:val="22"/>
          <w:szCs w:val="22"/>
          <w:lang w:val="pt-BR"/>
        </w:rPr>
        <w:t>em</w:t>
      </w:r>
      <w:r w:rsidRPr="00913ACD">
        <w:rPr>
          <w:color w:val="000000" w:themeColor="text1"/>
          <w:sz w:val="22"/>
          <w:szCs w:val="22"/>
          <w:lang w:val="pt-BR"/>
        </w:rPr>
        <w:t xml:space="preserve"> Tecnologias Transformadoras, em colaboração com a Meta, lançou três módulos de um curso sobre Realidade Aumentada (RA) para fornecer treinamento e certificação a 10</w:t>
      </w:r>
      <w:r w:rsidR="008B35BD">
        <w:rPr>
          <w:color w:val="000000" w:themeColor="text1"/>
          <w:sz w:val="22"/>
          <w:szCs w:val="22"/>
          <w:lang w:val="pt-BR"/>
        </w:rPr>
        <w:t xml:space="preserve"> mil </w:t>
      </w:r>
      <w:r w:rsidRPr="00913ACD">
        <w:rPr>
          <w:color w:val="000000" w:themeColor="text1"/>
          <w:sz w:val="22"/>
          <w:szCs w:val="22"/>
          <w:lang w:val="pt-BR"/>
        </w:rPr>
        <w:t xml:space="preserve">jovens das Américas. O curso e a certificação </w:t>
      </w:r>
      <w:r w:rsidR="00087F1F">
        <w:rPr>
          <w:color w:val="000000" w:themeColor="text1"/>
          <w:sz w:val="22"/>
          <w:szCs w:val="22"/>
          <w:lang w:val="pt-BR"/>
        </w:rPr>
        <w:t>em</w:t>
      </w:r>
      <w:r w:rsidRPr="00913ACD">
        <w:rPr>
          <w:color w:val="000000" w:themeColor="text1"/>
          <w:sz w:val="22"/>
          <w:szCs w:val="22"/>
          <w:lang w:val="pt-BR"/>
        </w:rPr>
        <w:t xml:space="preserve"> três níveis são oferecidos em inglês, espanhol e português e apresentam instruções sobre os níveis básico, fundamental e profissional de RA, com conteúdo desenvolvido </w:t>
      </w:r>
      <w:r w:rsidR="00A6716C">
        <w:rPr>
          <w:color w:val="000000" w:themeColor="text1"/>
          <w:sz w:val="22"/>
          <w:szCs w:val="22"/>
          <w:lang w:val="pt-BR"/>
        </w:rPr>
        <w:t xml:space="preserve">a partir de </w:t>
      </w:r>
      <w:r w:rsidRPr="00913ACD">
        <w:rPr>
          <w:color w:val="000000" w:themeColor="text1"/>
          <w:sz w:val="22"/>
          <w:szCs w:val="22"/>
          <w:lang w:val="pt-BR"/>
        </w:rPr>
        <w:t xml:space="preserve">casos de uso e experiências de criadores locais da América Latina e do Caribe. O objetivo da Academia da Juventude da OEA é preparar os jovens das Américas para empregos e oportunidades empresariais </w:t>
      </w:r>
      <w:r w:rsidR="00CA2A33" w:rsidRPr="00913ACD">
        <w:rPr>
          <w:color w:val="000000" w:themeColor="text1"/>
          <w:sz w:val="22"/>
          <w:szCs w:val="22"/>
          <w:lang w:val="pt-BR"/>
        </w:rPr>
        <w:t>n</w:t>
      </w:r>
      <w:r w:rsidRPr="00913ACD">
        <w:rPr>
          <w:color w:val="000000" w:themeColor="text1"/>
          <w:sz w:val="22"/>
          <w:szCs w:val="22"/>
          <w:lang w:val="pt-BR"/>
        </w:rPr>
        <w:t xml:space="preserve">a economia digital e </w:t>
      </w:r>
      <w:r w:rsidR="004E6B58">
        <w:rPr>
          <w:color w:val="000000" w:themeColor="text1"/>
          <w:sz w:val="22"/>
          <w:szCs w:val="22"/>
          <w:lang w:val="pt-BR"/>
        </w:rPr>
        <w:t>n</w:t>
      </w:r>
      <w:r w:rsidRPr="00913ACD">
        <w:rPr>
          <w:color w:val="000000" w:themeColor="text1"/>
          <w:sz w:val="22"/>
          <w:szCs w:val="22"/>
          <w:lang w:val="pt-BR"/>
        </w:rPr>
        <w:t>a inovação, conforme previsto na Declaração Ministerial da Jamaica. Mais de 20</w:t>
      </w:r>
      <w:r w:rsidR="007B6BBF">
        <w:rPr>
          <w:color w:val="000000" w:themeColor="text1"/>
          <w:sz w:val="22"/>
          <w:szCs w:val="22"/>
          <w:lang w:val="pt-BR"/>
        </w:rPr>
        <w:t xml:space="preserve"> mil </w:t>
      </w:r>
      <w:r w:rsidRPr="00913ACD">
        <w:rPr>
          <w:color w:val="000000" w:themeColor="text1"/>
          <w:sz w:val="22"/>
          <w:szCs w:val="22"/>
          <w:lang w:val="pt-BR"/>
        </w:rPr>
        <w:t>p</w:t>
      </w:r>
      <w:r w:rsidRPr="00913ACD">
        <w:rPr>
          <w:color w:val="000000"/>
          <w:sz w:val="22"/>
          <w:szCs w:val="22"/>
          <w:lang w:val="pt-BR"/>
        </w:rPr>
        <w:t>art</w:t>
      </w:r>
      <w:r w:rsidR="00CA2A33" w:rsidRPr="00913ACD">
        <w:rPr>
          <w:color w:val="000000"/>
          <w:sz w:val="22"/>
          <w:szCs w:val="22"/>
          <w:lang w:val="pt-BR"/>
        </w:rPr>
        <w:t>i</w:t>
      </w:r>
      <w:r w:rsidRPr="00913ACD">
        <w:rPr>
          <w:color w:val="000000"/>
          <w:sz w:val="22"/>
          <w:szCs w:val="22"/>
          <w:lang w:val="pt-BR"/>
        </w:rPr>
        <w:t>cipantes dos 34</w:t>
      </w:r>
      <w:r w:rsidR="00C51D8E" w:rsidRPr="00913ACD">
        <w:rPr>
          <w:color w:val="000000"/>
          <w:sz w:val="22"/>
          <w:szCs w:val="22"/>
          <w:lang w:val="pt-BR"/>
        </w:rPr>
        <w:t xml:space="preserve"> </w:t>
      </w:r>
      <w:r w:rsidR="00AF16D4" w:rsidRPr="00913ACD">
        <w:rPr>
          <w:color w:val="000000"/>
          <w:sz w:val="22"/>
          <w:szCs w:val="22"/>
          <w:lang w:val="pt-BR"/>
        </w:rPr>
        <w:t>Estados membros</w:t>
      </w:r>
      <w:r w:rsidRPr="00913ACD">
        <w:rPr>
          <w:sz w:val="22"/>
          <w:szCs w:val="22"/>
          <w:lang w:val="pt-BR"/>
        </w:rPr>
        <w:t xml:space="preserve"> da OEA</w:t>
      </w:r>
      <w:r w:rsidR="00C51D8E" w:rsidRPr="00913ACD">
        <w:rPr>
          <w:sz w:val="22"/>
          <w:szCs w:val="22"/>
          <w:lang w:val="pt-BR"/>
        </w:rPr>
        <w:t xml:space="preserve"> </w:t>
      </w:r>
      <w:r w:rsidR="008C289B" w:rsidRPr="00913ACD">
        <w:rPr>
          <w:sz w:val="22"/>
          <w:szCs w:val="22"/>
          <w:lang w:val="pt-BR"/>
        </w:rPr>
        <w:t>se registraram</w:t>
      </w:r>
      <w:r w:rsidR="008C289B" w:rsidRPr="00913ACD">
        <w:rPr>
          <w:color w:val="000000"/>
          <w:sz w:val="22"/>
          <w:szCs w:val="22"/>
          <w:lang w:val="pt-BR"/>
        </w:rPr>
        <w:t xml:space="preserve"> </w:t>
      </w:r>
      <w:r w:rsidRPr="00913ACD">
        <w:rPr>
          <w:color w:val="000000"/>
          <w:sz w:val="22"/>
          <w:szCs w:val="22"/>
          <w:lang w:val="pt-BR"/>
        </w:rPr>
        <w:t xml:space="preserve">na Academia da Juventude da OEA em 2022. Ofertas adicionais de cursos devem estar disponíveis em 2023 e 2024 em colaboração com outros parceiros, </w:t>
      </w:r>
      <w:r w:rsidR="00126440" w:rsidRPr="00913ACD">
        <w:rPr>
          <w:color w:val="000000"/>
          <w:sz w:val="22"/>
          <w:szCs w:val="22"/>
          <w:lang w:val="pt-BR"/>
        </w:rPr>
        <w:t xml:space="preserve">entre os quis </w:t>
      </w:r>
      <w:r w:rsidRPr="00913ACD">
        <w:rPr>
          <w:color w:val="000000"/>
          <w:sz w:val="22"/>
          <w:szCs w:val="22"/>
          <w:lang w:val="pt-BR"/>
        </w:rPr>
        <w:t>a Structural.</w:t>
      </w:r>
    </w:p>
    <w:p w14:paraId="03232870" w14:textId="77777777" w:rsidR="00ED78BF" w:rsidRPr="00913ACD" w:rsidRDefault="00ED78BF" w:rsidP="00CB030B">
      <w:pPr>
        <w:shd w:val="clear" w:color="auto" w:fill="FFFFFF"/>
        <w:ind w:left="1440" w:hanging="720"/>
        <w:jc w:val="both"/>
        <w:rPr>
          <w:rFonts w:ascii="Times New Roman" w:hAnsi="Times New Roman" w:cs="Times New Roman"/>
          <w:color w:val="000000"/>
          <w:sz w:val="22"/>
          <w:szCs w:val="22"/>
          <w:lang w:val="pt-BR"/>
        </w:rPr>
      </w:pPr>
    </w:p>
    <w:p w14:paraId="76D31385" w14:textId="407F8665" w:rsidR="00ED78BF" w:rsidRPr="00913ACD" w:rsidRDefault="00126440" w:rsidP="00CB030B">
      <w:pPr>
        <w:numPr>
          <w:ilvl w:val="0"/>
          <w:numId w:val="4"/>
        </w:numPr>
        <w:shd w:val="clear" w:color="auto" w:fill="FFFFFF"/>
        <w:ind w:left="1440" w:hanging="720"/>
        <w:jc w:val="both"/>
        <w:rPr>
          <w:rFonts w:ascii="Times New Roman" w:hAnsi="Times New Roman" w:cs="Times New Roman"/>
          <w:color w:val="000000"/>
          <w:sz w:val="22"/>
          <w:szCs w:val="22"/>
          <w:lang w:val="pt-BR"/>
        </w:rPr>
      </w:pPr>
      <w:r w:rsidRPr="00913ACD">
        <w:rPr>
          <w:rFonts w:ascii="Times New Roman" w:hAnsi="Times New Roman" w:cs="Times New Roman"/>
          <w:color w:val="000000"/>
          <w:sz w:val="22"/>
          <w:szCs w:val="22"/>
          <w:lang w:val="pt-BR"/>
        </w:rPr>
        <w:t xml:space="preserve">No âmbito do </w:t>
      </w:r>
      <w:r w:rsidR="00ED78BF" w:rsidRPr="002901E6">
        <w:rPr>
          <w:rFonts w:ascii="Times New Roman" w:hAnsi="Times New Roman" w:cs="Times New Roman"/>
          <w:iCs/>
          <w:color w:val="000000"/>
          <w:sz w:val="22"/>
          <w:szCs w:val="22"/>
          <w:lang w:val="pt-BR"/>
        </w:rPr>
        <w:t>Prospecta Americas</w:t>
      </w:r>
      <w:r w:rsidR="00ED78BF" w:rsidRPr="00913ACD">
        <w:rPr>
          <w:rFonts w:ascii="Times New Roman" w:hAnsi="Times New Roman" w:cs="Times New Roman"/>
          <w:i/>
          <w:color w:val="000000"/>
          <w:sz w:val="22"/>
          <w:szCs w:val="22"/>
          <w:lang w:val="pt-BR"/>
        </w:rPr>
        <w:t>,</w:t>
      </w:r>
      <w:r w:rsidR="00ED78BF" w:rsidRPr="00913ACD">
        <w:rPr>
          <w:rFonts w:ascii="Times New Roman" w:hAnsi="Times New Roman" w:cs="Times New Roman"/>
          <w:sz w:val="22"/>
          <w:szCs w:val="22"/>
          <w:lang w:val="pt-BR"/>
        </w:rPr>
        <w:t xml:space="preserve"> a</w:t>
      </w:r>
      <w:r w:rsidR="00C51D8E" w:rsidRPr="00913ACD">
        <w:rPr>
          <w:rFonts w:ascii="Times New Roman" w:hAnsi="Times New Roman" w:cs="Times New Roman"/>
          <w:sz w:val="22"/>
          <w:szCs w:val="22"/>
          <w:lang w:val="pt-BR"/>
        </w:rPr>
        <w:t xml:space="preserve"> </w:t>
      </w:r>
      <w:r w:rsidR="00ED78BF" w:rsidRPr="00913ACD">
        <w:rPr>
          <w:rFonts w:ascii="Times New Roman" w:hAnsi="Times New Roman" w:cs="Times New Roman"/>
          <w:color w:val="000000"/>
          <w:sz w:val="22"/>
          <w:szCs w:val="22"/>
          <w:lang w:val="pt-BR"/>
        </w:rPr>
        <w:t>SEDI apoiou versões atualizadas e apresentações de dois estudos regionais de previsão de tecnologia em colaboração com a MINCIENCIAS Colômbia –</w:t>
      </w:r>
      <w:r w:rsidR="00C51D8E" w:rsidRPr="00913ACD">
        <w:rPr>
          <w:rFonts w:ascii="Times New Roman" w:hAnsi="Times New Roman" w:cs="Times New Roman"/>
          <w:color w:val="000000"/>
          <w:sz w:val="22"/>
          <w:szCs w:val="22"/>
          <w:lang w:val="pt-BR"/>
        </w:rPr>
        <w:t xml:space="preserve"> </w:t>
      </w:r>
      <w:r w:rsidR="00ED78BF" w:rsidRPr="00913ACD">
        <w:rPr>
          <w:rFonts w:ascii="Times New Roman" w:hAnsi="Times New Roman" w:cs="Times New Roman"/>
          <w:sz w:val="22"/>
          <w:szCs w:val="22"/>
          <w:lang w:val="pt-BR"/>
        </w:rPr>
        <w:t xml:space="preserve">sobre </w:t>
      </w:r>
      <w:r w:rsidR="007800A2" w:rsidRPr="00913ACD">
        <w:rPr>
          <w:rFonts w:ascii="Times New Roman" w:hAnsi="Times New Roman" w:cs="Times New Roman"/>
          <w:sz w:val="22"/>
          <w:szCs w:val="22"/>
          <w:lang w:val="pt-BR"/>
        </w:rPr>
        <w:t>“</w:t>
      </w:r>
      <w:r w:rsidR="00ED78BF" w:rsidRPr="00913ACD">
        <w:rPr>
          <w:rFonts w:ascii="Times New Roman" w:hAnsi="Times New Roman" w:cs="Times New Roman"/>
          <w:b/>
          <w:color w:val="000000"/>
          <w:sz w:val="22"/>
          <w:szCs w:val="22"/>
          <w:lang w:val="pt-BR"/>
        </w:rPr>
        <w:t xml:space="preserve">O </w:t>
      </w:r>
      <w:r w:rsidR="00EE15CB">
        <w:rPr>
          <w:rFonts w:ascii="Times New Roman" w:hAnsi="Times New Roman" w:cs="Times New Roman"/>
          <w:b/>
          <w:color w:val="000000"/>
          <w:sz w:val="22"/>
          <w:szCs w:val="22"/>
          <w:lang w:val="pt-BR"/>
        </w:rPr>
        <w:t>f</w:t>
      </w:r>
      <w:r w:rsidR="00ED78BF" w:rsidRPr="00913ACD">
        <w:rPr>
          <w:rFonts w:ascii="Times New Roman" w:hAnsi="Times New Roman" w:cs="Times New Roman"/>
          <w:b/>
          <w:color w:val="000000"/>
          <w:sz w:val="22"/>
          <w:szCs w:val="22"/>
          <w:lang w:val="pt-BR"/>
        </w:rPr>
        <w:t xml:space="preserve">uturo do </w:t>
      </w:r>
      <w:r w:rsidR="00EE15CB">
        <w:rPr>
          <w:rFonts w:ascii="Times New Roman" w:hAnsi="Times New Roman" w:cs="Times New Roman"/>
          <w:b/>
          <w:color w:val="000000"/>
          <w:sz w:val="22"/>
          <w:szCs w:val="22"/>
          <w:lang w:val="pt-BR"/>
        </w:rPr>
        <w:t>t</w:t>
      </w:r>
      <w:r w:rsidR="00ED78BF" w:rsidRPr="00913ACD">
        <w:rPr>
          <w:rFonts w:ascii="Times New Roman" w:hAnsi="Times New Roman" w:cs="Times New Roman"/>
          <w:b/>
          <w:color w:val="000000"/>
          <w:sz w:val="22"/>
          <w:szCs w:val="22"/>
          <w:lang w:val="pt-BR"/>
        </w:rPr>
        <w:t>rabalho</w:t>
      </w:r>
      <w:r w:rsidR="007800A2" w:rsidRPr="00913ACD">
        <w:rPr>
          <w:rFonts w:ascii="Times New Roman" w:hAnsi="Times New Roman" w:cs="Times New Roman"/>
          <w:sz w:val="22"/>
          <w:szCs w:val="22"/>
          <w:lang w:val="pt-BR"/>
        </w:rPr>
        <w:t>”</w:t>
      </w:r>
      <w:r w:rsidR="00ED78BF" w:rsidRPr="00913ACD">
        <w:rPr>
          <w:rFonts w:ascii="Times New Roman" w:hAnsi="Times New Roman" w:cs="Times New Roman"/>
          <w:sz w:val="22"/>
          <w:szCs w:val="22"/>
          <w:lang w:val="pt-BR"/>
        </w:rPr>
        <w:t xml:space="preserve">, </w:t>
      </w:r>
      <w:r w:rsidR="00ED78BF" w:rsidRPr="00913ACD">
        <w:rPr>
          <w:rFonts w:ascii="Times New Roman" w:hAnsi="Times New Roman" w:cs="Times New Roman"/>
          <w:color w:val="000000"/>
          <w:sz w:val="22"/>
          <w:szCs w:val="22"/>
          <w:lang w:val="pt-BR"/>
        </w:rPr>
        <w:t xml:space="preserve">dirigido pelo Centro de </w:t>
      </w:r>
      <w:r w:rsidR="00ED78BF" w:rsidRPr="006652D0">
        <w:rPr>
          <w:rFonts w:ascii="Times New Roman" w:hAnsi="Times New Roman" w:cs="Times New Roman"/>
          <w:color w:val="000000"/>
          <w:sz w:val="22"/>
          <w:szCs w:val="22"/>
          <w:lang w:val="pt-BR"/>
        </w:rPr>
        <w:t>Pensamento</w:t>
      </w:r>
      <w:r w:rsidR="00ED78BF" w:rsidRPr="00913ACD">
        <w:rPr>
          <w:rFonts w:ascii="Times New Roman" w:hAnsi="Times New Roman" w:cs="Times New Roman"/>
          <w:color w:val="000000"/>
          <w:sz w:val="22"/>
          <w:szCs w:val="22"/>
          <w:lang w:val="pt-BR"/>
        </w:rPr>
        <w:t xml:space="preserve"> Estratégico e Previsão da Universidad Externado d</w:t>
      </w:r>
      <w:r w:rsidR="00BA5044" w:rsidRPr="00913ACD">
        <w:rPr>
          <w:rFonts w:ascii="Times New Roman" w:hAnsi="Times New Roman" w:cs="Times New Roman"/>
          <w:color w:val="000000"/>
          <w:sz w:val="22"/>
          <w:szCs w:val="22"/>
          <w:lang w:val="pt-BR"/>
        </w:rPr>
        <w:t>a</w:t>
      </w:r>
      <w:r w:rsidR="00ED78BF" w:rsidRPr="00913ACD">
        <w:rPr>
          <w:rFonts w:ascii="Times New Roman" w:hAnsi="Times New Roman" w:cs="Times New Roman"/>
          <w:color w:val="000000"/>
          <w:sz w:val="22"/>
          <w:szCs w:val="22"/>
          <w:lang w:val="pt-BR"/>
        </w:rPr>
        <w:t xml:space="preserve"> Co</w:t>
      </w:r>
      <w:r w:rsidR="00BA5044" w:rsidRPr="00913ACD">
        <w:rPr>
          <w:rFonts w:ascii="Times New Roman" w:hAnsi="Times New Roman" w:cs="Times New Roman"/>
          <w:color w:val="000000"/>
          <w:sz w:val="22"/>
          <w:szCs w:val="22"/>
          <w:lang w:val="pt-BR"/>
        </w:rPr>
        <w:t>lô</w:t>
      </w:r>
      <w:r w:rsidR="00ED78BF" w:rsidRPr="00913ACD">
        <w:rPr>
          <w:rFonts w:ascii="Times New Roman" w:hAnsi="Times New Roman" w:cs="Times New Roman"/>
          <w:color w:val="000000"/>
          <w:sz w:val="22"/>
          <w:szCs w:val="22"/>
          <w:lang w:val="pt-BR"/>
        </w:rPr>
        <w:t xml:space="preserve">mbia; e sobre </w:t>
      </w:r>
      <w:r w:rsidR="007800A2" w:rsidRPr="00913ACD">
        <w:rPr>
          <w:rFonts w:ascii="Times New Roman" w:hAnsi="Times New Roman" w:cs="Times New Roman"/>
          <w:b/>
          <w:color w:val="000000"/>
          <w:sz w:val="22"/>
          <w:szCs w:val="22"/>
          <w:lang w:val="pt-BR"/>
        </w:rPr>
        <w:t>“</w:t>
      </w:r>
      <w:r w:rsidR="00ED78BF" w:rsidRPr="00913ACD">
        <w:rPr>
          <w:rFonts w:ascii="Times New Roman" w:hAnsi="Times New Roman" w:cs="Times New Roman"/>
          <w:b/>
          <w:color w:val="000000"/>
          <w:sz w:val="22"/>
          <w:szCs w:val="22"/>
          <w:lang w:val="pt-BR"/>
        </w:rPr>
        <w:t xml:space="preserve">Previsão no </w:t>
      </w:r>
      <w:r w:rsidR="006652D0">
        <w:rPr>
          <w:rFonts w:ascii="Times New Roman" w:hAnsi="Times New Roman" w:cs="Times New Roman"/>
          <w:b/>
          <w:color w:val="000000"/>
          <w:sz w:val="22"/>
          <w:szCs w:val="22"/>
          <w:lang w:val="pt-BR"/>
        </w:rPr>
        <w:t>s</w:t>
      </w:r>
      <w:r w:rsidR="00ED78BF" w:rsidRPr="00913ACD">
        <w:rPr>
          <w:rFonts w:ascii="Times New Roman" w:hAnsi="Times New Roman" w:cs="Times New Roman"/>
          <w:b/>
          <w:color w:val="000000"/>
          <w:sz w:val="22"/>
          <w:szCs w:val="22"/>
          <w:lang w:val="pt-BR"/>
        </w:rPr>
        <w:t xml:space="preserve">etor </w:t>
      </w:r>
      <w:r w:rsidR="006652D0">
        <w:rPr>
          <w:rFonts w:ascii="Times New Roman" w:hAnsi="Times New Roman" w:cs="Times New Roman"/>
          <w:b/>
          <w:color w:val="000000"/>
          <w:sz w:val="22"/>
          <w:szCs w:val="22"/>
          <w:lang w:val="pt-BR"/>
        </w:rPr>
        <w:t>a</w:t>
      </w:r>
      <w:r w:rsidR="00ED78BF" w:rsidRPr="00913ACD">
        <w:rPr>
          <w:rFonts w:ascii="Times New Roman" w:hAnsi="Times New Roman" w:cs="Times New Roman"/>
          <w:b/>
          <w:color w:val="000000"/>
          <w:sz w:val="22"/>
          <w:szCs w:val="22"/>
          <w:lang w:val="pt-BR"/>
        </w:rPr>
        <w:t xml:space="preserve">groalimentar </w:t>
      </w:r>
      <w:r w:rsidR="00511E2B">
        <w:rPr>
          <w:rFonts w:ascii="Times New Roman" w:hAnsi="Times New Roman" w:cs="Times New Roman"/>
          <w:b/>
          <w:color w:val="000000"/>
          <w:sz w:val="22"/>
          <w:szCs w:val="22"/>
          <w:lang w:val="pt-BR"/>
        </w:rPr>
        <w:t>d</w:t>
      </w:r>
      <w:r w:rsidR="00ED78BF" w:rsidRPr="00913ACD">
        <w:rPr>
          <w:rFonts w:ascii="Times New Roman" w:hAnsi="Times New Roman" w:cs="Times New Roman"/>
          <w:b/>
          <w:color w:val="000000"/>
          <w:sz w:val="22"/>
          <w:szCs w:val="22"/>
          <w:lang w:val="pt-BR"/>
        </w:rPr>
        <w:t xml:space="preserve">a América Latina e </w:t>
      </w:r>
      <w:r w:rsidR="00511E2B">
        <w:rPr>
          <w:rFonts w:ascii="Times New Roman" w:hAnsi="Times New Roman" w:cs="Times New Roman"/>
          <w:b/>
          <w:color w:val="000000"/>
          <w:sz w:val="22"/>
          <w:szCs w:val="22"/>
          <w:lang w:val="pt-BR"/>
        </w:rPr>
        <w:t>d</w:t>
      </w:r>
      <w:r w:rsidR="00ED78BF" w:rsidRPr="00913ACD">
        <w:rPr>
          <w:rFonts w:ascii="Times New Roman" w:hAnsi="Times New Roman" w:cs="Times New Roman"/>
          <w:b/>
          <w:color w:val="000000"/>
          <w:sz w:val="22"/>
          <w:szCs w:val="22"/>
          <w:lang w:val="pt-BR"/>
        </w:rPr>
        <w:t>o Caribe</w:t>
      </w:r>
      <w:r w:rsidR="007800A2" w:rsidRPr="00913ACD">
        <w:rPr>
          <w:rFonts w:ascii="Times New Roman" w:hAnsi="Times New Roman" w:cs="Times New Roman"/>
          <w:b/>
          <w:color w:val="000000"/>
          <w:sz w:val="22"/>
          <w:szCs w:val="22"/>
          <w:lang w:val="pt-BR"/>
        </w:rPr>
        <w:t>”</w:t>
      </w:r>
      <w:r w:rsidR="00ED78BF" w:rsidRPr="00913ACD">
        <w:rPr>
          <w:rFonts w:ascii="Times New Roman" w:hAnsi="Times New Roman" w:cs="Times New Roman"/>
          <w:b/>
          <w:color w:val="000000"/>
          <w:sz w:val="22"/>
          <w:szCs w:val="22"/>
          <w:lang w:val="pt-BR"/>
        </w:rPr>
        <w:t>,</w:t>
      </w:r>
      <w:r w:rsidR="00C51D8E" w:rsidRPr="00913ACD">
        <w:rPr>
          <w:rFonts w:ascii="Times New Roman" w:hAnsi="Times New Roman" w:cs="Times New Roman"/>
          <w:color w:val="000000"/>
          <w:sz w:val="22"/>
          <w:szCs w:val="22"/>
          <w:lang w:val="pt-BR"/>
        </w:rPr>
        <w:t xml:space="preserve"> </w:t>
      </w:r>
      <w:r w:rsidR="00ED78BF" w:rsidRPr="00913ACD">
        <w:rPr>
          <w:rFonts w:ascii="Times New Roman" w:hAnsi="Times New Roman" w:cs="Times New Roman"/>
          <w:color w:val="000000"/>
          <w:sz w:val="22"/>
          <w:szCs w:val="22"/>
          <w:lang w:val="pt-BR"/>
        </w:rPr>
        <w:t>dirigido pela Rede Aberta de Previsão e Inovação do Programa Ibero-Americano de Ciência e Tecnologia para o Desenvolvimento (CYTED).</w:t>
      </w:r>
    </w:p>
    <w:p w14:paraId="1AA0D66C" w14:textId="77777777" w:rsidR="00ED78BF" w:rsidRPr="00913ACD" w:rsidRDefault="00ED78BF" w:rsidP="00CB030B">
      <w:pPr>
        <w:pStyle w:val="ListParagraph"/>
        <w:ind w:hanging="720"/>
        <w:rPr>
          <w:color w:val="000000"/>
          <w:sz w:val="22"/>
          <w:szCs w:val="22"/>
          <w:lang w:val="pt-BR"/>
        </w:rPr>
      </w:pPr>
    </w:p>
    <w:p w14:paraId="5FC689E5" w14:textId="71A1B66E" w:rsidR="00960F2C" w:rsidRPr="00913ACD" w:rsidRDefault="00960F2C" w:rsidP="00CB030B">
      <w:pPr>
        <w:pStyle w:val="ListParagraph"/>
        <w:numPr>
          <w:ilvl w:val="0"/>
          <w:numId w:val="4"/>
        </w:numPr>
        <w:ind w:left="1440" w:hanging="720"/>
        <w:jc w:val="both"/>
        <w:rPr>
          <w:rFonts w:eastAsia="Times New Roman"/>
          <w:sz w:val="22"/>
          <w:szCs w:val="22"/>
          <w:lang w:val="pt-BR"/>
        </w:rPr>
      </w:pPr>
      <w:r w:rsidRPr="00913ACD">
        <w:rPr>
          <w:sz w:val="22"/>
          <w:szCs w:val="22"/>
          <w:lang w:val="pt-BR"/>
        </w:rPr>
        <w:t>Assin</w:t>
      </w:r>
      <w:r w:rsidR="00C40345" w:rsidRPr="00913ACD">
        <w:rPr>
          <w:sz w:val="22"/>
          <w:szCs w:val="22"/>
          <w:lang w:val="pt-BR"/>
        </w:rPr>
        <w:t>ou</w:t>
      </w:r>
      <w:r w:rsidRPr="00913ACD">
        <w:rPr>
          <w:sz w:val="22"/>
          <w:szCs w:val="22"/>
          <w:lang w:val="pt-BR"/>
        </w:rPr>
        <w:t xml:space="preserve"> dois Acordos de Cooperação para promover a pesquisa, a formação e a educação científica e tecnológica em tecnologias transformadoras e diplomacia científica no Hemisfério:</w:t>
      </w:r>
    </w:p>
    <w:p w14:paraId="274EB671" w14:textId="7D14CE3C" w:rsidR="00ED78BF" w:rsidRPr="00913ACD" w:rsidRDefault="00ED78BF" w:rsidP="00CB030B">
      <w:pPr>
        <w:pStyle w:val="ListParagraph"/>
        <w:ind w:hanging="720"/>
        <w:jc w:val="both"/>
        <w:rPr>
          <w:rFonts w:eastAsia="Times New Roman"/>
          <w:sz w:val="22"/>
          <w:szCs w:val="22"/>
          <w:lang w:val="pt-BR"/>
        </w:rPr>
      </w:pPr>
    </w:p>
    <w:p w14:paraId="795F8BA7" w14:textId="57B7C1F7" w:rsidR="00960F2C" w:rsidRPr="00913ACD" w:rsidRDefault="00ED78BF" w:rsidP="00CB030B">
      <w:pPr>
        <w:pStyle w:val="ListParagraph"/>
        <w:numPr>
          <w:ilvl w:val="1"/>
          <w:numId w:val="4"/>
        </w:numPr>
        <w:ind w:left="1980" w:hanging="540"/>
        <w:jc w:val="both"/>
        <w:rPr>
          <w:rFonts w:eastAsia="Times New Roman"/>
          <w:sz w:val="22"/>
          <w:szCs w:val="22"/>
          <w:lang w:val="pt-BR"/>
        </w:rPr>
      </w:pPr>
      <w:r w:rsidRPr="00913ACD">
        <w:rPr>
          <w:sz w:val="22"/>
          <w:szCs w:val="22"/>
          <w:lang w:val="pt-BR"/>
        </w:rPr>
        <w:t>M</w:t>
      </w:r>
      <w:r w:rsidR="00A46499" w:rsidRPr="00913ACD">
        <w:rPr>
          <w:sz w:val="22"/>
          <w:szCs w:val="22"/>
          <w:lang w:val="pt-BR"/>
        </w:rPr>
        <w:t>OU</w:t>
      </w:r>
      <w:r w:rsidR="00A90B72" w:rsidRPr="00913ACD">
        <w:rPr>
          <w:sz w:val="22"/>
          <w:szCs w:val="22"/>
          <w:lang w:val="pt-BR"/>
        </w:rPr>
        <w:t xml:space="preserve"> </w:t>
      </w:r>
      <w:r w:rsidR="00BE7760" w:rsidRPr="00913ACD">
        <w:rPr>
          <w:sz w:val="22"/>
          <w:szCs w:val="22"/>
          <w:lang w:val="pt-BR"/>
        </w:rPr>
        <w:t xml:space="preserve">firmado </w:t>
      </w:r>
      <w:r w:rsidRPr="00913ACD">
        <w:rPr>
          <w:sz w:val="22"/>
          <w:szCs w:val="22"/>
          <w:lang w:val="pt-BR"/>
        </w:rPr>
        <w:t xml:space="preserve">entre a OEA/SEDI e o Governo do Estado de Hidalgo, México, em 23 de agosto de 2022, para o Centro Regional de Excelência em Blockchain como parte da iniciativa </w:t>
      </w:r>
      <w:r w:rsidRPr="009814FC">
        <w:rPr>
          <w:sz w:val="22"/>
          <w:szCs w:val="22"/>
          <w:lang w:val="pt-BR"/>
        </w:rPr>
        <w:t>Prospecta Americas</w:t>
      </w:r>
      <w:r w:rsidR="00CF3E7F" w:rsidRPr="009814FC">
        <w:rPr>
          <w:sz w:val="22"/>
          <w:szCs w:val="22"/>
          <w:lang w:val="pt-BR"/>
        </w:rPr>
        <w:t>;</w:t>
      </w:r>
      <w:r w:rsidR="00C44A0F">
        <w:rPr>
          <w:sz w:val="22"/>
          <w:szCs w:val="22"/>
          <w:lang w:val="pt-BR"/>
        </w:rPr>
        <w:t xml:space="preserve"> e</w:t>
      </w:r>
    </w:p>
    <w:p w14:paraId="20C50E11" w14:textId="6326498E" w:rsidR="00ED78BF" w:rsidRPr="00913ACD" w:rsidRDefault="00ED78BF" w:rsidP="00CB030B">
      <w:pPr>
        <w:pStyle w:val="ListParagraph"/>
        <w:numPr>
          <w:ilvl w:val="1"/>
          <w:numId w:val="4"/>
        </w:numPr>
        <w:ind w:left="1980" w:hanging="540"/>
        <w:jc w:val="both"/>
        <w:rPr>
          <w:rFonts w:eastAsia="Times New Roman"/>
          <w:sz w:val="22"/>
          <w:szCs w:val="22"/>
          <w:lang w:val="pt-BR"/>
        </w:rPr>
      </w:pPr>
      <w:r w:rsidRPr="00913ACD">
        <w:rPr>
          <w:sz w:val="22"/>
          <w:szCs w:val="22"/>
          <w:lang w:val="pt-BR"/>
        </w:rPr>
        <w:t>M</w:t>
      </w:r>
      <w:r w:rsidR="00A90B72" w:rsidRPr="00913ACD">
        <w:rPr>
          <w:sz w:val="22"/>
          <w:szCs w:val="22"/>
          <w:lang w:val="pt-BR"/>
        </w:rPr>
        <w:t>OU</w:t>
      </w:r>
      <w:r w:rsidRPr="00913ACD">
        <w:rPr>
          <w:sz w:val="22"/>
          <w:szCs w:val="22"/>
          <w:lang w:val="pt-BR"/>
        </w:rPr>
        <w:t xml:space="preserve"> </w:t>
      </w:r>
      <w:r w:rsidR="00A90B72" w:rsidRPr="00913ACD">
        <w:rPr>
          <w:sz w:val="22"/>
          <w:szCs w:val="22"/>
          <w:lang w:val="pt-BR"/>
        </w:rPr>
        <w:t xml:space="preserve">firmado </w:t>
      </w:r>
      <w:r w:rsidRPr="00913ACD">
        <w:rPr>
          <w:sz w:val="22"/>
          <w:szCs w:val="22"/>
          <w:lang w:val="pt-BR"/>
        </w:rPr>
        <w:t>entre a OEA/SEDI e o Instituto de História da Ciência (SHI)</w:t>
      </w:r>
      <w:r w:rsidR="00C44A0F">
        <w:rPr>
          <w:sz w:val="22"/>
          <w:szCs w:val="22"/>
          <w:lang w:val="pt-BR"/>
        </w:rPr>
        <w:t>,</w:t>
      </w:r>
      <w:r w:rsidRPr="00913ACD">
        <w:rPr>
          <w:sz w:val="22"/>
          <w:szCs w:val="22"/>
          <w:lang w:val="pt-BR"/>
        </w:rPr>
        <w:t xml:space="preserve"> em 29 de novembro de 2022, para promover o uso e a disseminação do conhecimento científico e da história </w:t>
      </w:r>
      <w:r w:rsidR="00CE6309" w:rsidRPr="00913ACD">
        <w:rPr>
          <w:sz w:val="22"/>
          <w:szCs w:val="22"/>
          <w:lang w:val="pt-BR"/>
        </w:rPr>
        <w:t xml:space="preserve">com vistas a </w:t>
      </w:r>
      <w:r w:rsidRPr="00913ACD">
        <w:rPr>
          <w:sz w:val="22"/>
          <w:szCs w:val="22"/>
          <w:lang w:val="pt-BR"/>
        </w:rPr>
        <w:t xml:space="preserve">ampliar o impacto da ciência na população das Américas e promover o desenvolvimento econômico sustentável e inclusivo </w:t>
      </w:r>
      <w:r w:rsidR="007F652E" w:rsidRPr="007F652E">
        <w:rPr>
          <w:sz w:val="22"/>
          <w:szCs w:val="22"/>
          <w:lang w:val="pt-BR"/>
        </w:rPr>
        <w:t xml:space="preserve">nos </w:t>
      </w:r>
      <w:r w:rsidR="007F652E">
        <w:rPr>
          <w:sz w:val="22"/>
          <w:szCs w:val="22"/>
          <w:lang w:val="pt-BR"/>
        </w:rPr>
        <w:t>e</w:t>
      </w:r>
      <w:r w:rsidR="007F652E" w:rsidRPr="007F652E">
        <w:rPr>
          <w:sz w:val="22"/>
          <w:szCs w:val="22"/>
          <w:lang w:val="pt-BR"/>
        </w:rPr>
        <w:t>stados membros da OEA</w:t>
      </w:r>
      <w:r w:rsidRPr="00913ACD">
        <w:rPr>
          <w:sz w:val="22"/>
          <w:szCs w:val="22"/>
          <w:lang w:val="pt-BR"/>
        </w:rPr>
        <w:t>.</w:t>
      </w:r>
    </w:p>
    <w:p w14:paraId="42B969F5" w14:textId="77777777" w:rsidR="00ED78BF" w:rsidRPr="00913ACD" w:rsidRDefault="00ED78BF" w:rsidP="00CB030B">
      <w:pPr>
        <w:shd w:val="clear" w:color="auto" w:fill="FFFFFF"/>
        <w:ind w:left="720"/>
        <w:jc w:val="both"/>
        <w:rPr>
          <w:rFonts w:ascii="Times New Roman" w:hAnsi="Times New Roman" w:cs="Times New Roman"/>
          <w:color w:val="000000"/>
          <w:sz w:val="22"/>
          <w:szCs w:val="22"/>
          <w:lang w:val="pt-BR"/>
        </w:rPr>
      </w:pPr>
    </w:p>
    <w:p w14:paraId="5E22B64A" w14:textId="64440760" w:rsidR="00ED78BF" w:rsidRPr="00913ACD" w:rsidRDefault="00960F2C" w:rsidP="00CB030B">
      <w:pPr>
        <w:numPr>
          <w:ilvl w:val="0"/>
          <w:numId w:val="4"/>
        </w:numPr>
        <w:shd w:val="clear" w:color="auto" w:fill="FFFFFF"/>
        <w:ind w:left="1440" w:hanging="720"/>
        <w:jc w:val="both"/>
        <w:rPr>
          <w:rFonts w:ascii="Times New Roman" w:hAnsi="Times New Roman" w:cs="Times New Roman"/>
          <w:color w:val="000000"/>
          <w:sz w:val="22"/>
          <w:szCs w:val="22"/>
          <w:lang w:val="pt-BR"/>
        </w:rPr>
      </w:pPr>
      <w:r w:rsidRPr="00913ACD">
        <w:rPr>
          <w:rFonts w:ascii="Times New Roman" w:hAnsi="Times New Roman" w:cs="Times New Roman"/>
          <w:color w:val="000000"/>
          <w:sz w:val="22"/>
          <w:szCs w:val="22"/>
          <w:lang w:val="pt-BR"/>
        </w:rPr>
        <w:t>Convocou três conferências regionais sobre educação em engenharia (LACCEI, SPEED e LEIRD) em colaboração com os Parceiros do Grupo de Trabalho 2 d</w:t>
      </w:r>
      <w:r w:rsidR="00D62F95" w:rsidRPr="00913ACD">
        <w:rPr>
          <w:rFonts w:ascii="Times New Roman" w:hAnsi="Times New Roman" w:cs="Times New Roman"/>
          <w:color w:val="000000"/>
          <w:sz w:val="22"/>
          <w:szCs w:val="22"/>
          <w:lang w:val="pt-BR"/>
        </w:rPr>
        <w:t>a</w:t>
      </w:r>
      <w:r w:rsidRPr="00913ACD">
        <w:rPr>
          <w:rFonts w:ascii="Times New Roman" w:hAnsi="Times New Roman" w:cs="Times New Roman"/>
          <w:color w:val="000000"/>
          <w:sz w:val="22"/>
          <w:szCs w:val="22"/>
          <w:lang w:val="pt-BR"/>
        </w:rPr>
        <w:t xml:space="preserve"> COMCYT, que apoiaram o intercâmbio de boas práticas e forneceram treinamento em educação em engenharia a mais de 1</w:t>
      </w:r>
      <w:r w:rsidR="007942CB">
        <w:rPr>
          <w:rFonts w:ascii="Times New Roman" w:hAnsi="Times New Roman" w:cs="Times New Roman"/>
          <w:color w:val="000000"/>
          <w:sz w:val="22"/>
          <w:szCs w:val="22"/>
          <w:lang w:val="pt-BR"/>
        </w:rPr>
        <w:t xml:space="preserve"> mil </w:t>
      </w:r>
      <w:r w:rsidRPr="00913ACD">
        <w:rPr>
          <w:rFonts w:ascii="Times New Roman" w:hAnsi="Times New Roman" w:cs="Times New Roman"/>
          <w:color w:val="000000"/>
          <w:sz w:val="22"/>
          <w:szCs w:val="22"/>
          <w:lang w:val="pt-BR"/>
        </w:rPr>
        <w:t>profissionais e estudantes de engenharia das Américas.</w:t>
      </w:r>
    </w:p>
    <w:p w14:paraId="74B8305D" w14:textId="77777777" w:rsidR="00ED78BF" w:rsidRPr="00913ACD" w:rsidRDefault="00ED78BF" w:rsidP="00CB030B">
      <w:pPr>
        <w:shd w:val="clear" w:color="auto" w:fill="FFFFFF"/>
        <w:ind w:left="1440" w:hanging="720"/>
        <w:jc w:val="both"/>
        <w:rPr>
          <w:rFonts w:ascii="Times New Roman" w:hAnsi="Times New Roman" w:cs="Times New Roman"/>
          <w:color w:val="000000"/>
          <w:sz w:val="22"/>
          <w:szCs w:val="22"/>
          <w:lang w:val="pt-BR"/>
        </w:rPr>
      </w:pPr>
    </w:p>
    <w:p w14:paraId="009C9821" w14:textId="366739B6" w:rsidR="00ED78BF" w:rsidRPr="00913ACD" w:rsidRDefault="00ED78BF" w:rsidP="00CB030B">
      <w:pPr>
        <w:numPr>
          <w:ilvl w:val="0"/>
          <w:numId w:val="4"/>
        </w:numPr>
        <w:shd w:val="clear" w:color="auto" w:fill="FFFFFF"/>
        <w:ind w:left="1440" w:hanging="720"/>
        <w:jc w:val="both"/>
        <w:rPr>
          <w:rFonts w:ascii="Times New Roman" w:hAnsi="Times New Roman" w:cs="Times New Roman"/>
          <w:color w:val="000000"/>
          <w:sz w:val="22"/>
          <w:szCs w:val="22"/>
          <w:lang w:val="pt-BR"/>
        </w:rPr>
      </w:pPr>
      <w:r w:rsidRPr="00913ACD">
        <w:rPr>
          <w:rFonts w:ascii="Times New Roman" w:hAnsi="Times New Roman" w:cs="Times New Roman"/>
          <w:color w:val="000000"/>
          <w:sz w:val="22"/>
          <w:szCs w:val="22"/>
          <w:lang w:val="pt-BR"/>
        </w:rPr>
        <w:t>Apoiou eventos virtuais mostrando as contribuições das mulheres em STEM, inovação industrial e empreendedorismo com organizações acadêmicas da C</w:t>
      </w:r>
      <w:r w:rsidR="00C800E6">
        <w:rPr>
          <w:rFonts w:ascii="Times New Roman" w:hAnsi="Times New Roman" w:cs="Times New Roman"/>
          <w:color w:val="000000"/>
          <w:sz w:val="22"/>
          <w:szCs w:val="22"/>
          <w:lang w:val="pt-BR"/>
        </w:rPr>
        <w:t xml:space="preserve">adeira </w:t>
      </w:r>
      <w:r w:rsidRPr="00913ACD">
        <w:rPr>
          <w:rFonts w:ascii="Times New Roman" w:hAnsi="Times New Roman" w:cs="Times New Roman"/>
          <w:color w:val="000000"/>
          <w:sz w:val="22"/>
          <w:szCs w:val="22"/>
          <w:lang w:val="pt-BR"/>
        </w:rPr>
        <w:t>Regional Matilda sobre Mulheres em Engenharia nas Américas e da C</w:t>
      </w:r>
      <w:r w:rsidR="00C800E6">
        <w:rPr>
          <w:rFonts w:ascii="Times New Roman" w:hAnsi="Times New Roman" w:cs="Times New Roman"/>
          <w:color w:val="000000"/>
          <w:sz w:val="22"/>
          <w:szCs w:val="22"/>
          <w:lang w:val="pt-BR"/>
        </w:rPr>
        <w:t xml:space="preserve">adeira </w:t>
      </w:r>
      <w:r w:rsidRPr="00913ACD">
        <w:rPr>
          <w:rFonts w:ascii="Times New Roman" w:hAnsi="Times New Roman" w:cs="Times New Roman"/>
          <w:color w:val="000000"/>
          <w:sz w:val="22"/>
          <w:szCs w:val="22"/>
          <w:lang w:val="pt-BR"/>
        </w:rPr>
        <w:t xml:space="preserve">Regional da UNESCO para Mulheres, Ciência e Tecnologia na América Latina, com sede na Faculdade Latino-Americana de Ciências Sociais na Argentina. </w:t>
      </w:r>
    </w:p>
    <w:p w14:paraId="0C22CB8F" w14:textId="77777777" w:rsidR="00960F2C" w:rsidRPr="00913ACD" w:rsidRDefault="00960F2C" w:rsidP="00CB030B">
      <w:pPr>
        <w:rPr>
          <w:rFonts w:ascii="Times New Roman" w:hAnsi="Times New Roman" w:cs="Times New Roman"/>
          <w:color w:val="000000" w:themeColor="text1"/>
          <w:sz w:val="22"/>
          <w:szCs w:val="22"/>
          <w:lang w:val="pt-BR"/>
        </w:rPr>
      </w:pPr>
    </w:p>
    <w:p w14:paraId="1CD0E8E0" w14:textId="1E5BC2AE" w:rsidR="00960F2C" w:rsidRPr="00913ACD" w:rsidRDefault="007427DB" w:rsidP="00CB030B">
      <w:pPr>
        <w:jc w:val="both"/>
        <w:rPr>
          <w:rFonts w:ascii="Times New Roman" w:hAnsi="Times New Roman" w:cs="Times New Roman"/>
          <w:b/>
          <w:bCs/>
          <w:color w:val="000000" w:themeColor="text1"/>
          <w:sz w:val="22"/>
          <w:szCs w:val="22"/>
          <w:u w:val="single"/>
          <w:lang w:val="pt-BR"/>
        </w:rPr>
      </w:pPr>
      <w:r w:rsidRPr="00913ACD">
        <w:rPr>
          <w:rFonts w:ascii="Times New Roman" w:hAnsi="Times New Roman" w:cs="Times New Roman"/>
          <w:b/>
          <w:color w:val="000000" w:themeColor="text1"/>
          <w:sz w:val="22"/>
          <w:szCs w:val="22"/>
          <w:u w:val="single"/>
          <w:lang w:val="pt-BR"/>
        </w:rPr>
        <w:t>OBJETIVO</w:t>
      </w:r>
      <w:r w:rsidR="00ED78BF" w:rsidRPr="00913ACD">
        <w:rPr>
          <w:rFonts w:ascii="Times New Roman" w:hAnsi="Times New Roman" w:cs="Times New Roman"/>
          <w:b/>
          <w:color w:val="000000" w:themeColor="text1"/>
          <w:sz w:val="22"/>
          <w:szCs w:val="22"/>
          <w:u w:val="single"/>
          <w:lang w:val="pt-BR"/>
        </w:rPr>
        <w:t xml:space="preserve"> 1.4</w:t>
      </w:r>
    </w:p>
    <w:p w14:paraId="4ABE47BD" w14:textId="77777777" w:rsidR="0074320E" w:rsidRPr="00913ACD" w:rsidRDefault="0074320E" w:rsidP="00CB030B">
      <w:pPr>
        <w:jc w:val="both"/>
        <w:rPr>
          <w:rFonts w:ascii="Times New Roman" w:hAnsi="Times New Roman" w:cs="Times New Roman"/>
          <w:b/>
          <w:bCs/>
          <w:color w:val="000000" w:themeColor="text1"/>
          <w:sz w:val="22"/>
          <w:szCs w:val="22"/>
          <w:u w:val="single"/>
          <w:lang w:val="pt-BR"/>
        </w:rPr>
      </w:pPr>
    </w:p>
    <w:p w14:paraId="1284E94E" w14:textId="08D4889B" w:rsidR="00ED78BF" w:rsidRPr="00913ACD" w:rsidRDefault="00580226" w:rsidP="00CB030B">
      <w:pPr>
        <w:ind w:firstLine="720"/>
        <w:jc w:val="both"/>
        <w:rPr>
          <w:rFonts w:ascii="Times New Roman" w:hAnsi="Times New Roman" w:cs="Times New Roman"/>
          <w:color w:val="000000" w:themeColor="text1"/>
          <w:sz w:val="22"/>
          <w:szCs w:val="22"/>
          <w:lang w:val="pt-BR"/>
        </w:rPr>
      </w:pPr>
      <w:r w:rsidRPr="00913ACD">
        <w:rPr>
          <w:rFonts w:ascii="Times New Roman" w:hAnsi="Times New Roman" w:cs="Times New Roman"/>
          <w:sz w:val="22"/>
          <w:szCs w:val="22"/>
          <w:lang w:val="pt-BR"/>
        </w:rPr>
        <w:t>Apoiar os Estados membros no fortalecimento da capacidade institucional, de modo a favorecer a promoção de atividades produtivas sustentáveis nos setores de turismo e cultura</w:t>
      </w:r>
      <w:r w:rsidR="00ED78BF" w:rsidRPr="00913ACD">
        <w:rPr>
          <w:rFonts w:ascii="Times New Roman" w:hAnsi="Times New Roman" w:cs="Times New Roman"/>
          <w:color w:val="000000" w:themeColor="text1"/>
          <w:sz w:val="22"/>
          <w:szCs w:val="22"/>
          <w:lang w:val="pt-BR"/>
        </w:rPr>
        <w:t>.</w:t>
      </w:r>
    </w:p>
    <w:p w14:paraId="1E0979AB" w14:textId="77777777" w:rsidR="00960F2C" w:rsidRPr="00913ACD" w:rsidRDefault="00960F2C" w:rsidP="00CB030B">
      <w:pPr>
        <w:jc w:val="both"/>
        <w:rPr>
          <w:rFonts w:ascii="Times New Roman" w:hAnsi="Times New Roman" w:cs="Times New Roman"/>
          <w:color w:val="000000" w:themeColor="text1"/>
          <w:sz w:val="22"/>
          <w:szCs w:val="22"/>
          <w:lang w:val="pt-BR"/>
        </w:rPr>
      </w:pPr>
    </w:p>
    <w:p w14:paraId="15E5B089" w14:textId="52B6E669" w:rsidR="00ED78BF" w:rsidRPr="00913ACD" w:rsidRDefault="00ED78BF" w:rsidP="00CB030B">
      <w:pPr>
        <w:ind w:firstLine="720"/>
        <w:jc w:val="both"/>
        <w:rPr>
          <w:rFonts w:ascii="Times New Roman"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 xml:space="preserve">Cultura e </w:t>
      </w:r>
      <w:r w:rsidR="00580226" w:rsidRPr="00913ACD">
        <w:rPr>
          <w:rFonts w:ascii="Times New Roman" w:hAnsi="Times New Roman" w:cs="Times New Roman"/>
          <w:b/>
          <w:color w:val="000000" w:themeColor="text1"/>
          <w:sz w:val="22"/>
          <w:szCs w:val="22"/>
          <w:lang w:val="pt-BR"/>
        </w:rPr>
        <w:t>t</w:t>
      </w:r>
      <w:r w:rsidRPr="00913ACD">
        <w:rPr>
          <w:rFonts w:ascii="Times New Roman" w:hAnsi="Times New Roman" w:cs="Times New Roman"/>
          <w:b/>
          <w:color w:val="000000" w:themeColor="text1"/>
          <w:sz w:val="22"/>
          <w:szCs w:val="22"/>
          <w:lang w:val="pt-BR"/>
        </w:rPr>
        <w:t>urismo</w:t>
      </w:r>
    </w:p>
    <w:p w14:paraId="27B2431D" w14:textId="77777777" w:rsidR="00ED78BF" w:rsidRPr="00913ACD" w:rsidRDefault="00ED78BF" w:rsidP="00CB030B">
      <w:pPr>
        <w:ind w:firstLine="720"/>
        <w:jc w:val="both"/>
        <w:rPr>
          <w:rFonts w:ascii="Times New Roman" w:hAnsi="Times New Roman" w:cs="Times New Roman"/>
          <w:b/>
          <w:bCs/>
          <w:color w:val="000000" w:themeColor="text1"/>
          <w:sz w:val="22"/>
          <w:szCs w:val="22"/>
          <w:lang w:val="pt-BR"/>
        </w:rPr>
      </w:pPr>
      <w:bookmarkStart w:id="2" w:name="_Toc353953882"/>
    </w:p>
    <w:p w14:paraId="7CC5685D" w14:textId="3AA9BB13" w:rsidR="00ED78BF" w:rsidRPr="00913ACD" w:rsidRDefault="00ED78BF" w:rsidP="00CB030B">
      <w:pPr>
        <w:pStyle w:val="ListParagraph"/>
        <w:numPr>
          <w:ilvl w:val="0"/>
          <w:numId w:val="11"/>
        </w:numPr>
        <w:ind w:left="1440" w:hanging="720"/>
        <w:jc w:val="both"/>
        <w:rPr>
          <w:color w:val="000000" w:themeColor="text1"/>
          <w:sz w:val="22"/>
          <w:szCs w:val="22"/>
          <w:lang w:val="pt-BR"/>
        </w:rPr>
      </w:pPr>
      <w:r w:rsidRPr="00913ACD">
        <w:rPr>
          <w:color w:val="000000" w:themeColor="text1"/>
          <w:sz w:val="22"/>
          <w:szCs w:val="22"/>
          <w:lang w:val="pt-BR"/>
        </w:rPr>
        <w:t>Organizou e executou com sucesso a Reunião de Planejamento das Autoridades do Processo Ministerial do Turismo</w:t>
      </w:r>
      <w:r w:rsidR="001F023F" w:rsidRPr="00913ACD">
        <w:rPr>
          <w:color w:val="000000" w:themeColor="text1"/>
          <w:sz w:val="22"/>
          <w:szCs w:val="22"/>
          <w:lang w:val="pt-BR"/>
        </w:rPr>
        <w:t>,</w:t>
      </w:r>
      <w:r w:rsidRPr="00913ACD">
        <w:rPr>
          <w:color w:val="000000" w:themeColor="text1"/>
          <w:sz w:val="22"/>
          <w:szCs w:val="22"/>
          <w:lang w:val="pt-BR"/>
        </w:rPr>
        <w:t xml:space="preserve"> realizada virtualmente </w:t>
      </w:r>
      <w:r w:rsidR="001F023F" w:rsidRPr="00913ACD">
        <w:rPr>
          <w:color w:val="000000" w:themeColor="text1"/>
          <w:sz w:val="22"/>
          <w:szCs w:val="22"/>
          <w:lang w:val="pt-BR"/>
        </w:rPr>
        <w:t xml:space="preserve">em </w:t>
      </w:r>
      <w:r w:rsidRPr="00913ACD">
        <w:rPr>
          <w:color w:val="000000" w:themeColor="text1"/>
          <w:sz w:val="22"/>
          <w:szCs w:val="22"/>
          <w:lang w:val="pt-BR"/>
        </w:rPr>
        <w:t xml:space="preserve">18 de maio de 2022. As Autoridades da Reunião de Planejamento concordaram com o projeto de Plano de Trabalho da Comissão Interamericana de Turismo (CITUR) 2022-2024, que foi formalmente aprovado pela Comissão de Políticas </w:t>
      </w:r>
      <w:r w:rsidR="00E35989" w:rsidRPr="00913ACD">
        <w:rPr>
          <w:color w:val="000000" w:themeColor="text1"/>
          <w:sz w:val="22"/>
          <w:szCs w:val="22"/>
          <w:lang w:val="pt-BR"/>
        </w:rPr>
        <w:t>de</w:t>
      </w:r>
      <w:r w:rsidRPr="00913ACD">
        <w:rPr>
          <w:color w:val="000000" w:themeColor="text1"/>
          <w:sz w:val="22"/>
          <w:szCs w:val="22"/>
          <w:lang w:val="pt-BR"/>
        </w:rPr>
        <w:t xml:space="preserve"> Cooperação Solidária para o Desenvolvimento do CIDI em sua reunião </w:t>
      </w:r>
      <w:r w:rsidR="007F10CE">
        <w:rPr>
          <w:color w:val="000000" w:themeColor="text1"/>
          <w:sz w:val="22"/>
          <w:szCs w:val="22"/>
          <w:lang w:val="pt-BR"/>
        </w:rPr>
        <w:t>de</w:t>
      </w:r>
      <w:r w:rsidRPr="00913ACD">
        <w:rPr>
          <w:color w:val="000000" w:themeColor="text1"/>
          <w:sz w:val="22"/>
          <w:szCs w:val="22"/>
          <w:lang w:val="pt-BR"/>
        </w:rPr>
        <w:t xml:space="preserve"> julho de 2022. O </w:t>
      </w:r>
      <w:r w:rsidR="001F3D5C">
        <w:rPr>
          <w:color w:val="000000" w:themeColor="text1"/>
          <w:sz w:val="22"/>
          <w:szCs w:val="22"/>
          <w:lang w:val="pt-BR"/>
        </w:rPr>
        <w:t>p</w:t>
      </w:r>
      <w:r w:rsidRPr="00913ACD">
        <w:rPr>
          <w:color w:val="000000" w:themeColor="text1"/>
          <w:sz w:val="22"/>
          <w:szCs w:val="22"/>
          <w:lang w:val="pt-BR"/>
        </w:rPr>
        <w:t xml:space="preserve">lano estabelece medidas concretas para </w:t>
      </w:r>
      <w:r w:rsidR="0004512D" w:rsidRPr="00913ACD">
        <w:rPr>
          <w:color w:val="000000" w:themeColor="text1"/>
          <w:sz w:val="22"/>
          <w:szCs w:val="22"/>
          <w:lang w:val="pt-BR"/>
        </w:rPr>
        <w:t>o cumprimento d</w:t>
      </w:r>
      <w:r w:rsidRPr="00913ACD">
        <w:rPr>
          <w:color w:val="000000" w:themeColor="text1"/>
          <w:sz w:val="22"/>
          <w:szCs w:val="22"/>
          <w:lang w:val="pt-BR"/>
        </w:rPr>
        <w:t xml:space="preserve">os mandatos e compromissos da Declaração do Paraguai e incorpora essas ações no âmbito dos planos de ação dos quatro grupos de trabalho especializados da CITUR estabelecidos em 2020. </w:t>
      </w:r>
    </w:p>
    <w:p w14:paraId="3C41C284" w14:textId="77777777" w:rsidR="00ED78BF" w:rsidRPr="00913ACD" w:rsidRDefault="00ED78BF" w:rsidP="00CB030B">
      <w:pPr>
        <w:pStyle w:val="ListParagraph"/>
        <w:ind w:left="1440"/>
        <w:jc w:val="both"/>
        <w:rPr>
          <w:color w:val="000000" w:themeColor="text1"/>
          <w:sz w:val="22"/>
          <w:szCs w:val="22"/>
          <w:lang w:val="pt-BR"/>
        </w:rPr>
      </w:pPr>
    </w:p>
    <w:p w14:paraId="41D01473" w14:textId="249DA5C9" w:rsidR="00ED78BF" w:rsidRPr="00913ACD" w:rsidRDefault="00A05F17" w:rsidP="00CB030B">
      <w:pPr>
        <w:pStyle w:val="ListParagraph"/>
        <w:numPr>
          <w:ilvl w:val="0"/>
          <w:numId w:val="11"/>
        </w:numPr>
        <w:ind w:left="1440" w:hanging="720"/>
        <w:jc w:val="both"/>
        <w:rPr>
          <w:sz w:val="22"/>
          <w:szCs w:val="22"/>
          <w:lang w:val="pt-BR"/>
        </w:rPr>
      </w:pPr>
      <w:r w:rsidRPr="00913ACD">
        <w:rPr>
          <w:color w:val="000000" w:themeColor="text1"/>
          <w:sz w:val="22"/>
          <w:szCs w:val="22"/>
          <w:lang w:val="pt-BR"/>
        </w:rPr>
        <w:t xml:space="preserve">Fez progressos significativos na </w:t>
      </w:r>
      <w:bookmarkStart w:id="3" w:name="_Hlk93862266"/>
      <w:r w:rsidR="00447799" w:rsidRPr="00913ACD">
        <w:rPr>
          <w:sz w:val="22"/>
          <w:szCs w:val="22"/>
          <w:lang w:val="pt-BR"/>
        </w:rPr>
        <w:t>consolidação d</w:t>
      </w:r>
      <w:r w:rsidR="00962582">
        <w:rPr>
          <w:sz w:val="22"/>
          <w:szCs w:val="22"/>
          <w:lang w:val="pt-BR"/>
        </w:rPr>
        <w:t>a</w:t>
      </w:r>
      <w:r w:rsidR="00447799" w:rsidRPr="00913ACD">
        <w:rPr>
          <w:sz w:val="22"/>
          <w:szCs w:val="22"/>
          <w:lang w:val="pt-BR"/>
        </w:rPr>
        <w:t xml:space="preserve"> ITCA, particularmente em relação ao crescimento da colaboração e ao estabelecimento do Repositório Digital </w:t>
      </w:r>
      <w:r w:rsidR="00E00E66">
        <w:rPr>
          <w:sz w:val="22"/>
          <w:szCs w:val="22"/>
          <w:lang w:val="pt-BR"/>
        </w:rPr>
        <w:t xml:space="preserve">da </w:t>
      </w:r>
      <w:r w:rsidR="00447799" w:rsidRPr="00913ACD">
        <w:rPr>
          <w:sz w:val="22"/>
          <w:szCs w:val="22"/>
          <w:lang w:val="pt-BR"/>
        </w:rPr>
        <w:t xml:space="preserve">ITCA. </w:t>
      </w:r>
      <w:r w:rsidR="00252B3B" w:rsidRPr="00913ACD">
        <w:rPr>
          <w:sz w:val="22"/>
          <w:szCs w:val="22"/>
          <w:lang w:val="pt-BR"/>
        </w:rPr>
        <w:t>Ao longo</w:t>
      </w:r>
      <w:r w:rsidR="006A51E9" w:rsidRPr="00913ACD">
        <w:rPr>
          <w:sz w:val="22"/>
          <w:szCs w:val="22"/>
          <w:lang w:val="pt-BR"/>
        </w:rPr>
        <w:t xml:space="preserve"> d</w:t>
      </w:r>
      <w:r w:rsidR="00447799" w:rsidRPr="00913ACD">
        <w:rPr>
          <w:sz w:val="22"/>
          <w:szCs w:val="22"/>
          <w:lang w:val="pt-BR"/>
        </w:rPr>
        <w:t>o ano</w:t>
      </w:r>
      <w:bookmarkEnd w:id="3"/>
      <w:r w:rsidR="00ED78BF" w:rsidRPr="00913ACD">
        <w:rPr>
          <w:sz w:val="22"/>
          <w:szCs w:val="22"/>
          <w:lang w:val="pt-BR"/>
        </w:rPr>
        <w:t xml:space="preserve">, a adesão ao Collaborative cresceu mais de </w:t>
      </w:r>
      <w:r w:rsidR="006A51E9" w:rsidRPr="00913ACD">
        <w:rPr>
          <w:sz w:val="22"/>
          <w:szCs w:val="22"/>
          <w:lang w:val="pt-BR"/>
        </w:rPr>
        <w:t>20</w:t>
      </w:r>
      <w:r w:rsidR="00C4540A" w:rsidRPr="00913ACD">
        <w:rPr>
          <w:sz w:val="22"/>
          <w:szCs w:val="22"/>
          <w:lang w:val="pt-BR"/>
        </w:rPr>
        <w:t>%</w:t>
      </w:r>
      <w:r w:rsidR="00ED78BF" w:rsidRPr="00913ACD">
        <w:rPr>
          <w:sz w:val="22"/>
          <w:szCs w:val="22"/>
          <w:lang w:val="pt-BR"/>
        </w:rPr>
        <w:t xml:space="preserve">. Uma </w:t>
      </w:r>
      <w:hyperlink r:id="rId17" w:history="1">
        <w:r w:rsidR="00ED78BF" w:rsidRPr="00913ACD">
          <w:rPr>
            <w:rStyle w:val="Hyperlink"/>
            <w:sz w:val="22"/>
            <w:szCs w:val="22"/>
            <w:lang w:val="pt-BR"/>
          </w:rPr>
          <w:t>chamad</w:t>
        </w:r>
        <w:r w:rsidR="004807BB" w:rsidRPr="00913ACD">
          <w:rPr>
            <w:rStyle w:val="Hyperlink"/>
            <w:sz w:val="22"/>
            <w:szCs w:val="22"/>
            <w:lang w:val="pt-BR"/>
          </w:rPr>
          <w:t>a de mobilização de recursos</w:t>
        </w:r>
      </w:hyperlink>
      <w:r w:rsidRPr="00913ACD">
        <w:rPr>
          <w:sz w:val="22"/>
          <w:szCs w:val="22"/>
          <w:lang w:val="pt-BR"/>
        </w:rPr>
        <w:t xml:space="preserve"> para </w:t>
      </w:r>
      <w:r w:rsidR="00CF5D31" w:rsidRPr="00913ACD">
        <w:rPr>
          <w:sz w:val="22"/>
          <w:szCs w:val="22"/>
          <w:lang w:val="pt-BR"/>
        </w:rPr>
        <w:t xml:space="preserve">o </w:t>
      </w:r>
      <w:r w:rsidRPr="00913ACD">
        <w:rPr>
          <w:sz w:val="22"/>
          <w:szCs w:val="22"/>
          <w:lang w:val="pt-BR"/>
        </w:rPr>
        <w:t>estabelec</w:t>
      </w:r>
      <w:r w:rsidR="00CF5D31" w:rsidRPr="00913ACD">
        <w:rPr>
          <w:sz w:val="22"/>
          <w:szCs w:val="22"/>
          <w:lang w:val="pt-BR"/>
        </w:rPr>
        <w:t>imento d</w:t>
      </w:r>
      <w:r w:rsidRPr="00913ACD">
        <w:rPr>
          <w:sz w:val="22"/>
          <w:szCs w:val="22"/>
          <w:lang w:val="pt-BR"/>
        </w:rPr>
        <w:t>o</w:t>
      </w:r>
      <w:r w:rsidR="00C51D8E" w:rsidRPr="00913ACD">
        <w:rPr>
          <w:sz w:val="22"/>
          <w:szCs w:val="22"/>
          <w:lang w:val="pt-BR"/>
        </w:rPr>
        <w:t xml:space="preserve"> </w:t>
      </w:r>
      <w:r w:rsidR="00ED78BF" w:rsidRPr="00913ACD">
        <w:rPr>
          <w:sz w:val="22"/>
          <w:szCs w:val="22"/>
          <w:lang w:val="pt-BR"/>
        </w:rPr>
        <w:t xml:space="preserve">Repositório Digital como um Portal de Recursos de Turismo Indígena, com </w:t>
      </w:r>
      <w:r w:rsidR="009C4DD4">
        <w:rPr>
          <w:sz w:val="22"/>
          <w:szCs w:val="22"/>
          <w:lang w:val="pt-BR"/>
        </w:rPr>
        <w:t>conteúdo</w:t>
      </w:r>
      <w:r w:rsidR="00ED78BF" w:rsidRPr="00913ACD">
        <w:rPr>
          <w:sz w:val="22"/>
          <w:szCs w:val="22"/>
          <w:lang w:val="pt-BR"/>
        </w:rPr>
        <w:t xml:space="preserve"> abrangente e de fácil acesso </w:t>
      </w:r>
      <w:r w:rsidR="00CF5D31" w:rsidRPr="00913ACD">
        <w:rPr>
          <w:sz w:val="22"/>
          <w:szCs w:val="22"/>
          <w:lang w:val="pt-BR"/>
        </w:rPr>
        <w:t>a</w:t>
      </w:r>
      <w:r w:rsidR="00ED78BF" w:rsidRPr="00913ACD">
        <w:rPr>
          <w:sz w:val="22"/>
          <w:szCs w:val="22"/>
          <w:lang w:val="pt-BR"/>
        </w:rPr>
        <w:t xml:space="preserve"> ferramentas e recursos para ajudar os povos indígenas, suas partes interessadas e parceiros a desenvolver e gerenciar melhor o turismo, foi lançada em agosto de 2022 e encerrada em 16 de dezembro de 2022. </w:t>
      </w:r>
    </w:p>
    <w:p w14:paraId="44B3A607" w14:textId="77777777" w:rsidR="00447799" w:rsidRPr="00913ACD" w:rsidRDefault="00447799" w:rsidP="00CB030B">
      <w:pPr>
        <w:ind w:left="1440" w:hanging="720"/>
        <w:jc w:val="both"/>
        <w:rPr>
          <w:rFonts w:ascii="Times New Roman" w:hAnsi="Times New Roman" w:cs="Times New Roman"/>
          <w:sz w:val="22"/>
          <w:szCs w:val="22"/>
          <w:lang w:val="pt-BR"/>
        </w:rPr>
      </w:pPr>
    </w:p>
    <w:p w14:paraId="233FB4FA" w14:textId="324542B1" w:rsidR="00ED78BF" w:rsidRPr="00913ACD" w:rsidRDefault="00A05F17" w:rsidP="00CB030B">
      <w:pPr>
        <w:pStyle w:val="ListParagraph"/>
        <w:numPr>
          <w:ilvl w:val="0"/>
          <w:numId w:val="11"/>
        </w:numPr>
        <w:ind w:left="1440" w:hanging="720"/>
        <w:jc w:val="both"/>
        <w:rPr>
          <w:color w:val="000000" w:themeColor="text1"/>
          <w:sz w:val="22"/>
          <w:szCs w:val="22"/>
          <w:lang w:val="pt-BR"/>
        </w:rPr>
      </w:pPr>
      <w:r w:rsidRPr="00913ACD">
        <w:rPr>
          <w:color w:val="000000" w:themeColor="text1"/>
          <w:sz w:val="22"/>
          <w:szCs w:val="22"/>
          <w:lang w:val="pt-BR"/>
        </w:rPr>
        <w:t>Conclu</w:t>
      </w:r>
      <w:r w:rsidR="009C0857" w:rsidRPr="00913ACD">
        <w:rPr>
          <w:color w:val="000000" w:themeColor="text1"/>
          <w:sz w:val="22"/>
          <w:szCs w:val="22"/>
          <w:lang w:val="pt-BR"/>
        </w:rPr>
        <w:t>iu</w:t>
      </w:r>
      <w:r w:rsidR="009F0170">
        <w:rPr>
          <w:color w:val="000000" w:themeColor="text1"/>
          <w:sz w:val="22"/>
          <w:szCs w:val="22"/>
          <w:lang w:val="pt-BR"/>
        </w:rPr>
        <w:t xml:space="preserve"> </w:t>
      </w:r>
      <w:r w:rsidR="00180BE9">
        <w:rPr>
          <w:color w:val="000000" w:themeColor="text1"/>
          <w:sz w:val="22"/>
          <w:szCs w:val="22"/>
          <w:lang w:val="pt-BR"/>
        </w:rPr>
        <w:t>o projeto</w:t>
      </w:r>
      <w:r w:rsidR="009C0857" w:rsidRPr="00913ACD">
        <w:rPr>
          <w:color w:val="000000" w:themeColor="text1"/>
          <w:sz w:val="22"/>
          <w:szCs w:val="22"/>
          <w:lang w:val="pt-BR"/>
        </w:rPr>
        <w:t xml:space="preserve"> </w:t>
      </w:r>
      <w:r w:rsidRPr="00913ACD">
        <w:rPr>
          <w:b/>
          <w:bCs/>
          <w:color w:val="000000" w:themeColor="text1"/>
          <w:sz w:val="22"/>
          <w:szCs w:val="22"/>
          <w:lang w:val="pt-BR"/>
        </w:rPr>
        <w:t>Construindo Resiliência d</w:t>
      </w:r>
      <w:r w:rsidR="009D0FC2" w:rsidRPr="00913ACD">
        <w:rPr>
          <w:b/>
          <w:bCs/>
          <w:color w:val="000000" w:themeColor="text1"/>
          <w:sz w:val="22"/>
          <w:szCs w:val="22"/>
          <w:lang w:val="pt-BR"/>
        </w:rPr>
        <w:t>as</w:t>
      </w:r>
      <w:r w:rsidRPr="00913ACD">
        <w:rPr>
          <w:b/>
          <w:bCs/>
          <w:color w:val="000000" w:themeColor="text1"/>
          <w:sz w:val="22"/>
          <w:szCs w:val="22"/>
          <w:lang w:val="pt-BR"/>
        </w:rPr>
        <w:t xml:space="preserve"> Pequenas Empresas de Turismo no Caribe</w:t>
      </w:r>
      <w:r w:rsidR="009D0FC2" w:rsidRPr="00913ACD">
        <w:rPr>
          <w:b/>
          <w:bCs/>
          <w:color w:val="000000" w:themeColor="text1"/>
          <w:sz w:val="22"/>
          <w:szCs w:val="22"/>
          <w:lang w:val="pt-BR"/>
        </w:rPr>
        <w:t xml:space="preserve"> a</w:t>
      </w:r>
      <w:r w:rsidR="00973824" w:rsidRPr="00913ACD">
        <w:rPr>
          <w:b/>
          <w:bCs/>
          <w:color w:val="000000" w:themeColor="text1"/>
          <w:sz w:val="22"/>
          <w:szCs w:val="22"/>
          <w:lang w:val="pt-BR"/>
        </w:rPr>
        <w:t>os</w:t>
      </w:r>
      <w:r w:rsidR="009D0FC2" w:rsidRPr="00913ACD">
        <w:rPr>
          <w:b/>
          <w:bCs/>
          <w:color w:val="000000" w:themeColor="text1"/>
          <w:sz w:val="22"/>
          <w:szCs w:val="22"/>
          <w:lang w:val="pt-BR"/>
        </w:rPr>
        <w:t xml:space="preserve"> Desastres</w:t>
      </w:r>
      <w:r w:rsidR="00C51D8E" w:rsidRPr="00913ACD">
        <w:rPr>
          <w:b/>
          <w:bCs/>
          <w:color w:val="000000" w:themeColor="text1"/>
          <w:sz w:val="22"/>
          <w:szCs w:val="22"/>
          <w:lang w:val="pt-BR"/>
        </w:rPr>
        <w:t xml:space="preserve"> </w:t>
      </w:r>
      <w:r w:rsidRPr="00913ACD">
        <w:rPr>
          <w:sz w:val="22"/>
          <w:szCs w:val="22"/>
          <w:lang w:val="pt-BR"/>
        </w:rPr>
        <w:t xml:space="preserve">em </w:t>
      </w:r>
      <w:r w:rsidRPr="00913ACD">
        <w:rPr>
          <w:color w:val="000000" w:themeColor="text1"/>
          <w:sz w:val="22"/>
          <w:szCs w:val="22"/>
          <w:lang w:val="pt-BR"/>
        </w:rPr>
        <w:t>colaboração com o DSD em 30 de setembro de 2022. A principal atividade restante para 2022 – o Fórum de Políticas de Alto Nível – foi organizada com sucesso</w:t>
      </w:r>
      <w:r w:rsidR="00133153" w:rsidRPr="00913ACD">
        <w:rPr>
          <w:color w:val="000000" w:themeColor="text1"/>
          <w:sz w:val="22"/>
          <w:szCs w:val="22"/>
          <w:lang w:val="pt-BR"/>
        </w:rPr>
        <w:t>,</w:t>
      </w:r>
      <w:r w:rsidRPr="00913ACD">
        <w:rPr>
          <w:color w:val="000000" w:themeColor="text1"/>
          <w:sz w:val="22"/>
          <w:szCs w:val="22"/>
          <w:lang w:val="pt-BR"/>
        </w:rPr>
        <w:t xml:space="preserve"> em colaboração com o Ministério do Turismo da Jamaica e a Associação de Hotéis e Turismo do Caribe, e </w:t>
      </w:r>
      <w:r w:rsidR="003A3FB1">
        <w:rPr>
          <w:color w:val="000000" w:themeColor="text1"/>
          <w:sz w:val="22"/>
          <w:szCs w:val="22"/>
          <w:lang w:val="pt-BR"/>
        </w:rPr>
        <w:t>levada a cab</w:t>
      </w:r>
      <w:r w:rsidR="00180BE9">
        <w:rPr>
          <w:color w:val="000000" w:themeColor="text1"/>
          <w:sz w:val="22"/>
          <w:szCs w:val="22"/>
          <w:lang w:val="pt-BR"/>
        </w:rPr>
        <w:t xml:space="preserve">o </w:t>
      </w:r>
      <w:r w:rsidRPr="00913ACD">
        <w:rPr>
          <w:color w:val="000000" w:themeColor="text1"/>
          <w:sz w:val="22"/>
          <w:szCs w:val="22"/>
          <w:lang w:val="pt-BR"/>
        </w:rPr>
        <w:t xml:space="preserve">em Montego Bay, Jamaica, </w:t>
      </w:r>
      <w:r w:rsidR="00133153" w:rsidRPr="00913ACD">
        <w:rPr>
          <w:color w:val="000000" w:themeColor="text1"/>
          <w:sz w:val="22"/>
          <w:szCs w:val="22"/>
          <w:lang w:val="pt-BR"/>
        </w:rPr>
        <w:t>em</w:t>
      </w:r>
      <w:r w:rsidRPr="00913ACD">
        <w:rPr>
          <w:color w:val="000000" w:themeColor="text1"/>
          <w:sz w:val="22"/>
          <w:szCs w:val="22"/>
          <w:lang w:val="pt-BR"/>
        </w:rPr>
        <w:t xml:space="preserve"> 20 </w:t>
      </w:r>
      <w:r w:rsidR="00133153" w:rsidRPr="00913ACD">
        <w:rPr>
          <w:color w:val="000000" w:themeColor="text1"/>
          <w:sz w:val="22"/>
          <w:szCs w:val="22"/>
          <w:lang w:val="pt-BR"/>
        </w:rPr>
        <w:t>e</w:t>
      </w:r>
      <w:r w:rsidRPr="00913ACD">
        <w:rPr>
          <w:color w:val="000000" w:themeColor="text1"/>
          <w:sz w:val="22"/>
          <w:szCs w:val="22"/>
          <w:lang w:val="pt-BR"/>
        </w:rPr>
        <w:t xml:space="preserve"> 21 de julho de 2022. O fórum regist</w:t>
      </w:r>
      <w:r w:rsidR="0014318F" w:rsidRPr="00913ACD">
        <w:rPr>
          <w:color w:val="000000" w:themeColor="text1"/>
          <w:sz w:val="22"/>
          <w:szCs w:val="22"/>
          <w:lang w:val="pt-BR"/>
        </w:rPr>
        <w:t>r</w:t>
      </w:r>
      <w:r w:rsidRPr="00913ACD">
        <w:rPr>
          <w:color w:val="000000" w:themeColor="text1"/>
          <w:sz w:val="22"/>
          <w:szCs w:val="22"/>
          <w:lang w:val="pt-BR"/>
        </w:rPr>
        <w:t xml:space="preserve">ou uma elevada taxa de participação de delegados presenciais (70) e participantes remotos (159). As conclusões e recomendações do projeto foram distribuídas aos países beneficiários </w:t>
      </w:r>
      <w:r w:rsidR="00D51F09" w:rsidRPr="00913ACD">
        <w:rPr>
          <w:color w:val="000000" w:themeColor="text1"/>
          <w:sz w:val="22"/>
          <w:szCs w:val="22"/>
          <w:lang w:val="pt-BR"/>
        </w:rPr>
        <w:t>pelos</w:t>
      </w:r>
      <w:r w:rsidRPr="00913ACD">
        <w:rPr>
          <w:color w:val="000000" w:themeColor="text1"/>
          <w:sz w:val="22"/>
          <w:szCs w:val="22"/>
          <w:lang w:val="pt-BR"/>
        </w:rPr>
        <w:t xml:space="preserve"> canais oficiais em 18 de novembro de 2022.</w:t>
      </w:r>
    </w:p>
    <w:p w14:paraId="5E0EAAB1" w14:textId="77777777" w:rsidR="00ED78BF" w:rsidRPr="00913ACD" w:rsidRDefault="00ED78BF" w:rsidP="00CB030B">
      <w:pPr>
        <w:ind w:left="1440" w:hanging="720"/>
        <w:jc w:val="both"/>
        <w:rPr>
          <w:rFonts w:ascii="Times New Roman" w:hAnsi="Times New Roman" w:cs="Times New Roman"/>
          <w:color w:val="000000" w:themeColor="text1"/>
          <w:sz w:val="22"/>
          <w:szCs w:val="22"/>
          <w:lang w:val="pt-BR"/>
        </w:rPr>
      </w:pPr>
    </w:p>
    <w:p w14:paraId="73B73A44" w14:textId="4F1CAB8C" w:rsidR="00ED78BF" w:rsidRPr="00913ACD" w:rsidRDefault="00ED78BF" w:rsidP="00CB030B">
      <w:pPr>
        <w:pStyle w:val="ListParagraph"/>
        <w:numPr>
          <w:ilvl w:val="0"/>
          <w:numId w:val="11"/>
        </w:numPr>
        <w:ind w:left="1440" w:hanging="720"/>
        <w:jc w:val="both"/>
        <w:rPr>
          <w:color w:val="000000" w:themeColor="text1"/>
          <w:sz w:val="22"/>
          <w:szCs w:val="22"/>
          <w:lang w:val="pt-BR"/>
        </w:rPr>
      </w:pPr>
      <w:r w:rsidRPr="00913ACD">
        <w:rPr>
          <w:color w:val="000000" w:themeColor="text1"/>
          <w:sz w:val="22"/>
          <w:szCs w:val="22"/>
          <w:lang w:val="pt-BR"/>
        </w:rPr>
        <w:t xml:space="preserve">Organizou a Nona Reunião Interamericana de Ministros da Cultura e </w:t>
      </w:r>
      <w:r w:rsidR="003A5BB0">
        <w:rPr>
          <w:color w:val="000000" w:themeColor="text1"/>
          <w:sz w:val="22"/>
          <w:szCs w:val="22"/>
          <w:lang w:val="pt-BR"/>
        </w:rPr>
        <w:t xml:space="preserve">de </w:t>
      </w:r>
      <w:r w:rsidRPr="00913ACD">
        <w:rPr>
          <w:color w:val="000000" w:themeColor="text1"/>
          <w:sz w:val="22"/>
          <w:szCs w:val="22"/>
          <w:lang w:val="pt-BR"/>
        </w:rPr>
        <w:t xml:space="preserve">Altas Autoridades </w:t>
      </w:r>
      <w:r w:rsidR="003A5BB0">
        <w:rPr>
          <w:color w:val="000000" w:themeColor="text1"/>
          <w:sz w:val="22"/>
          <w:szCs w:val="22"/>
          <w:lang w:val="pt-BR"/>
        </w:rPr>
        <w:t>da Cultura</w:t>
      </w:r>
      <w:r w:rsidRPr="00913ACD">
        <w:rPr>
          <w:color w:val="000000" w:themeColor="text1"/>
          <w:sz w:val="22"/>
          <w:szCs w:val="22"/>
          <w:lang w:val="pt-BR"/>
        </w:rPr>
        <w:t xml:space="preserve">, realizada </w:t>
      </w:r>
      <w:r w:rsidR="00D51F09" w:rsidRPr="00913ACD">
        <w:rPr>
          <w:color w:val="000000" w:themeColor="text1"/>
          <w:sz w:val="22"/>
          <w:szCs w:val="22"/>
          <w:lang w:val="pt-BR"/>
        </w:rPr>
        <w:t>em</w:t>
      </w:r>
      <w:r w:rsidRPr="00913ACD">
        <w:rPr>
          <w:color w:val="000000" w:themeColor="text1"/>
          <w:sz w:val="22"/>
          <w:szCs w:val="22"/>
          <w:lang w:val="pt-BR"/>
        </w:rPr>
        <w:t xml:space="preserve"> 27 </w:t>
      </w:r>
      <w:r w:rsidR="00D51F09" w:rsidRPr="00913ACD">
        <w:rPr>
          <w:color w:val="000000" w:themeColor="text1"/>
          <w:sz w:val="22"/>
          <w:szCs w:val="22"/>
          <w:lang w:val="pt-BR"/>
        </w:rPr>
        <w:t>e</w:t>
      </w:r>
      <w:r w:rsidRPr="00913ACD">
        <w:rPr>
          <w:color w:val="000000" w:themeColor="text1"/>
          <w:sz w:val="22"/>
          <w:szCs w:val="22"/>
          <w:lang w:val="pt-BR"/>
        </w:rPr>
        <w:t xml:space="preserve"> 28 de outubro de 2022, que a</w:t>
      </w:r>
      <w:r w:rsidR="00A100FA" w:rsidRPr="00913ACD">
        <w:rPr>
          <w:color w:val="000000" w:themeColor="text1"/>
          <w:sz w:val="22"/>
          <w:szCs w:val="22"/>
          <w:lang w:val="pt-BR"/>
        </w:rPr>
        <w:t xml:space="preserve">provou </w:t>
      </w:r>
      <w:r w:rsidRPr="00913ACD">
        <w:rPr>
          <w:color w:val="000000" w:themeColor="text1"/>
          <w:sz w:val="22"/>
          <w:szCs w:val="22"/>
          <w:lang w:val="pt-BR"/>
        </w:rPr>
        <w:t xml:space="preserve">a </w:t>
      </w:r>
      <w:r w:rsidRPr="004E6E59">
        <w:rPr>
          <w:b/>
          <w:bCs/>
          <w:color w:val="000000" w:themeColor="text1"/>
          <w:sz w:val="22"/>
          <w:szCs w:val="22"/>
          <w:lang w:val="pt-BR"/>
        </w:rPr>
        <w:t>Declaração</w:t>
      </w:r>
      <w:r w:rsidRPr="00913ACD">
        <w:rPr>
          <w:color w:val="000000" w:themeColor="text1"/>
          <w:sz w:val="22"/>
          <w:szCs w:val="22"/>
          <w:lang w:val="pt-BR"/>
        </w:rPr>
        <w:t xml:space="preserve"> e o </w:t>
      </w:r>
      <w:r w:rsidRPr="00913ACD">
        <w:rPr>
          <w:b/>
          <w:bCs/>
          <w:color w:val="000000" w:themeColor="text1"/>
          <w:sz w:val="22"/>
          <w:szCs w:val="22"/>
          <w:lang w:val="pt-BR"/>
        </w:rPr>
        <w:t xml:space="preserve">Plano de Ação de Antígua Guatemala </w:t>
      </w:r>
      <w:r w:rsidRPr="00913ACD">
        <w:rPr>
          <w:color w:val="000000" w:themeColor="text1"/>
          <w:sz w:val="22"/>
          <w:szCs w:val="22"/>
          <w:lang w:val="pt-BR"/>
        </w:rPr>
        <w:t xml:space="preserve">sobre o tema da reunião </w:t>
      </w:r>
      <w:r w:rsidR="007800A2" w:rsidRPr="00913ACD">
        <w:rPr>
          <w:color w:val="000000" w:themeColor="text1"/>
          <w:sz w:val="22"/>
          <w:szCs w:val="22"/>
          <w:lang w:val="pt-BR"/>
        </w:rPr>
        <w:t>“</w:t>
      </w:r>
      <w:r w:rsidRPr="00913ACD">
        <w:rPr>
          <w:color w:val="000000" w:themeColor="text1"/>
          <w:sz w:val="22"/>
          <w:szCs w:val="22"/>
          <w:lang w:val="pt-BR"/>
        </w:rPr>
        <w:t xml:space="preserve">Tecnologia, criatividade e inovação como oportunidade para o desenvolvimento e </w:t>
      </w:r>
      <w:r w:rsidR="00B540E6">
        <w:rPr>
          <w:color w:val="000000" w:themeColor="text1"/>
          <w:sz w:val="22"/>
          <w:szCs w:val="22"/>
          <w:lang w:val="pt-BR"/>
        </w:rPr>
        <w:t xml:space="preserve">o </w:t>
      </w:r>
      <w:r w:rsidRPr="00913ACD">
        <w:rPr>
          <w:color w:val="000000" w:themeColor="text1"/>
          <w:sz w:val="22"/>
          <w:szCs w:val="22"/>
          <w:lang w:val="pt-BR"/>
        </w:rPr>
        <w:t>fortalecimento da cultura</w:t>
      </w:r>
      <w:r w:rsidR="007800A2" w:rsidRPr="00913ACD">
        <w:rPr>
          <w:color w:val="000000" w:themeColor="text1"/>
          <w:sz w:val="22"/>
          <w:szCs w:val="22"/>
          <w:lang w:val="pt-BR"/>
        </w:rPr>
        <w:t>”</w:t>
      </w:r>
      <w:r w:rsidRPr="00913ACD">
        <w:rPr>
          <w:color w:val="000000" w:themeColor="text1"/>
          <w:sz w:val="22"/>
          <w:szCs w:val="22"/>
          <w:lang w:val="pt-BR"/>
        </w:rPr>
        <w:t xml:space="preserve">. Os ministros e as altas autoridades </w:t>
      </w:r>
      <w:r w:rsidR="00B540E6">
        <w:rPr>
          <w:color w:val="000000" w:themeColor="text1"/>
          <w:sz w:val="22"/>
          <w:szCs w:val="22"/>
          <w:lang w:val="pt-BR"/>
        </w:rPr>
        <w:t xml:space="preserve">da cultura </w:t>
      </w:r>
      <w:r w:rsidRPr="00913ACD">
        <w:rPr>
          <w:color w:val="000000" w:themeColor="text1"/>
          <w:sz w:val="22"/>
          <w:szCs w:val="22"/>
          <w:lang w:val="pt-BR"/>
        </w:rPr>
        <w:t xml:space="preserve">de 22 </w:t>
      </w:r>
      <w:r w:rsidR="00AF16D4" w:rsidRPr="00913ACD">
        <w:rPr>
          <w:color w:val="000000" w:themeColor="text1"/>
          <w:sz w:val="22"/>
          <w:szCs w:val="22"/>
          <w:lang w:val="pt-BR"/>
        </w:rPr>
        <w:t>Estados membros</w:t>
      </w:r>
      <w:r w:rsidRPr="00913ACD">
        <w:rPr>
          <w:color w:val="000000" w:themeColor="text1"/>
          <w:sz w:val="22"/>
          <w:szCs w:val="22"/>
          <w:lang w:val="pt-BR"/>
        </w:rPr>
        <w:t xml:space="preserve"> compartilharam estratégias, informações e experiências sobre como as tecnologias têm sido usadas nos esforços de coleta, preservação e disseminação do patrimônio artístico e cultural, e </w:t>
      </w:r>
      <w:r w:rsidR="009921F3" w:rsidRPr="00913ACD">
        <w:rPr>
          <w:color w:val="000000" w:themeColor="text1"/>
          <w:sz w:val="22"/>
          <w:szCs w:val="22"/>
          <w:lang w:val="pt-BR"/>
        </w:rPr>
        <w:t xml:space="preserve">sobre </w:t>
      </w:r>
      <w:r w:rsidRPr="00913ACD">
        <w:rPr>
          <w:color w:val="000000" w:themeColor="text1"/>
          <w:sz w:val="22"/>
          <w:szCs w:val="22"/>
          <w:lang w:val="pt-BR"/>
        </w:rPr>
        <w:t xml:space="preserve">como fortalecer o patrimônio material e imaterial por meio da inovação e do uso de novas tecnologias. A Reunião aceitou </w:t>
      </w:r>
      <w:r w:rsidR="009921F3" w:rsidRPr="00913ACD">
        <w:rPr>
          <w:color w:val="000000" w:themeColor="text1"/>
          <w:sz w:val="22"/>
          <w:szCs w:val="22"/>
          <w:lang w:val="pt-BR"/>
        </w:rPr>
        <w:t xml:space="preserve">o oferecimento </w:t>
      </w:r>
      <w:r w:rsidRPr="00913ACD">
        <w:rPr>
          <w:color w:val="000000" w:themeColor="text1"/>
          <w:sz w:val="22"/>
          <w:szCs w:val="22"/>
          <w:lang w:val="pt-BR"/>
        </w:rPr>
        <w:t xml:space="preserve">da República Dominicana </w:t>
      </w:r>
      <w:r w:rsidR="00745A4B" w:rsidRPr="00913ACD">
        <w:rPr>
          <w:color w:val="000000" w:themeColor="text1"/>
          <w:sz w:val="22"/>
          <w:szCs w:val="22"/>
          <w:lang w:val="pt-BR"/>
        </w:rPr>
        <w:t>para</w:t>
      </w:r>
      <w:r w:rsidRPr="00913ACD">
        <w:rPr>
          <w:color w:val="000000" w:themeColor="text1"/>
          <w:sz w:val="22"/>
          <w:szCs w:val="22"/>
          <w:lang w:val="pt-BR"/>
        </w:rPr>
        <w:t xml:space="preserve"> sediar a Décima Reunião Interamericana de Ministros da Cultura e </w:t>
      </w:r>
      <w:r w:rsidR="00FF34D6">
        <w:rPr>
          <w:color w:val="000000" w:themeColor="text1"/>
          <w:sz w:val="22"/>
          <w:szCs w:val="22"/>
          <w:lang w:val="pt-BR"/>
        </w:rPr>
        <w:t xml:space="preserve">de </w:t>
      </w:r>
      <w:r w:rsidRPr="00913ACD">
        <w:rPr>
          <w:color w:val="000000" w:themeColor="text1"/>
          <w:sz w:val="22"/>
          <w:szCs w:val="22"/>
          <w:lang w:val="pt-BR"/>
        </w:rPr>
        <w:t xml:space="preserve">Altas Autoridades </w:t>
      </w:r>
      <w:r w:rsidR="0026399C" w:rsidRPr="00913ACD">
        <w:rPr>
          <w:color w:val="000000" w:themeColor="text1"/>
          <w:sz w:val="22"/>
          <w:szCs w:val="22"/>
          <w:lang w:val="pt-BR"/>
        </w:rPr>
        <w:t>d</w:t>
      </w:r>
      <w:r w:rsidR="00FF34D6">
        <w:rPr>
          <w:color w:val="000000" w:themeColor="text1"/>
          <w:sz w:val="22"/>
          <w:szCs w:val="22"/>
          <w:lang w:val="pt-BR"/>
        </w:rPr>
        <w:t>a</w:t>
      </w:r>
      <w:r w:rsidR="0026399C" w:rsidRPr="00913ACD">
        <w:rPr>
          <w:color w:val="000000" w:themeColor="text1"/>
          <w:sz w:val="22"/>
          <w:szCs w:val="22"/>
          <w:lang w:val="pt-BR"/>
        </w:rPr>
        <w:t xml:space="preserve"> Cultura</w:t>
      </w:r>
      <w:r w:rsidRPr="00913ACD">
        <w:rPr>
          <w:color w:val="000000" w:themeColor="text1"/>
          <w:sz w:val="22"/>
          <w:szCs w:val="22"/>
          <w:lang w:val="pt-BR"/>
        </w:rPr>
        <w:t xml:space="preserve"> em 2025 e elegeu as Autoridades d</w:t>
      </w:r>
      <w:r w:rsidR="00DC4BB3">
        <w:rPr>
          <w:color w:val="000000" w:themeColor="text1"/>
          <w:sz w:val="22"/>
          <w:szCs w:val="22"/>
          <w:lang w:val="pt-BR"/>
        </w:rPr>
        <w:t>e</w:t>
      </w:r>
      <w:r w:rsidRPr="00913ACD">
        <w:rPr>
          <w:color w:val="000000" w:themeColor="text1"/>
          <w:sz w:val="22"/>
          <w:szCs w:val="22"/>
          <w:lang w:val="pt-BR"/>
        </w:rPr>
        <w:t xml:space="preserve"> Equador (Presidente), Barbados (Primeiro Vice-Presidente) e Panamá (Segundo Vice-Presidente) para a Comissão Interamericana de Cultura.</w:t>
      </w:r>
    </w:p>
    <w:p w14:paraId="5743271B" w14:textId="77777777" w:rsidR="00ED78BF" w:rsidRPr="00913ACD" w:rsidRDefault="00ED78BF" w:rsidP="00CB030B">
      <w:pPr>
        <w:pStyle w:val="ListParagraph"/>
        <w:ind w:left="1440" w:hanging="720"/>
        <w:jc w:val="both"/>
        <w:rPr>
          <w:color w:val="000000" w:themeColor="text1"/>
          <w:sz w:val="22"/>
          <w:szCs w:val="22"/>
          <w:lang w:val="pt-BR"/>
        </w:rPr>
      </w:pPr>
    </w:p>
    <w:p w14:paraId="46401FEF" w14:textId="25FDEF90" w:rsidR="00ED78BF" w:rsidRPr="00913ACD" w:rsidRDefault="00ED78BF" w:rsidP="00CB030B">
      <w:pPr>
        <w:pStyle w:val="ListParagraph"/>
        <w:numPr>
          <w:ilvl w:val="0"/>
          <w:numId w:val="11"/>
        </w:numPr>
        <w:ind w:left="1440" w:hanging="720"/>
        <w:jc w:val="both"/>
        <w:rPr>
          <w:color w:val="000000" w:themeColor="text1"/>
          <w:sz w:val="22"/>
          <w:szCs w:val="22"/>
          <w:lang w:val="pt-BR"/>
        </w:rPr>
      </w:pPr>
      <w:r w:rsidRPr="00913ACD">
        <w:rPr>
          <w:color w:val="000000" w:themeColor="text1"/>
          <w:sz w:val="22"/>
          <w:szCs w:val="22"/>
          <w:lang w:val="pt-BR"/>
        </w:rPr>
        <w:t xml:space="preserve">Concluiu com sucesso um e-book </w:t>
      </w:r>
      <w:r w:rsidR="007621ED" w:rsidRPr="00913ACD">
        <w:rPr>
          <w:color w:val="000000" w:themeColor="text1"/>
          <w:sz w:val="22"/>
          <w:szCs w:val="22"/>
          <w:lang w:val="pt-BR"/>
        </w:rPr>
        <w:t xml:space="preserve">que </w:t>
      </w:r>
      <w:r w:rsidRPr="00913ACD">
        <w:rPr>
          <w:color w:val="000000" w:themeColor="text1"/>
          <w:sz w:val="22"/>
          <w:szCs w:val="22"/>
          <w:lang w:val="pt-BR"/>
        </w:rPr>
        <w:t>compila</w:t>
      </w:r>
      <w:r w:rsidR="007621ED" w:rsidRPr="00913ACD">
        <w:rPr>
          <w:color w:val="000000" w:themeColor="text1"/>
          <w:sz w:val="22"/>
          <w:szCs w:val="22"/>
          <w:lang w:val="pt-BR"/>
        </w:rPr>
        <w:t xml:space="preserve"> </w:t>
      </w:r>
      <w:r w:rsidRPr="00913ACD">
        <w:rPr>
          <w:color w:val="000000" w:themeColor="text1"/>
          <w:sz w:val="22"/>
          <w:szCs w:val="22"/>
          <w:lang w:val="pt-BR"/>
        </w:rPr>
        <w:t>e compartilha</w:t>
      </w:r>
      <w:r w:rsidR="007621ED" w:rsidRPr="00913ACD">
        <w:rPr>
          <w:color w:val="000000" w:themeColor="text1"/>
          <w:sz w:val="22"/>
          <w:szCs w:val="22"/>
          <w:lang w:val="pt-BR"/>
        </w:rPr>
        <w:t xml:space="preserve"> </w:t>
      </w:r>
      <w:r w:rsidRPr="00913ACD">
        <w:rPr>
          <w:color w:val="000000" w:themeColor="text1"/>
          <w:sz w:val="22"/>
          <w:szCs w:val="22"/>
          <w:lang w:val="pt-BR"/>
        </w:rPr>
        <w:t>as experiências de coordenação interag</w:t>
      </w:r>
      <w:r w:rsidR="007E65E1" w:rsidRPr="00913ACD">
        <w:rPr>
          <w:color w:val="000000" w:themeColor="text1"/>
          <w:sz w:val="22"/>
          <w:szCs w:val="22"/>
          <w:lang w:val="pt-BR"/>
        </w:rPr>
        <w:t xml:space="preserve">encial </w:t>
      </w:r>
      <w:r w:rsidRPr="00913ACD">
        <w:rPr>
          <w:color w:val="000000" w:themeColor="text1"/>
          <w:sz w:val="22"/>
          <w:szCs w:val="22"/>
          <w:lang w:val="pt-BR"/>
        </w:rPr>
        <w:t>em apoio ao fortalecimento da cultura e das indústrias criativas entre</w:t>
      </w:r>
      <w:r w:rsidR="00C51D8E" w:rsidRPr="00913ACD">
        <w:rPr>
          <w:color w:val="000000" w:themeColor="text1"/>
          <w:sz w:val="22"/>
          <w:szCs w:val="22"/>
          <w:lang w:val="pt-BR"/>
        </w:rPr>
        <w:t xml:space="preserve"> </w:t>
      </w:r>
      <w:r w:rsidR="005F30B1" w:rsidRPr="00913ACD">
        <w:rPr>
          <w:color w:val="000000" w:themeColor="text1"/>
          <w:sz w:val="22"/>
          <w:szCs w:val="22"/>
          <w:lang w:val="pt-BR"/>
        </w:rPr>
        <w:t xml:space="preserve">cinco </w:t>
      </w:r>
      <w:r w:rsidR="004D2917" w:rsidRPr="00913ACD">
        <w:rPr>
          <w:color w:val="000000" w:themeColor="text1"/>
          <w:sz w:val="22"/>
          <w:szCs w:val="22"/>
          <w:lang w:val="pt-BR"/>
        </w:rPr>
        <w:t>Estados membros</w:t>
      </w:r>
      <w:r w:rsidRPr="00913ACD">
        <w:rPr>
          <w:sz w:val="22"/>
          <w:szCs w:val="22"/>
          <w:lang w:val="pt-BR"/>
        </w:rPr>
        <w:t xml:space="preserve"> da</w:t>
      </w:r>
      <w:r w:rsidR="00C51D8E" w:rsidRPr="00913ACD">
        <w:rPr>
          <w:sz w:val="22"/>
          <w:szCs w:val="22"/>
          <w:lang w:val="pt-BR"/>
        </w:rPr>
        <w:t xml:space="preserve"> </w:t>
      </w:r>
      <w:r w:rsidR="00A05F17" w:rsidRPr="00913ACD">
        <w:rPr>
          <w:color w:val="000000" w:themeColor="text1"/>
          <w:sz w:val="22"/>
          <w:szCs w:val="22"/>
          <w:lang w:val="pt-BR"/>
        </w:rPr>
        <w:t xml:space="preserve">OEA – Argentina, Colômbia, Costa Rica, Equador e Paraguai – para os quais essas indústrias são contribuintes cada vez mais importantes </w:t>
      </w:r>
      <w:r w:rsidR="00584D69">
        <w:rPr>
          <w:color w:val="000000" w:themeColor="text1"/>
          <w:sz w:val="22"/>
          <w:szCs w:val="22"/>
          <w:lang w:val="pt-BR"/>
        </w:rPr>
        <w:t>n</w:t>
      </w:r>
      <w:r w:rsidR="00A05F17" w:rsidRPr="00913ACD">
        <w:rPr>
          <w:color w:val="000000" w:themeColor="text1"/>
          <w:sz w:val="22"/>
          <w:szCs w:val="22"/>
          <w:lang w:val="pt-BR"/>
        </w:rPr>
        <w:t xml:space="preserve">a atividade econômica. </w:t>
      </w:r>
    </w:p>
    <w:p w14:paraId="2515E799" w14:textId="77777777" w:rsidR="00ED78BF" w:rsidRPr="00913ACD" w:rsidRDefault="00ED78BF" w:rsidP="00CB030B">
      <w:pPr>
        <w:ind w:left="720"/>
        <w:jc w:val="both"/>
        <w:rPr>
          <w:rFonts w:ascii="Times New Roman" w:hAnsi="Times New Roman" w:cs="Times New Roman"/>
          <w:color w:val="000000" w:themeColor="text1"/>
          <w:sz w:val="22"/>
          <w:szCs w:val="22"/>
          <w:lang w:val="pt-BR"/>
        </w:rPr>
      </w:pPr>
    </w:p>
    <w:p w14:paraId="54628EE7" w14:textId="062D772C" w:rsidR="00ED78BF" w:rsidRPr="00913ACD" w:rsidRDefault="009040F4" w:rsidP="00CB030B">
      <w:pPr>
        <w:pStyle w:val="ListParagraph"/>
        <w:numPr>
          <w:ilvl w:val="0"/>
          <w:numId w:val="11"/>
        </w:numPr>
        <w:ind w:left="1440" w:hanging="720"/>
        <w:jc w:val="both"/>
        <w:rPr>
          <w:color w:val="000000" w:themeColor="text1"/>
          <w:sz w:val="22"/>
          <w:szCs w:val="22"/>
          <w:lang w:val="pt-BR"/>
        </w:rPr>
      </w:pPr>
      <w:r>
        <w:rPr>
          <w:color w:val="000000" w:themeColor="text1"/>
          <w:sz w:val="22"/>
          <w:szCs w:val="22"/>
          <w:lang w:val="pt-BR"/>
        </w:rPr>
        <w:t>Compartilhou e</w:t>
      </w:r>
      <w:r w:rsidR="00ED78BF" w:rsidRPr="00913ACD">
        <w:rPr>
          <w:color w:val="000000" w:themeColor="text1"/>
          <w:sz w:val="22"/>
          <w:szCs w:val="22"/>
          <w:lang w:val="pt-BR"/>
        </w:rPr>
        <w:t xml:space="preserve">studos de caso de </w:t>
      </w:r>
      <w:r w:rsidR="003C6F45">
        <w:rPr>
          <w:color w:val="000000" w:themeColor="text1"/>
          <w:sz w:val="22"/>
          <w:szCs w:val="22"/>
          <w:lang w:val="pt-BR"/>
        </w:rPr>
        <w:t>quatro</w:t>
      </w:r>
      <w:r>
        <w:rPr>
          <w:color w:val="000000" w:themeColor="text1"/>
          <w:sz w:val="22"/>
          <w:szCs w:val="22"/>
          <w:lang w:val="pt-BR"/>
        </w:rPr>
        <w:t xml:space="preserve"> </w:t>
      </w:r>
      <w:r w:rsidR="00C71613" w:rsidRPr="00913ACD">
        <w:rPr>
          <w:color w:val="000000" w:themeColor="text1"/>
          <w:sz w:val="22"/>
          <w:szCs w:val="22"/>
          <w:lang w:val="pt-BR"/>
        </w:rPr>
        <w:t>E</w:t>
      </w:r>
      <w:r w:rsidR="005F30B1" w:rsidRPr="00913ACD">
        <w:rPr>
          <w:color w:val="000000" w:themeColor="text1"/>
          <w:sz w:val="22"/>
          <w:szCs w:val="22"/>
          <w:lang w:val="pt-BR"/>
        </w:rPr>
        <w:t>stados</w:t>
      </w:r>
      <w:r w:rsidR="00ED78BF" w:rsidRPr="00913ACD">
        <w:rPr>
          <w:sz w:val="22"/>
          <w:szCs w:val="22"/>
          <w:lang w:val="pt-BR"/>
        </w:rPr>
        <w:t xml:space="preserve"> </w:t>
      </w:r>
      <w:r w:rsidR="00C71613" w:rsidRPr="00913ACD">
        <w:rPr>
          <w:sz w:val="22"/>
          <w:szCs w:val="22"/>
          <w:lang w:val="pt-BR"/>
        </w:rPr>
        <w:t xml:space="preserve">membros </w:t>
      </w:r>
      <w:r w:rsidR="00ED78BF" w:rsidRPr="00913ACD">
        <w:rPr>
          <w:sz w:val="22"/>
          <w:szCs w:val="22"/>
          <w:lang w:val="pt-BR"/>
        </w:rPr>
        <w:t>–</w:t>
      </w:r>
      <w:r w:rsidR="00CD5DDE">
        <w:rPr>
          <w:sz w:val="22"/>
          <w:szCs w:val="22"/>
          <w:lang w:val="pt-BR"/>
        </w:rPr>
        <w:t xml:space="preserve"> </w:t>
      </w:r>
      <w:r w:rsidR="00A05F17" w:rsidRPr="00913ACD">
        <w:rPr>
          <w:color w:val="000000" w:themeColor="text1"/>
          <w:sz w:val="22"/>
          <w:szCs w:val="22"/>
          <w:lang w:val="pt-BR"/>
        </w:rPr>
        <w:t>Brasil, Colômbia, México e Peru – sobre a Circulação de Bens e Serviços Culturais nas Américas, no âmbito da quarta edição do Grande Fórum Mundial de Arte, Cultura, Criatividade e Tecnologia Global Orange Economy Summit, realizado em julho de 2022.</w:t>
      </w:r>
    </w:p>
    <w:p w14:paraId="64112834" w14:textId="77777777" w:rsidR="00ED78BF" w:rsidRPr="00913ACD" w:rsidRDefault="00ED78BF" w:rsidP="00CB030B">
      <w:pPr>
        <w:ind w:left="1440" w:hanging="720"/>
        <w:jc w:val="both"/>
        <w:rPr>
          <w:rFonts w:ascii="Times New Roman" w:hAnsi="Times New Roman" w:cs="Times New Roman"/>
          <w:color w:val="000000" w:themeColor="text1"/>
          <w:sz w:val="22"/>
          <w:szCs w:val="22"/>
          <w:lang w:val="pt-BR"/>
        </w:rPr>
      </w:pPr>
    </w:p>
    <w:p w14:paraId="01404F80" w14:textId="0B3307B0" w:rsidR="00ED78BF" w:rsidRPr="00913ACD" w:rsidRDefault="00ED78BF" w:rsidP="00CB030B">
      <w:pPr>
        <w:pStyle w:val="ListParagraph"/>
        <w:numPr>
          <w:ilvl w:val="0"/>
          <w:numId w:val="11"/>
        </w:numPr>
        <w:ind w:left="1440" w:hanging="720"/>
        <w:jc w:val="both"/>
        <w:rPr>
          <w:color w:val="000000" w:themeColor="text1"/>
          <w:sz w:val="22"/>
          <w:szCs w:val="22"/>
          <w:lang w:val="pt-BR"/>
        </w:rPr>
      </w:pPr>
      <w:r w:rsidRPr="00913ACD">
        <w:rPr>
          <w:color w:val="000000" w:themeColor="text1"/>
          <w:sz w:val="22"/>
          <w:szCs w:val="22"/>
          <w:lang w:val="pt-BR"/>
        </w:rPr>
        <w:t>Compartilh</w:t>
      </w:r>
      <w:r w:rsidR="00D4740F" w:rsidRPr="00913ACD">
        <w:rPr>
          <w:color w:val="000000" w:themeColor="text1"/>
          <w:sz w:val="22"/>
          <w:szCs w:val="22"/>
          <w:lang w:val="pt-BR"/>
        </w:rPr>
        <w:t xml:space="preserve">ou </w:t>
      </w:r>
      <w:r w:rsidRPr="00913ACD">
        <w:rPr>
          <w:color w:val="000000" w:themeColor="text1"/>
          <w:sz w:val="22"/>
          <w:szCs w:val="22"/>
          <w:lang w:val="pt-BR"/>
        </w:rPr>
        <w:t xml:space="preserve">boas práticas de </w:t>
      </w:r>
      <w:r w:rsidR="003E6220">
        <w:rPr>
          <w:color w:val="000000" w:themeColor="text1"/>
          <w:sz w:val="22"/>
          <w:szCs w:val="22"/>
          <w:lang w:val="pt-BR"/>
        </w:rPr>
        <w:t>oito</w:t>
      </w:r>
      <w:r w:rsidRPr="00913ACD">
        <w:rPr>
          <w:color w:val="000000" w:themeColor="text1"/>
          <w:sz w:val="22"/>
          <w:szCs w:val="22"/>
          <w:lang w:val="pt-BR"/>
        </w:rPr>
        <w:t xml:space="preserve"> </w:t>
      </w:r>
      <w:r w:rsidR="002F4399" w:rsidRPr="00913ACD">
        <w:rPr>
          <w:color w:val="000000" w:themeColor="text1"/>
          <w:sz w:val="22"/>
          <w:szCs w:val="22"/>
          <w:lang w:val="pt-BR"/>
        </w:rPr>
        <w:t>Estados membros</w:t>
      </w:r>
      <w:r w:rsidRPr="00913ACD">
        <w:rPr>
          <w:sz w:val="22"/>
          <w:szCs w:val="22"/>
          <w:lang w:val="pt-BR"/>
        </w:rPr>
        <w:t xml:space="preserve"> –</w:t>
      </w:r>
      <w:r w:rsidR="003E6220">
        <w:rPr>
          <w:sz w:val="22"/>
          <w:szCs w:val="22"/>
          <w:lang w:val="pt-BR"/>
        </w:rPr>
        <w:t xml:space="preserve"> </w:t>
      </w:r>
      <w:r w:rsidR="0084346B" w:rsidRPr="00913ACD">
        <w:rPr>
          <w:color w:val="000000" w:themeColor="text1"/>
          <w:sz w:val="22"/>
          <w:szCs w:val="22"/>
          <w:lang w:val="pt-BR"/>
        </w:rPr>
        <w:t xml:space="preserve">Bolívia, Chile, Colômbia, México, Nicarágua, Paraguai, Peru e República Dominicana – no âmbito de um </w:t>
      </w:r>
      <w:r w:rsidR="00064A1F" w:rsidRPr="00913ACD">
        <w:rPr>
          <w:color w:val="000000" w:themeColor="text1"/>
          <w:sz w:val="22"/>
          <w:szCs w:val="22"/>
          <w:lang w:val="pt-BR"/>
        </w:rPr>
        <w:t>d</w:t>
      </w:r>
      <w:r w:rsidR="0084346B" w:rsidRPr="00913ACD">
        <w:rPr>
          <w:color w:val="000000" w:themeColor="text1"/>
          <w:sz w:val="22"/>
          <w:szCs w:val="22"/>
          <w:lang w:val="pt-BR"/>
        </w:rPr>
        <w:t xml:space="preserve">iálogo </w:t>
      </w:r>
      <w:r w:rsidR="00064A1F" w:rsidRPr="00913ACD">
        <w:rPr>
          <w:color w:val="000000" w:themeColor="text1"/>
          <w:sz w:val="22"/>
          <w:szCs w:val="22"/>
          <w:lang w:val="pt-BR"/>
        </w:rPr>
        <w:t>v</w:t>
      </w:r>
      <w:r w:rsidR="0084346B" w:rsidRPr="00913ACD">
        <w:rPr>
          <w:color w:val="000000" w:themeColor="text1"/>
          <w:sz w:val="22"/>
          <w:szCs w:val="22"/>
          <w:lang w:val="pt-BR"/>
        </w:rPr>
        <w:t>irtual sobre</w:t>
      </w:r>
      <w:r w:rsidR="00C51D8E" w:rsidRPr="00913ACD">
        <w:rPr>
          <w:color w:val="000000" w:themeColor="text1"/>
          <w:sz w:val="22"/>
          <w:szCs w:val="22"/>
          <w:lang w:val="pt-BR"/>
        </w:rPr>
        <w:t xml:space="preserve"> </w:t>
      </w:r>
      <w:r w:rsidR="007800A2" w:rsidRPr="00913ACD">
        <w:rPr>
          <w:sz w:val="22"/>
          <w:szCs w:val="22"/>
          <w:lang w:val="pt-BR"/>
        </w:rPr>
        <w:t>“</w:t>
      </w:r>
      <w:r w:rsidR="0074320E" w:rsidRPr="00913ACD">
        <w:rPr>
          <w:b/>
          <w:bCs/>
          <w:color w:val="000000" w:themeColor="text1"/>
          <w:sz w:val="22"/>
          <w:szCs w:val="22"/>
          <w:lang w:val="pt-BR"/>
        </w:rPr>
        <w:t>Experiências de salvaguarda do</w:t>
      </w:r>
      <w:r w:rsidR="005B4BB5" w:rsidRPr="00913ACD">
        <w:rPr>
          <w:b/>
          <w:bCs/>
          <w:color w:val="000000" w:themeColor="text1"/>
          <w:sz w:val="22"/>
          <w:szCs w:val="22"/>
          <w:lang w:val="pt-BR"/>
        </w:rPr>
        <w:t>s</w:t>
      </w:r>
      <w:r w:rsidR="0074320E" w:rsidRPr="00913ACD">
        <w:rPr>
          <w:b/>
          <w:bCs/>
          <w:color w:val="000000" w:themeColor="text1"/>
          <w:sz w:val="22"/>
          <w:szCs w:val="22"/>
          <w:lang w:val="pt-BR"/>
        </w:rPr>
        <w:t xml:space="preserve"> comércio</w:t>
      </w:r>
      <w:r w:rsidR="005B4BB5" w:rsidRPr="00913ACD">
        <w:rPr>
          <w:b/>
          <w:bCs/>
          <w:color w:val="000000" w:themeColor="text1"/>
          <w:sz w:val="22"/>
          <w:szCs w:val="22"/>
          <w:lang w:val="pt-BR"/>
        </w:rPr>
        <w:t>s</w:t>
      </w:r>
      <w:r w:rsidR="0074320E" w:rsidRPr="00913ACD">
        <w:rPr>
          <w:b/>
          <w:bCs/>
          <w:color w:val="000000" w:themeColor="text1"/>
          <w:sz w:val="22"/>
          <w:szCs w:val="22"/>
          <w:lang w:val="pt-BR"/>
        </w:rPr>
        <w:t xml:space="preserve"> tradiciona</w:t>
      </w:r>
      <w:r w:rsidR="005B4BB5" w:rsidRPr="00913ACD">
        <w:rPr>
          <w:b/>
          <w:bCs/>
          <w:color w:val="000000" w:themeColor="text1"/>
          <w:sz w:val="22"/>
          <w:szCs w:val="22"/>
          <w:lang w:val="pt-BR"/>
        </w:rPr>
        <w:t>is</w:t>
      </w:r>
      <w:r w:rsidR="0074320E" w:rsidRPr="00913ACD">
        <w:rPr>
          <w:b/>
          <w:bCs/>
          <w:color w:val="000000" w:themeColor="text1"/>
          <w:sz w:val="22"/>
          <w:szCs w:val="22"/>
          <w:lang w:val="pt-BR"/>
        </w:rPr>
        <w:t xml:space="preserve"> nas Américas</w:t>
      </w:r>
      <w:r w:rsidR="007800A2" w:rsidRPr="00913ACD">
        <w:rPr>
          <w:b/>
          <w:bCs/>
          <w:color w:val="000000" w:themeColor="text1"/>
          <w:sz w:val="22"/>
          <w:szCs w:val="22"/>
          <w:lang w:val="pt-BR"/>
        </w:rPr>
        <w:t>”</w:t>
      </w:r>
      <w:r w:rsidR="0074320E" w:rsidRPr="00913ACD">
        <w:rPr>
          <w:color w:val="000000" w:themeColor="text1"/>
          <w:sz w:val="22"/>
          <w:szCs w:val="22"/>
          <w:lang w:val="pt-BR"/>
        </w:rPr>
        <w:t xml:space="preserve"> em março de</w:t>
      </w:r>
      <w:r w:rsidRPr="00913ACD">
        <w:rPr>
          <w:color w:val="000000" w:themeColor="text1"/>
          <w:sz w:val="22"/>
          <w:szCs w:val="22"/>
          <w:lang w:val="pt-BR"/>
        </w:rPr>
        <w:t xml:space="preserve"> 2022.</w:t>
      </w:r>
    </w:p>
    <w:p w14:paraId="1B36979A" w14:textId="77777777" w:rsidR="00ED78BF" w:rsidRPr="00913ACD" w:rsidRDefault="00ED78BF" w:rsidP="00CB030B">
      <w:pPr>
        <w:ind w:left="1440" w:hanging="720"/>
        <w:jc w:val="both"/>
        <w:rPr>
          <w:rFonts w:ascii="Times New Roman" w:hAnsi="Times New Roman" w:cs="Times New Roman"/>
          <w:sz w:val="22"/>
          <w:szCs w:val="22"/>
          <w:lang w:val="pt-BR"/>
        </w:rPr>
      </w:pPr>
    </w:p>
    <w:p w14:paraId="164556F9" w14:textId="33A25F0F" w:rsidR="0084346B" w:rsidRPr="00913ACD" w:rsidRDefault="00ED78BF" w:rsidP="00CB030B">
      <w:pPr>
        <w:pStyle w:val="ListParagraph"/>
        <w:numPr>
          <w:ilvl w:val="0"/>
          <w:numId w:val="11"/>
        </w:numPr>
        <w:ind w:left="1440" w:hanging="720"/>
        <w:jc w:val="both"/>
        <w:rPr>
          <w:sz w:val="22"/>
          <w:szCs w:val="22"/>
          <w:lang w:val="pt-BR"/>
        </w:rPr>
      </w:pPr>
      <w:r w:rsidRPr="00913ACD">
        <w:rPr>
          <w:bCs/>
          <w:sz w:val="22"/>
          <w:szCs w:val="22"/>
          <w:lang w:val="pt-BR"/>
        </w:rPr>
        <w:t xml:space="preserve">Assinou um acordo que estabelece um quadro de cooperação na disseminação e acessibilidade da cultura </w:t>
      </w:r>
      <w:r w:rsidR="003A5D6D" w:rsidRPr="00913ACD">
        <w:rPr>
          <w:bCs/>
          <w:sz w:val="22"/>
          <w:szCs w:val="22"/>
          <w:lang w:val="pt-BR"/>
        </w:rPr>
        <w:t xml:space="preserve">mediante </w:t>
      </w:r>
      <w:r w:rsidRPr="00913ACD">
        <w:rPr>
          <w:bCs/>
          <w:sz w:val="22"/>
          <w:szCs w:val="22"/>
          <w:lang w:val="pt-BR"/>
        </w:rPr>
        <w:t xml:space="preserve">a utilização de bibliotecas digitais. O acordo permite que a Secretaria-Geral, por meio da SEDI, divulgue e promova a biblioteca virtual </w:t>
      </w:r>
      <w:hyperlink r:id="rId18" w:history="1">
        <w:r w:rsidRPr="00913ACD">
          <w:rPr>
            <w:rStyle w:val="Hyperlink"/>
            <w:bCs/>
            <w:i/>
            <w:iCs/>
            <w:sz w:val="22"/>
            <w:szCs w:val="22"/>
            <w:lang w:val="pt-BR"/>
          </w:rPr>
          <w:t>El Libro Total</w:t>
        </w:r>
      </w:hyperlink>
      <w:r w:rsidRPr="00913ACD">
        <w:rPr>
          <w:bCs/>
          <w:sz w:val="22"/>
          <w:szCs w:val="22"/>
          <w:lang w:val="pt-BR"/>
        </w:rPr>
        <w:t xml:space="preserve"> entre autores e cidadãos dos </w:t>
      </w:r>
      <w:r w:rsidR="004D2917" w:rsidRPr="00913ACD">
        <w:rPr>
          <w:bCs/>
          <w:sz w:val="22"/>
          <w:szCs w:val="22"/>
          <w:lang w:val="pt-BR"/>
        </w:rPr>
        <w:t>Estados membros</w:t>
      </w:r>
      <w:r w:rsidRPr="00913ACD">
        <w:rPr>
          <w:bCs/>
          <w:sz w:val="22"/>
          <w:szCs w:val="22"/>
          <w:lang w:val="pt-BR"/>
        </w:rPr>
        <w:t xml:space="preserve"> da OEA</w:t>
      </w:r>
      <w:r w:rsidR="0084346B" w:rsidRPr="00913ACD">
        <w:rPr>
          <w:bCs/>
          <w:sz w:val="22"/>
          <w:szCs w:val="22"/>
          <w:lang w:val="pt-BR"/>
        </w:rPr>
        <w:t xml:space="preserve">. O acordo também fortalece a colaboração para promover o conhecimento cultural – especialmente a literatura </w:t>
      </w:r>
      <w:r w:rsidR="00521A7A" w:rsidRPr="00913ACD">
        <w:rPr>
          <w:bCs/>
          <w:sz w:val="22"/>
          <w:szCs w:val="22"/>
          <w:lang w:val="pt-BR"/>
        </w:rPr>
        <w:t>d</w:t>
      </w:r>
      <w:r w:rsidR="0084346B" w:rsidRPr="00913ACD">
        <w:rPr>
          <w:bCs/>
          <w:sz w:val="22"/>
          <w:szCs w:val="22"/>
          <w:lang w:val="pt-BR"/>
        </w:rPr>
        <w:t xml:space="preserve">as Américas – e o uso </w:t>
      </w:r>
      <w:r w:rsidR="009D1F32" w:rsidRPr="00913ACD">
        <w:rPr>
          <w:bCs/>
          <w:sz w:val="22"/>
          <w:szCs w:val="22"/>
          <w:lang w:val="pt-BR"/>
        </w:rPr>
        <w:t>mai</w:t>
      </w:r>
      <w:r w:rsidR="00D80AD6">
        <w:rPr>
          <w:bCs/>
          <w:sz w:val="22"/>
          <w:szCs w:val="22"/>
          <w:lang w:val="pt-BR"/>
        </w:rPr>
        <w:t xml:space="preserve">s intenso </w:t>
      </w:r>
      <w:r w:rsidR="0084346B" w:rsidRPr="00913ACD">
        <w:rPr>
          <w:bCs/>
          <w:sz w:val="22"/>
          <w:szCs w:val="22"/>
          <w:lang w:val="pt-BR"/>
        </w:rPr>
        <w:t>de tecnologias digitais p</w:t>
      </w:r>
      <w:r w:rsidR="000B5628">
        <w:rPr>
          <w:bCs/>
          <w:sz w:val="22"/>
          <w:szCs w:val="22"/>
          <w:lang w:val="pt-BR"/>
        </w:rPr>
        <w:t>or</w:t>
      </w:r>
      <w:r w:rsidR="0084346B" w:rsidRPr="00913ACD">
        <w:rPr>
          <w:bCs/>
          <w:sz w:val="22"/>
          <w:szCs w:val="22"/>
          <w:lang w:val="pt-BR"/>
        </w:rPr>
        <w:t xml:space="preserve"> profissionais da cultura </w:t>
      </w:r>
      <w:r w:rsidR="0006033F">
        <w:rPr>
          <w:bCs/>
          <w:sz w:val="22"/>
          <w:szCs w:val="22"/>
          <w:lang w:val="pt-BR"/>
        </w:rPr>
        <w:t>e</w:t>
      </w:r>
      <w:r w:rsidR="009D1F32" w:rsidRPr="00913ACD">
        <w:rPr>
          <w:bCs/>
          <w:sz w:val="22"/>
          <w:szCs w:val="22"/>
          <w:lang w:val="pt-BR"/>
        </w:rPr>
        <w:t xml:space="preserve"> </w:t>
      </w:r>
      <w:r w:rsidR="0084346B" w:rsidRPr="00913ACD">
        <w:rPr>
          <w:bCs/>
          <w:sz w:val="22"/>
          <w:szCs w:val="22"/>
          <w:lang w:val="pt-BR"/>
        </w:rPr>
        <w:t>consumidores de produtos culturais e criativos. Os</w:t>
      </w:r>
      <w:r w:rsidR="00C51D8E" w:rsidRPr="00913ACD">
        <w:rPr>
          <w:bCs/>
          <w:sz w:val="22"/>
          <w:szCs w:val="22"/>
          <w:lang w:val="pt-BR"/>
        </w:rPr>
        <w:t xml:space="preserve"> </w:t>
      </w:r>
      <w:r w:rsidR="004D2917" w:rsidRPr="00913ACD">
        <w:rPr>
          <w:sz w:val="22"/>
          <w:szCs w:val="22"/>
          <w:lang w:val="pt-BR"/>
        </w:rPr>
        <w:t>Estados membros</w:t>
      </w:r>
      <w:r w:rsidRPr="00913ACD">
        <w:rPr>
          <w:sz w:val="22"/>
          <w:szCs w:val="22"/>
          <w:lang w:val="pt-BR"/>
        </w:rPr>
        <w:t xml:space="preserve"> da</w:t>
      </w:r>
      <w:r w:rsidR="00C51D8E" w:rsidRPr="00913ACD">
        <w:rPr>
          <w:sz w:val="22"/>
          <w:szCs w:val="22"/>
          <w:lang w:val="pt-BR"/>
        </w:rPr>
        <w:t xml:space="preserve"> </w:t>
      </w:r>
      <w:r w:rsidR="005F30B1" w:rsidRPr="00913ACD">
        <w:rPr>
          <w:color w:val="000000" w:themeColor="text1"/>
          <w:sz w:val="22"/>
          <w:szCs w:val="22"/>
          <w:lang w:val="pt-BR"/>
        </w:rPr>
        <w:t>OEA</w:t>
      </w:r>
      <w:r w:rsidR="0084346B" w:rsidRPr="00913ACD">
        <w:rPr>
          <w:bCs/>
          <w:sz w:val="22"/>
          <w:szCs w:val="22"/>
          <w:lang w:val="pt-BR"/>
        </w:rPr>
        <w:t xml:space="preserve"> e seus cidadãos também têm acesso gratuito a uma vasta biblioteca virtual (link acima).</w:t>
      </w:r>
    </w:p>
    <w:bookmarkEnd w:id="2"/>
    <w:p w14:paraId="39C7F7D4" w14:textId="2752A982" w:rsidR="009B0089" w:rsidRPr="00913ACD" w:rsidRDefault="009B0089" w:rsidP="00CB030B">
      <w:pPr>
        <w:rPr>
          <w:rFonts w:ascii="Times New Roman" w:hAnsi="Times New Roman" w:cs="Times New Roman"/>
          <w:b/>
          <w:bCs/>
          <w:sz w:val="22"/>
          <w:szCs w:val="22"/>
          <w:lang w:val="pt-BR"/>
        </w:rPr>
      </w:pPr>
    </w:p>
    <w:p w14:paraId="293DB1C0" w14:textId="77777777" w:rsidR="005F2C83" w:rsidRPr="00913ACD" w:rsidRDefault="005F2C83" w:rsidP="00CB030B">
      <w:pPr>
        <w:rPr>
          <w:rFonts w:ascii="Times New Roman" w:hAnsi="Times New Roman" w:cs="Times New Roman"/>
          <w:b/>
          <w:bCs/>
          <w:sz w:val="22"/>
          <w:szCs w:val="22"/>
          <w:lang w:val="pt-BR"/>
        </w:rPr>
      </w:pPr>
    </w:p>
    <w:p w14:paraId="4B511243" w14:textId="325674B4" w:rsidR="00746168" w:rsidRPr="00913ACD" w:rsidRDefault="0051535F"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2</w:t>
      </w:r>
    </w:p>
    <w:p w14:paraId="6AD57BCC" w14:textId="6F5F05C6" w:rsidR="00746168" w:rsidRPr="00913ACD" w:rsidRDefault="002A7202" w:rsidP="00CB030B">
      <w:pPr>
        <w:pBdr>
          <w:bottom w:val="single" w:sz="6" w:space="1" w:color="auto"/>
        </w:pBdr>
        <w:rPr>
          <w:rFonts w:ascii="Times New Roman" w:hAnsi="Times New Roman" w:cs="Times New Roman"/>
          <w:sz w:val="22"/>
          <w:szCs w:val="22"/>
          <w:lang w:val="pt-BR"/>
        </w:rPr>
      </w:pPr>
      <w:r w:rsidRPr="00913ACD">
        <w:rPr>
          <w:rFonts w:ascii="Times New Roman" w:hAnsi="Times New Roman" w:cs="Times New Roman"/>
          <w:sz w:val="22"/>
          <w:szCs w:val="22"/>
          <w:lang w:val="pt-BR"/>
        </w:rPr>
        <w:t xml:space="preserve">FORTALECER </w:t>
      </w:r>
      <w:r w:rsidR="00746168" w:rsidRPr="00913ACD">
        <w:rPr>
          <w:rFonts w:ascii="Times New Roman" w:hAnsi="Times New Roman" w:cs="Times New Roman"/>
          <w:sz w:val="22"/>
          <w:szCs w:val="22"/>
          <w:lang w:val="pt-BR"/>
        </w:rPr>
        <w:t xml:space="preserve">A IMPLEMENTAÇÃO DOS </w:t>
      </w:r>
      <w:r w:rsidR="007427DB" w:rsidRPr="00913ACD">
        <w:rPr>
          <w:rFonts w:ascii="Times New Roman" w:hAnsi="Times New Roman" w:cs="Times New Roman"/>
          <w:sz w:val="22"/>
          <w:szCs w:val="22"/>
          <w:lang w:val="pt-BR"/>
        </w:rPr>
        <w:t>OBJETIVO</w:t>
      </w:r>
      <w:r w:rsidR="00746168" w:rsidRPr="00913ACD">
        <w:rPr>
          <w:rFonts w:ascii="Times New Roman" w:hAnsi="Times New Roman" w:cs="Times New Roman"/>
          <w:sz w:val="22"/>
          <w:szCs w:val="22"/>
          <w:lang w:val="pt-BR"/>
        </w:rPr>
        <w:t>S DE DESENVOLVIMENTO SUSTENTÁVEL (</w:t>
      </w:r>
      <w:r w:rsidR="002A65BF" w:rsidRPr="00913ACD">
        <w:rPr>
          <w:rFonts w:ascii="Times New Roman" w:hAnsi="Times New Roman" w:cs="Times New Roman"/>
          <w:sz w:val="22"/>
          <w:szCs w:val="22"/>
          <w:lang w:val="pt-BR"/>
        </w:rPr>
        <w:t>PIDS</w:t>
      </w:r>
      <w:r w:rsidR="00746168" w:rsidRPr="00913ACD">
        <w:rPr>
          <w:rFonts w:ascii="Times New Roman" w:hAnsi="Times New Roman" w:cs="Times New Roman"/>
          <w:sz w:val="22"/>
          <w:szCs w:val="22"/>
          <w:lang w:val="pt-BR"/>
        </w:rPr>
        <w:t>)</w:t>
      </w:r>
    </w:p>
    <w:p w14:paraId="5778319D" w14:textId="77777777" w:rsidR="00746168" w:rsidRPr="00913ACD" w:rsidRDefault="00746168" w:rsidP="00CB030B">
      <w:pPr>
        <w:jc w:val="both"/>
        <w:rPr>
          <w:rFonts w:ascii="Times New Roman" w:hAnsi="Times New Roman" w:cs="Times New Roman"/>
          <w:sz w:val="22"/>
          <w:szCs w:val="22"/>
          <w:lang w:val="pt-BR"/>
        </w:rPr>
      </w:pPr>
    </w:p>
    <w:p w14:paraId="55A6722B" w14:textId="610F8D6E" w:rsidR="00A52779" w:rsidRPr="00913ACD" w:rsidRDefault="00A52779" w:rsidP="00CB030B">
      <w:pPr>
        <w:ind w:firstLine="720"/>
        <w:jc w:val="both"/>
        <w:rPr>
          <w:rFonts w:ascii="Times New Roman" w:eastAsia="Calibri" w:hAnsi="Times New Roman" w:cs="Times New Roman"/>
          <w:bCs/>
          <w:sz w:val="22"/>
          <w:szCs w:val="22"/>
          <w:lang w:val="pt-BR"/>
        </w:rPr>
      </w:pPr>
      <w:r w:rsidRPr="00913ACD">
        <w:rPr>
          <w:rFonts w:ascii="Times New Roman" w:hAnsi="Times New Roman" w:cs="Times New Roman"/>
          <w:sz w:val="22"/>
          <w:szCs w:val="22"/>
          <w:lang w:val="pt-BR"/>
        </w:rPr>
        <w:t xml:space="preserve">O DSD continuou a fornecer programação crítica para fortalecer a sustentabilidade e a resiliência dos </w:t>
      </w:r>
      <w:r w:rsidR="00710D4C" w:rsidRPr="00913ACD">
        <w:rPr>
          <w:rFonts w:ascii="Times New Roman" w:hAnsi="Times New Roman" w:cs="Times New Roman"/>
          <w:bCs/>
          <w:sz w:val="22"/>
          <w:szCs w:val="22"/>
          <w:lang w:val="pt-BR"/>
        </w:rPr>
        <w:t>Estados membros</w:t>
      </w:r>
      <w:r w:rsidRPr="00913ACD">
        <w:rPr>
          <w:rFonts w:ascii="Times New Roman" w:hAnsi="Times New Roman" w:cs="Times New Roman"/>
          <w:sz w:val="22"/>
          <w:szCs w:val="22"/>
          <w:lang w:val="pt-BR"/>
        </w:rPr>
        <w:t xml:space="preserve">. </w:t>
      </w:r>
      <w:r w:rsidR="00934CAA" w:rsidRPr="00913ACD">
        <w:rPr>
          <w:rFonts w:ascii="Times New Roman" w:hAnsi="Times New Roman" w:cs="Times New Roman"/>
          <w:sz w:val="22"/>
          <w:szCs w:val="22"/>
          <w:lang w:val="pt-BR"/>
        </w:rPr>
        <w:t>Em c</w:t>
      </w:r>
      <w:r w:rsidR="000A50B7">
        <w:rPr>
          <w:rFonts w:ascii="Times New Roman" w:hAnsi="Times New Roman" w:cs="Times New Roman"/>
          <w:sz w:val="22"/>
          <w:szCs w:val="22"/>
          <w:lang w:val="pt-BR"/>
        </w:rPr>
        <w:t>um</w:t>
      </w:r>
      <w:r w:rsidR="007F1482">
        <w:rPr>
          <w:rFonts w:ascii="Times New Roman" w:hAnsi="Times New Roman" w:cs="Times New Roman"/>
          <w:sz w:val="22"/>
          <w:szCs w:val="22"/>
          <w:lang w:val="pt-BR"/>
        </w:rPr>
        <w:t xml:space="preserve">primento do </w:t>
      </w:r>
      <w:r w:rsidRPr="00913ACD">
        <w:rPr>
          <w:rFonts w:ascii="Times New Roman" w:hAnsi="Times New Roman" w:cs="Times New Roman"/>
          <w:sz w:val="22"/>
          <w:szCs w:val="22"/>
          <w:lang w:val="pt-BR"/>
        </w:rPr>
        <w:t xml:space="preserve">PIDS, </w:t>
      </w:r>
      <w:r w:rsidR="00AF5392" w:rsidRPr="00913ACD">
        <w:rPr>
          <w:rFonts w:ascii="Times New Roman" w:hAnsi="Times New Roman" w:cs="Times New Roman"/>
          <w:sz w:val="22"/>
          <w:szCs w:val="22"/>
          <w:lang w:val="pt-BR"/>
        </w:rPr>
        <w:t>o DSD</w:t>
      </w:r>
      <w:r w:rsidRPr="00913ACD">
        <w:rPr>
          <w:rFonts w:ascii="Times New Roman" w:hAnsi="Times New Roman" w:cs="Times New Roman"/>
          <w:sz w:val="22"/>
          <w:szCs w:val="22"/>
          <w:lang w:val="pt-BR"/>
        </w:rPr>
        <w:t xml:space="preserve"> trabalhou em colaboração com países de todo o </w:t>
      </w:r>
      <w:r w:rsidR="00B90920" w:rsidRPr="00913ACD">
        <w:rPr>
          <w:rFonts w:ascii="Times New Roman" w:hAnsi="Times New Roman" w:cs="Times New Roman"/>
          <w:sz w:val="22"/>
          <w:szCs w:val="22"/>
          <w:lang w:val="pt-BR"/>
        </w:rPr>
        <w:t>H</w:t>
      </w:r>
      <w:r w:rsidRPr="00913ACD">
        <w:rPr>
          <w:rFonts w:ascii="Times New Roman" w:hAnsi="Times New Roman" w:cs="Times New Roman"/>
          <w:sz w:val="22"/>
          <w:szCs w:val="22"/>
          <w:lang w:val="pt-BR"/>
        </w:rPr>
        <w:t xml:space="preserve">emisfério </w:t>
      </w:r>
      <w:r w:rsidR="00B90920" w:rsidRPr="00913ACD">
        <w:rPr>
          <w:rFonts w:ascii="Times New Roman" w:hAnsi="Times New Roman" w:cs="Times New Roman"/>
          <w:sz w:val="22"/>
          <w:szCs w:val="22"/>
          <w:lang w:val="pt-BR"/>
        </w:rPr>
        <w:t>envida</w:t>
      </w:r>
      <w:r w:rsidR="00C948F5">
        <w:rPr>
          <w:rFonts w:ascii="Times New Roman" w:hAnsi="Times New Roman" w:cs="Times New Roman"/>
          <w:sz w:val="22"/>
          <w:szCs w:val="22"/>
          <w:lang w:val="pt-BR"/>
        </w:rPr>
        <w:t>ndo</w:t>
      </w:r>
      <w:r w:rsidR="00B90920" w:rsidRPr="00913ACD">
        <w:rPr>
          <w:rFonts w:ascii="Times New Roman" w:hAnsi="Times New Roman" w:cs="Times New Roman"/>
          <w:sz w:val="22"/>
          <w:szCs w:val="22"/>
          <w:lang w:val="pt-BR"/>
        </w:rPr>
        <w:t xml:space="preserve"> </w:t>
      </w:r>
      <w:r w:rsidRPr="00913ACD">
        <w:rPr>
          <w:rFonts w:ascii="Times New Roman" w:hAnsi="Times New Roman" w:cs="Times New Roman"/>
          <w:sz w:val="22"/>
          <w:szCs w:val="22"/>
          <w:lang w:val="pt-BR"/>
        </w:rPr>
        <w:t>esforços adicionais para a integração da resiliência e da gestão d</w:t>
      </w:r>
      <w:r w:rsidR="00696F7B" w:rsidRPr="00913ACD">
        <w:rPr>
          <w:rFonts w:ascii="Times New Roman" w:hAnsi="Times New Roman" w:cs="Times New Roman"/>
          <w:sz w:val="22"/>
          <w:szCs w:val="22"/>
          <w:lang w:val="pt-BR"/>
        </w:rPr>
        <w:t>o</w:t>
      </w:r>
      <w:r w:rsidRPr="00913ACD">
        <w:rPr>
          <w:rFonts w:ascii="Times New Roman" w:hAnsi="Times New Roman" w:cs="Times New Roman"/>
          <w:sz w:val="22"/>
          <w:szCs w:val="22"/>
          <w:lang w:val="pt-BR"/>
        </w:rPr>
        <w:t xml:space="preserve"> risco de desastres, fortalecendo capacidades na área de gestão de ecossistemas resilientes e sustentáveis ao clima, promovendo maior segurança hídrica, capacitando para a gestão integrada de recursos hídricos e apoiando o desenvolvimento e o uso de alternativas energéticas sustentáveis. Em 2022, </w:t>
      </w:r>
      <w:r w:rsidR="00F0793C" w:rsidRPr="00913ACD">
        <w:rPr>
          <w:rFonts w:ascii="Times New Roman" w:hAnsi="Times New Roman" w:cs="Times New Roman"/>
          <w:sz w:val="22"/>
          <w:szCs w:val="22"/>
          <w:lang w:val="pt-BR"/>
        </w:rPr>
        <w:t>o</w:t>
      </w:r>
      <w:r w:rsidRPr="00913ACD">
        <w:rPr>
          <w:rFonts w:ascii="Times New Roman" w:hAnsi="Times New Roman" w:cs="Times New Roman"/>
          <w:sz w:val="22"/>
          <w:szCs w:val="22"/>
          <w:lang w:val="pt-BR"/>
        </w:rPr>
        <w:t xml:space="preserve"> DSD continuou a enfatizar atividades em colaboração com outros departamentos da SEDI, incluindo programas transversais que abordam turismo e resiliência, segurança hídrica e desenvolvimento econômico, </w:t>
      </w:r>
      <w:r w:rsidR="00985EFB" w:rsidRPr="00913ACD">
        <w:rPr>
          <w:rFonts w:ascii="Times New Roman" w:hAnsi="Times New Roman" w:cs="Times New Roman"/>
          <w:sz w:val="22"/>
          <w:szCs w:val="22"/>
          <w:lang w:val="pt-BR"/>
        </w:rPr>
        <w:t>mudança do clima</w:t>
      </w:r>
      <w:r w:rsidRPr="00913ACD">
        <w:rPr>
          <w:rFonts w:ascii="Times New Roman" w:hAnsi="Times New Roman" w:cs="Times New Roman"/>
          <w:sz w:val="22"/>
          <w:szCs w:val="22"/>
          <w:lang w:val="pt-BR"/>
        </w:rPr>
        <w:t xml:space="preserve"> e portos. </w:t>
      </w:r>
    </w:p>
    <w:p w14:paraId="05D56C22" w14:textId="67A201C2" w:rsidR="00A52779" w:rsidRPr="00913ACD" w:rsidRDefault="00A52779" w:rsidP="00CB030B">
      <w:pPr>
        <w:jc w:val="both"/>
        <w:rPr>
          <w:rFonts w:ascii="Times New Roman" w:eastAsia="Calibri" w:hAnsi="Times New Roman" w:cs="Times New Roman"/>
          <w:bCs/>
          <w:sz w:val="22"/>
          <w:szCs w:val="22"/>
          <w:lang w:val="pt-BR"/>
        </w:rPr>
      </w:pPr>
    </w:p>
    <w:p w14:paraId="32F80144" w14:textId="787103F0" w:rsidR="00A52779" w:rsidRPr="00913ACD" w:rsidRDefault="007427DB" w:rsidP="00CB030B">
      <w:pPr>
        <w:jc w:val="both"/>
        <w:rPr>
          <w:rFonts w:ascii="Times New Roman" w:eastAsia="Calibri" w:hAnsi="Times New Roman" w:cs="Times New Roman"/>
          <w:b/>
          <w:sz w:val="22"/>
          <w:szCs w:val="22"/>
          <w:u w:val="single"/>
          <w:lang w:val="pt-BR"/>
        </w:rPr>
      </w:pPr>
      <w:r w:rsidRPr="00913ACD">
        <w:rPr>
          <w:rFonts w:ascii="Times New Roman" w:hAnsi="Times New Roman" w:cs="Times New Roman"/>
          <w:b/>
          <w:sz w:val="22"/>
          <w:szCs w:val="22"/>
          <w:u w:val="single"/>
          <w:lang w:val="pt-BR"/>
        </w:rPr>
        <w:t>OBJETIVO</w:t>
      </w:r>
      <w:r w:rsidR="00A52779" w:rsidRPr="00913ACD">
        <w:rPr>
          <w:rFonts w:ascii="Times New Roman" w:hAnsi="Times New Roman" w:cs="Times New Roman"/>
          <w:b/>
          <w:sz w:val="22"/>
          <w:szCs w:val="22"/>
          <w:u w:val="single"/>
          <w:lang w:val="pt-BR"/>
        </w:rPr>
        <w:t xml:space="preserve"> 2.1</w:t>
      </w:r>
    </w:p>
    <w:p w14:paraId="20D1475C" w14:textId="77777777" w:rsidR="005F2C83" w:rsidRPr="00913ACD" w:rsidRDefault="005F2C83" w:rsidP="00CB030B">
      <w:pPr>
        <w:jc w:val="both"/>
        <w:rPr>
          <w:rFonts w:ascii="Times New Roman" w:eastAsia="Calibri" w:hAnsi="Times New Roman" w:cs="Times New Roman"/>
          <w:b/>
          <w:sz w:val="22"/>
          <w:szCs w:val="22"/>
          <w:u w:val="single"/>
          <w:lang w:val="pt-BR"/>
        </w:rPr>
      </w:pPr>
    </w:p>
    <w:p w14:paraId="4A514981" w14:textId="50379220" w:rsidR="00A52779" w:rsidRPr="00913ACD" w:rsidRDefault="00696F7B" w:rsidP="00CB030B">
      <w:pPr>
        <w:ind w:firstLine="720"/>
        <w:jc w:val="both"/>
        <w:rPr>
          <w:rFonts w:ascii="Times New Roman" w:eastAsia="Calibri" w:hAnsi="Times New Roman" w:cs="Times New Roman"/>
          <w:bCs/>
          <w:sz w:val="22"/>
          <w:szCs w:val="22"/>
          <w:lang w:val="pt-BR"/>
        </w:rPr>
      </w:pPr>
      <w:r w:rsidRPr="00913ACD">
        <w:rPr>
          <w:rFonts w:ascii="Times New Roman" w:hAnsi="Times New Roman" w:cs="Times New Roman"/>
          <w:bCs/>
          <w:sz w:val="22"/>
          <w:szCs w:val="22"/>
          <w:lang w:val="pt-BR"/>
        </w:rPr>
        <w:t>Promover a capacidade dos Estados membros na gestão do risco de desastres, de acordo com os objetivos e bases de ação dispostos na Seção 3.1 do PIDS</w:t>
      </w:r>
      <w:r w:rsidR="00A52779" w:rsidRPr="00913ACD">
        <w:rPr>
          <w:rFonts w:ascii="Times New Roman" w:hAnsi="Times New Roman" w:cs="Times New Roman"/>
          <w:bCs/>
          <w:sz w:val="22"/>
          <w:szCs w:val="22"/>
          <w:lang w:val="pt-BR"/>
        </w:rPr>
        <w:t>.</w:t>
      </w:r>
    </w:p>
    <w:p w14:paraId="26A8F9F7" w14:textId="3B8A3F04" w:rsidR="00A52779" w:rsidRPr="00913ACD" w:rsidRDefault="00A52779" w:rsidP="00CB030B">
      <w:pPr>
        <w:jc w:val="both"/>
        <w:rPr>
          <w:rFonts w:ascii="Times New Roman" w:eastAsia="Calibri" w:hAnsi="Times New Roman" w:cs="Times New Roman"/>
          <w:b/>
          <w:sz w:val="22"/>
          <w:szCs w:val="22"/>
          <w:lang w:val="pt-BR"/>
        </w:rPr>
      </w:pPr>
    </w:p>
    <w:p w14:paraId="64317DFE" w14:textId="45674BA0" w:rsidR="00A52779" w:rsidRPr="00913ACD" w:rsidRDefault="00A52779" w:rsidP="00CB030B">
      <w:pPr>
        <w:ind w:firstLine="720"/>
        <w:jc w:val="both"/>
        <w:rPr>
          <w:rFonts w:ascii="Times New Roman" w:eastAsia="Calibri" w:hAnsi="Times New Roman" w:cs="Times New Roman"/>
          <w:b/>
          <w:sz w:val="22"/>
          <w:szCs w:val="22"/>
          <w:lang w:val="pt-BR"/>
        </w:rPr>
      </w:pPr>
      <w:r w:rsidRPr="00913ACD">
        <w:rPr>
          <w:rFonts w:ascii="Times New Roman" w:hAnsi="Times New Roman" w:cs="Times New Roman"/>
          <w:b/>
          <w:sz w:val="22"/>
          <w:szCs w:val="22"/>
          <w:lang w:val="pt-BR"/>
        </w:rPr>
        <w:t>Gestão d</w:t>
      </w:r>
      <w:r w:rsidR="0036292C" w:rsidRPr="00913ACD">
        <w:rPr>
          <w:rFonts w:ascii="Times New Roman" w:hAnsi="Times New Roman" w:cs="Times New Roman"/>
          <w:b/>
          <w:sz w:val="22"/>
          <w:szCs w:val="22"/>
          <w:lang w:val="pt-BR"/>
        </w:rPr>
        <w:t>o</w:t>
      </w:r>
      <w:r w:rsidRPr="00913ACD">
        <w:rPr>
          <w:rFonts w:ascii="Times New Roman" w:hAnsi="Times New Roman" w:cs="Times New Roman"/>
          <w:b/>
          <w:sz w:val="22"/>
          <w:szCs w:val="22"/>
          <w:lang w:val="pt-BR"/>
        </w:rPr>
        <w:t xml:space="preserve"> </w:t>
      </w:r>
      <w:r w:rsidR="0036292C" w:rsidRPr="00913ACD">
        <w:rPr>
          <w:rFonts w:ascii="Times New Roman" w:hAnsi="Times New Roman" w:cs="Times New Roman"/>
          <w:b/>
          <w:sz w:val="22"/>
          <w:szCs w:val="22"/>
          <w:lang w:val="pt-BR"/>
        </w:rPr>
        <w:t>r</w:t>
      </w:r>
      <w:r w:rsidRPr="00913ACD">
        <w:rPr>
          <w:rFonts w:ascii="Times New Roman" w:hAnsi="Times New Roman" w:cs="Times New Roman"/>
          <w:b/>
          <w:sz w:val="22"/>
          <w:szCs w:val="22"/>
          <w:lang w:val="pt-BR"/>
        </w:rPr>
        <w:t xml:space="preserve">isco de </w:t>
      </w:r>
      <w:r w:rsidR="0036292C" w:rsidRPr="00913ACD">
        <w:rPr>
          <w:rFonts w:ascii="Times New Roman" w:hAnsi="Times New Roman" w:cs="Times New Roman"/>
          <w:b/>
          <w:sz w:val="22"/>
          <w:szCs w:val="22"/>
          <w:lang w:val="pt-BR"/>
        </w:rPr>
        <w:t>d</w:t>
      </w:r>
      <w:r w:rsidRPr="00913ACD">
        <w:rPr>
          <w:rFonts w:ascii="Times New Roman" w:hAnsi="Times New Roman" w:cs="Times New Roman"/>
          <w:b/>
          <w:sz w:val="22"/>
          <w:szCs w:val="22"/>
          <w:lang w:val="pt-BR"/>
        </w:rPr>
        <w:t xml:space="preserve">esastres e </w:t>
      </w:r>
      <w:r w:rsidR="0036292C" w:rsidRPr="00913ACD">
        <w:rPr>
          <w:rFonts w:ascii="Times New Roman" w:hAnsi="Times New Roman" w:cs="Times New Roman"/>
          <w:b/>
          <w:sz w:val="22"/>
          <w:szCs w:val="22"/>
          <w:lang w:val="pt-BR"/>
        </w:rPr>
        <w:t>a</w:t>
      </w:r>
      <w:r w:rsidRPr="00913ACD">
        <w:rPr>
          <w:rFonts w:ascii="Times New Roman" w:hAnsi="Times New Roman" w:cs="Times New Roman"/>
          <w:b/>
          <w:sz w:val="22"/>
          <w:szCs w:val="22"/>
          <w:lang w:val="pt-BR"/>
        </w:rPr>
        <w:t xml:space="preserve">daptação à </w:t>
      </w:r>
      <w:r w:rsidR="0036292C" w:rsidRPr="00913ACD">
        <w:rPr>
          <w:rFonts w:ascii="Times New Roman" w:hAnsi="Times New Roman" w:cs="Times New Roman"/>
          <w:b/>
          <w:sz w:val="22"/>
          <w:szCs w:val="22"/>
          <w:lang w:val="pt-BR"/>
        </w:rPr>
        <w:t>m</w:t>
      </w:r>
      <w:r w:rsidRPr="00913ACD">
        <w:rPr>
          <w:rFonts w:ascii="Times New Roman" w:hAnsi="Times New Roman" w:cs="Times New Roman"/>
          <w:b/>
          <w:sz w:val="22"/>
          <w:szCs w:val="22"/>
          <w:lang w:val="pt-BR"/>
        </w:rPr>
        <w:t>udança</w:t>
      </w:r>
      <w:r w:rsidR="0036292C" w:rsidRPr="00913ACD">
        <w:rPr>
          <w:rFonts w:ascii="Times New Roman" w:hAnsi="Times New Roman" w:cs="Times New Roman"/>
          <w:b/>
          <w:sz w:val="22"/>
          <w:szCs w:val="22"/>
          <w:lang w:val="pt-BR"/>
        </w:rPr>
        <w:t xml:space="preserve"> do clima</w:t>
      </w:r>
    </w:p>
    <w:p w14:paraId="59BB69D1" w14:textId="77777777" w:rsidR="00A52779" w:rsidRPr="00913ACD" w:rsidRDefault="00A52779" w:rsidP="00CB030B">
      <w:pPr>
        <w:jc w:val="both"/>
        <w:rPr>
          <w:rFonts w:ascii="Times New Roman" w:eastAsia="Calibri" w:hAnsi="Times New Roman" w:cs="Times New Roman"/>
          <w:sz w:val="22"/>
          <w:szCs w:val="22"/>
          <w:lang w:val="pt-BR"/>
        </w:rPr>
      </w:pPr>
    </w:p>
    <w:p w14:paraId="05D74A06" w14:textId="6BF3BEEF"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Reforço</w:t>
      </w:r>
      <w:r w:rsidR="00AB794E" w:rsidRPr="00913ACD">
        <w:rPr>
          <w:rFonts w:ascii="Times New Roman" w:hAnsi="Times New Roman" w:cs="Times New Roman"/>
          <w:sz w:val="22"/>
          <w:szCs w:val="22"/>
          <w:lang w:val="pt-BR"/>
        </w:rPr>
        <w:t>u</w:t>
      </w:r>
      <w:r w:rsidRPr="00913ACD">
        <w:rPr>
          <w:rFonts w:ascii="Times New Roman" w:hAnsi="Times New Roman" w:cs="Times New Roman"/>
          <w:sz w:val="22"/>
          <w:szCs w:val="22"/>
          <w:lang w:val="pt-BR"/>
        </w:rPr>
        <w:t xml:space="preserve"> </w:t>
      </w:r>
      <w:r w:rsidR="00AB794E" w:rsidRPr="00913ACD">
        <w:rPr>
          <w:rFonts w:ascii="Times New Roman" w:hAnsi="Times New Roman" w:cs="Times New Roman"/>
          <w:sz w:val="22"/>
          <w:szCs w:val="22"/>
          <w:lang w:val="pt-BR"/>
        </w:rPr>
        <w:t xml:space="preserve">o fortalecimento </w:t>
      </w:r>
      <w:r w:rsidR="00A210F1">
        <w:rPr>
          <w:rFonts w:ascii="Times New Roman" w:hAnsi="Times New Roman" w:cs="Times New Roman"/>
          <w:sz w:val="22"/>
          <w:szCs w:val="22"/>
          <w:lang w:val="pt-BR"/>
        </w:rPr>
        <w:t>d</w:t>
      </w:r>
      <w:r w:rsidRPr="00913ACD">
        <w:rPr>
          <w:rFonts w:ascii="Times New Roman" w:hAnsi="Times New Roman" w:cs="Times New Roman"/>
          <w:sz w:val="22"/>
          <w:szCs w:val="22"/>
          <w:lang w:val="pt-BR"/>
        </w:rPr>
        <w:t xml:space="preserve">a compreensão do processo de continuidade de negócios </w:t>
      </w:r>
      <w:r w:rsidR="002F0F98" w:rsidRPr="00913ACD">
        <w:rPr>
          <w:rFonts w:ascii="Times New Roman" w:hAnsi="Times New Roman" w:cs="Times New Roman"/>
          <w:sz w:val="22"/>
          <w:szCs w:val="22"/>
          <w:lang w:val="pt-BR"/>
        </w:rPr>
        <w:t xml:space="preserve">por meio </w:t>
      </w:r>
      <w:r w:rsidRPr="00913ACD">
        <w:rPr>
          <w:rFonts w:ascii="Times New Roman" w:hAnsi="Times New Roman" w:cs="Times New Roman"/>
          <w:sz w:val="22"/>
          <w:szCs w:val="22"/>
          <w:lang w:val="pt-BR"/>
        </w:rPr>
        <w:t xml:space="preserve">de ferramentas e técnicas práticas que as </w:t>
      </w:r>
      <w:r w:rsidR="005927D6" w:rsidRPr="00913ACD">
        <w:rPr>
          <w:rFonts w:ascii="Times New Roman" w:hAnsi="Times New Roman" w:cs="Times New Roman"/>
          <w:sz w:val="22"/>
          <w:szCs w:val="22"/>
          <w:lang w:val="pt-BR"/>
        </w:rPr>
        <w:t>p</w:t>
      </w:r>
      <w:r w:rsidRPr="00913ACD">
        <w:rPr>
          <w:rFonts w:ascii="Times New Roman" w:hAnsi="Times New Roman" w:cs="Times New Roman"/>
          <w:sz w:val="22"/>
          <w:szCs w:val="22"/>
          <w:lang w:val="pt-BR"/>
        </w:rPr>
        <w:t xml:space="preserve">equenas </w:t>
      </w:r>
      <w:r w:rsidR="005927D6"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mpresas de </w:t>
      </w:r>
      <w:r w:rsidR="005927D6" w:rsidRPr="00913ACD">
        <w:rPr>
          <w:rFonts w:ascii="Times New Roman" w:hAnsi="Times New Roman" w:cs="Times New Roman"/>
          <w:sz w:val="22"/>
          <w:szCs w:val="22"/>
          <w:lang w:val="pt-BR"/>
        </w:rPr>
        <w:t>t</w:t>
      </w:r>
      <w:r w:rsidRPr="00913ACD">
        <w:rPr>
          <w:rFonts w:ascii="Times New Roman" w:hAnsi="Times New Roman" w:cs="Times New Roman"/>
          <w:sz w:val="22"/>
          <w:szCs w:val="22"/>
          <w:lang w:val="pt-BR"/>
        </w:rPr>
        <w:t xml:space="preserve">urismo </w:t>
      </w:r>
      <w:r w:rsidR="005927D6" w:rsidRPr="00913ACD">
        <w:rPr>
          <w:rFonts w:ascii="Times New Roman" w:hAnsi="Times New Roman" w:cs="Times New Roman"/>
          <w:sz w:val="22"/>
          <w:szCs w:val="22"/>
          <w:lang w:val="pt-BR"/>
        </w:rPr>
        <w:t>d</w:t>
      </w:r>
      <w:r w:rsidRPr="00913ACD">
        <w:rPr>
          <w:rFonts w:ascii="Times New Roman" w:hAnsi="Times New Roman" w:cs="Times New Roman"/>
          <w:sz w:val="22"/>
          <w:szCs w:val="22"/>
          <w:lang w:val="pt-BR"/>
        </w:rPr>
        <w:t xml:space="preserve">o Caribe podem usar para examinar áreas que podem afetar </w:t>
      </w:r>
      <w:r w:rsidR="00232B04">
        <w:rPr>
          <w:rFonts w:ascii="Times New Roman" w:hAnsi="Times New Roman" w:cs="Times New Roman"/>
          <w:sz w:val="22"/>
          <w:szCs w:val="22"/>
          <w:lang w:val="pt-BR"/>
        </w:rPr>
        <w:t>su</w:t>
      </w:r>
      <w:r w:rsidRPr="00913ACD">
        <w:rPr>
          <w:rFonts w:ascii="Times New Roman" w:hAnsi="Times New Roman" w:cs="Times New Roman"/>
          <w:sz w:val="22"/>
          <w:szCs w:val="22"/>
          <w:lang w:val="pt-BR"/>
        </w:rPr>
        <w:t>as operações. 68 participantes d</w:t>
      </w:r>
      <w:r w:rsidR="00185FED" w:rsidRPr="00913ACD">
        <w:rPr>
          <w:rFonts w:ascii="Times New Roman" w:hAnsi="Times New Roman" w:cs="Times New Roman"/>
          <w:sz w:val="22"/>
          <w:szCs w:val="22"/>
          <w:lang w:val="pt-BR"/>
        </w:rPr>
        <w:t xml:space="preserve">os 13 </w:t>
      </w:r>
      <w:r w:rsidRPr="00913ACD">
        <w:rPr>
          <w:rFonts w:ascii="Times New Roman" w:hAnsi="Times New Roman" w:cs="Times New Roman"/>
          <w:sz w:val="22"/>
          <w:szCs w:val="22"/>
          <w:lang w:val="pt-BR"/>
        </w:rPr>
        <w:t xml:space="preserve">países do projeto participaram das sessões de treinamento de quatro partes, com </w:t>
      </w:r>
      <w:r w:rsidR="00965529" w:rsidRPr="00913ACD">
        <w:rPr>
          <w:rFonts w:ascii="Times New Roman" w:hAnsi="Times New Roman" w:cs="Times New Roman"/>
          <w:sz w:val="22"/>
          <w:szCs w:val="22"/>
          <w:lang w:val="pt-BR"/>
        </w:rPr>
        <w:t xml:space="preserve">14 </w:t>
      </w:r>
      <w:r w:rsidRPr="00913ACD">
        <w:rPr>
          <w:rFonts w:ascii="Times New Roman" w:hAnsi="Times New Roman" w:cs="Times New Roman"/>
          <w:sz w:val="22"/>
          <w:szCs w:val="22"/>
          <w:lang w:val="pt-BR"/>
        </w:rPr>
        <w:t>pessoas recebendo certificações de conclusão e 53</w:t>
      </w:r>
      <w:r w:rsidR="00C61715">
        <w:rPr>
          <w:rFonts w:ascii="Times New Roman" w:hAnsi="Times New Roman" w:cs="Times New Roman"/>
          <w:sz w:val="22"/>
          <w:szCs w:val="22"/>
          <w:lang w:val="pt-BR"/>
        </w:rPr>
        <w:t xml:space="preserve">, </w:t>
      </w:r>
      <w:r w:rsidRPr="00913ACD">
        <w:rPr>
          <w:rFonts w:ascii="Times New Roman" w:hAnsi="Times New Roman" w:cs="Times New Roman"/>
          <w:sz w:val="22"/>
          <w:szCs w:val="22"/>
          <w:lang w:val="pt-BR"/>
        </w:rPr>
        <w:t>certificações de participação.</w:t>
      </w:r>
    </w:p>
    <w:p w14:paraId="2F3F8C84" w14:textId="77777777" w:rsidR="00A52779" w:rsidRPr="00913ACD" w:rsidRDefault="00A52779" w:rsidP="00CB030B">
      <w:pPr>
        <w:ind w:left="1440" w:hanging="720"/>
        <w:jc w:val="both"/>
        <w:rPr>
          <w:rFonts w:ascii="Times New Roman" w:eastAsia="Calibri" w:hAnsi="Times New Roman" w:cs="Times New Roman"/>
          <w:sz w:val="22"/>
          <w:szCs w:val="22"/>
          <w:lang w:val="pt-BR"/>
        </w:rPr>
      </w:pPr>
    </w:p>
    <w:p w14:paraId="4332BD2E" w14:textId="3CBB3C57"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 xml:space="preserve">Facilitou a entrega de treinamentos CERT para </w:t>
      </w:r>
      <w:r w:rsidR="009253D3" w:rsidRPr="00913ACD">
        <w:rPr>
          <w:rFonts w:ascii="Times New Roman" w:hAnsi="Times New Roman" w:cs="Times New Roman"/>
          <w:sz w:val="22"/>
          <w:szCs w:val="22"/>
          <w:lang w:val="pt-BR"/>
        </w:rPr>
        <w:t>p</w:t>
      </w:r>
      <w:r w:rsidRPr="00913ACD">
        <w:rPr>
          <w:rFonts w:ascii="Times New Roman" w:hAnsi="Times New Roman" w:cs="Times New Roman"/>
          <w:sz w:val="22"/>
          <w:szCs w:val="22"/>
          <w:lang w:val="pt-BR"/>
        </w:rPr>
        <w:t xml:space="preserve">equenas </w:t>
      </w:r>
      <w:r w:rsidR="009253D3"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mpresas de </w:t>
      </w:r>
      <w:r w:rsidR="009253D3" w:rsidRPr="00913ACD">
        <w:rPr>
          <w:rFonts w:ascii="Times New Roman" w:hAnsi="Times New Roman" w:cs="Times New Roman"/>
          <w:sz w:val="22"/>
          <w:szCs w:val="22"/>
          <w:lang w:val="pt-BR"/>
        </w:rPr>
        <w:t>t</w:t>
      </w:r>
      <w:r w:rsidRPr="00913ACD">
        <w:rPr>
          <w:rFonts w:ascii="Times New Roman" w:hAnsi="Times New Roman" w:cs="Times New Roman"/>
          <w:sz w:val="22"/>
          <w:szCs w:val="22"/>
          <w:lang w:val="pt-BR"/>
        </w:rPr>
        <w:t xml:space="preserve">urismo em comunidades locais em cinco países (Bahamas, Barbados, Belize, Jamaica e Santa Lúcia) </w:t>
      </w:r>
      <w:r w:rsidR="00611E15" w:rsidRPr="00913ACD">
        <w:rPr>
          <w:rFonts w:ascii="Times New Roman" w:hAnsi="Times New Roman" w:cs="Times New Roman"/>
          <w:sz w:val="22"/>
          <w:szCs w:val="22"/>
          <w:lang w:val="pt-BR"/>
        </w:rPr>
        <w:t xml:space="preserve">por meio </w:t>
      </w:r>
      <w:r w:rsidRPr="00913ACD">
        <w:rPr>
          <w:rFonts w:ascii="Times New Roman" w:hAnsi="Times New Roman" w:cs="Times New Roman"/>
          <w:sz w:val="22"/>
          <w:szCs w:val="22"/>
          <w:lang w:val="pt-BR"/>
        </w:rPr>
        <w:t>d</w:t>
      </w:r>
      <w:r w:rsidR="0059365E"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 </w:t>
      </w:r>
      <w:r w:rsidR="0059365E" w:rsidRPr="00913ACD">
        <w:rPr>
          <w:rFonts w:ascii="Times New Roman" w:hAnsi="Times New Roman" w:cs="Times New Roman"/>
          <w:sz w:val="22"/>
          <w:szCs w:val="22"/>
          <w:lang w:val="pt-BR"/>
        </w:rPr>
        <w:t>a</w:t>
      </w:r>
      <w:r w:rsidRPr="00913ACD">
        <w:rPr>
          <w:rFonts w:ascii="Times New Roman" w:hAnsi="Times New Roman" w:cs="Times New Roman"/>
          <w:sz w:val="22"/>
          <w:szCs w:val="22"/>
          <w:lang w:val="pt-BR"/>
        </w:rPr>
        <w:t xml:space="preserve">gências de </w:t>
      </w:r>
      <w:r w:rsidR="0059365E" w:rsidRPr="00913ACD">
        <w:rPr>
          <w:rFonts w:ascii="Times New Roman" w:hAnsi="Times New Roman" w:cs="Times New Roman"/>
          <w:sz w:val="22"/>
          <w:szCs w:val="22"/>
          <w:lang w:val="pt-BR"/>
        </w:rPr>
        <w:t>g</w:t>
      </w:r>
      <w:r w:rsidRPr="00913ACD">
        <w:rPr>
          <w:rFonts w:ascii="Times New Roman" w:hAnsi="Times New Roman" w:cs="Times New Roman"/>
          <w:sz w:val="22"/>
          <w:szCs w:val="22"/>
          <w:lang w:val="pt-BR"/>
        </w:rPr>
        <w:t xml:space="preserve">erenciamento de </w:t>
      </w:r>
      <w:r w:rsidR="0059365E"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mergências e </w:t>
      </w:r>
      <w:r w:rsidR="0059365E" w:rsidRPr="00913ACD">
        <w:rPr>
          <w:rFonts w:ascii="Times New Roman" w:hAnsi="Times New Roman" w:cs="Times New Roman"/>
          <w:sz w:val="22"/>
          <w:szCs w:val="22"/>
          <w:lang w:val="pt-BR"/>
        </w:rPr>
        <w:t>m</w:t>
      </w:r>
      <w:r w:rsidRPr="00913ACD">
        <w:rPr>
          <w:rFonts w:ascii="Times New Roman" w:hAnsi="Times New Roman" w:cs="Times New Roman"/>
          <w:sz w:val="22"/>
          <w:szCs w:val="22"/>
          <w:lang w:val="pt-BR"/>
        </w:rPr>
        <w:t xml:space="preserve">inistérios do </w:t>
      </w:r>
      <w:r w:rsidR="0059365E" w:rsidRPr="00913ACD">
        <w:rPr>
          <w:rFonts w:ascii="Times New Roman" w:hAnsi="Times New Roman" w:cs="Times New Roman"/>
          <w:sz w:val="22"/>
          <w:szCs w:val="22"/>
          <w:lang w:val="pt-BR"/>
        </w:rPr>
        <w:t>t</w:t>
      </w:r>
      <w:r w:rsidRPr="00913ACD">
        <w:rPr>
          <w:rFonts w:ascii="Times New Roman" w:hAnsi="Times New Roman" w:cs="Times New Roman"/>
          <w:sz w:val="22"/>
          <w:szCs w:val="22"/>
          <w:lang w:val="pt-BR"/>
        </w:rPr>
        <w:t>urismo. Mais de 120 pessoas foram treinadas e certifica</w:t>
      </w:r>
      <w:r w:rsidR="005028AC">
        <w:rPr>
          <w:rFonts w:ascii="Times New Roman" w:hAnsi="Times New Roman" w:cs="Times New Roman"/>
          <w:sz w:val="22"/>
          <w:szCs w:val="22"/>
          <w:lang w:val="pt-BR"/>
        </w:rPr>
        <w:t>das</w:t>
      </w:r>
      <w:r w:rsidRPr="00913ACD">
        <w:rPr>
          <w:rFonts w:ascii="Times New Roman" w:hAnsi="Times New Roman" w:cs="Times New Roman"/>
          <w:sz w:val="22"/>
          <w:szCs w:val="22"/>
          <w:lang w:val="pt-BR"/>
        </w:rPr>
        <w:t xml:space="preserve"> em habilidades básicas de CERT como parte do projeto </w:t>
      </w:r>
      <w:r w:rsidRPr="00913ACD">
        <w:rPr>
          <w:rFonts w:ascii="Times New Roman" w:hAnsi="Times New Roman" w:cs="Times New Roman"/>
          <w:b/>
          <w:sz w:val="22"/>
          <w:szCs w:val="22"/>
          <w:lang w:val="pt-BR"/>
        </w:rPr>
        <w:t>Construindo Resiliência de Pequenas Empresas de Turismo no Caribe</w:t>
      </w:r>
      <w:r w:rsidR="00C20180" w:rsidRPr="00913ACD">
        <w:rPr>
          <w:rFonts w:ascii="Times New Roman" w:hAnsi="Times New Roman" w:cs="Times New Roman"/>
          <w:b/>
          <w:sz w:val="22"/>
          <w:szCs w:val="22"/>
          <w:lang w:val="pt-BR"/>
        </w:rPr>
        <w:t xml:space="preserve"> aos Desastres</w:t>
      </w:r>
      <w:r w:rsidRPr="00913ACD">
        <w:rPr>
          <w:rFonts w:ascii="Times New Roman" w:hAnsi="Times New Roman" w:cs="Times New Roman"/>
          <w:i/>
          <w:sz w:val="22"/>
          <w:szCs w:val="22"/>
          <w:lang w:val="pt-BR"/>
        </w:rPr>
        <w:t>.</w:t>
      </w:r>
    </w:p>
    <w:p w14:paraId="54FE08EB" w14:textId="77777777" w:rsidR="00A52779" w:rsidRPr="00913ACD" w:rsidRDefault="00A52779" w:rsidP="00CB030B">
      <w:pPr>
        <w:ind w:left="1440" w:hanging="720"/>
        <w:jc w:val="both"/>
        <w:rPr>
          <w:rFonts w:ascii="Times New Roman" w:eastAsia="Calibri" w:hAnsi="Times New Roman" w:cs="Times New Roman"/>
          <w:sz w:val="22"/>
          <w:szCs w:val="22"/>
          <w:lang w:val="pt-BR"/>
        </w:rPr>
      </w:pPr>
    </w:p>
    <w:p w14:paraId="0C906382" w14:textId="527983D4"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 xml:space="preserve">Apresentou um </w:t>
      </w:r>
      <w:r w:rsidR="00D20A7B" w:rsidRPr="00913ACD">
        <w:rPr>
          <w:rFonts w:ascii="Times New Roman" w:hAnsi="Times New Roman" w:cs="Times New Roman"/>
          <w:sz w:val="22"/>
          <w:szCs w:val="22"/>
          <w:lang w:val="pt-BR"/>
        </w:rPr>
        <w:t>f</w:t>
      </w:r>
      <w:r w:rsidRPr="00913ACD">
        <w:rPr>
          <w:rFonts w:ascii="Times New Roman" w:hAnsi="Times New Roman" w:cs="Times New Roman"/>
          <w:sz w:val="22"/>
          <w:szCs w:val="22"/>
          <w:lang w:val="pt-BR"/>
        </w:rPr>
        <w:t xml:space="preserve">órum </w:t>
      </w:r>
      <w:r w:rsidR="008C6D0E" w:rsidRPr="00913ACD">
        <w:rPr>
          <w:rFonts w:ascii="Times New Roman" w:hAnsi="Times New Roman" w:cs="Times New Roman"/>
          <w:sz w:val="22"/>
          <w:szCs w:val="22"/>
          <w:lang w:val="pt-BR"/>
        </w:rPr>
        <w:t xml:space="preserve">presencial </w:t>
      </w:r>
      <w:r w:rsidRPr="00913ACD">
        <w:rPr>
          <w:rFonts w:ascii="Times New Roman" w:hAnsi="Times New Roman" w:cs="Times New Roman"/>
          <w:sz w:val="22"/>
          <w:szCs w:val="22"/>
          <w:lang w:val="pt-BR"/>
        </w:rPr>
        <w:t xml:space="preserve">de </w:t>
      </w:r>
      <w:r w:rsidR="00D20A7B" w:rsidRPr="00913ACD">
        <w:rPr>
          <w:rFonts w:ascii="Times New Roman" w:hAnsi="Times New Roman" w:cs="Times New Roman"/>
          <w:sz w:val="22"/>
          <w:szCs w:val="22"/>
          <w:lang w:val="pt-BR"/>
        </w:rPr>
        <w:t>p</w:t>
      </w:r>
      <w:r w:rsidRPr="00913ACD">
        <w:rPr>
          <w:rFonts w:ascii="Times New Roman" w:hAnsi="Times New Roman" w:cs="Times New Roman"/>
          <w:sz w:val="22"/>
          <w:szCs w:val="22"/>
          <w:lang w:val="pt-BR"/>
        </w:rPr>
        <w:t xml:space="preserve">olíticas de </w:t>
      </w:r>
      <w:r w:rsidR="00D20A7B" w:rsidRPr="00913ACD">
        <w:rPr>
          <w:rFonts w:ascii="Times New Roman" w:hAnsi="Times New Roman" w:cs="Times New Roman"/>
          <w:sz w:val="22"/>
          <w:szCs w:val="22"/>
          <w:lang w:val="pt-BR"/>
        </w:rPr>
        <w:t>a</w:t>
      </w:r>
      <w:r w:rsidRPr="00913ACD">
        <w:rPr>
          <w:rFonts w:ascii="Times New Roman" w:hAnsi="Times New Roman" w:cs="Times New Roman"/>
          <w:sz w:val="22"/>
          <w:szCs w:val="22"/>
          <w:lang w:val="pt-BR"/>
        </w:rPr>
        <w:t xml:space="preserve">lto </w:t>
      </w:r>
      <w:r w:rsidR="00D20A7B" w:rsidRPr="00913ACD">
        <w:rPr>
          <w:rFonts w:ascii="Times New Roman" w:hAnsi="Times New Roman" w:cs="Times New Roman"/>
          <w:sz w:val="22"/>
          <w:szCs w:val="22"/>
          <w:lang w:val="pt-BR"/>
        </w:rPr>
        <w:t>n</w:t>
      </w:r>
      <w:r w:rsidRPr="00913ACD">
        <w:rPr>
          <w:rFonts w:ascii="Times New Roman" w:hAnsi="Times New Roman" w:cs="Times New Roman"/>
          <w:sz w:val="22"/>
          <w:szCs w:val="22"/>
          <w:lang w:val="pt-BR"/>
        </w:rPr>
        <w:t xml:space="preserve">ível organizado pelo Ministério do Turismo da Jamaica – que incluiu a participação dos </w:t>
      </w:r>
      <w:r w:rsidR="008C6D0E" w:rsidRPr="00913ACD">
        <w:rPr>
          <w:rFonts w:ascii="Times New Roman" w:hAnsi="Times New Roman" w:cs="Times New Roman"/>
          <w:sz w:val="22"/>
          <w:szCs w:val="22"/>
          <w:lang w:val="pt-BR"/>
        </w:rPr>
        <w:t xml:space="preserve">13 </w:t>
      </w:r>
      <w:r w:rsidRPr="00913ACD">
        <w:rPr>
          <w:rFonts w:ascii="Times New Roman" w:hAnsi="Times New Roman" w:cs="Times New Roman"/>
          <w:sz w:val="22"/>
          <w:szCs w:val="22"/>
          <w:lang w:val="pt-BR"/>
        </w:rPr>
        <w:t xml:space="preserve">países </w:t>
      </w:r>
      <w:r w:rsidR="008C6D0E" w:rsidRPr="00913ACD">
        <w:rPr>
          <w:rFonts w:ascii="Times New Roman" w:hAnsi="Times New Roman" w:cs="Times New Roman"/>
          <w:sz w:val="22"/>
          <w:szCs w:val="22"/>
          <w:lang w:val="pt-BR"/>
        </w:rPr>
        <w:t xml:space="preserve">integrantes </w:t>
      </w:r>
      <w:r w:rsidRPr="00913ACD">
        <w:rPr>
          <w:rFonts w:ascii="Times New Roman" w:hAnsi="Times New Roman" w:cs="Times New Roman"/>
          <w:sz w:val="22"/>
          <w:szCs w:val="22"/>
          <w:lang w:val="pt-BR"/>
        </w:rPr>
        <w:t xml:space="preserve">do projeto – para a validação dos resultados e </w:t>
      </w:r>
      <w:r w:rsidR="00445567" w:rsidRPr="00913ACD">
        <w:rPr>
          <w:rFonts w:ascii="Times New Roman" w:hAnsi="Times New Roman" w:cs="Times New Roman"/>
          <w:sz w:val="22"/>
          <w:szCs w:val="22"/>
          <w:lang w:val="pt-BR"/>
        </w:rPr>
        <w:t xml:space="preserve">das </w:t>
      </w:r>
      <w:r w:rsidRPr="00913ACD">
        <w:rPr>
          <w:rFonts w:ascii="Times New Roman" w:hAnsi="Times New Roman" w:cs="Times New Roman"/>
          <w:sz w:val="22"/>
          <w:szCs w:val="22"/>
          <w:lang w:val="pt-BR"/>
        </w:rPr>
        <w:t xml:space="preserve">recomendações da pesquisa de avaliação holística de mais de 600 </w:t>
      </w:r>
      <w:r w:rsidR="00445567" w:rsidRPr="00913ACD">
        <w:rPr>
          <w:rFonts w:ascii="Times New Roman" w:hAnsi="Times New Roman" w:cs="Times New Roman"/>
          <w:sz w:val="22"/>
          <w:szCs w:val="22"/>
          <w:lang w:val="pt-BR"/>
        </w:rPr>
        <w:t>p</w:t>
      </w:r>
      <w:r w:rsidRPr="00913ACD">
        <w:rPr>
          <w:rFonts w:ascii="Times New Roman" w:hAnsi="Times New Roman" w:cs="Times New Roman"/>
          <w:sz w:val="22"/>
          <w:szCs w:val="22"/>
          <w:lang w:val="pt-BR"/>
        </w:rPr>
        <w:t xml:space="preserve">equenas </w:t>
      </w:r>
      <w:r w:rsidR="00445567"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mpresas de </w:t>
      </w:r>
      <w:r w:rsidR="00445567" w:rsidRPr="00913ACD">
        <w:rPr>
          <w:rFonts w:ascii="Times New Roman" w:hAnsi="Times New Roman" w:cs="Times New Roman"/>
          <w:sz w:val="22"/>
          <w:szCs w:val="22"/>
          <w:lang w:val="pt-BR"/>
        </w:rPr>
        <w:t>t</w:t>
      </w:r>
      <w:r w:rsidRPr="00913ACD">
        <w:rPr>
          <w:rFonts w:ascii="Times New Roman" w:hAnsi="Times New Roman" w:cs="Times New Roman"/>
          <w:sz w:val="22"/>
          <w:szCs w:val="22"/>
          <w:lang w:val="pt-BR"/>
        </w:rPr>
        <w:t xml:space="preserve">urismo, </w:t>
      </w:r>
      <w:r w:rsidR="00A61249">
        <w:rPr>
          <w:rFonts w:ascii="Times New Roman" w:hAnsi="Times New Roman" w:cs="Times New Roman"/>
          <w:sz w:val="22"/>
          <w:szCs w:val="22"/>
          <w:lang w:val="pt-BR"/>
        </w:rPr>
        <w:t xml:space="preserve">identificação </w:t>
      </w:r>
      <w:r w:rsidRPr="00913ACD">
        <w:rPr>
          <w:rFonts w:ascii="Times New Roman" w:hAnsi="Times New Roman" w:cs="Times New Roman"/>
          <w:sz w:val="22"/>
          <w:szCs w:val="22"/>
          <w:lang w:val="pt-BR"/>
        </w:rPr>
        <w:t xml:space="preserve">dos desafios </w:t>
      </w:r>
      <w:r w:rsidR="00AD5DC1">
        <w:rPr>
          <w:rFonts w:ascii="Times New Roman" w:hAnsi="Times New Roman" w:cs="Times New Roman"/>
          <w:sz w:val="22"/>
          <w:szCs w:val="22"/>
          <w:lang w:val="pt-BR"/>
        </w:rPr>
        <w:t>à</w:t>
      </w:r>
      <w:r w:rsidRPr="00913ACD">
        <w:rPr>
          <w:rFonts w:ascii="Times New Roman" w:hAnsi="Times New Roman" w:cs="Times New Roman"/>
          <w:sz w:val="22"/>
          <w:szCs w:val="22"/>
          <w:lang w:val="pt-BR"/>
        </w:rPr>
        <w:t xml:space="preserve"> continuidade de negócios pós-desastre de </w:t>
      </w:r>
      <w:r w:rsidR="009F4736" w:rsidRPr="00913ACD">
        <w:rPr>
          <w:rFonts w:ascii="Times New Roman" w:hAnsi="Times New Roman" w:cs="Times New Roman"/>
          <w:sz w:val="22"/>
          <w:szCs w:val="22"/>
          <w:lang w:val="pt-BR"/>
        </w:rPr>
        <w:t>p</w:t>
      </w:r>
      <w:r w:rsidRPr="00913ACD">
        <w:rPr>
          <w:rFonts w:ascii="Times New Roman" w:hAnsi="Times New Roman" w:cs="Times New Roman"/>
          <w:sz w:val="22"/>
          <w:szCs w:val="22"/>
          <w:lang w:val="pt-BR"/>
        </w:rPr>
        <w:t xml:space="preserve">equenas </w:t>
      </w:r>
      <w:r w:rsidR="009F4736"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mpresas de </w:t>
      </w:r>
      <w:r w:rsidR="009F4736" w:rsidRPr="00913ACD">
        <w:rPr>
          <w:rFonts w:ascii="Times New Roman" w:hAnsi="Times New Roman" w:cs="Times New Roman"/>
          <w:sz w:val="22"/>
          <w:szCs w:val="22"/>
          <w:lang w:val="pt-BR"/>
        </w:rPr>
        <w:t>t</w:t>
      </w:r>
      <w:r w:rsidRPr="00913ACD">
        <w:rPr>
          <w:rFonts w:ascii="Times New Roman" w:hAnsi="Times New Roman" w:cs="Times New Roman"/>
          <w:sz w:val="22"/>
          <w:szCs w:val="22"/>
          <w:lang w:val="pt-BR"/>
        </w:rPr>
        <w:t>urismo e validação dos procedimentos para comunicações de crise e planejamento de continuidade de negócios.</w:t>
      </w:r>
    </w:p>
    <w:p w14:paraId="1A4624E1" w14:textId="77777777" w:rsidR="00A52779" w:rsidRPr="00913ACD" w:rsidRDefault="00A52779" w:rsidP="00CB030B">
      <w:pPr>
        <w:ind w:left="1440" w:hanging="720"/>
        <w:jc w:val="both"/>
        <w:rPr>
          <w:rFonts w:ascii="Times New Roman" w:eastAsia="Calibri" w:hAnsi="Times New Roman" w:cs="Times New Roman"/>
          <w:sz w:val="22"/>
          <w:szCs w:val="22"/>
          <w:lang w:val="pt-BR"/>
        </w:rPr>
      </w:pPr>
    </w:p>
    <w:p w14:paraId="10019D7D" w14:textId="4CE56D4C"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 xml:space="preserve">Apoiou a coordenação e a organização de uma </w:t>
      </w:r>
      <w:r w:rsidR="006C6515" w:rsidRPr="00913ACD">
        <w:rPr>
          <w:rFonts w:ascii="Times New Roman" w:hAnsi="Times New Roman" w:cs="Times New Roman"/>
          <w:sz w:val="22"/>
          <w:szCs w:val="22"/>
          <w:lang w:val="pt-BR"/>
        </w:rPr>
        <w:t>c</w:t>
      </w:r>
      <w:r w:rsidRPr="00913ACD">
        <w:rPr>
          <w:rFonts w:ascii="Times New Roman" w:hAnsi="Times New Roman" w:cs="Times New Roman"/>
          <w:sz w:val="22"/>
          <w:szCs w:val="22"/>
          <w:lang w:val="pt-BR"/>
        </w:rPr>
        <w:t xml:space="preserve">onferência de </w:t>
      </w:r>
      <w:r w:rsidR="006C6515" w:rsidRPr="00913ACD">
        <w:rPr>
          <w:rFonts w:ascii="Times New Roman" w:hAnsi="Times New Roman" w:cs="Times New Roman"/>
          <w:sz w:val="22"/>
          <w:szCs w:val="22"/>
          <w:lang w:val="pt-BR"/>
        </w:rPr>
        <w:t>a</w:t>
      </w:r>
      <w:r w:rsidRPr="00913ACD">
        <w:rPr>
          <w:rFonts w:ascii="Times New Roman" w:hAnsi="Times New Roman" w:cs="Times New Roman"/>
          <w:sz w:val="22"/>
          <w:szCs w:val="22"/>
          <w:lang w:val="pt-BR"/>
        </w:rPr>
        <w:t xml:space="preserve">lto </w:t>
      </w:r>
      <w:r w:rsidR="006C6515" w:rsidRPr="00913ACD">
        <w:rPr>
          <w:rFonts w:ascii="Times New Roman" w:hAnsi="Times New Roman" w:cs="Times New Roman"/>
          <w:sz w:val="22"/>
          <w:szCs w:val="22"/>
          <w:lang w:val="pt-BR"/>
        </w:rPr>
        <w:t>n</w:t>
      </w:r>
      <w:r w:rsidRPr="00913ACD">
        <w:rPr>
          <w:rFonts w:ascii="Times New Roman" w:hAnsi="Times New Roman" w:cs="Times New Roman"/>
          <w:sz w:val="22"/>
          <w:szCs w:val="22"/>
          <w:lang w:val="pt-BR"/>
        </w:rPr>
        <w:t xml:space="preserve">ível sobre a conscientização e a compreensão de como a </w:t>
      </w:r>
      <w:r w:rsidR="00B0663D" w:rsidRPr="00913ACD">
        <w:rPr>
          <w:rFonts w:ascii="Times New Roman" w:hAnsi="Times New Roman" w:cs="Times New Roman"/>
          <w:sz w:val="22"/>
          <w:szCs w:val="22"/>
          <w:lang w:val="pt-BR"/>
        </w:rPr>
        <w:t>c</w:t>
      </w:r>
      <w:r w:rsidRPr="00913ACD">
        <w:rPr>
          <w:rFonts w:ascii="Times New Roman" w:hAnsi="Times New Roman" w:cs="Times New Roman"/>
          <w:sz w:val="22"/>
          <w:szCs w:val="22"/>
          <w:lang w:val="pt-BR"/>
        </w:rPr>
        <w:t xml:space="preserve">iência e os </w:t>
      </w:r>
      <w:r w:rsidR="00B0663D" w:rsidRPr="00913ACD">
        <w:rPr>
          <w:rFonts w:ascii="Times New Roman" w:hAnsi="Times New Roman" w:cs="Times New Roman"/>
          <w:sz w:val="22"/>
          <w:szCs w:val="22"/>
          <w:lang w:val="pt-BR"/>
        </w:rPr>
        <w:t>d</w:t>
      </w:r>
      <w:r w:rsidRPr="00913ACD">
        <w:rPr>
          <w:rFonts w:ascii="Times New Roman" w:hAnsi="Times New Roman" w:cs="Times New Roman"/>
          <w:sz w:val="22"/>
          <w:szCs w:val="22"/>
          <w:lang w:val="pt-BR"/>
        </w:rPr>
        <w:t>ados podem moldar as políticas para a construção de resiliência e ge</w:t>
      </w:r>
      <w:r w:rsidR="00B0663D" w:rsidRPr="00913ACD">
        <w:rPr>
          <w:rFonts w:ascii="Times New Roman" w:hAnsi="Times New Roman" w:cs="Times New Roman"/>
          <w:sz w:val="22"/>
          <w:szCs w:val="22"/>
          <w:lang w:val="pt-BR"/>
        </w:rPr>
        <w:t xml:space="preserve">stão </w:t>
      </w:r>
      <w:r w:rsidRPr="00913ACD">
        <w:rPr>
          <w:rFonts w:ascii="Times New Roman" w:hAnsi="Times New Roman" w:cs="Times New Roman"/>
          <w:sz w:val="22"/>
          <w:szCs w:val="22"/>
          <w:lang w:val="pt-BR"/>
        </w:rPr>
        <w:t>d</w:t>
      </w:r>
      <w:r w:rsidR="00B0663D" w:rsidRPr="00913ACD">
        <w:rPr>
          <w:rFonts w:ascii="Times New Roman" w:hAnsi="Times New Roman" w:cs="Times New Roman"/>
          <w:sz w:val="22"/>
          <w:szCs w:val="22"/>
          <w:lang w:val="pt-BR"/>
        </w:rPr>
        <w:t>o</w:t>
      </w:r>
      <w:r w:rsidRPr="00913ACD">
        <w:rPr>
          <w:rFonts w:ascii="Times New Roman" w:hAnsi="Times New Roman" w:cs="Times New Roman"/>
          <w:sz w:val="22"/>
          <w:szCs w:val="22"/>
          <w:lang w:val="pt-BR"/>
        </w:rPr>
        <w:t xml:space="preserve"> risco de desastres no Caribe. Nove países do Caribe (Bahamas, Barbados, Belize, Dominica, Jamaica, Santa Lúcia, Suriname e Trinidad e Tobago) participaram presencial</w:t>
      </w:r>
      <w:r w:rsidR="00CC7B29" w:rsidRPr="00913ACD">
        <w:rPr>
          <w:rFonts w:ascii="Times New Roman" w:hAnsi="Times New Roman" w:cs="Times New Roman"/>
          <w:sz w:val="22"/>
          <w:szCs w:val="22"/>
          <w:lang w:val="pt-BR"/>
        </w:rPr>
        <w:t>mente do evento</w:t>
      </w:r>
      <w:r w:rsidRPr="00913ACD">
        <w:rPr>
          <w:rFonts w:ascii="Times New Roman" w:hAnsi="Times New Roman" w:cs="Times New Roman"/>
          <w:sz w:val="22"/>
          <w:szCs w:val="22"/>
          <w:lang w:val="pt-BR"/>
        </w:rPr>
        <w:t xml:space="preserve"> organizado pelo </w:t>
      </w:r>
      <w:r w:rsidR="0062286A">
        <w:rPr>
          <w:rFonts w:ascii="Times New Roman" w:hAnsi="Times New Roman" w:cs="Times New Roman"/>
          <w:sz w:val="22"/>
          <w:szCs w:val="22"/>
          <w:lang w:val="pt-BR"/>
        </w:rPr>
        <w:t>G</w:t>
      </w:r>
      <w:r w:rsidRPr="00913ACD">
        <w:rPr>
          <w:rFonts w:ascii="Times New Roman" w:hAnsi="Times New Roman" w:cs="Times New Roman"/>
          <w:sz w:val="22"/>
          <w:szCs w:val="22"/>
          <w:lang w:val="pt-BR"/>
        </w:rPr>
        <w:t>overno de Dominica.</w:t>
      </w:r>
    </w:p>
    <w:p w14:paraId="29037E68" w14:textId="77777777" w:rsidR="00A52779" w:rsidRPr="00913ACD" w:rsidRDefault="00A52779" w:rsidP="00CB030B">
      <w:pPr>
        <w:ind w:left="1440" w:hanging="720"/>
        <w:jc w:val="both"/>
        <w:rPr>
          <w:rFonts w:ascii="Times New Roman" w:eastAsia="Calibri" w:hAnsi="Times New Roman" w:cs="Times New Roman"/>
          <w:sz w:val="22"/>
          <w:szCs w:val="22"/>
          <w:lang w:val="pt-BR"/>
        </w:rPr>
      </w:pPr>
    </w:p>
    <w:p w14:paraId="061525E4" w14:textId="6C6997DD"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Em parceria com a Universidade das Índias Ocidentais</w:t>
      </w:r>
      <w:r w:rsidR="00962AA3">
        <w:rPr>
          <w:rFonts w:ascii="Times New Roman" w:hAnsi="Times New Roman" w:cs="Times New Roman"/>
          <w:sz w:val="22"/>
          <w:szCs w:val="22"/>
          <w:lang w:val="pt-BR"/>
        </w:rPr>
        <w:t xml:space="preserve"> (UWI)</w:t>
      </w:r>
      <w:r w:rsidRPr="00913ACD">
        <w:rPr>
          <w:rFonts w:ascii="Times New Roman" w:hAnsi="Times New Roman" w:cs="Times New Roman"/>
          <w:sz w:val="22"/>
          <w:szCs w:val="22"/>
          <w:lang w:val="pt-BR"/>
        </w:rPr>
        <w:t xml:space="preserve">, desenvolveu </w:t>
      </w:r>
      <w:r w:rsidR="00C4756D" w:rsidRPr="00913ACD">
        <w:rPr>
          <w:rFonts w:ascii="Times New Roman" w:hAnsi="Times New Roman" w:cs="Times New Roman"/>
          <w:sz w:val="22"/>
          <w:szCs w:val="22"/>
          <w:lang w:val="pt-BR"/>
        </w:rPr>
        <w:t xml:space="preserve">as </w:t>
      </w:r>
      <w:r w:rsidRPr="00913ACD">
        <w:rPr>
          <w:rFonts w:ascii="Times New Roman" w:hAnsi="Times New Roman" w:cs="Times New Roman"/>
          <w:sz w:val="22"/>
          <w:szCs w:val="22"/>
          <w:lang w:val="pt-BR"/>
        </w:rPr>
        <w:t xml:space="preserve">Diretrizes Processuais de Comunicação de Crise para ajudar as </w:t>
      </w:r>
      <w:r w:rsidR="00C4756D" w:rsidRPr="00913ACD">
        <w:rPr>
          <w:rFonts w:ascii="Times New Roman" w:hAnsi="Times New Roman" w:cs="Times New Roman"/>
          <w:sz w:val="22"/>
          <w:szCs w:val="22"/>
          <w:lang w:val="pt-BR"/>
        </w:rPr>
        <w:t>p</w:t>
      </w:r>
      <w:r w:rsidRPr="00913ACD">
        <w:rPr>
          <w:rFonts w:ascii="Times New Roman" w:hAnsi="Times New Roman" w:cs="Times New Roman"/>
          <w:sz w:val="22"/>
          <w:szCs w:val="22"/>
          <w:lang w:val="pt-BR"/>
        </w:rPr>
        <w:t xml:space="preserve">equenas </w:t>
      </w:r>
      <w:r w:rsidR="00C4756D"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mpresas de </w:t>
      </w:r>
      <w:r w:rsidR="00C4756D" w:rsidRPr="00913ACD">
        <w:rPr>
          <w:rFonts w:ascii="Times New Roman" w:hAnsi="Times New Roman" w:cs="Times New Roman"/>
          <w:sz w:val="22"/>
          <w:szCs w:val="22"/>
          <w:lang w:val="pt-BR"/>
        </w:rPr>
        <w:t>t</w:t>
      </w:r>
      <w:r w:rsidRPr="00913ACD">
        <w:rPr>
          <w:rFonts w:ascii="Times New Roman" w:hAnsi="Times New Roman" w:cs="Times New Roman"/>
          <w:sz w:val="22"/>
          <w:szCs w:val="22"/>
          <w:lang w:val="pt-BR"/>
        </w:rPr>
        <w:t xml:space="preserve">urismo </w:t>
      </w:r>
      <w:r w:rsidR="00C4756D" w:rsidRPr="00913ACD">
        <w:rPr>
          <w:rFonts w:ascii="Times New Roman" w:hAnsi="Times New Roman" w:cs="Times New Roman"/>
          <w:sz w:val="22"/>
          <w:szCs w:val="22"/>
          <w:lang w:val="pt-BR"/>
        </w:rPr>
        <w:t>d</w:t>
      </w:r>
      <w:r w:rsidRPr="00913ACD">
        <w:rPr>
          <w:rFonts w:ascii="Times New Roman" w:hAnsi="Times New Roman" w:cs="Times New Roman"/>
          <w:sz w:val="22"/>
          <w:szCs w:val="22"/>
          <w:lang w:val="pt-BR"/>
        </w:rPr>
        <w:t>o Caribe a identificar crises potenciais e implementar estratégias para planejar, ger</w:t>
      </w:r>
      <w:r w:rsidR="00363F14" w:rsidRPr="00913ACD">
        <w:rPr>
          <w:rFonts w:ascii="Times New Roman" w:hAnsi="Times New Roman" w:cs="Times New Roman"/>
          <w:sz w:val="22"/>
          <w:szCs w:val="22"/>
          <w:lang w:val="pt-BR"/>
        </w:rPr>
        <w:t>i</w:t>
      </w:r>
      <w:r w:rsidRPr="00913ACD">
        <w:rPr>
          <w:rFonts w:ascii="Times New Roman" w:hAnsi="Times New Roman" w:cs="Times New Roman"/>
          <w:sz w:val="22"/>
          <w:szCs w:val="22"/>
          <w:lang w:val="pt-BR"/>
        </w:rPr>
        <w:t xml:space="preserve">r e responder de acordo </w:t>
      </w:r>
      <w:r w:rsidR="00363F14" w:rsidRPr="00913ACD">
        <w:rPr>
          <w:rFonts w:ascii="Times New Roman" w:hAnsi="Times New Roman" w:cs="Times New Roman"/>
          <w:sz w:val="22"/>
          <w:szCs w:val="22"/>
          <w:lang w:val="pt-BR"/>
        </w:rPr>
        <w:t xml:space="preserve">a situação </w:t>
      </w:r>
      <w:r w:rsidR="00E95817" w:rsidRPr="00913ACD">
        <w:rPr>
          <w:rFonts w:ascii="Times New Roman" w:hAnsi="Times New Roman" w:cs="Times New Roman"/>
          <w:sz w:val="22"/>
          <w:szCs w:val="22"/>
          <w:lang w:val="pt-BR"/>
        </w:rPr>
        <w:t xml:space="preserve">e </w:t>
      </w:r>
      <w:r w:rsidRPr="00913ACD">
        <w:rPr>
          <w:rFonts w:ascii="Times New Roman" w:hAnsi="Times New Roman" w:cs="Times New Roman"/>
          <w:sz w:val="22"/>
          <w:szCs w:val="22"/>
          <w:lang w:val="pt-BR"/>
        </w:rPr>
        <w:t xml:space="preserve">se recuperar rapidamente durante e após um desastre. As </w:t>
      </w:r>
      <w:r w:rsidR="00BD7B05">
        <w:rPr>
          <w:rFonts w:ascii="Times New Roman" w:hAnsi="Times New Roman" w:cs="Times New Roman"/>
          <w:sz w:val="22"/>
          <w:szCs w:val="22"/>
          <w:lang w:val="pt-BR"/>
        </w:rPr>
        <w:t>Diretrizes</w:t>
      </w:r>
      <w:r w:rsidRPr="00913ACD">
        <w:rPr>
          <w:rFonts w:ascii="Times New Roman" w:hAnsi="Times New Roman" w:cs="Times New Roman"/>
          <w:sz w:val="22"/>
          <w:szCs w:val="22"/>
          <w:lang w:val="pt-BR"/>
        </w:rPr>
        <w:t xml:space="preserve"> Processuais foram divulgadas a mais de 600 partes interessadas.</w:t>
      </w:r>
    </w:p>
    <w:p w14:paraId="779A5A47" w14:textId="77863C4B" w:rsidR="00156BC2" w:rsidRPr="00913ACD" w:rsidRDefault="00156BC2" w:rsidP="00CB030B">
      <w:pPr>
        <w:ind w:left="1440" w:hanging="720"/>
        <w:jc w:val="both"/>
        <w:rPr>
          <w:rFonts w:ascii="Times New Roman" w:eastAsia="Calibri" w:hAnsi="Times New Roman" w:cs="Times New Roman"/>
          <w:sz w:val="22"/>
          <w:szCs w:val="22"/>
          <w:lang w:val="pt-BR"/>
        </w:rPr>
      </w:pPr>
    </w:p>
    <w:p w14:paraId="6BF02CAC" w14:textId="4D0D7722"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bookmarkStart w:id="4" w:name="_Hlk118914990"/>
      <w:r w:rsidRPr="00913ACD">
        <w:rPr>
          <w:rFonts w:ascii="Times New Roman" w:hAnsi="Times New Roman" w:cs="Times New Roman"/>
          <w:sz w:val="22"/>
          <w:szCs w:val="22"/>
          <w:lang w:val="pt-BR"/>
        </w:rPr>
        <w:t xml:space="preserve">Realizou treinamento CERT na </w:t>
      </w:r>
      <w:r w:rsidR="00E95817" w:rsidRPr="00913ACD">
        <w:rPr>
          <w:rFonts w:ascii="Times New Roman" w:hAnsi="Times New Roman" w:cs="Times New Roman"/>
          <w:sz w:val="22"/>
          <w:szCs w:val="22"/>
          <w:lang w:val="pt-BR"/>
        </w:rPr>
        <w:t>r</w:t>
      </w:r>
      <w:r w:rsidRPr="00913ACD">
        <w:rPr>
          <w:rFonts w:ascii="Times New Roman" w:hAnsi="Times New Roman" w:cs="Times New Roman"/>
          <w:sz w:val="22"/>
          <w:szCs w:val="22"/>
          <w:lang w:val="pt-BR"/>
        </w:rPr>
        <w:t xml:space="preserve">egião de Trifinio (Honduras). O treinamento fortaleceu as capacidades das comunidades do Plano Trifinio (El Salvador, Honduras e Guatemala), para que, com seus próprios meios e recursos, possam enfrentar uma emergência ou desastre antes da chegada das equipes profissionais. 40 </w:t>
      </w:r>
      <w:r w:rsidR="00C67D84" w:rsidRPr="00913ACD">
        <w:rPr>
          <w:rFonts w:ascii="Times New Roman" w:hAnsi="Times New Roman" w:cs="Times New Roman"/>
          <w:sz w:val="22"/>
          <w:szCs w:val="22"/>
          <w:lang w:val="pt-BR"/>
        </w:rPr>
        <w:t>membros</w:t>
      </w:r>
      <w:r w:rsidRPr="00913ACD">
        <w:rPr>
          <w:rFonts w:ascii="Times New Roman" w:hAnsi="Times New Roman" w:cs="Times New Roman"/>
          <w:sz w:val="22"/>
          <w:szCs w:val="22"/>
          <w:lang w:val="pt-BR"/>
        </w:rPr>
        <w:t xml:space="preserve"> da comunidade de </w:t>
      </w:r>
      <w:r w:rsidR="00360B7E" w:rsidRPr="00913ACD">
        <w:rPr>
          <w:rFonts w:ascii="Times New Roman" w:hAnsi="Times New Roman" w:cs="Times New Roman"/>
          <w:sz w:val="22"/>
          <w:szCs w:val="22"/>
          <w:lang w:val="pt-BR"/>
        </w:rPr>
        <w:t xml:space="preserve">14 </w:t>
      </w:r>
      <w:r w:rsidRPr="00913ACD">
        <w:rPr>
          <w:rFonts w:ascii="Times New Roman" w:hAnsi="Times New Roman" w:cs="Times New Roman"/>
          <w:sz w:val="22"/>
          <w:szCs w:val="22"/>
          <w:lang w:val="pt-BR"/>
        </w:rPr>
        <w:t xml:space="preserve">instituições municipais foram treinados e certificados </w:t>
      </w:r>
      <w:r w:rsidR="00965711" w:rsidRPr="00913ACD">
        <w:rPr>
          <w:rFonts w:ascii="Times New Roman" w:hAnsi="Times New Roman" w:cs="Times New Roman"/>
          <w:sz w:val="22"/>
          <w:szCs w:val="22"/>
          <w:lang w:val="pt-BR"/>
        </w:rPr>
        <w:t xml:space="preserve">em </w:t>
      </w:r>
      <w:r w:rsidRPr="00913ACD">
        <w:rPr>
          <w:rFonts w:ascii="Times New Roman" w:hAnsi="Times New Roman" w:cs="Times New Roman"/>
          <w:sz w:val="22"/>
          <w:szCs w:val="22"/>
          <w:lang w:val="pt-BR"/>
        </w:rPr>
        <w:t xml:space="preserve">CERT; eles agora são agentes multiplicadores do programa, apoiando atividades preventivas e de resposta de </w:t>
      </w:r>
      <w:r w:rsidR="00965711" w:rsidRPr="00913ACD">
        <w:rPr>
          <w:rFonts w:ascii="Times New Roman" w:hAnsi="Times New Roman" w:cs="Times New Roman"/>
          <w:sz w:val="22"/>
          <w:szCs w:val="22"/>
          <w:lang w:val="pt-BR"/>
        </w:rPr>
        <w:t>gestão do risco de d</w:t>
      </w:r>
      <w:r w:rsidRPr="00913ACD">
        <w:rPr>
          <w:rFonts w:ascii="Times New Roman" w:hAnsi="Times New Roman" w:cs="Times New Roman"/>
          <w:sz w:val="22"/>
          <w:szCs w:val="22"/>
          <w:lang w:val="pt-BR"/>
        </w:rPr>
        <w:t xml:space="preserve">esastres </w:t>
      </w:r>
      <w:r w:rsidR="00AC22DC">
        <w:rPr>
          <w:rFonts w:ascii="Times New Roman" w:hAnsi="Times New Roman" w:cs="Times New Roman"/>
          <w:sz w:val="22"/>
          <w:szCs w:val="22"/>
          <w:lang w:val="pt-BR"/>
        </w:rPr>
        <w:t xml:space="preserve">em </w:t>
      </w:r>
      <w:r w:rsidRPr="00913ACD">
        <w:rPr>
          <w:rFonts w:ascii="Times New Roman" w:hAnsi="Times New Roman" w:cs="Times New Roman"/>
          <w:sz w:val="22"/>
          <w:szCs w:val="22"/>
          <w:lang w:val="pt-BR"/>
        </w:rPr>
        <w:t>organizações públicas e privadas.</w:t>
      </w:r>
      <w:bookmarkEnd w:id="4"/>
    </w:p>
    <w:p w14:paraId="77EEB532" w14:textId="77777777" w:rsidR="00A52779" w:rsidRPr="00913ACD" w:rsidRDefault="00A52779" w:rsidP="00CB030B">
      <w:pPr>
        <w:ind w:left="1440" w:hanging="720"/>
        <w:jc w:val="both"/>
        <w:rPr>
          <w:rFonts w:ascii="Times New Roman" w:eastAsia="Calibri" w:hAnsi="Times New Roman" w:cs="Times New Roman"/>
          <w:sz w:val="22"/>
          <w:szCs w:val="22"/>
          <w:lang w:val="pt-BR"/>
        </w:rPr>
      </w:pPr>
    </w:p>
    <w:p w14:paraId="1BAA42F7" w14:textId="16FC7222"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 xml:space="preserve">Preencheu e manteve a base de dados </w:t>
      </w:r>
      <w:r w:rsidR="00156BC2" w:rsidRPr="00913ACD">
        <w:rPr>
          <w:rFonts w:ascii="Times New Roman" w:hAnsi="Times New Roman" w:cs="Times New Roman"/>
          <w:sz w:val="22"/>
          <w:szCs w:val="22"/>
          <w:lang w:val="pt-BR"/>
        </w:rPr>
        <w:t>on</w:t>
      </w:r>
      <w:r w:rsidR="0015041E" w:rsidRPr="00913ACD">
        <w:rPr>
          <w:rFonts w:ascii="Times New Roman" w:hAnsi="Times New Roman" w:cs="Times New Roman"/>
          <w:sz w:val="22"/>
          <w:szCs w:val="22"/>
          <w:lang w:val="pt-BR"/>
        </w:rPr>
        <w:t>-</w:t>
      </w:r>
      <w:r w:rsidR="00156BC2" w:rsidRPr="00913ACD">
        <w:rPr>
          <w:rFonts w:ascii="Times New Roman" w:hAnsi="Times New Roman" w:cs="Times New Roman"/>
          <w:sz w:val="22"/>
          <w:szCs w:val="22"/>
          <w:lang w:val="pt-BR"/>
        </w:rPr>
        <w:t>line da Rede</w:t>
      </w:r>
      <w:r w:rsidRPr="00913ACD">
        <w:rPr>
          <w:rFonts w:ascii="Times New Roman" w:hAnsi="Times New Roman" w:cs="Times New Roman"/>
          <w:sz w:val="22"/>
          <w:szCs w:val="22"/>
          <w:lang w:val="pt-BR"/>
        </w:rPr>
        <w:t xml:space="preserve"> Interamericana de Mitigação de</w:t>
      </w:r>
      <w:r w:rsidR="00C51D8E" w:rsidRPr="00913ACD">
        <w:rPr>
          <w:rFonts w:ascii="Times New Roman" w:hAnsi="Times New Roman" w:cs="Times New Roman"/>
          <w:sz w:val="22"/>
          <w:szCs w:val="22"/>
          <w:lang w:val="pt-BR"/>
        </w:rPr>
        <w:t xml:space="preserve"> </w:t>
      </w:r>
      <w:r w:rsidR="00156BC2" w:rsidRPr="00913ACD">
        <w:rPr>
          <w:rFonts w:ascii="Times New Roman" w:hAnsi="Times New Roman" w:cs="Times New Roman"/>
          <w:sz w:val="22"/>
          <w:szCs w:val="22"/>
          <w:lang w:val="pt-BR"/>
        </w:rPr>
        <w:t>Desastres (</w:t>
      </w:r>
      <w:r w:rsidR="00455D55" w:rsidRPr="00913ACD">
        <w:rPr>
          <w:rFonts w:ascii="Times New Roman" w:hAnsi="Times New Roman" w:cs="Times New Roman"/>
          <w:sz w:val="22"/>
          <w:szCs w:val="22"/>
          <w:lang w:val="pt-BR"/>
        </w:rPr>
        <w:t>RIMD</w:t>
      </w:r>
      <w:r w:rsidR="00156BC2" w:rsidRPr="00913ACD">
        <w:rPr>
          <w:rFonts w:ascii="Times New Roman" w:hAnsi="Times New Roman" w:cs="Times New Roman"/>
          <w:sz w:val="22"/>
          <w:szCs w:val="22"/>
          <w:lang w:val="pt-BR"/>
        </w:rPr>
        <w:t>) em colaboração com a Junta Interamericana de Defesa, particularmente no que se refere a</w:t>
      </w:r>
      <w:r w:rsidR="00E92C93" w:rsidRPr="00913ACD">
        <w:rPr>
          <w:rFonts w:ascii="Times New Roman" w:hAnsi="Times New Roman" w:cs="Times New Roman"/>
          <w:sz w:val="22"/>
          <w:szCs w:val="22"/>
          <w:lang w:val="pt-BR"/>
        </w:rPr>
        <w:t>:</w:t>
      </w:r>
      <w:r w:rsidR="00156BC2" w:rsidRPr="00913ACD">
        <w:rPr>
          <w:rFonts w:ascii="Times New Roman" w:hAnsi="Times New Roman" w:cs="Times New Roman"/>
          <w:sz w:val="22"/>
          <w:szCs w:val="22"/>
          <w:lang w:val="pt-BR"/>
        </w:rPr>
        <w:t xml:space="preserve"> 1) autoridades nacionais coordenadoras responsáveis pela oferta, aceitação e solicitação de resposta internacional a desastres; 2) capacidades nacionais de resposta a desastres internacionais, integrando todas as capacidades civis e militares, públicas e privadas</w:t>
      </w:r>
      <w:r w:rsidR="00857F38">
        <w:rPr>
          <w:rFonts w:ascii="Times New Roman" w:hAnsi="Times New Roman" w:cs="Times New Roman"/>
          <w:sz w:val="22"/>
          <w:szCs w:val="22"/>
          <w:lang w:val="pt-BR"/>
        </w:rPr>
        <w:t xml:space="preserve"> e</w:t>
      </w:r>
      <w:r w:rsidR="00156BC2" w:rsidRPr="00913ACD">
        <w:rPr>
          <w:rFonts w:ascii="Times New Roman" w:hAnsi="Times New Roman" w:cs="Times New Roman"/>
          <w:sz w:val="22"/>
          <w:szCs w:val="22"/>
          <w:lang w:val="pt-BR"/>
        </w:rPr>
        <w:t xml:space="preserve"> ONGs; 3) acordos multilaterais e bilaterais para a resposta internacional a catástrofes, incluindo acordos de ajuda mútua; e 4) toda a legislação e regulamentos nacionais </w:t>
      </w:r>
      <w:r w:rsidR="00BF42C8" w:rsidRPr="00913ACD">
        <w:rPr>
          <w:rFonts w:ascii="Times New Roman" w:hAnsi="Times New Roman" w:cs="Times New Roman"/>
          <w:sz w:val="22"/>
          <w:szCs w:val="22"/>
          <w:lang w:val="pt-BR"/>
        </w:rPr>
        <w:t xml:space="preserve">para o </w:t>
      </w:r>
      <w:r w:rsidR="00156BC2" w:rsidRPr="00913ACD">
        <w:rPr>
          <w:rFonts w:ascii="Times New Roman" w:hAnsi="Times New Roman" w:cs="Times New Roman"/>
          <w:sz w:val="22"/>
          <w:szCs w:val="22"/>
          <w:lang w:val="pt-BR"/>
        </w:rPr>
        <w:t>caso de desastres que informem e regulem a resposta internacional a desastres.</w:t>
      </w:r>
    </w:p>
    <w:p w14:paraId="6DD7C4AF" w14:textId="77777777" w:rsidR="00A52779" w:rsidRPr="00913ACD" w:rsidRDefault="00A52779" w:rsidP="00CB030B">
      <w:pPr>
        <w:jc w:val="both"/>
        <w:rPr>
          <w:rFonts w:ascii="Times New Roman" w:eastAsia="Calibri" w:hAnsi="Times New Roman" w:cs="Times New Roman"/>
          <w:sz w:val="22"/>
          <w:szCs w:val="22"/>
          <w:lang w:val="pt-BR"/>
        </w:rPr>
      </w:pPr>
    </w:p>
    <w:p w14:paraId="09A16E4E" w14:textId="46B8FE9E"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Desenvolv</w:t>
      </w:r>
      <w:r w:rsidR="00563BB3" w:rsidRPr="00913ACD">
        <w:rPr>
          <w:rFonts w:ascii="Times New Roman" w:hAnsi="Times New Roman" w:cs="Times New Roman"/>
          <w:sz w:val="22"/>
          <w:szCs w:val="22"/>
          <w:lang w:val="pt-BR"/>
        </w:rPr>
        <w:t>eu</w:t>
      </w:r>
      <w:r w:rsidRPr="00913ACD">
        <w:rPr>
          <w:rFonts w:ascii="Times New Roman" w:hAnsi="Times New Roman" w:cs="Times New Roman"/>
          <w:sz w:val="22"/>
          <w:szCs w:val="22"/>
          <w:lang w:val="pt-BR"/>
        </w:rPr>
        <w:t xml:space="preserve"> termos de referência e contrat</w:t>
      </w:r>
      <w:r w:rsidR="00563BB3" w:rsidRPr="00913ACD">
        <w:rPr>
          <w:rFonts w:ascii="Times New Roman" w:hAnsi="Times New Roman" w:cs="Times New Roman"/>
          <w:sz w:val="22"/>
          <w:szCs w:val="22"/>
          <w:lang w:val="pt-BR"/>
        </w:rPr>
        <w:t xml:space="preserve">ou </w:t>
      </w:r>
      <w:r w:rsidRPr="00913ACD">
        <w:rPr>
          <w:rFonts w:ascii="Times New Roman" w:hAnsi="Times New Roman" w:cs="Times New Roman"/>
          <w:sz w:val="22"/>
          <w:szCs w:val="22"/>
          <w:lang w:val="pt-BR"/>
        </w:rPr>
        <w:t xml:space="preserve">um consultor para apoiar o desenvolvimento e </w:t>
      </w:r>
      <w:r w:rsidR="007902D9">
        <w:rPr>
          <w:rFonts w:ascii="Times New Roman" w:hAnsi="Times New Roman" w:cs="Times New Roman"/>
          <w:sz w:val="22"/>
          <w:szCs w:val="22"/>
          <w:lang w:val="pt-BR"/>
        </w:rPr>
        <w:t xml:space="preserve">o </w:t>
      </w:r>
      <w:r w:rsidRPr="00913ACD">
        <w:rPr>
          <w:rFonts w:ascii="Times New Roman" w:hAnsi="Times New Roman" w:cs="Times New Roman"/>
          <w:sz w:val="22"/>
          <w:szCs w:val="22"/>
          <w:lang w:val="pt-BR"/>
        </w:rPr>
        <w:t>aprimoramento d</w:t>
      </w:r>
      <w:r w:rsidR="00C8128E">
        <w:rPr>
          <w:rFonts w:ascii="Times New Roman" w:hAnsi="Times New Roman" w:cs="Times New Roman"/>
          <w:sz w:val="22"/>
          <w:szCs w:val="22"/>
          <w:lang w:val="pt-BR"/>
        </w:rPr>
        <w:t>a</w:t>
      </w:r>
      <w:r w:rsidRPr="00913ACD">
        <w:rPr>
          <w:rFonts w:ascii="Times New Roman" w:hAnsi="Times New Roman" w:cs="Times New Roman"/>
          <w:sz w:val="22"/>
          <w:szCs w:val="22"/>
          <w:lang w:val="pt-BR"/>
        </w:rPr>
        <w:t xml:space="preserve"> </w:t>
      </w:r>
      <w:r w:rsidR="00455D55" w:rsidRPr="00913ACD">
        <w:rPr>
          <w:rFonts w:ascii="Times New Roman" w:hAnsi="Times New Roman" w:cs="Times New Roman"/>
          <w:sz w:val="22"/>
          <w:szCs w:val="22"/>
          <w:lang w:val="pt-BR"/>
        </w:rPr>
        <w:t>RIMD</w:t>
      </w:r>
      <w:r w:rsidRPr="00913ACD">
        <w:rPr>
          <w:rFonts w:ascii="Times New Roman" w:hAnsi="Times New Roman" w:cs="Times New Roman"/>
          <w:sz w:val="22"/>
          <w:szCs w:val="22"/>
          <w:lang w:val="pt-BR"/>
        </w:rPr>
        <w:t xml:space="preserve"> on-line. O banco de dados será lançado em 2023 e fornecerá um </w:t>
      </w:r>
      <w:r w:rsidR="0015041E" w:rsidRPr="00913ACD">
        <w:rPr>
          <w:rFonts w:ascii="Times New Roman" w:hAnsi="Times New Roman" w:cs="Times New Roman"/>
          <w:sz w:val="22"/>
          <w:szCs w:val="22"/>
          <w:lang w:val="pt-BR"/>
        </w:rPr>
        <w:t xml:space="preserve">site </w:t>
      </w:r>
      <w:r w:rsidRPr="00913ACD">
        <w:rPr>
          <w:rFonts w:ascii="Times New Roman" w:hAnsi="Times New Roman" w:cs="Times New Roman"/>
          <w:sz w:val="22"/>
          <w:szCs w:val="22"/>
          <w:lang w:val="pt-BR"/>
        </w:rPr>
        <w:t xml:space="preserve">único </w:t>
      </w:r>
      <w:r w:rsidR="00A60F73" w:rsidRPr="00913ACD">
        <w:rPr>
          <w:rFonts w:ascii="Times New Roman" w:hAnsi="Times New Roman" w:cs="Times New Roman"/>
          <w:sz w:val="22"/>
          <w:szCs w:val="22"/>
          <w:lang w:val="pt-BR"/>
        </w:rPr>
        <w:t xml:space="preserve">em que </w:t>
      </w:r>
      <w:r w:rsidRPr="00913ACD">
        <w:rPr>
          <w:rFonts w:ascii="Times New Roman" w:hAnsi="Times New Roman" w:cs="Times New Roman"/>
          <w:sz w:val="22"/>
          <w:szCs w:val="22"/>
          <w:lang w:val="pt-BR"/>
        </w:rPr>
        <w:t xml:space="preserve">os países </w:t>
      </w:r>
      <w:r w:rsidR="00A60F73" w:rsidRPr="00913ACD">
        <w:rPr>
          <w:rFonts w:ascii="Times New Roman" w:hAnsi="Times New Roman" w:cs="Times New Roman"/>
          <w:sz w:val="22"/>
          <w:szCs w:val="22"/>
          <w:lang w:val="pt-BR"/>
        </w:rPr>
        <w:t>possam acessar o</w:t>
      </w:r>
      <w:r w:rsidRPr="00913ACD">
        <w:rPr>
          <w:rFonts w:ascii="Times New Roman" w:hAnsi="Times New Roman" w:cs="Times New Roman"/>
          <w:sz w:val="22"/>
          <w:szCs w:val="22"/>
          <w:lang w:val="pt-BR"/>
        </w:rPr>
        <w:t>s principais responsáveis p</w:t>
      </w:r>
      <w:r w:rsidR="00A60F73" w:rsidRPr="00913ACD">
        <w:rPr>
          <w:rFonts w:ascii="Times New Roman" w:hAnsi="Times New Roman" w:cs="Times New Roman"/>
          <w:sz w:val="22"/>
          <w:szCs w:val="22"/>
          <w:lang w:val="pt-BR"/>
        </w:rPr>
        <w:t xml:space="preserve">ela resposta a </w:t>
      </w:r>
      <w:r w:rsidRPr="00913ACD">
        <w:rPr>
          <w:rFonts w:ascii="Times New Roman" w:hAnsi="Times New Roman" w:cs="Times New Roman"/>
          <w:sz w:val="22"/>
          <w:szCs w:val="22"/>
          <w:lang w:val="pt-BR"/>
        </w:rPr>
        <w:t xml:space="preserve">desastres no </w:t>
      </w:r>
      <w:r w:rsidR="00A60F73" w:rsidRPr="00913ACD">
        <w:rPr>
          <w:rFonts w:ascii="Times New Roman" w:hAnsi="Times New Roman" w:cs="Times New Roman"/>
          <w:sz w:val="22"/>
          <w:szCs w:val="22"/>
          <w:lang w:val="pt-BR"/>
        </w:rPr>
        <w:t>H</w:t>
      </w:r>
      <w:r w:rsidRPr="00913ACD">
        <w:rPr>
          <w:rFonts w:ascii="Times New Roman" w:hAnsi="Times New Roman" w:cs="Times New Roman"/>
          <w:sz w:val="22"/>
          <w:szCs w:val="22"/>
          <w:lang w:val="pt-BR"/>
        </w:rPr>
        <w:t xml:space="preserve">emisfério, permitindo o intercâmbio mais eficiente de conhecimentos e recursos críticos em todo o </w:t>
      </w:r>
      <w:r w:rsidR="00B01C8B" w:rsidRPr="00913ACD">
        <w:rPr>
          <w:rFonts w:ascii="Times New Roman" w:hAnsi="Times New Roman" w:cs="Times New Roman"/>
          <w:sz w:val="22"/>
          <w:szCs w:val="22"/>
          <w:lang w:val="pt-BR"/>
        </w:rPr>
        <w:t>H</w:t>
      </w:r>
      <w:r w:rsidRPr="00913ACD">
        <w:rPr>
          <w:rFonts w:ascii="Times New Roman" w:hAnsi="Times New Roman" w:cs="Times New Roman"/>
          <w:sz w:val="22"/>
          <w:szCs w:val="22"/>
          <w:lang w:val="pt-BR"/>
        </w:rPr>
        <w:t>emisfério.</w:t>
      </w:r>
    </w:p>
    <w:p w14:paraId="11115C36" w14:textId="77777777" w:rsidR="00A52779" w:rsidRPr="00913ACD" w:rsidRDefault="00A52779" w:rsidP="00CB030B">
      <w:pPr>
        <w:jc w:val="both"/>
        <w:rPr>
          <w:rFonts w:ascii="Times New Roman" w:eastAsia="Calibri" w:hAnsi="Times New Roman" w:cs="Times New Roman"/>
          <w:sz w:val="22"/>
          <w:szCs w:val="22"/>
          <w:lang w:val="pt-BR"/>
        </w:rPr>
      </w:pPr>
    </w:p>
    <w:p w14:paraId="620B4E18" w14:textId="1FBDF0F7"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 xml:space="preserve">Apoiou a reunião da </w:t>
      </w:r>
      <w:r w:rsidR="009E1D78" w:rsidRPr="00913ACD">
        <w:rPr>
          <w:rFonts w:ascii="Times New Roman" w:hAnsi="Times New Roman" w:cs="Times New Roman"/>
          <w:sz w:val="22"/>
          <w:szCs w:val="22"/>
          <w:lang w:val="pt-BR"/>
        </w:rPr>
        <w:t xml:space="preserve">Comissão Interamericana </w:t>
      </w:r>
      <w:r w:rsidR="002B33EB" w:rsidRPr="00913ACD">
        <w:rPr>
          <w:rFonts w:ascii="Times New Roman" w:hAnsi="Times New Roman" w:cs="Times New Roman"/>
          <w:sz w:val="22"/>
          <w:szCs w:val="22"/>
          <w:lang w:val="pt-BR"/>
        </w:rPr>
        <w:t>de</w:t>
      </w:r>
      <w:r w:rsidR="009E1D78" w:rsidRPr="00913ACD">
        <w:rPr>
          <w:rFonts w:ascii="Times New Roman" w:hAnsi="Times New Roman" w:cs="Times New Roman"/>
          <w:sz w:val="22"/>
          <w:szCs w:val="22"/>
          <w:lang w:val="pt-BR"/>
        </w:rPr>
        <w:t xml:space="preserve"> Redução de Desastres Naturais</w:t>
      </w:r>
      <w:r w:rsidRPr="00913ACD">
        <w:rPr>
          <w:rFonts w:ascii="Times New Roman" w:hAnsi="Times New Roman" w:cs="Times New Roman"/>
          <w:sz w:val="22"/>
          <w:szCs w:val="22"/>
          <w:lang w:val="pt-BR"/>
        </w:rPr>
        <w:t xml:space="preserve"> em preparação para a resposta a desastres com foco na recuperação, reconstrução e facilitação da colaboração multinacional e multissetorial na resposta, reconstrução e recuperação de desastres. </w:t>
      </w:r>
    </w:p>
    <w:p w14:paraId="66BFDDAF" w14:textId="77777777" w:rsidR="00A52779" w:rsidRPr="00913ACD" w:rsidRDefault="00A52779" w:rsidP="00CB030B">
      <w:pPr>
        <w:ind w:left="1440" w:hanging="720"/>
        <w:jc w:val="both"/>
        <w:rPr>
          <w:rFonts w:ascii="Times New Roman" w:eastAsia="Calibri" w:hAnsi="Times New Roman" w:cs="Times New Roman"/>
          <w:sz w:val="22"/>
          <w:szCs w:val="22"/>
          <w:lang w:val="pt-BR"/>
        </w:rPr>
      </w:pPr>
    </w:p>
    <w:p w14:paraId="69A88326" w14:textId="2F65243D" w:rsidR="00A52779" w:rsidRPr="00913ACD" w:rsidRDefault="00A52779"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Apoiou missões da Comissão Argentina dos Capacetes Brancos em resposta a desastres, incluindo desastres relacionados a riscos naturais e biológicos, e particularmente em resposta e apoio aos</w:t>
      </w:r>
      <w:r w:rsidR="00C51D8E" w:rsidRPr="00913ACD">
        <w:rPr>
          <w:rFonts w:ascii="Times New Roman" w:hAnsi="Times New Roman" w:cs="Times New Roman"/>
          <w:sz w:val="22"/>
          <w:szCs w:val="22"/>
          <w:lang w:val="pt-BR"/>
        </w:rPr>
        <w:t xml:space="preserve"> </w:t>
      </w:r>
      <w:r w:rsidR="00AF16D4" w:rsidRPr="00913ACD">
        <w:rPr>
          <w:rFonts w:ascii="Times New Roman" w:hAnsi="Times New Roman" w:cs="Times New Roman"/>
          <w:sz w:val="22"/>
          <w:szCs w:val="22"/>
          <w:lang w:val="pt-BR"/>
        </w:rPr>
        <w:t>Estados membros</w:t>
      </w:r>
      <w:r w:rsidRPr="00913ACD">
        <w:rPr>
          <w:rFonts w:ascii="Times New Roman" w:hAnsi="Times New Roman" w:cs="Times New Roman"/>
          <w:sz w:val="22"/>
          <w:szCs w:val="22"/>
          <w:lang w:val="pt-BR"/>
        </w:rPr>
        <w:t xml:space="preserve"> na gestão da pandemia de </w:t>
      </w:r>
      <w:r w:rsidR="00FE4F9C" w:rsidRPr="00913ACD">
        <w:rPr>
          <w:rFonts w:ascii="Times New Roman" w:hAnsi="Times New Roman" w:cs="Times New Roman"/>
          <w:sz w:val="22"/>
          <w:szCs w:val="22"/>
          <w:lang w:val="pt-BR"/>
        </w:rPr>
        <w:t>covid</w:t>
      </w:r>
      <w:r w:rsidRPr="00913ACD">
        <w:rPr>
          <w:rFonts w:ascii="Times New Roman" w:hAnsi="Times New Roman" w:cs="Times New Roman"/>
          <w:sz w:val="22"/>
          <w:szCs w:val="22"/>
          <w:lang w:val="pt-BR"/>
        </w:rPr>
        <w:t>-19.</w:t>
      </w:r>
    </w:p>
    <w:p w14:paraId="00BC3D53" w14:textId="77777777" w:rsidR="00A52779" w:rsidRPr="00913ACD" w:rsidRDefault="00A52779" w:rsidP="00CB030B">
      <w:pPr>
        <w:ind w:left="1440" w:hanging="720"/>
        <w:jc w:val="both"/>
        <w:rPr>
          <w:rFonts w:ascii="Times New Roman" w:eastAsia="Calibri" w:hAnsi="Times New Roman" w:cs="Times New Roman"/>
          <w:sz w:val="22"/>
          <w:szCs w:val="22"/>
          <w:lang w:val="pt-BR"/>
        </w:rPr>
      </w:pPr>
    </w:p>
    <w:p w14:paraId="50893793" w14:textId="1369EC53" w:rsidR="00A52779" w:rsidRPr="00913ACD" w:rsidRDefault="000F3ACC" w:rsidP="00CB030B">
      <w:pPr>
        <w:numPr>
          <w:ilvl w:val="0"/>
          <w:numId w:val="12"/>
        </w:numPr>
        <w:ind w:left="1440" w:hanging="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 xml:space="preserve">Apoiou a </w:t>
      </w:r>
      <w:r w:rsidR="00764B40">
        <w:rPr>
          <w:rFonts w:ascii="Times New Roman" w:hAnsi="Times New Roman" w:cs="Times New Roman"/>
          <w:sz w:val="22"/>
          <w:szCs w:val="22"/>
          <w:lang w:val="pt-BR"/>
        </w:rPr>
        <w:t xml:space="preserve">sessão </w:t>
      </w:r>
      <w:r w:rsidRPr="00913ACD">
        <w:rPr>
          <w:rFonts w:ascii="Times New Roman" w:hAnsi="Times New Roman" w:cs="Times New Roman"/>
          <w:sz w:val="22"/>
          <w:szCs w:val="22"/>
          <w:lang w:val="pt-BR"/>
        </w:rPr>
        <w:t xml:space="preserve">conjunta do Conselho Permanente e do CIDI sobre </w:t>
      </w:r>
      <w:r w:rsidR="007800A2" w:rsidRPr="00913ACD">
        <w:rPr>
          <w:rFonts w:ascii="Times New Roman" w:hAnsi="Times New Roman" w:cs="Times New Roman"/>
          <w:b/>
          <w:sz w:val="22"/>
          <w:szCs w:val="22"/>
          <w:lang w:val="pt-BR"/>
        </w:rPr>
        <w:t>“</w:t>
      </w:r>
      <w:r w:rsidR="00A52779" w:rsidRPr="00913ACD">
        <w:rPr>
          <w:rFonts w:ascii="Times New Roman" w:hAnsi="Times New Roman" w:cs="Times New Roman"/>
          <w:b/>
          <w:sz w:val="22"/>
          <w:szCs w:val="22"/>
          <w:lang w:val="pt-BR"/>
        </w:rPr>
        <w:t xml:space="preserve">Fortalecimento do </w:t>
      </w:r>
      <w:r w:rsidR="00D438A2">
        <w:rPr>
          <w:rFonts w:ascii="Times New Roman" w:hAnsi="Times New Roman" w:cs="Times New Roman"/>
          <w:b/>
          <w:sz w:val="22"/>
          <w:szCs w:val="22"/>
          <w:lang w:val="pt-BR"/>
        </w:rPr>
        <w:t>p</w:t>
      </w:r>
      <w:r w:rsidR="00A52779" w:rsidRPr="00913ACD">
        <w:rPr>
          <w:rFonts w:ascii="Times New Roman" w:hAnsi="Times New Roman" w:cs="Times New Roman"/>
          <w:b/>
          <w:sz w:val="22"/>
          <w:szCs w:val="22"/>
          <w:lang w:val="pt-BR"/>
        </w:rPr>
        <w:t xml:space="preserve">apel da OEA no </w:t>
      </w:r>
      <w:r w:rsidR="00D438A2">
        <w:rPr>
          <w:rFonts w:ascii="Times New Roman" w:hAnsi="Times New Roman" w:cs="Times New Roman"/>
          <w:b/>
          <w:sz w:val="22"/>
          <w:szCs w:val="22"/>
          <w:lang w:val="pt-BR"/>
        </w:rPr>
        <w:t>a</w:t>
      </w:r>
      <w:r w:rsidR="00A52779" w:rsidRPr="00913ACD">
        <w:rPr>
          <w:rFonts w:ascii="Times New Roman" w:hAnsi="Times New Roman" w:cs="Times New Roman"/>
          <w:b/>
          <w:sz w:val="22"/>
          <w:szCs w:val="22"/>
          <w:lang w:val="pt-BR"/>
        </w:rPr>
        <w:t xml:space="preserve">vanço da </w:t>
      </w:r>
      <w:r w:rsidR="00D438A2">
        <w:rPr>
          <w:rFonts w:ascii="Times New Roman" w:hAnsi="Times New Roman" w:cs="Times New Roman"/>
          <w:b/>
          <w:sz w:val="22"/>
          <w:szCs w:val="22"/>
          <w:lang w:val="pt-BR"/>
        </w:rPr>
        <w:t>r</w:t>
      </w:r>
      <w:r w:rsidR="00A52779" w:rsidRPr="00913ACD">
        <w:rPr>
          <w:rFonts w:ascii="Times New Roman" w:hAnsi="Times New Roman" w:cs="Times New Roman"/>
          <w:b/>
          <w:sz w:val="22"/>
          <w:szCs w:val="22"/>
          <w:lang w:val="pt-BR"/>
        </w:rPr>
        <w:t xml:space="preserve">esiliência a </w:t>
      </w:r>
      <w:r w:rsidR="00D438A2">
        <w:rPr>
          <w:rFonts w:ascii="Times New Roman" w:hAnsi="Times New Roman" w:cs="Times New Roman"/>
          <w:b/>
          <w:sz w:val="22"/>
          <w:szCs w:val="22"/>
          <w:lang w:val="pt-BR"/>
        </w:rPr>
        <w:t>d</w:t>
      </w:r>
      <w:r w:rsidR="00A52779" w:rsidRPr="00913ACD">
        <w:rPr>
          <w:rFonts w:ascii="Times New Roman" w:hAnsi="Times New Roman" w:cs="Times New Roman"/>
          <w:b/>
          <w:sz w:val="22"/>
          <w:szCs w:val="22"/>
          <w:lang w:val="pt-BR"/>
        </w:rPr>
        <w:t>esastres no Hemisfério</w:t>
      </w:r>
      <w:r w:rsidR="007800A2" w:rsidRPr="00913ACD">
        <w:rPr>
          <w:rFonts w:ascii="Times New Roman" w:hAnsi="Times New Roman" w:cs="Times New Roman"/>
          <w:b/>
          <w:sz w:val="22"/>
          <w:szCs w:val="22"/>
          <w:lang w:val="pt-BR"/>
        </w:rPr>
        <w:t>”</w:t>
      </w:r>
      <w:r w:rsidR="00A52779" w:rsidRPr="003B4725">
        <w:rPr>
          <w:rFonts w:ascii="Times New Roman" w:hAnsi="Times New Roman" w:cs="Times New Roman"/>
          <w:bCs/>
          <w:sz w:val="22"/>
          <w:szCs w:val="22"/>
          <w:lang w:val="pt-BR"/>
        </w:rPr>
        <w:t>, realizada em</w:t>
      </w:r>
      <w:r w:rsidRPr="00913ACD">
        <w:rPr>
          <w:rFonts w:ascii="Times New Roman" w:hAnsi="Times New Roman" w:cs="Times New Roman"/>
          <w:sz w:val="22"/>
          <w:szCs w:val="22"/>
          <w:lang w:val="pt-BR"/>
        </w:rPr>
        <w:t xml:space="preserve"> 29 de junho de 2022.</w:t>
      </w:r>
    </w:p>
    <w:p w14:paraId="5757DF44" w14:textId="611D29A3" w:rsidR="00141240" w:rsidRPr="00913ACD" w:rsidRDefault="00141240" w:rsidP="00CB030B">
      <w:pPr>
        <w:jc w:val="both"/>
        <w:rPr>
          <w:rFonts w:ascii="Times New Roman" w:eastAsia="Calibri" w:hAnsi="Times New Roman" w:cs="Times New Roman"/>
          <w:sz w:val="22"/>
          <w:szCs w:val="22"/>
          <w:lang w:val="pt-BR"/>
        </w:rPr>
      </w:pPr>
    </w:p>
    <w:p w14:paraId="637DEB02" w14:textId="79E1926E" w:rsidR="00141240" w:rsidRPr="00913ACD" w:rsidRDefault="00141240" w:rsidP="00CB030B">
      <w:pPr>
        <w:ind w:firstLine="720"/>
        <w:rPr>
          <w:rFonts w:ascii="Times New Roman" w:eastAsia="Calibri" w:hAnsi="Times New Roman" w:cs="Times New Roman"/>
          <w:b/>
          <w:bCs/>
          <w:sz w:val="22"/>
          <w:szCs w:val="22"/>
          <w:lang w:val="pt-BR"/>
        </w:rPr>
      </w:pPr>
      <w:r w:rsidRPr="00913ACD">
        <w:rPr>
          <w:rFonts w:ascii="Times New Roman" w:hAnsi="Times New Roman" w:cs="Times New Roman"/>
          <w:b/>
          <w:sz w:val="22"/>
          <w:szCs w:val="22"/>
          <w:lang w:val="pt-BR"/>
        </w:rPr>
        <w:t xml:space="preserve">Secretaria da Comissão Interamericana de Portos </w:t>
      </w:r>
    </w:p>
    <w:p w14:paraId="3DE589B0" w14:textId="77777777" w:rsidR="00141240" w:rsidRPr="00913ACD" w:rsidRDefault="00141240" w:rsidP="00CB030B">
      <w:pPr>
        <w:ind w:left="1440" w:hanging="720"/>
        <w:rPr>
          <w:rFonts w:ascii="Times New Roman" w:hAnsi="Times New Roman" w:cs="Times New Roman"/>
          <w:i/>
          <w:iCs/>
          <w:color w:val="000000" w:themeColor="text1"/>
          <w:sz w:val="22"/>
          <w:szCs w:val="22"/>
          <w:lang w:val="pt-BR"/>
        </w:rPr>
      </w:pPr>
    </w:p>
    <w:p w14:paraId="4AADDA53" w14:textId="74AB43D8" w:rsidR="00E90D13" w:rsidRPr="00913ACD" w:rsidRDefault="00141240" w:rsidP="00CB030B">
      <w:pPr>
        <w:pStyle w:val="ListParagraph"/>
        <w:numPr>
          <w:ilvl w:val="0"/>
          <w:numId w:val="22"/>
        </w:numPr>
        <w:ind w:left="1440" w:hanging="720"/>
        <w:contextualSpacing/>
        <w:jc w:val="both"/>
        <w:rPr>
          <w:sz w:val="22"/>
          <w:szCs w:val="22"/>
          <w:lang w:val="pt-BR"/>
        </w:rPr>
      </w:pPr>
      <w:r w:rsidRPr="00913ACD">
        <w:rPr>
          <w:sz w:val="22"/>
          <w:szCs w:val="22"/>
          <w:lang w:val="pt-BR"/>
        </w:rPr>
        <w:t xml:space="preserve">Organizou o segundo e o terceiro </w:t>
      </w:r>
      <w:r w:rsidR="00514CA7" w:rsidRPr="00913ACD">
        <w:rPr>
          <w:sz w:val="22"/>
          <w:szCs w:val="22"/>
          <w:lang w:val="pt-BR"/>
        </w:rPr>
        <w:t xml:space="preserve">seminários </w:t>
      </w:r>
      <w:r w:rsidRPr="00913ACD">
        <w:rPr>
          <w:sz w:val="22"/>
          <w:szCs w:val="22"/>
          <w:lang w:val="pt-BR"/>
        </w:rPr>
        <w:t xml:space="preserve">regionais on-line sobre </w:t>
      </w:r>
      <w:r w:rsidR="00514CA7" w:rsidRPr="00913ACD">
        <w:rPr>
          <w:sz w:val="22"/>
          <w:szCs w:val="22"/>
          <w:lang w:val="pt-BR"/>
        </w:rPr>
        <w:t>m</w:t>
      </w:r>
      <w:r w:rsidRPr="00913ACD">
        <w:rPr>
          <w:sz w:val="22"/>
          <w:szCs w:val="22"/>
          <w:lang w:val="pt-BR"/>
        </w:rPr>
        <w:t xml:space="preserve">elhor </w:t>
      </w:r>
      <w:r w:rsidR="00514CA7" w:rsidRPr="00913ACD">
        <w:rPr>
          <w:sz w:val="22"/>
          <w:szCs w:val="22"/>
          <w:lang w:val="pt-BR"/>
        </w:rPr>
        <w:t>g</w:t>
      </w:r>
      <w:r w:rsidRPr="00913ACD">
        <w:rPr>
          <w:sz w:val="22"/>
          <w:szCs w:val="22"/>
          <w:lang w:val="pt-BR"/>
        </w:rPr>
        <w:t>estão d</w:t>
      </w:r>
      <w:r w:rsidR="00514CA7" w:rsidRPr="00913ACD">
        <w:rPr>
          <w:sz w:val="22"/>
          <w:szCs w:val="22"/>
          <w:lang w:val="pt-BR"/>
        </w:rPr>
        <w:t>o</w:t>
      </w:r>
      <w:r w:rsidRPr="00913ACD">
        <w:rPr>
          <w:sz w:val="22"/>
          <w:szCs w:val="22"/>
          <w:lang w:val="pt-BR"/>
        </w:rPr>
        <w:t xml:space="preserve"> </w:t>
      </w:r>
      <w:r w:rsidR="00514CA7" w:rsidRPr="00913ACD">
        <w:rPr>
          <w:sz w:val="22"/>
          <w:szCs w:val="22"/>
          <w:lang w:val="pt-BR"/>
        </w:rPr>
        <w:t>r</w:t>
      </w:r>
      <w:r w:rsidRPr="00913ACD">
        <w:rPr>
          <w:sz w:val="22"/>
          <w:szCs w:val="22"/>
          <w:lang w:val="pt-BR"/>
        </w:rPr>
        <w:t xml:space="preserve">isco de </w:t>
      </w:r>
      <w:r w:rsidR="00514CA7" w:rsidRPr="00913ACD">
        <w:rPr>
          <w:sz w:val="22"/>
          <w:szCs w:val="22"/>
          <w:lang w:val="pt-BR"/>
        </w:rPr>
        <w:t>d</w:t>
      </w:r>
      <w:r w:rsidRPr="00913ACD">
        <w:rPr>
          <w:sz w:val="22"/>
          <w:szCs w:val="22"/>
          <w:lang w:val="pt-BR"/>
        </w:rPr>
        <w:t xml:space="preserve">esastres nos </w:t>
      </w:r>
      <w:r w:rsidR="00514CA7" w:rsidRPr="00913ACD">
        <w:rPr>
          <w:sz w:val="22"/>
          <w:szCs w:val="22"/>
          <w:lang w:val="pt-BR"/>
        </w:rPr>
        <w:t>p</w:t>
      </w:r>
      <w:r w:rsidRPr="00913ACD">
        <w:rPr>
          <w:sz w:val="22"/>
          <w:szCs w:val="22"/>
          <w:lang w:val="pt-BR"/>
        </w:rPr>
        <w:t xml:space="preserve">ortos do Caribe em apoio ao </w:t>
      </w:r>
      <w:r w:rsidR="007800A2" w:rsidRPr="00913ACD">
        <w:rPr>
          <w:sz w:val="22"/>
          <w:szCs w:val="22"/>
          <w:lang w:val="pt-BR"/>
        </w:rPr>
        <w:t>“</w:t>
      </w:r>
      <w:r w:rsidRPr="00913ACD">
        <w:rPr>
          <w:b/>
          <w:bCs/>
          <w:sz w:val="22"/>
          <w:szCs w:val="22"/>
          <w:lang w:val="pt-BR"/>
        </w:rPr>
        <w:t>Projeto Aprimorado de Ge</w:t>
      </w:r>
      <w:r w:rsidR="00124504" w:rsidRPr="00913ACD">
        <w:rPr>
          <w:b/>
          <w:bCs/>
          <w:sz w:val="22"/>
          <w:szCs w:val="22"/>
          <w:lang w:val="pt-BR"/>
        </w:rPr>
        <w:t xml:space="preserve">stão </w:t>
      </w:r>
      <w:r w:rsidRPr="00913ACD">
        <w:rPr>
          <w:b/>
          <w:bCs/>
          <w:sz w:val="22"/>
          <w:szCs w:val="22"/>
          <w:lang w:val="pt-BR"/>
        </w:rPr>
        <w:t>d</w:t>
      </w:r>
      <w:r w:rsidR="00124504" w:rsidRPr="00913ACD">
        <w:rPr>
          <w:b/>
          <w:bCs/>
          <w:sz w:val="22"/>
          <w:szCs w:val="22"/>
          <w:lang w:val="pt-BR"/>
        </w:rPr>
        <w:t>o</w:t>
      </w:r>
      <w:r w:rsidRPr="00913ACD">
        <w:rPr>
          <w:b/>
          <w:bCs/>
          <w:sz w:val="22"/>
          <w:szCs w:val="22"/>
          <w:lang w:val="pt-BR"/>
        </w:rPr>
        <w:t xml:space="preserve"> Risco de Desastres para Portos </w:t>
      </w:r>
      <w:r w:rsidR="005F3BF8" w:rsidRPr="00913ACD">
        <w:rPr>
          <w:b/>
          <w:bCs/>
          <w:sz w:val="22"/>
          <w:szCs w:val="22"/>
          <w:lang w:val="pt-BR"/>
        </w:rPr>
        <w:t>d</w:t>
      </w:r>
      <w:r w:rsidRPr="00913ACD">
        <w:rPr>
          <w:b/>
          <w:bCs/>
          <w:sz w:val="22"/>
          <w:szCs w:val="22"/>
          <w:lang w:val="pt-BR"/>
        </w:rPr>
        <w:t>o Caribe</w:t>
      </w:r>
      <w:r w:rsidR="007800A2" w:rsidRPr="00913ACD">
        <w:rPr>
          <w:b/>
          <w:bCs/>
          <w:sz w:val="22"/>
          <w:szCs w:val="22"/>
          <w:lang w:val="pt-BR"/>
        </w:rPr>
        <w:t>”</w:t>
      </w:r>
      <w:r w:rsidR="005F3BF8" w:rsidRPr="00913ACD">
        <w:rPr>
          <w:sz w:val="22"/>
          <w:szCs w:val="22"/>
          <w:lang w:val="pt-BR"/>
        </w:rPr>
        <w:t>,</w:t>
      </w:r>
      <w:r w:rsidRPr="00913ACD">
        <w:rPr>
          <w:sz w:val="22"/>
          <w:szCs w:val="22"/>
          <w:lang w:val="pt-BR"/>
        </w:rPr>
        <w:t xml:space="preserve"> </w:t>
      </w:r>
      <w:r w:rsidR="005F3BF8" w:rsidRPr="00913ACD">
        <w:rPr>
          <w:sz w:val="22"/>
          <w:szCs w:val="22"/>
          <w:lang w:val="pt-BR"/>
        </w:rPr>
        <w:t xml:space="preserve">que </w:t>
      </w:r>
      <w:r w:rsidRPr="00913ACD">
        <w:rPr>
          <w:sz w:val="22"/>
          <w:szCs w:val="22"/>
          <w:lang w:val="pt-BR"/>
        </w:rPr>
        <w:t>benefici</w:t>
      </w:r>
      <w:r w:rsidR="005F3BF8" w:rsidRPr="00913ACD">
        <w:rPr>
          <w:sz w:val="22"/>
          <w:szCs w:val="22"/>
          <w:lang w:val="pt-BR"/>
        </w:rPr>
        <w:t xml:space="preserve">ou </w:t>
      </w:r>
      <w:r w:rsidRPr="00913ACD">
        <w:rPr>
          <w:sz w:val="22"/>
          <w:szCs w:val="22"/>
          <w:lang w:val="pt-BR"/>
        </w:rPr>
        <w:t>44 funcionários portuários de dez</w:t>
      </w:r>
      <w:r w:rsidR="00C51D8E" w:rsidRPr="00913ACD">
        <w:rPr>
          <w:sz w:val="22"/>
          <w:szCs w:val="22"/>
          <w:lang w:val="pt-BR"/>
        </w:rPr>
        <w:t xml:space="preserve"> </w:t>
      </w:r>
      <w:r w:rsidR="00AF16D4" w:rsidRPr="00913ACD">
        <w:rPr>
          <w:sz w:val="22"/>
          <w:szCs w:val="22"/>
          <w:lang w:val="pt-BR"/>
        </w:rPr>
        <w:t>Estados membros</w:t>
      </w:r>
      <w:r w:rsidRPr="00913ACD">
        <w:rPr>
          <w:sz w:val="22"/>
          <w:szCs w:val="22"/>
          <w:lang w:val="pt-BR"/>
        </w:rPr>
        <w:t xml:space="preserve"> da</w:t>
      </w:r>
      <w:r w:rsidR="00C51D8E" w:rsidRPr="00913ACD">
        <w:rPr>
          <w:sz w:val="22"/>
          <w:szCs w:val="22"/>
          <w:lang w:val="pt-BR"/>
        </w:rPr>
        <w:t xml:space="preserve"> </w:t>
      </w:r>
      <w:r w:rsidR="005F30B1" w:rsidRPr="00913ACD">
        <w:rPr>
          <w:sz w:val="22"/>
          <w:szCs w:val="22"/>
          <w:lang w:val="pt-BR"/>
        </w:rPr>
        <w:t>OEA</w:t>
      </w:r>
      <w:r w:rsidRPr="00913ACD">
        <w:rPr>
          <w:sz w:val="22"/>
          <w:szCs w:val="22"/>
          <w:lang w:val="pt-BR"/>
        </w:rPr>
        <w:t xml:space="preserve"> e </w:t>
      </w:r>
      <w:r w:rsidR="005F3BF8" w:rsidRPr="00913ACD">
        <w:rPr>
          <w:sz w:val="22"/>
          <w:szCs w:val="22"/>
          <w:lang w:val="pt-BR"/>
        </w:rPr>
        <w:t xml:space="preserve">de </w:t>
      </w:r>
      <w:r w:rsidRPr="00913ACD">
        <w:rPr>
          <w:sz w:val="22"/>
          <w:szCs w:val="22"/>
          <w:lang w:val="pt-BR"/>
        </w:rPr>
        <w:t>um Estado não soberano.</w:t>
      </w:r>
    </w:p>
    <w:p w14:paraId="041FE6F7" w14:textId="77777777" w:rsidR="005F2C83" w:rsidRPr="00913ACD" w:rsidRDefault="005F2C83" w:rsidP="00CB030B">
      <w:pPr>
        <w:contextualSpacing/>
        <w:jc w:val="both"/>
        <w:rPr>
          <w:rFonts w:ascii="Times New Roman" w:hAnsi="Times New Roman" w:cs="Times New Roman"/>
          <w:sz w:val="22"/>
          <w:szCs w:val="22"/>
          <w:lang w:val="pt-BR"/>
        </w:rPr>
      </w:pPr>
    </w:p>
    <w:p w14:paraId="75C64FC0" w14:textId="7D14A8FC" w:rsidR="00E90D13" w:rsidRPr="00913ACD" w:rsidRDefault="007427DB" w:rsidP="00CB030B">
      <w:pPr>
        <w:jc w:val="both"/>
        <w:rPr>
          <w:rFonts w:ascii="Times New Roman" w:eastAsia="Calibri" w:hAnsi="Times New Roman" w:cs="Times New Roman"/>
          <w:b/>
          <w:sz w:val="22"/>
          <w:szCs w:val="22"/>
          <w:u w:val="single"/>
          <w:lang w:val="pt-BR"/>
        </w:rPr>
      </w:pPr>
      <w:r w:rsidRPr="00913ACD">
        <w:rPr>
          <w:rFonts w:ascii="Times New Roman" w:hAnsi="Times New Roman" w:cs="Times New Roman"/>
          <w:b/>
          <w:sz w:val="22"/>
          <w:szCs w:val="22"/>
          <w:u w:val="single"/>
          <w:lang w:val="pt-BR"/>
        </w:rPr>
        <w:t>OBJETIVO</w:t>
      </w:r>
      <w:r w:rsidR="00E90D13" w:rsidRPr="00913ACD">
        <w:rPr>
          <w:rFonts w:ascii="Times New Roman" w:hAnsi="Times New Roman" w:cs="Times New Roman"/>
          <w:b/>
          <w:sz w:val="22"/>
          <w:szCs w:val="22"/>
          <w:u w:val="single"/>
          <w:lang w:val="pt-BR"/>
        </w:rPr>
        <w:t xml:space="preserve"> 2.2</w:t>
      </w:r>
    </w:p>
    <w:p w14:paraId="6D738966" w14:textId="77777777" w:rsidR="005F2C83" w:rsidRPr="00913ACD" w:rsidRDefault="005F2C83" w:rsidP="00CB030B">
      <w:pPr>
        <w:jc w:val="both"/>
        <w:rPr>
          <w:rFonts w:ascii="Times New Roman" w:eastAsia="Calibri" w:hAnsi="Times New Roman" w:cs="Times New Roman"/>
          <w:bCs/>
          <w:sz w:val="22"/>
          <w:szCs w:val="22"/>
          <w:u w:val="single"/>
          <w:lang w:val="pt-BR"/>
        </w:rPr>
      </w:pPr>
    </w:p>
    <w:p w14:paraId="572B2E84" w14:textId="3AFF3E0B" w:rsidR="00E90D13" w:rsidRPr="00913ACD" w:rsidRDefault="0074417A" w:rsidP="00CB030B">
      <w:pPr>
        <w:ind w:firstLine="720"/>
        <w:jc w:val="both"/>
        <w:rPr>
          <w:rFonts w:ascii="Times New Roman" w:eastAsia="Calibri" w:hAnsi="Times New Roman" w:cs="Times New Roman"/>
          <w:sz w:val="22"/>
          <w:szCs w:val="22"/>
          <w:lang w:val="pt-BR"/>
        </w:rPr>
      </w:pPr>
      <w:r w:rsidRPr="00913ACD">
        <w:rPr>
          <w:rFonts w:ascii="Times New Roman" w:hAnsi="Times New Roman" w:cs="Times New Roman"/>
          <w:sz w:val="22"/>
          <w:szCs w:val="22"/>
          <w:lang w:val="pt-BR"/>
        </w:rPr>
        <w:t xml:space="preserve">Promover a capacidade dos Estados membros na gestão sustentável dos ecossistemas, de acordo com os objetivos e </w:t>
      </w:r>
      <w:r w:rsidR="00EF230B" w:rsidRPr="00913ACD">
        <w:rPr>
          <w:rFonts w:ascii="Times New Roman" w:hAnsi="Times New Roman" w:cs="Times New Roman"/>
          <w:sz w:val="22"/>
          <w:szCs w:val="22"/>
          <w:lang w:val="pt-BR"/>
        </w:rPr>
        <w:t xml:space="preserve">as </w:t>
      </w:r>
      <w:r w:rsidRPr="00913ACD">
        <w:rPr>
          <w:rFonts w:ascii="Times New Roman" w:hAnsi="Times New Roman" w:cs="Times New Roman"/>
          <w:sz w:val="22"/>
          <w:szCs w:val="22"/>
          <w:lang w:val="pt-BR"/>
        </w:rPr>
        <w:t>bases de ação dispost</w:t>
      </w:r>
      <w:r w:rsidR="00920435" w:rsidRPr="00913ACD">
        <w:rPr>
          <w:rFonts w:ascii="Times New Roman" w:hAnsi="Times New Roman" w:cs="Times New Roman"/>
          <w:sz w:val="22"/>
          <w:szCs w:val="22"/>
          <w:lang w:val="pt-BR"/>
        </w:rPr>
        <w:t>a</w:t>
      </w:r>
      <w:r w:rsidRPr="00913ACD">
        <w:rPr>
          <w:rFonts w:ascii="Times New Roman" w:hAnsi="Times New Roman" w:cs="Times New Roman"/>
          <w:sz w:val="22"/>
          <w:szCs w:val="22"/>
          <w:lang w:val="pt-BR"/>
        </w:rPr>
        <w:t>s na Seção 3.2 do PIDS</w:t>
      </w:r>
      <w:r w:rsidR="00E90D13" w:rsidRPr="00913ACD">
        <w:rPr>
          <w:rFonts w:ascii="Times New Roman" w:hAnsi="Times New Roman" w:cs="Times New Roman"/>
          <w:sz w:val="22"/>
          <w:szCs w:val="22"/>
          <w:lang w:val="pt-BR"/>
        </w:rPr>
        <w:t>.</w:t>
      </w:r>
    </w:p>
    <w:p w14:paraId="2EA4503A" w14:textId="77777777" w:rsidR="00E90D13" w:rsidRPr="00913ACD" w:rsidRDefault="00E90D13" w:rsidP="00CB030B">
      <w:pPr>
        <w:jc w:val="both"/>
        <w:rPr>
          <w:rFonts w:ascii="Times New Roman" w:hAnsi="Times New Roman" w:cs="Times New Roman"/>
          <w:b/>
          <w:color w:val="000000" w:themeColor="text1"/>
          <w:sz w:val="22"/>
          <w:szCs w:val="22"/>
          <w:lang w:val="pt-BR"/>
        </w:rPr>
      </w:pPr>
    </w:p>
    <w:p w14:paraId="70A6857A" w14:textId="2FE0659E" w:rsidR="00E90D13" w:rsidRPr="00913ACD" w:rsidRDefault="00E90D13" w:rsidP="00CB030B">
      <w:pPr>
        <w:pStyle w:val="ListParagraph"/>
        <w:numPr>
          <w:ilvl w:val="0"/>
          <w:numId w:val="14"/>
        </w:numPr>
        <w:ind w:left="1440" w:hanging="720"/>
        <w:jc w:val="both"/>
        <w:rPr>
          <w:bCs/>
          <w:color w:val="000000" w:themeColor="text1"/>
          <w:sz w:val="22"/>
          <w:szCs w:val="22"/>
          <w:lang w:val="pt-BR"/>
        </w:rPr>
      </w:pPr>
      <w:r w:rsidRPr="00913ACD">
        <w:rPr>
          <w:bCs/>
          <w:color w:val="000000" w:themeColor="text1"/>
          <w:sz w:val="22"/>
          <w:szCs w:val="22"/>
          <w:lang w:val="pt-BR"/>
        </w:rPr>
        <w:t xml:space="preserve">Toda a programação e projetos da SEDI/DSD </w:t>
      </w:r>
      <w:r w:rsidR="00F87DF1" w:rsidRPr="00913ACD">
        <w:rPr>
          <w:bCs/>
          <w:color w:val="000000" w:themeColor="text1"/>
          <w:sz w:val="22"/>
          <w:szCs w:val="22"/>
          <w:lang w:val="pt-BR"/>
        </w:rPr>
        <w:t xml:space="preserve">visam </w:t>
      </w:r>
      <w:r w:rsidRPr="00913ACD">
        <w:rPr>
          <w:bCs/>
          <w:color w:val="000000" w:themeColor="text1"/>
          <w:sz w:val="22"/>
          <w:szCs w:val="22"/>
          <w:lang w:val="pt-BR"/>
        </w:rPr>
        <w:t xml:space="preserve">a atingir esse objetivo. </w:t>
      </w:r>
      <w:r w:rsidR="00F87DF1" w:rsidRPr="00913ACD">
        <w:rPr>
          <w:bCs/>
          <w:color w:val="000000" w:themeColor="text1"/>
          <w:sz w:val="22"/>
          <w:szCs w:val="22"/>
          <w:lang w:val="pt-BR"/>
        </w:rPr>
        <w:t>Em p</w:t>
      </w:r>
      <w:r w:rsidRPr="00913ACD">
        <w:rPr>
          <w:bCs/>
          <w:color w:val="000000" w:themeColor="text1"/>
          <w:sz w:val="22"/>
          <w:szCs w:val="22"/>
          <w:lang w:val="pt-BR"/>
        </w:rPr>
        <w:t xml:space="preserve">articular, a gestão sustentável dos ecossistemas é um objetivo integral e componente de todos os projetos de </w:t>
      </w:r>
      <w:r w:rsidR="002631AA" w:rsidRPr="00913ACD">
        <w:rPr>
          <w:bCs/>
          <w:color w:val="000000" w:themeColor="text1"/>
          <w:sz w:val="22"/>
          <w:szCs w:val="22"/>
          <w:lang w:val="pt-BR"/>
        </w:rPr>
        <w:t>g</w:t>
      </w:r>
      <w:r w:rsidRPr="00913ACD">
        <w:rPr>
          <w:bCs/>
          <w:color w:val="000000" w:themeColor="text1"/>
          <w:sz w:val="22"/>
          <w:szCs w:val="22"/>
          <w:lang w:val="pt-BR"/>
        </w:rPr>
        <w:t xml:space="preserve">estão </w:t>
      </w:r>
      <w:r w:rsidR="002631AA" w:rsidRPr="00913ACD">
        <w:rPr>
          <w:bCs/>
          <w:color w:val="000000" w:themeColor="text1"/>
          <w:sz w:val="22"/>
          <w:szCs w:val="22"/>
          <w:lang w:val="pt-BR"/>
        </w:rPr>
        <w:t>i</w:t>
      </w:r>
      <w:r w:rsidRPr="00913ACD">
        <w:rPr>
          <w:bCs/>
          <w:color w:val="000000" w:themeColor="text1"/>
          <w:sz w:val="22"/>
          <w:szCs w:val="22"/>
          <w:lang w:val="pt-BR"/>
        </w:rPr>
        <w:t xml:space="preserve">ntegrada de </w:t>
      </w:r>
      <w:r w:rsidR="002631AA" w:rsidRPr="00913ACD">
        <w:rPr>
          <w:bCs/>
          <w:color w:val="000000" w:themeColor="text1"/>
          <w:sz w:val="22"/>
          <w:szCs w:val="22"/>
          <w:lang w:val="pt-BR"/>
        </w:rPr>
        <w:t>r</w:t>
      </w:r>
      <w:r w:rsidRPr="00913ACD">
        <w:rPr>
          <w:bCs/>
          <w:color w:val="000000" w:themeColor="text1"/>
          <w:sz w:val="22"/>
          <w:szCs w:val="22"/>
          <w:lang w:val="pt-BR"/>
        </w:rPr>
        <w:t xml:space="preserve">ecursos </w:t>
      </w:r>
      <w:r w:rsidR="002631AA" w:rsidRPr="00913ACD">
        <w:rPr>
          <w:bCs/>
          <w:color w:val="000000" w:themeColor="text1"/>
          <w:sz w:val="22"/>
          <w:szCs w:val="22"/>
          <w:lang w:val="pt-BR"/>
        </w:rPr>
        <w:t>h</w:t>
      </w:r>
      <w:r w:rsidRPr="00913ACD">
        <w:rPr>
          <w:bCs/>
          <w:color w:val="000000" w:themeColor="text1"/>
          <w:sz w:val="22"/>
          <w:szCs w:val="22"/>
          <w:lang w:val="pt-BR"/>
        </w:rPr>
        <w:t xml:space="preserve">ídricos em bacias transfronteiriças, como a Bacia do Prata, e </w:t>
      </w:r>
      <w:r w:rsidR="00FB53CD" w:rsidRPr="00913ACD">
        <w:rPr>
          <w:bCs/>
          <w:color w:val="000000" w:themeColor="text1"/>
          <w:sz w:val="22"/>
          <w:szCs w:val="22"/>
          <w:lang w:val="pt-BR"/>
        </w:rPr>
        <w:t xml:space="preserve">em </w:t>
      </w:r>
      <w:r w:rsidRPr="00913ACD">
        <w:rPr>
          <w:bCs/>
          <w:color w:val="000000" w:themeColor="text1"/>
          <w:sz w:val="22"/>
          <w:szCs w:val="22"/>
          <w:lang w:val="pt-BR"/>
        </w:rPr>
        <w:t xml:space="preserve">biosferas transfronteiriças, como a biosfera trinacional </w:t>
      </w:r>
      <w:r w:rsidRPr="00913ACD">
        <w:rPr>
          <w:bCs/>
          <w:i/>
          <w:iCs/>
          <w:color w:val="000000" w:themeColor="text1"/>
          <w:sz w:val="22"/>
          <w:szCs w:val="22"/>
          <w:lang w:val="pt-BR"/>
        </w:rPr>
        <w:t>La Fraternidad</w:t>
      </w:r>
      <w:r w:rsidRPr="00913ACD">
        <w:rPr>
          <w:bCs/>
          <w:color w:val="000000" w:themeColor="text1"/>
          <w:sz w:val="22"/>
          <w:szCs w:val="22"/>
          <w:lang w:val="pt-BR"/>
        </w:rPr>
        <w:t xml:space="preserve"> na região de Trifinio. Da mesma forma, todos os esforços em energia sustentável, </w:t>
      </w:r>
      <w:r w:rsidR="00FB53CD" w:rsidRPr="00913ACD">
        <w:rPr>
          <w:bCs/>
          <w:color w:val="000000" w:themeColor="text1"/>
          <w:sz w:val="22"/>
          <w:szCs w:val="22"/>
          <w:lang w:val="pt-BR"/>
        </w:rPr>
        <w:t xml:space="preserve">sobretudo </w:t>
      </w:r>
      <w:r w:rsidRPr="00913ACD">
        <w:rPr>
          <w:bCs/>
          <w:color w:val="000000" w:themeColor="text1"/>
          <w:sz w:val="22"/>
          <w:szCs w:val="22"/>
          <w:lang w:val="pt-BR"/>
        </w:rPr>
        <w:t xml:space="preserve">aqueles </w:t>
      </w:r>
      <w:r w:rsidR="00FB53CD" w:rsidRPr="00913ACD">
        <w:rPr>
          <w:bCs/>
          <w:color w:val="000000" w:themeColor="text1"/>
          <w:sz w:val="22"/>
          <w:szCs w:val="22"/>
          <w:lang w:val="pt-BR"/>
        </w:rPr>
        <w:t xml:space="preserve">voltados </w:t>
      </w:r>
      <w:r w:rsidRPr="00913ACD">
        <w:rPr>
          <w:bCs/>
          <w:color w:val="000000" w:themeColor="text1"/>
          <w:sz w:val="22"/>
          <w:szCs w:val="22"/>
          <w:lang w:val="pt-BR"/>
        </w:rPr>
        <w:t>para a promoção de energias renováveis, políticas de transição energética e eficiência energética, contribuem para a gestão sustentável dos ecossistemas, seus recursos naturais e serviços ecológicos. Além disso, todos os esforços para construir resiliência comunitária e gestão do risco de desastres contribuem diretamente para este objetivo.</w:t>
      </w:r>
    </w:p>
    <w:p w14:paraId="65D70817" w14:textId="055E5A30" w:rsidR="001516E7" w:rsidRPr="00913ACD" w:rsidRDefault="001516E7" w:rsidP="00CB030B">
      <w:pPr>
        <w:jc w:val="both"/>
        <w:rPr>
          <w:rFonts w:ascii="Times New Roman" w:hAnsi="Times New Roman" w:cs="Times New Roman"/>
          <w:bCs/>
          <w:color w:val="000000" w:themeColor="text1"/>
          <w:sz w:val="22"/>
          <w:szCs w:val="22"/>
          <w:lang w:val="pt-BR"/>
        </w:rPr>
      </w:pPr>
    </w:p>
    <w:p w14:paraId="3FC7C174" w14:textId="543F25BD" w:rsidR="001516E7" w:rsidRPr="00913ACD" w:rsidRDefault="007427DB" w:rsidP="00CB030B">
      <w:pPr>
        <w:jc w:val="both"/>
        <w:rPr>
          <w:rFonts w:ascii="Times New Roman" w:eastAsia="Calibri" w:hAnsi="Times New Roman" w:cs="Times New Roman"/>
          <w:b/>
          <w:sz w:val="22"/>
          <w:szCs w:val="22"/>
          <w:u w:val="single"/>
          <w:lang w:val="pt-BR"/>
        </w:rPr>
      </w:pPr>
      <w:r w:rsidRPr="00913ACD">
        <w:rPr>
          <w:rFonts w:ascii="Times New Roman" w:hAnsi="Times New Roman" w:cs="Times New Roman"/>
          <w:b/>
          <w:sz w:val="22"/>
          <w:szCs w:val="22"/>
          <w:u w:val="single"/>
          <w:lang w:val="pt-BR"/>
        </w:rPr>
        <w:t>OBJETIVO</w:t>
      </w:r>
      <w:r w:rsidR="001516E7" w:rsidRPr="00913ACD">
        <w:rPr>
          <w:rFonts w:ascii="Times New Roman" w:hAnsi="Times New Roman" w:cs="Times New Roman"/>
          <w:b/>
          <w:sz w:val="22"/>
          <w:szCs w:val="22"/>
          <w:u w:val="single"/>
          <w:lang w:val="pt-BR"/>
        </w:rPr>
        <w:t xml:space="preserve"> 2.3</w:t>
      </w:r>
    </w:p>
    <w:p w14:paraId="6A3BBE97" w14:textId="77777777" w:rsidR="005F2C83" w:rsidRPr="00913ACD" w:rsidRDefault="005F2C83" w:rsidP="00CB030B">
      <w:pPr>
        <w:jc w:val="both"/>
        <w:rPr>
          <w:rFonts w:ascii="Times New Roman" w:eastAsia="Calibri" w:hAnsi="Times New Roman" w:cs="Times New Roman"/>
          <w:sz w:val="22"/>
          <w:szCs w:val="22"/>
          <w:lang w:val="pt-BR"/>
        </w:rPr>
      </w:pPr>
    </w:p>
    <w:p w14:paraId="6A1628B2" w14:textId="7FF09B2E" w:rsidR="001516E7" w:rsidRPr="00913ACD" w:rsidRDefault="00D97A21" w:rsidP="00CB030B">
      <w:pPr>
        <w:ind w:firstLine="720"/>
        <w:jc w:val="both"/>
        <w:rPr>
          <w:rFonts w:ascii="Times New Roman" w:eastAsia="Calibri" w:hAnsi="Times New Roman" w:cs="Times New Roman"/>
          <w:bCs/>
          <w:sz w:val="22"/>
          <w:szCs w:val="22"/>
          <w:lang w:val="pt-BR"/>
        </w:rPr>
      </w:pPr>
      <w:r w:rsidRPr="00913ACD">
        <w:rPr>
          <w:rFonts w:ascii="Times New Roman" w:hAnsi="Times New Roman" w:cs="Times New Roman"/>
          <w:bCs/>
          <w:sz w:val="22"/>
          <w:szCs w:val="22"/>
          <w:lang w:val="pt-BR"/>
        </w:rPr>
        <w:t>Promover a capacidade dos Estados membros na gestão integrada dos recursos hídricos, de acordo com os objetivos e bases de ação dispostos na Seção 3.3 do PIDS</w:t>
      </w:r>
      <w:r w:rsidR="001516E7" w:rsidRPr="00913ACD">
        <w:rPr>
          <w:rFonts w:ascii="Times New Roman" w:hAnsi="Times New Roman" w:cs="Times New Roman"/>
          <w:bCs/>
          <w:sz w:val="22"/>
          <w:szCs w:val="22"/>
          <w:lang w:val="pt-BR"/>
        </w:rPr>
        <w:t>.</w:t>
      </w:r>
    </w:p>
    <w:p w14:paraId="6F242760" w14:textId="77777777" w:rsidR="001516E7" w:rsidRPr="00913ACD" w:rsidRDefault="001516E7" w:rsidP="00CB030B">
      <w:pPr>
        <w:ind w:left="432" w:hanging="432"/>
        <w:jc w:val="both"/>
        <w:rPr>
          <w:rFonts w:ascii="Times New Roman" w:hAnsi="Times New Roman" w:cs="Times New Roman"/>
          <w:b/>
          <w:color w:val="000000" w:themeColor="text1"/>
          <w:sz w:val="22"/>
          <w:szCs w:val="22"/>
          <w:lang w:val="pt-BR"/>
        </w:rPr>
      </w:pPr>
    </w:p>
    <w:p w14:paraId="59079199" w14:textId="2AAF11E2" w:rsidR="001516E7" w:rsidRPr="00913ACD" w:rsidRDefault="001516E7" w:rsidP="00CB030B">
      <w:pPr>
        <w:ind w:firstLine="720"/>
        <w:jc w:val="both"/>
        <w:rPr>
          <w:rFonts w:ascii="Times New Roman" w:eastAsia="Calibri" w:hAnsi="Times New Roman" w:cs="Times New Roman"/>
          <w:b/>
          <w:bCs/>
          <w:sz w:val="22"/>
          <w:szCs w:val="22"/>
          <w:lang w:val="pt-BR"/>
        </w:rPr>
      </w:pPr>
      <w:r w:rsidRPr="00913ACD">
        <w:rPr>
          <w:rFonts w:ascii="Times New Roman" w:hAnsi="Times New Roman" w:cs="Times New Roman"/>
          <w:b/>
          <w:sz w:val="22"/>
          <w:szCs w:val="22"/>
          <w:lang w:val="pt-BR"/>
        </w:rPr>
        <w:t xml:space="preserve">Gestão </w:t>
      </w:r>
      <w:r w:rsidR="00FF26C5" w:rsidRPr="00913ACD">
        <w:rPr>
          <w:rFonts w:ascii="Times New Roman" w:hAnsi="Times New Roman" w:cs="Times New Roman"/>
          <w:b/>
          <w:sz w:val="22"/>
          <w:szCs w:val="22"/>
          <w:lang w:val="pt-BR"/>
        </w:rPr>
        <w:t>i</w:t>
      </w:r>
      <w:r w:rsidRPr="00913ACD">
        <w:rPr>
          <w:rFonts w:ascii="Times New Roman" w:hAnsi="Times New Roman" w:cs="Times New Roman"/>
          <w:b/>
          <w:sz w:val="22"/>
          <w:szCs w:val="22"/>
          <w:lang w:val="pt-BR"/>
        </w:rPr>
        <w:t xml:space="preserve">ntegrada de </w:t>
      </w:r>
      <w:r w:rsidR="00FF26C5" w:rsidRPr="00913ACD">
        <w:rPr>
          <w:rFonts w:ascii="Times New Roman" w:hAnsi="Times New Roman" w:cs="Times New Roman"/>
          <w:b/>
          <w:sz w:val="22"/>
          <w:szCs w:val="22"/>
          <w:lang w:val="pt-BR"/>
        </w:rPr>
        <w:t>r</w:t>
      </w:r>
      <w:r w:rsidRPr="00913ACD">
        <w:rPr>
          <w:rFonts w:ascii="Times New Roman" w:hAnsi="Times New Roman" w:cs="Times New Roman"/>
          <w:b/>
          <w:sz w:val="22"/>
          <w:szCs w:val="22"/>
          <w:lang w:val="pt-BR"/>
        </w:rPr>
        <w:t xml:space="preserve">ecursos </w:t>
      </w:r>
      <w:r w:rsidR="00FF26C5" w:rsidRPr="00913ACD">
        <w:rPr>
          <w:rFonts w:ascii="Times New Roman" w:hAnsi="Times New Roman" w:cs="Times New Roman"/>
          <w:b/>
          <w:sz w:val="22"/>
          <w:szCs w:val="22"/>
          <w:lang w:val="pt-BR"/>
        </w:rPr>
        <w:t>h</w:t>
      </w:r>
      <w:r w:rsidRPr="00913ACD">
        <w:rPr>
          <w:rFonts w:ascii="Times New Roman" w:hAnsi="Times New Roman" w:cs="Times New Roman"/>
          <w:b/>
          <w:sz w:val="22"/>
          <w:szCs w:val="22"/>
          <w:lang w:val="pt-BR"/>
        </w:rPr>
        <w:t>ídricos</w:t>
      </w:r>
    </w:p>
    <w:p w14:paraId="12698103" w14:textId="77777777" w:rsidR="001516E7" w:rsidRPr="00913ACD" w:rsidRDefault="001516E7" w:rsidP="00CB030B">
      <w:pPr>
        <w:jc w:val="both"/>
        <w:rPr>
          <w:rFonts w:ascii="Times New Roman" w:hAnsi="Times New Roman" w:cs="Times New Roman"/>
          <w:color w:val="000000" w:themeColor="text1"/>
          <w:sz w:val="22"/>
          <w:szCs w:val="22"/>
          <w:lang w:val="pt-BR"/>
        </w:rPr>
      </w:pPr>
    </w:p>
    <w:p w14:paraId="74870F2D" w14:textId="705EDB34" w:rsidR="001516E7" w:rsidRPr="00913ACD" w:rsidRDefault="001516E7" w:rsidP="00CB030B">
      <w:pPr>
        <w:pStyle w:val="ListParagraph"/>
        <w:numPr>
          <w:ilvl w:val="0"/>
          <w:numId w:val="14"/>
        </w:numPr>
        <w:ind w:left="1440" w:hanging="720"/>
        <w:jc w:val="both"/>
        <w:rPr>
          <w:color w:val="000000" w:themeColor="text1"/>
          <w:sz w:val="22"/>
          <w:szCs w:val="22"/>
          <w:lang w:val="pt-BR"/>
        </w:rPr>
      </w:pPr>
      <w:r w:rsidRPr="00913ACD">
        <w:rPr>
          <w:color w:val="000000" w:themeColor="text1"/>
          <w:sz w:val="22"/>
          <w:szCs w:val="22"/>
          <w:lang w:val="pt-BR"/>
        </w:rPr>
        <w:t>Executou uma doação de US$ 4,8 milhões do Fundo Global para o Meio Ambiente (GEF) por meio do Programa das Nações Unidas para o Meio Ambiente (PNUMA) para a Promoção da Segurança Hídrica na Região de Trifinio (El Salvador, Honduras e Guatemala).</w:t>
      </w:r>
    </w:p>
    <w:p w14:paraId="7C5E2F4C" w14:textId="77777777" w:rsidR="001516E7" w:rsidRPr="00913ACD" w:rsidRDefault="001516E7" w:rsidP="00CB030B">
      <w:pPr>
        <w:pStyle w:val="ListParagraph"/>
        <w:ind w:left="1440" w:hanging="720"/>
        <w:jc w:val="both"/>
        <w:rPr>
          <w:color w:val="000000" w:themeColor="text1"/>
          <w:sz w:val="22"/>
          <w:szCs w:val="22"/>
          <w:lang w:val="pt-BR"/>
        </w:rPr>
      </w:pPr>
    </w:p>
    <w:p w14:paraId="444983D9" w14:textId="210B1430" w:rsidR="001516E7" w:rsidRPr="00913ACD" w:rsidRDefault="001516E7" w:rsidP="00CB030B">
      <w:pPr>
        <w:pStyle w:val="ListParagraph"/>
        <w:numPr>
          <w:ilvl w:val="0"/>
          <w:numId w:val="14"/>
        </w:numPr>
        <w:ind w:left="1440" w:hanging="720"/>
        <w:jc w:val="both"/>
        <w:rPr>
          <w:color w:val="000000" w:themeColor="text1"/>
          <w:sz w:val="22"/>
          <w:szCs w:val="22"/>
          <w:lang w:val="pt-BR"/>
        </w:rPr>
      </w:pPr>
      <w:r w:rsidRPr="00913ACD">
        <w:rPr>
          <w:color w:val="000000" w:themeColor="text1"/>
          <w:sz w:val="22"/>
          <w:szCs w:val="22"/>
          <w:lang w:val="pt-BR"/>
        </w:rPr>
        <w:t xml:space="preserve">Implementou o </w:t>
      </w:r>
      <w:r w:rsidR="006F50FB" w:rsidRPr="00913ACD">
        <w:rPr>
          <w:color w:val="000000" w:themeColor="text1"/>
          <w:sz w:val="22"/>
          <w:szCs w:val="22"/>
          <w:lang w:val="pt-BR"/>
        </w:rPr>
        <w:t>p</w:t>
      </w:r>
      <w:r w:rsidRPr="00913ACD">
        <w:rPr>
          <w:color w:val="000000" w:themeColor="text1"/>
          <w:sz w:val="22"/>
          <w:szCs w:val="22"/>
          <w:lang w:val="pt-BR"/>
        </w:rPr>
        <w:t xml:space="preserve">rograma de </w:t>
      </w:r>
      <w:r w:rsidR="006F50FB" w:rsidRPr="00913ACD">
        <w:rPr>
          <w:color w:val="000000" w:themeColor="text1"/>
          <w:sz w:val="22"/>
          <w:szCs w:val="22"/>
          <w:lang w:val="pt-BR"/>
        </w:rPr>
        <w:t>c</w:t>
      </w:r>
      <w:r w:rsidRPr="00913ACD">
        <w:rPr>
          <w:color w:val="000000" w:themeColor="text1"/>
          <w:sz w:val="22"/>
          <w:szCs w:val="22"/>
          <w:lang w:val="pt-BR"/>
        </w:rPr>
        <w:t xml:space="preserve">apacitação </w:t>
      </w:r>
      <w:r w:rsidR="007800A2" w:rsidRPr="00913ACD">
        <w:rPr>
          <w:color w:val="000000" w:themeColor="text1"/>
          <w:sz w:val="22"/>
          <w:szCs w:val="22"/>
          <w:lang w:val="pt-BR"/>
        </w:rPr>
        <w:t>“</w:t>
      </w:r>
      <w:r w:rsidRPr="00913ACD">
        <w:rPr>
          <w:b/>
          <w:bCs/>
          <w:color w:val="000000" w:themeColor="text1"/>
          <w:sz w:val="22"/>
          <w:szCs w:val="22"/>
          <w:lang w:val="pt-BR"/>
        </w:rPr>
        <w:t>Ação Climática para o Desenvolvimento na América Latina e no Caribe</w:t>
      </w:r>
      <w:r w:rsidR="007800A2" w:rsidRPr="00913ACD">
        <w:rPr>
          <w:b/>
          <w:bCs/>
          <w:color w:val="000000" w:themeColor="text1"/>
          <w:sz w:val="22"/>
          <w:szCs w:val="22"/>
          <w:lang w:val="pt-BR"/>
        </w:rPr>
        <w:t>”</w:t>
      </w:r>
      <w:r w:rsidRPr="00913ACD">
        <w:rPr>
          <w:color w:val="000000" w:themeColor="text1"/>
          <w:sz w:val="22"/>
          <w:szCs w:val="22"/>
          <w:lang w:val="pt-BR"/>
        </w:rPr>
        <w:t xml:space="preserve"> para cerca de 700 pessoas de 23</w:t>
      </w:r>
      <w:r w:rsidR="00C51D8E" w:rsidRPr="00913ACD">
        <w:rPr>
          <w:color w:val="000000" w:themeColor="text1"/>
          <w:sz w:val="22"/>
          <w:szCs w:val="22"/>
          <w:lang w:val="pt-BR"/>
        </w:rPr>
        <w:t xml:space="preserve"> </w:t>
      </w:r>
      <w:r w:rsidRPr="00913ACD">
        <w:rPr>
          <w:sz w:val="22"/>
          <w:szCs w:val="22"/>
          <w:lang w:val="pt-BR"/>
        </w:rPr>
        <w:t xml:space="preserve">Estados </w:t>
      </w:r>
      <w:r w:rsidR="00C67D84" w:rsidRPr="00913ACD">
        <w:rPr>
          <w:color w:val="000000" w:themeColor="text1"/>
          <w:sz w:val="22"/>
          <w:szCs w:val="22"/>
          <w:lang w:val="pt-BR"/>
        </w:rPr>
        <w:t>membros</w:t>
      </w:r>
      <w:r w:rsidR="00C51D8E" w:rsidRPr="00913ACD">
        <w:rPr>
          <w:color w:val="000000" w:themeColor="text1"/>
          <w:sz w:val="22"/>
          <w:szCs w:val="22"/>
          <w:lang w:val="pt-BR"/>
        </w:rPr>
        <w:t xml:space="preserve"> </w:t>
      </w:r>
      <w:r w:rsidRPr="00913ACD">
        <w:rPr>
          <w:sz w:val="22"/>
          <w:szCs w:val="22"/>
          <w:lang w:val="pt-BR"/>
        </w:rPr>
        <w:t>da</w:t>
      </w:r>
      <w:r w:rsidR="00C51D8E" w:rsidRPr="00913ACD">
        <w:rPr>
          <w:sz w:val="22"/>
          <w:szCs w:val="22"/>
          <w:lang w:val="pt-BR"/>
        </w:rPr>
        <w:t xml:space="preserve"> </w:t>
      </w:r>
      <w:r w:rsidRPr="00913ACD">
        <w:rPr>
          <w:color w:val="000000" w:themeColor="text1"/>
          <w:sz w:val="22"/>
          <w:szCs w:val="22"/>
          <w:lang w:val="pt-BR"/>
        </w:rPr>
        <w:t>OEA (Argentina, Barbados, Brasil, Chile, Colômbia, Costa Rica, República Dominicana, Equador, El Salvador, Guiana, Haiti, Honduras, México, Nicarágua, Panamá, Paraguai, Peru, Santa Lúcia, São Vicente e Granadinas, Suriname, Trinidad e Tobago, Estados Unidos</w:t>
      </w:r>
      <w:r w:rsidR="00C51D8E" w:rsidRPr="00913ACD">
        <w:rPr>
          <w:color w:val="000000" w:themeColor="text1"/>
          <w:sz w:val="22"/>
          <w:szCs w:val="22"/>
          <w:lang w:val="pt-BR"/>
        </w:rPr>
        <w:t xml:space="preserve"> </w:t>
      </w:r>
      <w:r w:rsidRPr="00913ACD">
        <w:rPr>
          <w:color w:val="000000" w:themeColor="text1"/>
          <w:sz w:val="22"/>
          <w:szCs w:val="22"/>
          <w:lang w:val="pt-BR"/>
        </w:rPr>
        <w:t xml:space="preserve">e Uruguai). O </w:t>
      </w:r>
      <w:r w:rsidR="00AF33B6" w:rsidRPr="00913ACD">
        <w:rPr>
          <w:color w:val="000000" w:themeColor="text1"/>
          <w:sz w:val="22"/>
          <w:szCs w:val="22"/>
          <w:lang w:val="pt-BR"/>
        </w:rPr>
        <w:t>p</w:t>
      </w:r>
      <w:r w:rsidRPr="00913ACD">
        <w:rPr>
          <w:color w:val="000000" w:themeColor="text1"/>
          <w:sz w:val="22"/>
          <w:szCs w:val="22"/>
          <w:lang w:val="pt-BR"/>
        </w:rPr>
        <w:t>rograma foi oferecido gratuitamente a grupos de negociadores climáticos, tomadores de decisão e representantes de instituições governamentais com competências ambientais e climáticas nos países da ALC em dois ciclos de implementação.</w:t>
      </w:r>
    </w:p>
    <w:p w14:paraId="535404CE" w14:textId="77777777" w:rsidR="001516E7" w:rsidRPr="00913ACD" w:rsidRDefault="001516E7" w:rsidP="00CB030B">
      <w:pPr>
        <w:ind w:left="1440" w:hanging="720"/>
        <w:jc w:val="both"/>
        <w:rPr>
          <w:rFonts w:ascii="Times New Roman" w:hAnsi="Times New Roman" w:cs="Times New Roman"/>
          <w:color w:val="000000" w:themeColor="text1"/>
          <w:sz w:val="22"/>
          <w:szCs w:val="22"/>
          <w:highlight w:val="yellow"/>
          <w:lang w:val="pt-BR"/>
        </w:rPr>
      </w:pPr>
    </w:p>
    <w:p w14:paraId="59493F08" w14:textId="745867D2" w:rsidR="001516E7" w:rsidRPr="00913ACD" w:rsidRDefault="001516E7" w:rsidP="00CB030B">
      <w:pPr>
        <w:pStyle w:val="ListParagraph"/>
        <w:numPr>
          <w:ilvl w:val="0"/>
          <w:numId w:val="14"/>
        </w:numPr>
        <w:ind w:left="1440" w:hanging="720"/>
        <w:jc w:val="both"/>
        <w:rPr>
          <w:color w:val="000000" w:themeColor="text1"/>
          <w:sz w:val="22"/>
          <w:szCs w:val="22"/>
          <w:lang w:val="pt-BR"/>
        </w:rPr>
      </w:pPr>
      <w:r w:rsidRPr="00913ACD">
        <w:rPr>
          <w:color w:val="000000" w:themeColor="text1"/>
          <w:sz w:val="22"/>
          <w:szCs w:val="22"/>
          <w:lang w:val="pt-BR"/>
        </w:rPr>
        <w:t>Conclu</w:t>
      </w:r>
      <w:r w:rsidR="004213A0" w:rsidRPr="00913ACD">
        <w:rPr>
          <w:color w:val="000000" w:themeColor="text1"/>
          <w:sz w:val="22"/>
          <w:szCs w:val="22"/>
          <w:lang w:val="pt-BR"/>
        </w:rPr>
        <w:t>iu</w:t>
      </w:r>
      <w:r w:rsidRPr="00913ACD">
        <w:rPr>
          <w:color w:val="000000" w:themeColor="text1"/>
          <w:sz w:val="22"/>
          <w:szCs w:val="22"/>
          <w:lang w:val="pt-BR"/>
        </w:rPr>
        <w:t xml:space="preserve"> a execução do Projeto Bacia </w:t>
      </w:r>
      <w:r w:rsidR="00FB6D8E">
        <w:rPr>
          <w:color w:val="000000" w:themeColor="text1"/>
          <w:sz w:val="22"/>
          <w:szCs w:val="22"/>
          <w:lang w:val="pt-BR"/>
        </w:rPr>
        <w:t>do Prata</w:t>
      </w:r>
      <w:r w:rsidR="00FB6D8E">
        <w:rPr>
          <w:i/>
          <w:iCs/>
          <w:color w:val="000000" w:themeColor="text1"/>
          <w:sz w:val="22"/>
          <w:szCs w:val="22"/>
          <w:lang w:val="pt-BR"/>
        </w:rPr>
        <w:t xml:space="preserve"> </w:t>
      </w:r>
      <w:r w:rsidRPr="00913ACD">
        <w:rPr>
          <w:sz w:val="22"/>
          <w:szCs w:val="22"/>
          <w:lang w:val="pt-BR"/>
        </w:rPr>
        <w:t>(</w:t>
      </w:r>
      <w:r w:rsidRPr="00913ACD">
        <w:rPr>
          <w:color w:val="000000" w:themeColor="text1"/>
          <w:sz w:val="22"/>
          <w:szCs w:val="22"/>
          <w:lang w:val="pt-BR"/>
        </w:rPr>
        <w:t>Argentina, Bolívia, Brasil, Uruguai e Paraguai), desenvolvido por meio de uma doação de US$ 2 milhões garantida pelo GEF por meio do CAF para a implementação do Plano de Ação Estratégica (</w:t>
      </w:r>
      <w:r w:rsidR="00265BAF" w:rsidRPr="00913ACD">
        <w:rPr>
          <w:color w:val="000000" w:themeColor="text1"/>
          <w:sz w:val="22"/>
          <w:szCs w:val="22"/>
          <w:lang w:val="pt-BR"/>
        </w:rPr>
        <w:t>PAE</w:t>
      </w:r>
      <w:r w:rsidRPr="00913ACD">
        <w:rPr>
          <w:color w:val="000000" w:themeColor="text1"/>
          <w:sz w:val="22"/>
          <w:szCs w:val="22"/>
          <w:lang w:val="pt-BR"/>
        </w:rPr>
        <w:t xml:space="preserve">), </w:t>
      </w:r>
      <w:r w:rsidR="00D478F8" w:rsidRPr="00913ACD">
        <w:rPr>
          <w:color w:val="000000" w:themeColor="text1"/>
          <w:sz w:val="22"/>
          <w:szCs w:val="22"/>
          <w:lang w:val="pt-BR"/>
        </w:rPr>
        <w:t xml:space="preserve">com vistas a </w:t>
      </w:r>
      <w:r w:rsidRPr="00913ACD">
        <w:rPr>
          <w:color w:val="000000" w:themeColor="text1"/>
          <w:sz w:val="22"/>
          <w:szCs w:val="22"/>
          <w:lang w:val="pt-BR"/>
        </w:rPr>
        <w:t>acelerar as ações nas áreas prioritárias de segurança hídrica, resiliência climática e saúde dos ecossistemas, incluindo o desenvolvimento de um</w:t>
      </w:r>
      <w:r w:rsidR="000C6E09">
        <w:rPr>
          <w:color w:val="000000" w:themeColor="text1"/>
          <w:sz w:val="22"/>
          <w:szCs w:val="22"/>
          <w:lang w:val="pt-BR"/>
        </w:rPr>
        <w:t>a</w:t>
      </w:r>
      <w:r w:rsidRPr="00913ACD">
        <w:rPr>
          <w:color w:val="000000" w:themeColor="text1"/>
          <w:sz w:val="22"/>
          <w:szCs w:val="22"/>
          <w:lang w:val="pt-BR"/>
        </w:rPr>
        <w:t xml:space="preserve"> </w:t>
      </w:r>
      <w:r w:rsidR="00957D3C">
        <w:rPr>
          <w:color w:val="000000" w:themeColor="text1"/>
          <w:sz w:val="22"/>
          <w:szCs w:val="22"/>
          <w:lang w:val="pt-BR"/>
        </w:rPr>
        <w:t>carteira</w:t>
      </w:r>
      <w:r w:rsidRPr="00913ACD">
        <w:rPr>
          <w:color w:val="000000" w:themeColor="text1"/>
          <w:sz w:val="22"/>
          <w:szCs w:val="22"/>
          <w:lang w:val="pt-BR"/>
        </w:rPr>
        <w:t xml:space="preserve"> de projetos multissetoriais de curto prazo em toda a bacia.</w:t>
      </w:r>
    </w:p>
    <w:p w14:paraId="6A03FAD5" w14:textId="77777777" w:rsidR="001516E7" w:rsidRPr="00913ACD" w:rsidRDefault="001516E7" w:rsidP="00CB030B">
      <w:pPr>
        <w:pStyle w:val="ListParagraph"/>
        <w:ind w:left="1440" w:hanging="720"/>
        <w:jc w:val="both"/>
        <w:rPr>
          <w:color w:val="000000" w:themeColor="text1"/>
          <w:sz w:val="22"/>
          <w:szCs w:val="22"/>
          <w:lang w:val="pt-BR"/>
        </w:rPr>
      </w:pPr>
    </w:p>
    <w:p w14:paraId="35BAB0EB" w14:textId="401B093A" w:rsidR="001516E7" w:rsidRPr="00913ACD" w:rsidRDefault="001516E7" w:rsidP="00CB030B">
      <w:pPr>
        <w:pStyle w:val="ListParagraph"/>
        <w:numPr>
          <w:ilvl w:val="0"/>
          <w:numId w:val="14"/>
        </w:numPr>
        <w:ind w:left="1440" w:hanging="720"/>
        <w:jc w:val="both"/>
        <w:rPr>
          <w:color w:val="000000" w:themeColor="text1"/>
          <w:sz w:val="22"/>
          <w:szCs w:val="22"/>
          <w:lang w:val="pt-BR"/>
        </w:rPr>
      </w:pPr>
      <w:r w:rsidRPr="00913ACD">
        <w:rPr>
          <w:color w:val="000000" w:themeColor="text1"/>
          <w:sz w:val="22"/>
          <w:szCs w:val="22"/>
          <w:lang w:val="pt-BR"/>
        </w:rPr>
        <w:t xml:space="preserve">Desenvolveu uma nova fase de projeto para a implementação das prioridades </w:t>
      </w:r>
      <w:r w:rsidR="002C0E4A" w:rsidRPr="00913ACD">
        <w:rPr>
          <w:color w:val="000000" w:themeColor="text1"/>
          <w:sz w:val="22"/>
          <w:szCs w:val="22"/>
          <w:lang w:val="pt-BR"/>
        </w:rPr>
        <w:t xml:space="preserve">do </w:t>
      </w:r>
      <w:r w:rsidR="00265BAF" w:rsidRPr="00913ACD">
        <w:rPr>
          <w:color w:val="000000" w:themeColor="text1"/>
          <w:sz w:val="22"/>
          <w:szCs w:val="22"/>
          <w:lang w:val="pt-BR"/>
        </w:rPr>
        <w:t>PAE</w:t>
      </w:r>
      <w:r w:rsidRPr="00913ACD">
        <w:rPr>
          <w:color w:val="000000" w:themeColor="text1"/>
          <w:sz w:val="22"/>
          <w:szCs w:val="22"/>
          <w:lang w:val="pt-BR"/>
        </w:rPr>
        <w:t xml:space="preserve"> </w:t>
      </w:r>
      <w:r w:rsidR="00E715ED">
        <w:rPr>
          <w:color w:val="000000" w:themeColor="text1"/>
          <w:sz w:val="22"/>
          <w:szCs w:val="22"/>
          <w:lang w:val="pt-BR"/>
        </w:rPr>
        <w:t>n</w:t>
      </w:r>
      <w:r w:rsidRPr="00913ACD">
        <w:rPr>
          <w:color w:val="000000" w:themeColor="text1"/>
          <w:sz w:val="22"/>
          <w:szCs w:val="22"/>
          <w:lang w:val="pt-BR"/>
        </w:rPr>
        <w:t>a Bacia</w:t>
      </w:r>
      <w:r w:rsidR="00957D3C">
        <w:rPr>
          <w:color w:val="000000" w:themeColor="text1"/>
          <w:sz w:val="22"/>
          <w:szCs w:val="22"/>
          <w:lang w:val="pt-BR"/>
        </w:rPr>
        <w:t xml:space="preserve"> do Prata</w:t>
      </w:r>
      <w:r w:rsidR="00957D3C">
        <w:rPr>
          <w:i/>
          <w:iCs/>
          <w:color w:val="000000" w:themeColor="text1"/>
          <w:sz w:val="22"/>
          <w:szCs w:val="22"/>
          <w:lang w:val="pt-BR"/>
        </w:rPr>
        <w:t xml:space="preserve"> </w:t>
      </w:r>
      <w:r w:rsidRPr="00913ACD">
        <w:rPr>
          <w:sz w:val="22"/>
          <w:szCs w:val="22"/>
          <w:lang w:val="pt-BR"/>
        </w:rPr>
        <w:t xml:space="preserve">por </w:t>
      </w:r>
      <w:r w:rsidRPr="00913ACD">
        <w:rPr>
          <w:color w:val="000000" w:themeColor="text1"/>
          <w:sz w:val="22"/>
          <w:szCs w:val="22"/>
          <w:lang w:val="pt-BR"/>
        </w:rPr>
        <w:t xml:space="preserve">meio de ações regionais e nacionais, que foram apresentadas ao GEF </w:t>
      </w:r>
      <w:r w:rsidR="00BE38A5" w:rsidRPr="00913ACD">
        <w:rPr>
          <w:color w:val="000000" w:themeColor="text1"/>
          <w:sz w:val="22"/>
          <w:szCs w:val="22"/>
          <w:lang w:val="pt-BR"/>
        </w:rPr>
        <w:t xml:space="preserve">mediante </w:t>
      </w:r>
      <w:r w:rsidRPr="00913ACD">
        <w:rPr>
          <w:color w:val="000000" w:themeColor="text1"/>
          <w:sz w:val="22"/>
          <w:szCs w:val="22"/>
          <w:lang w:val="pt-BR"/>
        </w:rPr>
        <w:t xml:space="preserve">o CAF </w:t>
      </w:r>
      <w:r w:rsidR="00BE38A5" w:rsidRPr="00913ACD">
        <w:rPr>
          <w:color w:val="000000" w:themeColor="text1"/>
          <w:sz w:val="22"/>
          <w:szCs w:val="22"/>
          <w:lang w:val="pt-BR"/>
        </w:rPr>
        <w:t xml:space="preserve">no valor de </w:t>
      </w:r>
      <w:r w:rsidRPr="00913ACD">
        <w:rPr>
          <w:color w:val="000000" w:themeColor="text1"/>
          <w:sz w:val="22"/>
          <w:szCs w:val="22"/>
          <w:lang w:val="pt-BR"/>
        </w:rPr>
        <w:t>US$ 15 milhões a serem executados entre 2023-2028.</w:t>
      </w:r>
    </w:p>
    <w:p w14:paraId="562204A8" w14:textId="77777777" w:rsidR="001516E7" w:rsidRPr="00913ACD" w:rsidRDefault="001516E7" w:rsidP="00CB030B">
      <w:pPr>
        <w:ind w:left="1440" w:hanging="720"/>
        <w:jc w:val="both"/>
        <w:rPr>
          <w:rFonts w:ascii="Times New Roman" w:hAnsi="Times New Roman" w:cs="Times New Roman"/>
          <w:color w:val="000000" w:themeColor="text1"/>
          <w:sz w:val="22"/>
          <w:szCs w:val="22"/>
          <w:lang w:val="pt-BR"/>
        </w:rPr>
      </w:pPr>
    </w:p>
    <w:p w14:paraId="72198056" w14:textId="235028FC" w:rsidR="001516E7" w:rsidRPr="00913ACD" w:rsidRDefault="001516E7" w:rsidP="00CB030B">
      <w:pPr>
        <w:pStyle w:val="ListParagraph"/>
        <w:numPr>
          <w:ilvl w:val="0"/>
          <w:numId w:val="14"/>
        </w:numPr>
        <w:ind w:left="1440" w:hanging="720"/>
        <w:jc w:val="both"/>
        <w:rPr>
          <w:color w:val="000000" w:themeColor="text1"/>
          <w:sz w:val="22"/>
          <w:szCs w:val="22"/>
          <w:lang w:val="pt-BR"/>
        </w:rPr>
      </w:pPr>
      <w:r w:rsidRPr="00913ACD">
        <w:rPr>
          <w:color w:val="000000" w:themeColor="text1"/>
          <w:sz w:val="22"/>
          <w:szCs w:val="22"/>
          <w:lang w:val="pt-BR"/>
        </w:rPr>
        <w:t xml:space="preserve">Desenvolveu o documento e o plano </w:t>
      </w:r>
      <w:r w:rsidRPr="004B7C5E">
        <w:rPr>
          <w:color w:val="000000" w:themeColor="text1"/>
          <w:sz w:val="22"/>
          <w:szCs w:val="22"/>
          <w:lang w:val="pt-BR"/>
        </w:rPr>
        <w:t>de implementação para o</w:t>
      </w:r>
      <w:r w:rsidRPr="00913ACD">
        <w:rPr>
          <w:b/>
          <w:bCs/>
          <w:color w:val="000000" w:themeColor="text1"/>
          <w:sz w:val="22"/>
          <w:szCs w:val="22"/>
          <w:lang w:val="pt-BR"/>
        </w:rPr>
        <w:t xml:space="preserve"> </w:t>
      </w:r>
      <w:r w:rsidR="007800A2" w:rsidRPr="00913ACD">
        <w:rPr>
          <w:b/>
          <w:bCs/>
          <w:color w:val="000000" w:themeColor="text1"/>
          <w:sz w:val="22"/>
          <w:szCs w:val="22"/>
          <w:lang w:val="pt-BR"/>
        </w:rPr>
        <w:t>“</w:t>
      </w:r>
      <w:r w:rsidRPr="00913ACD">
        <w:rPr>
          <w:b/>
          <w:bCs/>
          <w:color w:val="000000" w:themeColor="text1"/>
          <w:sz w:val="22"/>
          <w:szCs w:val="22"/>
          <w:lang w:val="pt-BR"/>
        </w:rPr>
        <w:t>Projeto de Gestão Sustentável e Resiliente ao Clima de Ecossistemas Alto-Andinos</w:t>
      </w:r>
      <w:r w:rsidR="007800A2" w:rsidRPr="00913ACD">
        <w:rPr>
          <w:b/>
          <w:bCs/>
          <w:color w:val="000000" w:themeColor="text1"/>
          <w:sz w:val="22"/>
          <w:szCs w:val="22"/>
          <w:lang w:val="pt-BR"/>
        </w:rPr>
        <w:t>”</w:t>
      </w:r>
      <w:r w:rsidRPr="00913ACD">
        <w:rPr>
          <w:b/>
          <w:bCs/>
          <w:color w:val="000000" w:themeColor="text1"/>
          <w:sz w:val="22"/>
          <w:szCs w:val="22"/>
          <w:lang w:val="pt-BR"/>
        </w:rPr>
        <w:t>,</w:t>
      </w:r>
      <w:r w:rsidRPr="00913ACD">
        <w:rPr>
          <w:color w:val="000000" w:themeColor="text1"/>
          <w:sz w:val="22"/>
          <w:szCs w:val="22"/>
          <w:lang w:val="pt-BR"/>
        </w:rPr>
        <w:t xml:space="preserve"> uma iniciativa regional (Bolívia, Colômbia, Equador e Peru) </w:t>
      </w:r>
      <w:r w:rsidR="00E96182">
        <w:rPr>
          <w:color w:val="000000" w:themeColor="text1"/>
          <w:sz w:val="22"/>
          <w:szCs w:val="22"/>
          <w:lang w:val="pt-BR"/>
        </w:rPr>
        <w:t xml:space="preserve">que recebeu </w:t>
      </w:r>
      <w:r w:rsidRPr="00913ACD">
        <w:rPr>
          <w:color w:val="000000" w:themeColor="text1"/>
          <w:sz w:val="22"/>
          <w:szCs w:val="22"/>
          <w:lang w:val="pt-BR"/>
        </w:rPr>
        <w:t xml:space="preserve">US$ 5 milhões </w:t>
      </w:r>
      <w:r w:rsidR="002D6888" w:rsidRPr="00913ACD">
        <w:rPr>
          <w:color w:val="000000" w:themeColor="text1"/>
          <w:sz w:val="22"/>
          <w:szCs w:val="22"/>
          <w:lang w:val="pt-BR"/>
        </w:rPr>
        <w:t xml:space="preserve">doados </w:t>
      </w:r>
      <w:r w:rsidRPr="00913ACD">
        <w:rPr>
          <w:color w:val="000000" w:themeColor="text1"/>
          <w:sz w:val="22"/>
          <w:szCs w:val="22"/>
          <w:lang w:val="pt-BR"/>
        </w:rPr>
        <w:t>pela Agência Suíça para o Desenvolvimento e Cooperação (SDC) a ser implementada entre 2023-2028.</w:t>
      </w:r>
    </w:p>
    <w:p w14:paraId="575D653E" w14:textId="77777777" w:rsidR="001516E7" w:rsidRPr="00913ACD" w:rsidRDefault="001516E7" w:rsidP="00CB030B">
      <w:pPr>
        <w:ind w:left="1440" w:hanging="720"/>
        <w:jc w:val="both"/>
        <w:rPr>
          <w:rFonts w:ascii="Times New Roman" w:hAnsi="Times New Roman" w:cs="Times New Roman"/>
          <w:color w:val="000000" w:themeColor="text1"/>
          <w:sz w:val="22"/>
          <w:szCs w:val="22"/>
          <w:lang w:val="pt-BR"/>
        </w:rPr>
      </w:pPr>
    </w:p>
    <w:p w14:paraId="3501DB0F" w14:textId="4BBD73EE"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Iniciou a execução de uma nova atividade de projeto para promover </w:t>
      </w:r>
      <w:r w:rsidR="007800A2" w:rsidRPr="00913ACD">
        <w:rPr>
          <w:b/>
          <w:bCs/>
          <w:color w:val="000000" w:themeColor="text1"/>
          <w:sz w:val="22"/>
          <w:szCs w:val="22"/>
          <w:lang w:val="pt-BR"/>
        </w:rPr>
        <w:t>“</w:t>
      </w:r>
      <w:r w:rsidRPr="00913ACD">
        <w:rPr>
          <w:b/>
          <w:bCs/>
          <w:color w:val="000000" w:themeColor="text1"/>
          <w:sz w:val="22"/>
          <w:szCs w:val="22"/>
          <w:lang w:val="pt-BR"/>
        </w:rPr>
        <w:t>Resiliência Hídrica para um Nordeste do Haiti Sensível à Seca</w:t>
      </w:r>
      <w:r w:rsidR="007800A2" w:rsidRPr="00913ACD">
        <w:rPr>
          <w:b/>
          <w:bCs/>
          <w:color w:val="000000" w:themeColor="text1"/>
          <w:sz w:val="22"/>
          <w:szCs w:val="22"/>
          <w:lang w:val="pt-BR"/>
        </w:rPr>
        <w:t>”</w:t>
      </w:r>
      <w:r w:rsidRPr="00913ACD">
        <w:rPr>
          <w:b/>
          <w:bCs/>
          <w:color w:val="000000" w:themeColor="text1"/>
          <w:sz w:val="22"/>
          <w:szCs w:val="22"/>
          <w:lang w:val="pt-BR"/>
        </w:rPr>
        <w:t>.</w:t>
      </w:r>
      <w:r w:rsidR="00C51D8E" w:rsidRPr="00913ACD">
        <w:rPr>
          <w:sz w:val="22"/>
          <w:szCs w:val="22"/>
          <w:lang w:val="pt-BR"/>
        </w:rPr>
        <w:t xml:space="preserve"> </w:t>
      </w:r>
      <w:r w:rsidRPr="00913ACD">
        <w:rPr>
          <w:color w:val="000000" w:themeColor="text1"/>
          <w:sz w:val="22"/>
          <w:szCs w:val="22"/>
          <w:lang w:val="pt-BR"/>
        </w:rPr>
        <w:t xml:space="preserve">Esta atividade segue a cooperação contínua entre a OEA, a </w:t>
      </w:r>
      <w:r w:rsidR="005203F1" w:rsidRPr="00913ACD">
        <w:rPr>
          <w:color w:val="000000" w:themeColor="text1"/>
          <w:sz w:val="22"/>
          <w:szCs w:val="22"/>
          <w:lang w:val="pt-BR"/>
        </w:rPr>
        <w:t>FUPAD</w:t>
      </w:r>
      <w:r w:rsidRPr="00913ACD">
        <w:rPr>
          <w:color w:val="000000" w:themeColor="text1"/>
          <w:sz w:val="22"/>
          <w:szCs w:val="22"/>
          <w:lang w:val="pt-BR"/>
        </w:rPr>
        <w:t xml:space="preserve"> e a USAID </w:t>
      </w:r>
      <w:r w:rsidR="00D04476" w:rsidRPr="00913ACD">
        <w:rPr>
          <w:color w:val="000000" w:themeColor="text1"/>
          <w:sz w:val="22"/>
          <w:szCs w:val="22"/>
          <w:lang w:val="pt-BR"/>
        </w:rPr>
        <w:t>n</w:t>
      </w:r>
      <w:r w:rsidRPr="00913ACD">
        <w:rPr>
          <w:color w:val="000000" w:themeColor="text1"/>
          <w:sz w:val="22"/>
          <w:szCs w:val="22"/>
          <w:lang w:val="pt-BR"/>
        </w:rPr>
        <w:t>o projeto Desenvolvimento Orientado para a Comunidade. O projeto investirá US$ 3,9 milhões para aumentar a segurança hídrica, promover a segurança alimentar e apoiar os meios de subsistência dos agricultores, mobilizando medidas adaptativas de ge</w:t>
      </w:r>
      <w:r w:rsidR="004C09FC" w:rsidRPr="00913ACD">
        <w:rPr>
          <w:color w:val="000000" w:themeColor="text1"/>
          <w:sz w:val="22"/>
          <w:szCs w:val="22"/>
          <w:lang w:val="pt-BR"/>
        </w:rPr>
        <w:t xml:space="preserve">stão </w:t>
      </w:r>
      <w:r w:rsidRPr="00913ACD">
        <w:rPr>
          <w:color w:val="000000" w:themeColor="text1"/>
          <w:sz w:val="22"/>
          <w:szCs w:val="22"/>
          <w:lang w:val="pt-BR"/>
        </w:rPr>
        <w:t>de água que mitig</w:t>
      </w:r>
      <w:r w:rsidR="006A1476" w:rsidRPr="00913ACD">
        <w:rPr>
          <w:color w:val="000000" w:themeColor="text1"/>
          <w:sz w:val="22"/>
          <w:szCs w:val="22"/>
          <w:lang w:val="pt-BR"/>
        </w:rPr>
        <w:t>uem</w:t>
      </w:r>
      <w:r w:rsidRPr="00913ACD">
        <w:rPr>
          <w:color w:val="000000" w:themeColor="text1"/>
          <w:sz w:val="22"/>
          <w:szCs w:val="22"/>
          <w:lang w:val="pt-BR"/>
        </w:rPr>
        <w:t xml:space="preserve"> secas recorrentes e outros choques e estresses no departamento do Nordeste do Haiti.</w:t>
      </w:r>
    </w:p>
    <w:p w14:paraId="233D98A1" w14:textId="77777777" w:rsidR="001516E7" w:rsidRPr="00913ACD" w:rsidRDefault="001516E7" w:rsidP="00CB030B">
      <w:pPr>
        <w:ind w:left="1440" w:hanging="720"/>
        <w:jc w:val="both"/>
        <w:rPr>
          <w:rFonts w:ascii="Times New Roman" w:hAnsi="Times New Roman" w:cs="Times New Roman"/>
          <w:color w:val="000000" w:themeColor="text1"/>
          <w:sz w:val="22"/>
          <w:szCs w:val="22"/>
          <w:lang w:val="pt-BR"/>
        </w:rPr>
      </w:pPr>
    </w:p>
    <w:p w14:paraId="0D152B96" w14:textId="667A1D75"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A SEDI/DSD fez uma parceria com o BID, </w:t>
      </w:r>
      <w:r w:rsidR="005705C5" w:rsidRPr="00913ACD">
        <w:rPr>
          <w:color w:val="000000" w:themeColor="text1"/>
          <w:sz w:val="22"/>
          <w:szCs w:val="22"/>
          <w:lang w:val="pt-BR"/>
        </w:rPr>
        <w:t xml:space="preserve">o </w:t>
      </w:r>
      <w:r w:rsidR="008C71D4" w:rsidRPr="00913ACD">
        <w:rPr>
          <w:color w:val="000000" w:themeColor="text1"/>
          <w:sz w:val="22"/>
          <w:szCs w:val="22"/>
          <w:lang w:val="pt-BR"/>
        </w:rPr>
        <w:t>PNUMA</w:t>
      </w:r>
      <w:r w:rsidRPr="00913ACD">
        <w:rPr>
          <w:color w:val="000000" w:themeColor="text1"/>
          <w:sz w:val="22"/>
          <w:szCs w:val="22"/>
          <w:lang w:val="pt-BR"/>
        </w:rPr>
        <w:t xml:space="preserve">, </w:t>
      </w:r>
      <w:r w:rsidR="005705C5" w:rsidRPr="00913ACD">
        <w:rPr>
          <w:color w:val="000000" w:themeColor="text1"/>
          <w:sz w:val="22"/>
          <w:szCs w:val="22"/>
          <w:lang w:val="pt-BR"/>
        </w:rPr>
        <w:t xml:space="preserve">a </w:t>
      </w:r>
      <w:r w:rsidRPr="00913ACD">
        <w:rPr>
          <w:color w:val="000000" w:themeColor="text1"/>
          <w:sz w:val="22"/>
          <w:szCs w:val="22"/>
          <w:lang w:val="pt-BR"/>
        </w:rPr>
        <w:t xml:space="preserve">GIZ e </w:t>
      </w:r>
      <w:r w:rsidR="005705C5" w:rsidRPr="00913ACD">
        <w:rPr>
          <w:color w:val="000000" w:themeColor="text1"/>
          <w:sz w:val="22"/>
          <w:szCs w:val="22"/>
          <w:lang w:val="pt-BR"/>
        </w:rPr>
        <w:t>a</w:t>
      </w:r>
      <w:r w:rsidRPr="00913ACD">
        <w:rPr>
          <w:color w:val="000000" w:themeColor="text1"/>
          <w:sz w:val="22"/>
          <w:szCs w:val="22"/>
          <w:lang w:val="pt-BR"/>
        </w:rPr>
        <w:t xml:space="preserve"> Secretaria</w:t>
      </w:r>
      <w:r w:rsidR="005705C5" w:rsidRPr="00913ACD">
        <w:rPr>
          <w:color w:val="000000" w:themeColor="text1"/>
          <w:sz w:val="22"/>
          <w:szCs w:val="22"/>
          <w:lang w:val="pt-BR"/>
        </w:rPr>
        <w:t xml:space="preserve"> </w:t>
      </w:r>
      <w:r w:rsidRPr="00913ACD">
        <w:rPr>
          <w:color w:val="000000" w:themeColor="text1"/>
          <w:sz w:val="22"/>
          <w:szCs w:val="22"/>
          <w:lang w:val="pt-BR"/>
        </w:rPr>
        <w:t xml:space="preserve">da Convenção de Cartagena para executar o projeto do GEF </w:t>
      </w:r>
      <w:r w:rsidR="007800A2" w:rsidRPr="00913ACD">
        <w:rPr>
          <w:b/>
          <w:bCs/>
          <w:color w:val="000000" w:themeColor="text1"/>
          <w:sz w:val="22"/>
          <w:szCs w:val="22"/>
          <w:lang w:val="pt-BR"/>
        </w:rPr>
        <w:t>“</w:t>
      </w:r>
      <w:r w:rsidRPr="00913ACD">
        <w:rPr>
          <w:b/>
          <w:bCs/>
          <w:color w:val="000000" w:themeColor="text1"/>
          <w:sz w:val="22"/>
          <w:szCs w:val="22"/>
          <w:lang w:val="pt-BR"/>
        </w:rPr>
        <w:t>Fundo Regional do Caribe para a Gestão de Águas Residuais</w:t>
      </w:r>
      <w:r w:rsidR="007800A2" w:rsidRPr="00913ACD">
        <w:rPr>
          <w:b/>
          <w:bCs/>
          <w:color w:val="000000" w:themeColor="text1"/>
          <w:sz w:val="22"/>
          <w:szCs w:val="22"/>
          <w:lang w:val="pt-BR"/>
        </w:rPr>
        <w:t>”</w:t>
      </w:r>
      <w:r w:rsidRPr="00913ACD">
        <w:rPr>
          <w:color w:val="000000" w:themeColor="text1"/>
          <w:sz w:val="22"/>
          <w:szCs w:val="22"/>
          <w:lang w:val="pt-BR"/>
        </w:rPr>
        <w:t xml:space="preserve"> </w:t>
      </w:r>
      <w:r w:rsidR="006A5860">
        <w:rPr>
          <w:color w:val="000000" w:themeColor="text1"/>
          <w:sz w:val="22"/>
          <w:szCs w:val="22"/>
          <w:lang w:val="pt-BR"/>
        </w:rPr>
        <w:t>n</w:t>
      </w:r>
      <w:r w:rsidRPr="00913ACD">
        <w:rPr>
          <w:color w:val="000000" w:themeColor="text1"/>
          <w:sz w:val="22"/>
          <w:szCs w:val="22"/>
          <w:lang w:val="pt-BR"/>
        </w:rPr>
        <w:t xml:space="preserve">a Região do Caribe Amplo (Barbados, Belize, Colômbia, Costa Rica, Cuba, República Dominicana, Granada, Guatemala, Guiana, Honduras, Jamaica, México, Panamá, </w:t>
      </w:r>
      <w:r w:rsidR="00B52F84" w:rsidRPr="00913ACD">
        <w:rPr>
          <w:color w:val="000000" w:themeColor="text1"/>
          <w:sz w:val="22"/>
          <w:szCs w:val="22"/>
          <w:lang w:val="pt-BR"/>
        </w:rPr>
        <w:t xml:space="preserve">Saint Kitts e </w:t>
      </w:r>
      <w:r w:rsidRPr="00913ACD">
        <w:rPr>
          <w:color w:val="000000" w:themeColor="text1"/>
          <w:sz w:val="22"/>
          <w:szCs w:val="22"/>
          <w:lang w:val="pt-BR"/>
        </w:rPr>
        <w:t>Névis, Santa Lúcia, São Vicente e Granadinas,</w:t>
      </w:r>
      <w:r w:rsidR="00C51D8E" w:rsidRPr="00913ACD">
        <w:rPr>
          <w:color w:val="000000" w:themeColor="text1"/>
          <w:sz w:val="22"/>
          <w:szCs w:val="22"/>
          <w:lang w:val="pt-BR"/>
        </w:rPr>
        <w:t xml:space="preserve"> </w:t>
      </w:r>
      <w:r w:rsidRPr="00913ACD">
        <w:rPr>
          <w:color w:val="000000" w:themeColor="text1"/>
          <w:sz w:val="22"/>
          <w:szCs w:val="22"/>
          <w:lang w:val="pt-BR"/>
        </w:rPr>
        <w:t>Suriname e Trinidad e Tobago). A SEDI/DSD é responsável pela coordenação geral do projeto, enquanto Barbados lidera o desenvolvimento d</w:t>
      </w:r>
      <w:r w:rsidR="00437946" w:rsidRPr="00913ACD">
        <w:rPr>
          <w:color w:val="000000" w:themeColor="text1"/>
          <w:sz w:val="22"/>
          <w:szCs w:val="22"/>
          <w:lang w:val="pt-BR"/>
        </w:rPr>
        <w:t>a</w:t>
      </w:r>
      <w:r w:rsidRPr="00913ACD">
        <w:rPr>
          <w:color w:val="000000" w:themeColor="text1"/>
          <w:sz w:val="22"/>
          <w:szCs w:val="22"/>
          <w:lang w:val="pt-BR"/>
        </w:rPr>
        <w:t xml:space="preserve"> Estratégia Nacional de Comunicações (e </w:t>
      </w:r>
      <w:r w:rsidR="00343D8F">
        <w:rPr>
          <w:color w:val="000000" w:themeColor="text1"/>
          <w:sz w:val="22"/>
          <w:szCs w:val="22"/>
          <w:lang w:val="pt-BR"/>
        </w:rPr>
        <w:t xml:space="preserve">o </w:t>
      </w:r>
      <w:r w:rsidRPr="00913ACD">
        <w:rPr>
          <w:color w:val="000000" w:themeColor="text1"/>
          <w:sz w:val="22"/>
          <w:szCs w:val="22"/>
          <w:lang w:val="pt-BR"/>
        </w:rPr>
        <w:t xml:space="preserve">plano de implementação associado) para a Gestão Integrada de Água e Águas Residuais, uma avaliação ambiental para </w:t>
      </w:r>
      <w:r w:rsidR="003B2B4A">
        <w:rPr>
          <w:color w:val="000000" w:themeColor="text1"/>
          <w:sz w:val="22"/>
          <w:szCs w:val="22"/>
          <w:lang w:val="pt-BR"/>
        </w:rPr>
        <w:t xml:space="preserve">o </w:t>
      </w:r>
      <w:r w:rsidRPr="00913ACD">
        <w:rPr>
          <w:color w:val="000000" w:themeColor="text1"/>
          <w:sz w:val="22"/>
          <w:szCs w:val="22"/>
          <w:lang w:val="pt-BR"/>
        </w:rPr>
        <w:t>Fundo Rotativo de Águas Residuais e o desenvolvimento de um mecanismo de cofinanciamento/fundo rotativo para apoiar a adoção de programas de tratamento e reutilização de águas residuais.</w:t>
      </w:r>
    </w:p>
    <w:p w14:paraId="0035DDD5" w14:textId="77777777" w:rsidR="001516E7" w:rsidRPr="00913ACD" w:rsidRDefault="001516E7" w:rsidP="00CB030B">
      <w:pPr>
        <w:pStyle w:val="ListParagraph"/>
        <w:ind w:left="1440"/>
        <w:contextualSpacing/>
        <w:jc w:val="both"/>
        <w:rPr>
          <w:color w:val="000000" w:themeColor="text1"/>
          <w:sz w:val="22"/>
          <w:szCs w:val="22"/>
          <w:lang w:val="pt-BR"/>
        </w:rPr>
      </w:pPr>
    </w:p>
    <w:p w14:paraId="2D8BDAAB" w14:textId="2EB7BC54"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Começou a desenvolver </w:t>
      </w:r>
      <w:r w:rsidR="008F764F" w:rsidRPr="00913ACD">
        <w:rPr>
          <w:color w:val="000000" w:themeColor="text1"/>
          <w:sz w:val="22"/>
          <w:szCs w:val="22"/>
          <w:lang w:val="pt-BR"/>
        </w:rPr>
        <w:t>o pro</w:t>
      </w:r>
      <w:r w:rsidR="007E4074" w:rsidRPr="00913ACD">
        <w:rPr>
          <w:color w:val="000000" w:themeColor="text1"/>
          <w:sz w:val="22"/>
          <w:szCs w:val="22"/>
          <w:lang w:val="pt-BR"/>
        </w:rPr>
        <w:t xml:space="preserve">jeto </w:t>
      </w:r>
      <w:r w:rsidR="007800A2" w:rsidRPr="00913ACD">
        <w:rPr>
          <w:b/>
          <w:bCs/>
          <w:color w:val="000000" w:themeColor="text1"/>
          <w:sz w:val="22"/>
          <w:szCs w:val="22"/>
          <w:lang w:val="pt-BR"/>
        </w:rPr>
        <w:t>“</w:t>
      </w:r>
      <w:r w:rsidRPr="00913ACD">
        <w:rPr>
          <w:b/>
          <w:bCs/>
          <w:color w:val="000000" w:themeColor="text1"/>
          <w:sz w:val="22"/>
          <w:szCs w:val="22"/>
          <w:lang w:val="pt-BR"/>
        </w:rPr>
        <w:t>Ciência para a Tomada de Decisão em Águas Transfronteiriças na América Latina e no Caribe</w:t>
      </w:r>
      <w:r w:rsidR="007800A2" w:rsidRPr="00913ACD">
        <w:rPr>
          <w:b/>
          <w:bCs/>
          <w:color w:val="000000" w:themeColor="text1"/>
          <w:sz w:val="22"/>
          <w:szCs w:val="22"/>
          <w:lang w:val="pt-BR"/>
        </w:rPr>
        <w:t>”</w:t>
      </w:r>
      <w:r w:rsidRPr="00FA2D62">
        <w:rPr>
          <w:color w:val="000000" w:themeColor="text1"/>
          <w:sz w:val="22"/>
          <w:szCs w:val="22"/>
          <w:lang w:val="pt-BR"/>
        </w:rPr>
        <w:t>, em</w:t>
      </w:r>
      <w:r w:rsidRPr="00913ACD">
        <w:rPr>
          <w:color w:val="000000" w:themeColor="text1"/>
          <w:sz w:val="22"/>
          <w:szCs w:val="22"/>
          <w:lang w:val="pt-BR"/>
        </w:rPr>
        <w:t xml:space="preserve"> coordenação com a Equipe de Ciência e Aplicações dos EUA da Força-Tarefa Interagencial da Água e outras partes interessadas relevantes nas Américas. O primeiro </w:t>
      </w:r>
      <w:r w:rsidR="005C1794" w:rsidRPr="00913ACD">
        <w:rPr>
          <w:color w:val="000000" w:themeColor="text1"/>
          <w:sz w:val="22"/>
          <w:szCs w:val="22"/>
          <w:lang w:val="pt-BR"/>
        </w:rPr>
        <w:t xml:space="preserve">seminário </w:t>
      </w:r>
      <w:r w:rsidR="007800A2" w:rsidRPr="00913ACD">
        <w:rPr>
          <w:sz w:val="22"/>
          <w:szCs w:val="22"/>
          <w:lang w:val="pt-BR"/>
        </w:rPr>
        <w:t>“</w:t>
      </w:r>
      <w:r w:rsidRPr="00913ACD">
        <w:rPr>
          <w:b/>
          <w:bCs/>
          <w:color w:val="000000" w:themeColor="text1"/>
          <w:sz w:val="22"/>
          <w:szCs w:val="22"/>
          <w:lang w:val="pt-BR"/>
        </w:rPr>
        <w:t xml:space="preserve">Construindo capacidades em ferramentas e metodologias baseadas em dados e ciência para uma gestão eficaz dos recursos hídricos na Bacia </w:t>
      </w:r>
      <w:r w:rsidR="007B047C" w:rsidRPr="00913ACD">
        <w:rPr>
          <w:b/>
          <w:bCs/>
          <w:color w:val="000000" w:themeColor="text1"/>
          <w:sz w:val="22"/>
          <w:szCs w:val="22"/>
          <w:lang w:val="pt-BR"/>
        </w:rPr>
        <w:t xml:space="preserve">do </w:t>
      </w:r>
      <w:r w:rsidR="00BB65B4" w:rsidRPr="00913ACD">
        <w:rPr>
          <w:b/>
          <w:bCs/>
          <w:color w:val="000000" w:themeColor="text1"/>
          <w:sz w:val="22"/>
          <w:szCs w:val="22"/>
          <w:lang w:val="pt-BR"/>
        </w:rPr>
        <w:t>P</w:t>
      </w:r>
      <w:r w:rsidR="007B047C" w:rsidRPr="00913ACD">
        <w:rPr>
          <w:b/>
          <w:bCs/>
          <w:color w:val="000000" w:themeColor="text1"/>
          <w:sz w:val="22"/>
          <w:szCs w:val="22"/>
          <w:lang w:val="pt-BR"/>
        </w:rPr>
        <w:t>r</w:t>
      </w:r>
      <w:r w:rsidR="00BB65B4" w:rsidRPr="00913ACD">
        <w:rPr>
          <w:b/>
          <w:bCs/>
          <w:color w:val="000000" w:themeColor="text1"/>
          <w:sz w:val="22"/>
          <w:szCs w:val="22"/>
          <w:lang w:val="pt-BR"/>
        </w:rPr>
        <w:t>ata</w:t>
      </w:r>
      <w:r w:rsidR="007800A2" w:rsidRPr="00913ACD">
        <w:rPr>
          <w:b/>
          <w:bCs/>
          <w:color w:val="000000" w:themeColor="text1"/>
          <w:sz w:val="22"/>
          <w:szCs w:val="22"/>
          <w:lang w:val="pt-BR"/>
        </w:rPr>
        <w:t>”</w:t>
      </w:r>
      <w:r w:rsidRPr="00913ACD">
        <w:rPr>
          <w:color w:val="000000" w:themeColor="text1"/>
          <w:sz w:val="22"/>
          <w:szCs w:val="22"/>
          <w:lang w:val="pt-BR"/>
        </w:rPr>
        <w:t xml:space="preserve"> foi implementado para 25 funcionários da</w:t>
      </w:r>
      <w:r w:rsidR="00E050DB" w:rsidRPr="00913ACD">
        <w:rPr>
          <w:color w:val="000000" w:themeColor="text1"/>
          <w:sz w:val="22"/>
          <w:szCs w:val="22"/>
          <w:lang w:val="pt-BR"/>
        </w:rPr>
        <w:t>s áreas de</w:t>
      </w:r>
      <w:r w:rsidRPr="00913ACD">
        <w:rPr>
          <w:color w:val="000000" w:themeColor="text1"/>
          <w:sz w:val="22"/>
          <w:szCs w:val="22"/>
          <w:lang w:val="pt-BR"/>
        </w:rPr>
        <w:t xml:space="preserve"> água e meio ambiente como parte des</w:t>
      </w:r>
      <w:r w:rsidR="0082223E" w:rsidRPr="00913ACD">
        <w:rPr>
          <w:color w:val="000000" w:themeColor="text1"/>
          <w:sz w:val="22"/>
          <w:szCs w:val="22"/>
          <w:lang w:val="pt-BR"/>
        </w:rPr>
        <w:t>s</w:t>
      </w:r>
      <w:r w:rsidRPr="00913ACD">
        <w:rPr>
          <w:color w:val="000000" w:themeColor="text1"/>
          <w:sz w:val="22"/>
          <w:szCs w:val="22"/>
          <w:lang w:val="pt-BR"/>
        </w:rPr>
        <w:t>a iniciativa conjunta.</w:t>
      </w:r>
    </w:p>
    <w:p w14:paraId="6950A4FE" w14:textId="77777777" w:rsidR="001516E7" w:rsidRPr="00913ACD" w:rsidRDefault="001516E7" w:rsidP="00CB030B">
      <w:pPr>
        <w:pStyle w:val="ListParagraph"/>
        <w:rPr>
          <w:color w:val="000000" w:themeColor="text1"/>
          <w:sz w:val="22"/>
          <w:szCs w:val="22"/>
          <w:lang w:val="pt-BR"/>
        </w:rPr>
      </w:pPr>
    </w:p>
    <w:p w14:paraId="55D68874" w14:textId="4005FF95"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Coorganizou o segundo </w:t>
      </w:r>
      <w:r w:rsidRPr="00913ACD">
        <w:rPr>
          <w:b/>
          <w:bCs/>
          <w:color w:val="000000" w:themeColor="text1"/>
          <w:sz w:val="22"/>
          <w:szCs w:val="22"/>
          <w:lang w:val="pt-BR"/>
        </w:rPr>
        <w:t>Simpósio Internacional sobre Águas Transfronteiriças da América Latina e do Caribe</w:t>
      </w:r>
      <w:r w:rsidRPr="00913ACD">
        <w:rPr>
          <w:sz w:val="22"/>
          <w:szCs w:val="22"/>
          <w:lang w:val="pt-BR"/>
        </w:rPr>
        <w:t xml:space="preserve">, </w:t>
      </w:r>
      <w:r w:rsidRPr="00913ACD">
        <w:rPr>
          <w:color w:val="000000" w:themeColor="text1"/>
          <w:sz w:val="22"/>
          <w:szCs w:val="22"/>
          <w:lang w:val="pt-BR"/>
        </w:rPr>
        <w:t xml:space="preserve">liderado pelo governo da Bolívia em colaboração com o </w:t>
      </w:r>
      <w:r w:rsidR="0082223E" w:rsidRPr="00913ACD">
        <w:rPr>
          <w:color w:val="000000" w:themeColor="text1"/>
          <w:sz w:val="22"/>
          <w:szCs w:val="22"/>
          <w:lang w:val="pt-BR"/>
        </w:rPr>
        <w:t>BID</w:t>
      </w:r>
      <w:r w:rsidRPr="00913ACD">
        <w:rPr>
          <w:color w:val="000000" w:themeColor="text1"/>
          <w:sz w:val="22"/>
          <w:szCs w:val="22"/>
          <w:lang w:val="pt-BR"/>
        </w:rPr>
        <w:t xml:space="preserve">, </w:t>
      </w:r>
      <w:r w:rsidR="0082223E" w:rsidRPr="00913ACD">
        <w:rPr>
          <w:color w:val="000000" w:themeColor="text1"/>
          <w:sz w:val="22"/>
          <w:szCs w:val="22"/>
          <w:lang w:val="pt-BR"/>
        </w:rPr>
        <w:t xml:space="preserve">a </w:t>
      </w:r>
      <w:r w:rsidRPr="00913ACD">
        <w:rPr>
          <w:color w:val="000000" w:themeColor="text1"/>
          <w:sz w:val="22"/>
          <w:szCs w:val="22"/>
          <w:lang w:val="pt-BR"/>
        </w:rPr>
        <w:t xml:space="preserve">SDC, </w:t>
      </w:r>
      <w:r w:rsidR="005E6D92" w:rsidRPr="00913ACD">
        <w:rPr>
          <w:color w:val="000000" w:themeColor="text1"/>
          <w:sz w:val="22"/>
          <w:szCs w:val="22"/>
          <w:lang w:val="pt-BR"/>
        </w:rPr>
        <w:t xml:space="preserve">a </w:t>
      </w:r>
      <w:r w:rsidRPr="00913ACD">
        <w:rPr>
          <w:color w:val="000000" w:themeColor="text1"/>
          <w:sz w:val="22"/>
          <w:szCs w:val="22"/>
          <w:lang w:val="pt-BR"/>
        </w:rPr>
        <w:t>GIZ e a Comissão Econômica das Nações Unidas para a Europa.</w:t>
      </w:r>
    </w:p>
    <w:p w14:paraId="223D9E5D" w14:textId="77777777" w:rsidR="001516E7" w:rsidRPr="00913ACD" w:rsidRDefault="001516E7" w:rsidP="00CB030B">
      <w:pPr>
        <w:ind w:left="1440" w:hanging="720"/>
        <w:jc w:val="both"/>
        <w:rPr>
          <w:rFonts w:ascii="Times New Roman" w:hAnsi="Times New Roman" w:cs="Times New Roman"/>
          <w:color w:val="000000" w:themeColor="text1"/>
          <w:sz w:val="22"/>
          <w:szCs w:val="22"/>
          <w:lang w:val="pt-BR"/>
        </w:rPr>
      </w:pPr>
    </w:p>
    <w:p w14:paraId="30F10F8E" w14:textId="7AAE689E"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Melhoria do Sistema de Apoio à Decisão (SAD) em </w:t>
      </w:r>
      <w:r w:rsidR="00BB75E7" w:rsidRPr="00913ACD">
        <w:rPr>
          <w:color w:val="000000" w:themeColor="text1"/>
          <w:sz w:val="22"/>
          <w:szCs w:val="22"/>
          <w:lang w:val="pt-BR"/>
        </w:rPr>
        <w:t>r</w:t>
      </w:r>
      <w:r w:rsidRPr="00913ACD">
        <w:rPr>
          <w:color w:val="000000" w:themeColor="text1"/>
          <w:sz w:val="22"/>
          <w:szCs w:val="22"/>
          <w:lang w:val="pt-BR"/>
        </w:rPr>
        <w:t xml:space="preserve">ecursos </w:t>
      </w:r>
      <w:r w:rsidR="007B047C" w:rsidRPr="00913ACD">
        <w:rPr>
          <w:color w:val="000000" w:themeColor="text1"/>
          <w:sz w:val="22"/>
          <w:szCs w:val="22"/>
          <w:lang w:val="pt-BR"/>
        </w:rPr>
        <w:t>h</w:t>
      </w:r>
      <w:r w:rsidRPr="00913ACD">
        <w:rPr>
          <w:color w:val="000000" w:themeColor="text1"/>
          <w:sz w:val="22"/>
          <w:szCs w:val="22"/>
          <w:lang w:val="pt-BR"/>
        </w:rPr>
        <w:t xml:space="preserve">ídricos para a Bacia do Rio da Prata. O </w:t>
      </w:r>
      <w:r w:rsidR="00E8622A" w:rsidRPr="00913ACD">
        <w:rPr>
          <w:color w:val="000000" w:themeColor="text1"/>
          <w:sz w:val="22"/>
          <w:szCs w:val="22"/>
          <w:lang w:val="pt-BR"/>
        </w:rPr>
        <w:t>SAD</w:t>
      </w:r>
      <w:r w:rsidRPr="00913ACD">
        <w:rPr>
          <w:color w:val="000000" w:themeColor="text1"/>
          <w:sz w:val="22"/>
          <w:szCs w:val="22"/>
          <w:lang w:val="pt-BR"/>
        </w:rPr>
        <w:t xml:space="preserve"> ajudará os tomadores de decisão a formar imagens mais claras de situações de inundação</w:t>
      </w:r>
      <w:r w:rsidR="005A7D5B" w:rsidRPr="00913ACD">
        <w:rPr>
          <w:color w:val="000000" w:themeColor="text1"/>
          <w:sz w:val="22"/>
          <w:szCs w:val="22"/>
          <w:lang w:val="pt-BR"/>
        </w:rPr>
        <w:t xml:space="preserve"> e das </w:t>
      </w:r>
      <w:r w:rsidRPr="00913ACD">
        <w:rPr>
          <w:color w:val="000000" w:themeColor="text1"/>
          <w:sz w:val="22"/>
          <w:szCs w:val="22"/>
          <w:lang w:val="pt-BR"/>
        </w:rPr>
        <w:t xml:space="preserve">condições de qualidade da água na bacia e </w:t>
      </w:r>
      <w:r w:rsidR="00F06814" w:rsidRPr="00913ACD">
        <w:rPr>
          <w:color w:val="000000" w:themeColor="text1"/>
          <w:sz w:val="22"/>
          <w:szCs w:val="22"/>
          <w:lang w:val="pt-BR"/>
        </w:rPr>
        <w:t xml:space="preserve">de </w:t>
      </w:r>
      <w:r w:rsidRPr="00913ACD">
        <w:rPr>
          <w:color w:val="000000" w:themeColor="text1"/>
          <w:sz w:val="22"/>
          <w:szCs w:val="22"/>
          <w:lang w:val="pt-BR"/>
        </w:rPr>
        <w:t xml:space="preserve">seca, a fim de tomar decisões informadas e ativar medidas que mitiguem ou limitem os efeitos adversos de: restrição de descarga de usinas hidrelétricas, levando a impactos na produção de energia; navegação e outros aspectos ambientais; impactos </w:t>
      </w:r>
      <w:r w:rsidR="002E3D77" w:rsidRPr="00913ACD">
        <w:rPr>
          <w:color w:val="000000" w:themeColor="text1"/>
          <w:sz w:val="22"/>
          <w:szCs w:val="22"/>
          <w:lang w:val="pt-BR"/>
        </w:rPr>
        <w:t>n</w:t>
      </w:r>
      <w:r w:rsidRPr="00913ACD">
        <w:rPr>
          <w:color w:val="000000" w:themeColor="text1"/>
          <w:sz w:val="22"/>
          <w:szCs w:val="22"/>
          <w:lang w:val="pt-BR"/>
        </w:rPr>
        <w:t xml:space="preserve">a </w:t>
      </w:r>
      <w:r w:rsidR="002E3D77" w:rsidRPr="00913ACD">
        <w:rPr>
          <w:color w:val="000000" w:themeColor="text1"/>
          <w:sz w:val="22"/>
          <w:szCs w:val="22"/>
          <w:lang w:val="pt-BR"/>
        </w:rPr>
        <w:t xml:space="preserve">entrada </w:t>
      </w:r>
      <w:r w:rsidRPr="00913ACD">
        <w:rPr>
          <w:color w:val="000000" w:themeColor="text1"/>
          <w:sz w:val="22"/>
          <w:szCs w:val="22"/>
          <w:lang w:val="pt-BR"/>
        </w:rPr>
        <w:t>de água (escassez de água); problemas de navegação devido a fluxos</w:t>
      </w:r>
      <w:r w:rsidR="00214A40" w:rsidRPr="00913ACD">
        <w:rPr>
          <w:color w:val="000000" w:themeColor="text1"/>
          <w:sz w:val="22"/>
          <w:szCs w:val="22"/>
          <w:lang w:val="pt-BR"/>
        </w:rPr>
        <w:t xml:space="preserve"> baixos</w:t>
      </w:r>
      <w:r w:rsidRPr="00913ACD">
        <w:rPr>
          <w:color w:val="000000" w:themeColor="text1"/>
          <w:sz w:val="22"/>
          <w:szCs w:val="22"/>
          <w:lang w:val="pt-BR"/>
        </w:rPr>
        <w:t xml:space="preserve">; aumento da procura de informação em caso de evento relacionado com a água (setor agrícola, saúde, </w:t>
      </w:r>
      <w:r w:rsidR="00214A40" w:rsidRPr="00913ACD">
        <w:rPr>
          <w:color w:val="000000" w:themeColor="text1"/>
          <w:sz w:val="22"/>
          <w:szCs w:val="22"/>
          <w:lang w:val="pt-BR"/>
        </w:rPr>
        <w:t xml:space="preserve">meio </w:t>
      </w:r>
      <w:r w:rsidRPr="00913ACD">
        <w:rPr>
          <w:color w:val="000000" w:themeColor="text1"/>
          <w:sz w:val="22"/>
          <w:szCs w:val="22"/>
          <w:lang w:val="pt-BR"/>
        </w:rPr>
        <w:t>ambiente etc.); e efeitos sobre os processos de purificação de água, turismo, fauna e água de baixa qualidade para irrigação.</w:t>
      </w:r>
    </w:p>
    <w:p w14:paraId="2AEE9626" w14:textId="77777777" w:rsidR="001516E7" w:rsidRPr="00913ACD" w:rsidRDefault="001516E7" w:rsidP="00CB030B">
      <w:pPr>
        <w:ind w:left="1440" w:hanging="720"/>
        <w:jc w:val="both"/>
        <w:rPr>
          <w:rFonts w:ascii="Times New Roman" w:hAnsi="Times New Roman" w:cs="Times New Roman"/>
          <w:color w:val="000000" w:themeColor="text1"/>
          <w:sz w:val="22"/>
          <w:szCs w:val="22"/>
          <w:lang w:val="pt-BR"/>
        </w:rPr>
      </w:pPr>
    </w:p>
    <w:p w14:paraId="1E03084C" w14:textId="4B6C88A3"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Publicou o guia </w:t>
      </w:r>
      <w:r w:rsidR="007800A2" w:rsidRPr="00913ACD">
        <w:rPr>
          <w:b/>
          <w:bCs/>
          <w:color w:val="000000" w:themeColor="text1"/>
          <w:sz w:val="22"/>
          <w:szCs w:val="22"/>
          <w:lang w:val="pt-BR"/>
        </w:rPr>
        <w:t>“</w:t>
      </w:r>
      <w:r w:rsidRPr="00913ACD">
        <w:rPr>
          <w:b/>
          <w:bCs/>
          <w:color w:val="000000" w:themeColor="text1"/>
          <w:sz w:val="22"/>
          <w:szCs w:val="22"/>
          <w:lang w:val="pt-BR"/>
        </w:rPr>
        <w:t xml:space="preserve">Boas práticas para a mitigação e adaptação </w:t>
      </w:r>
      <w:r w:rsidR="00C862AE" w:rsidRPr="00913ACD">
        <w:rPr>
          <w:b/>
          <w:bCs/>
          <w:color w:val="000000" w:themeColor="text1"/>
          <w:sz w:val="22"/>
          <w:szCs w:val="22"/>
          <w:lang w:val="pt-BR"/>
        </w:rPr>
        <w:t>à</w:t>
      </w:r>
      <w:r w:rsidRPr="00913ACD">
        <w:rPr>
          <w:b/>
          <w:bCs/>
          <w:color w:val="000000" w:themeColor="text1"/>
          <w:sz w:val="22"/>
          <w:szCs w:val="22"/>
          <w:lang w:val="pt-BR"/>
        </w:rPr>
        <w:t xml:space="preserve"> </w:t>
      </w:r>
      <w:r w:rsidR="00985EFB" w:rsidRPr="00913ACD">
        <w:rPr>
          <w:b/>
          <w:bCs/>
          <w:color w:val="000000" w:themeColor="text1"/>
          <w:sz w:val="22"/>
          <w:szCs w:val="22"/>
          <w:lang w:val="pt-BR"/>
        </w:rPr>
        <w:t>mudança do clima</w:t>
      </w:r>
      <w:r w:rsidRPr="00913ACD">
        <w:rPr>
          <w:b/>
          <w:bCs/>
          <w:color w:val="000000" w:themeColor="text1"/>
          <w:sz w:val="22"/>
          <w:szCs w:val="22"/>
          <w:lang w:val="pt-BR"/>
        </w:rPr>
        <w:t xml:space="preserve"> na América Latina e no Caribe: </w:t>
      </w:r>
      <w:r w:rsidR="00C862AE" w:rsidRPr="00913ACD">
        <w:rPr>
          <w:b/>
          <w:bCs/>
          <w:color w:val="000000" w:themeColor="text1"/>
          <w:sz w:val="22"/>
          <w:szCs w:val="22"/>
          <w:lang w:val="pt-BR"/>
        </w:rPr>
        <w:t>C</w:t>
      </w:r>
      <w:r w:rsidRPr="00913ACD">
        <w:rPr>
          <w:b/>
          <w:bCs/>
          <w:color w:val="000000" w:themeColor="text1"/>
          <w:sz w:val="22"/>
          <w:szCs w:val="22"/>
          <w:lang w:val="pt-BR"/>
        </w:rPr>
        <w:t xml:space="preserve">onceito, metodologia e experiências para fortalecer as dimensões humanas das </w:t>
      </w:r>
      <w:r w:rsidR="002F2694" w:rsidRPr="00913ACD">
        <w:rPr>
          <w:b/>
          <w:bCs/>
          <w:color w:val="000000" w:themeColor="text1"/>
          <w:sz w:val="22"/>
          <w:szCs w:val="22"/>
          <w:lang w:val="pt-BR"/>
        </w:rPr>
        <w:t>c</w:t>
      </w:r>
      <w:r w:rsidRPr="00913ACD">
        <w:rPr>
          <w:b/>
          <w:bCs/>
          <w:color w:val="000000" w:themeColor="text1"/>
          <w:sz w:val="22"/>
          <w:szCs w:val="22"/>
          <w:lang w:val="pt-BR"/>
        </w:rPr>
        <w:t xml:space="preserve">ontribuições </w:t>
      </w:r>
      <w:r w:rsidR="002F2694" w:rsidRPr="00913ACD">
        <w:rPr>
          <w:b/>
          <w:bCs/>
          <w:color w:val="000000" w:themeColor="text1"/>
          <w:sz w:val="22"/>
          <w:szCs w:val="22"/>
          <w:lang w:val="pt-BR"/>
        </w:rPr>
        <w:t>n</w:t>
      </w:r>
      <w:r w:rsidRPr="00913ACD">
        <w:rPr>
          <w:b/>
          <w:bCs/>
          <w:color w:val="000000" w:themeColor="text1"/>
          <w:sz w:val="22"/>
          <w:szCs w:val="22"/>
          <w:lang w:val="pt-BR"/>
        </w:rPr>
        <w:t xml:space="preserve">acionalmente </w:t>
      </w:r>
      <w:r w:rsidR="002F2694" w:rsidRPr="00913ACD">
        <w:rPr>
          <w:b/>
          <w:bCs/>
          <w:color w:val="000000" w:themeColor="text1"/>
          <w:sz w:val="22"/>
          <w:szCs w:val="22"/>
          <w:lang w:val="pt-BR"/>
        </w:rPr>
        <w:t>d</w:t>
      </w:r>
      <w:r w:rsidRPr="00913ACD">
        <w:rPr>
          <w:b/>
          <w:bCs/>
          <w:color w:val="000000" w:themeColor="text1"/>
          <w:sz w:val="22"/>
          <w:szCs w:val="22"/>
          <w:lang w:val="pt-BR"/>
        </w:rPr>
        <w:t>eterminadas</w:t>
      </w:r>
      <w:r w:rsidR="007800A2" w:rsidRPr="00913ACD">
        <w:rPr>
          <w:b/>
          <w:bCs/>
          <w:color w:val="000000" w:themeColor="text1"/>
          <w:sz w:val="22"/>
          <w:szCs w:val="22"/>
          <w:lang w:val="pt-BR"/>
        </w:rPr>
        <w:t>”</w:t>
      </w:r>
      <w:r w:rsidRPr="00913ACD">
        <w:rPr>
          <w:b/>
          <w:bCs/>
          <w:color w:val="000000" w:themeColor="text1"/>
          <w:sz w:val="22"/>
          <w:szCs w:val="22"/>
          <w:lang w:val="pt-BR"/>
        </w:rPr>
        <w:t>,</w:t>
      </w:r>
      <w:r w:rsidR="00C3751E" w:rsidRPr="00913ACD">
        <w:rPr>
          <w:color w:val="000000" w:themeColor="text1"/>
          <w:sz w:val="22"/>
          <w:szCs w:val="22"/>
          <w:lang w:val="pt-BR"/>
        </w:rPr>
        <w:t xml:space="preserve"> um projeto de </w:t>
      </w:r>
      <w:r w:rsidR="00ED4E5F" w:rsidRPr="00913ACD">
        <w:rPr>
          <w:color w:val="000000" w:themeColor="text1"/>
          <w:sz w:val="22"/>
          <w:szCs w:val="22"/>
          <w:lang w:val="pt-BR"/>
        </w:rPr>
        <w:t>c</w:t>
      </w:r>
      <w:r w:rsidR="00C3751E" w:rsidRPr="00913ACD">
        <w:rPr>
          <w:color w:val="000000" w:themeColor="text1"/>
          <w:sz w:val="22"/>
          <w:szCs w:val="22"/>
          <w:lang w:val="pt-BR"/>
        </w:rPr>
        <w:t xml:space="preserve">ooperação </w:t>
      </w:r>
      <w:r w:rsidR="00ED4E5F" w:rsidRPr="00913ACD">
        <w:rPr>
          <w:color w:val="000000" w:themeColor="text1"/>
          <w:sz w:val="22"/>
          <w:szCs w:val="22"/>
          <w:lang w:val="pt-BR"/>
        </w:rPr>
        <w:t>t</w:t>
      </w:r>
      <w:r w:rsidR="00C3751E" w:rsidRPr="00913ACD">
        <w:rPr>
          <w:color w:val="000000" w:themeColor="text1"/>
          <w:sz w:val="22"/>
          <w:szCs w:val="22"/>
          <w:lang w:val="pt-BR"/>
        </w:rPr>
        <w:t xml:space="preserve">écnica entre a OEA e </w:t>
      </w:r>
      <w:r w:rsidR="003429E3" w:rsidRPr="00913ACD">
        <w:rPr>
          <w:color w:val="000000" w:themeColor="text1"/>
          <w:sz w:val="22"/>
          <w:szCs w:val="22"/>
          <w:lang w:val="pt-BR"/>
        </w:rPr>
        <w:t>o BID</w:t>
      </w:r>
      <w:r w:rsidR="00C3751E" w:rsidRPr="00913ACD">
        <w:rPr>
          <w:color w:val="000000" w:themeColor="text1"/>
          <w:sz w:val="22"/>
          <w:szCs w:val="22"/>
          <w:lang w:val="pt-BR"/>
        </w:rPr>
        <w:t xml:space="preserve"> liderado p</w:t>
      </w:r>
      <w:r w:rsidR="00ED4E5F" w:rsidRPr="00913ACD">
        <w:rPr>
          <w:color w:val="000000" w:themeColor="text1"/>
          <w:sz w:val="22"/>
          <w:szCs w:val="22"/>
          <w:lang w:val="pt-BR"/>
        </w:rPr>
        <w:t xml:space="preserve">or </w:t>
      </w:r>
      <w:r w:rsidR="00C3751E" w:rsidRPr="00913ACD">
        <w:rPr>
          <w:color w:val="000000" w:themeColor="text1"/>
          <w:sz w:val="22"/>
          <w:szCs w:val="22"/>
          <w:lang w:val="pt-BR"/>
        </w:rPr>
        <w:t>Jamaica, Costa Rica e Uruguai.</w:t>
      </w:r>
    </w:p>
    <w:p w14:paraId="756212F0" w14:textId="77777777" w:rsidR="001516E7" w:rsidRPr="00913ACD" w:rsidRDefault="001516E7" w:rsidP="00CB030B">
      <w:pPr>
        <w:ind w:left="1440" w:hanging="720"/>
        <w:jc w:val="both"/>
        <w:rPr>
          <w:rFonts w:ascii="Times New Roman" w:hAnsi="Times New Roman" w:cs="Times New Roman"/>
          <w:color w:val="000000" w:themeColor="text1"/>
          <w:sz w:val="22"/>
          <w:szCs w:val="22"/>
          <w:lang w:val="pt-BR"/>
        </w:rPr>
      </w:pPr>
    </w:p>
    <w:p w14:paraId="4E7D7E64" w14:textId="3C8B0F96"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Publicou o relatório </w:t>
      </w:r>
      <w:r w:rsidR="007800A2" w:rsidRPr="00913ACD">
        <w:rPr>
          <w:color w:val="000000" w:themeColor="text1"/>
          <w:sz w:val="22"/>
          <w:szCs w:val="22"/>
          <w:lang w:val="pt-BR"/>
        </w:rPr>
        <w:t>“</w:t>
      </w:r>
      <w:r w:rsidRPr="00913ACD">
        <w:rPr>
          <w:b/>
          <w:bCs/>
          <w:color w:val="000000" w:themeColor="text1"/>
          <w:sz w:val="22"/>
          <w:szCs w:val="22"/>
          <w:lang w:val="pt-BR"/>
        </w:rPr>
        <w:t xml:space="preserve">Bacias </w:t>
      </w:r>
      <w:r w:rsidR="00012513" w:rsidRPr="00913ACD">
        <w:rPr>
          <w:b/>
          <w:bCs/>
          <w:color w:val="000000" w:themeColor="text1"/>
          <w:sz w:val="22"/>
          <w:szCs w:val="22"/>
          <w:lang w:val="pt-BR"/>
        </w:rPr>
        <w:t>t</w:t>
      </w:r>
      <w:r w:rsidRPr="00913ACD">
        <w:rPr>
          <w:b/>
          <w:bCs/>
          <w:color w:val="000000" w:themeColor="text1"/>
          <w:sz w:val="22"/>
          <w:szCs w:val="22"/>
          <w:lang w:val="pt-BR"/>
        </w:rPr>
        <w:t xml:space="preserve">ransfronteiriças: Água e </w:t>
      </w:r>
      <w:r w:rsidR="00012513" w:rsidRPr="00913ACD">
        <w:rPr>
          <w:b/>
          <w:bCs/>
          <w:color w:val="000000" w:themeColor="text1"/>
          <w:sz w:val="22"/>
          <w:szCs w:val="22"/>
          <w:lang w:val="pt-BR"/>
        </w:rPr>
        <w:t>p</w:t>
      </w:r>
      <w:r w:rsidRPr="00913ACD">
        <w:rPr>
          <w:b/>
          <w:bCs/>
          <w:color w:val="000000" w:themeColor="text1"/>
          <w:sz w:val="22"/>
          <w:szCs w:val="22"/>
          <w:lang w:val="pt-BR"/>
        </w:rPr>
        <w:t xml:space="preserve">az nas Américas: Metodologia para </w:t>
      </w:r>
      <w:r w:rsidR="00012513" w:rsidRPr="00913ACD">
        <w:rPr>
          <w:b/>
          <w:bCs/>
          <w:color w:val="000000" w:themeColor="text1"/>
          <w:sz w:val="22"/>
          <w:szCs w:val="22"/>
          <w:lang w:val="pt-BR"/>
        </w:rPr>
        <w:t>d</w:t>
      </w:r>
      <w:r w:rsidRPr="00913ACD">
        <w:rPr>
          <w:b/>
          <w:bCs/>
          <w:color w:val="000000" w:themeColor="text1"/>
          <w:sz w:val="22"/>
          <w:szCs w:val="22"/>
          <w:lang w:val="pt-BR"/>
        </w:rPr>
        <w:t xml:space="preserve">iagnosticar </w:t>
      </w:r>
      <w:r w:rsidR="00012513" w:rsidRPr="00913ACD">
        <w:rPr>
          <w:b/>
          <w:bCs/>
          <w:color w:val="000000" w:themeColor="text1"/>
          <w:sz w:val="22"/>
          <w:szCs w:val="22"/>
          <w:lang w:val="pt-BR"/>
        </w:rPr>
        <w:t>c</w:t>
      </w:r>
      <w:r w:rsidRPr="00913ACD">
        <w:rPr>
          <w:b/>
          <w:bCs/>
          <w:color w:val="000000" w:themeColor="text1"/>
          <w:sz w:val="22"/>
          <w:szCs w:val="22"/>
          <w:lang w:val="pt-BR"/>
        </w:rPr>
        <w:t xml:space="preserve">ooperação </w:t>
      </w:r>
      <w:r w:rsidR="00012513" w:rsidRPr="00913ACD">
        <w:rPr>
          <w:b/>
          <w:bCs/>
          <w:color w:val="000000" w:themeColor="text1"/>
          <w:sz w:val="22"/>
          <w:szCs w:val="22"/>
          <w:lang w:val="pt-BR"/>
        </w:rPr>
        <w:t>t</w:t>
      </w:r>
      <w:r w:rsidRPr="00913ACD">
        <w:rPr>
          <w:b/>
          <w:bCs/>
          <w:color w:val="000000" w:themeColor="text1"/>
          <w:sz w:val="22"/>
          <w:szCs w:val="22"/>
          <w:lang w:val="pt-BR"/>
        </w:rPr>
        <w:t xml:space="preserve">ransfronteiriça e </w:t>
      </w:r>
      <w:r w:rsidR="00012513" w:rsidRPr="00913ACD">
        <w:rPr>
          <w:b/>
          <w:bCs/>
          <w:color w:val="000000" w:themeColor="text1"/>
          <w:sz w:val="22"/>
          <w:szCs w:val="22"/>
          <w:lang w:val="pt-BR"/>
        </w:rPr>
        <w:t>r</w:t>
      </w:r>
      <w:r w:rsidRPr="00913ACD">
        <w:rPr>
          <w:b/>
          <w:bCs/>
          <w:color w:val="000000" w:themeColor="text1"/>
          <w:sz w:val="22"/>
          <w:szCs w:val="22"/>
          <w:lang w:val="pt-BR"/>
        </w:rPr>
        <w:t>esiliência</w:t>
      </w:r>
      <w:r w:rsidR="007800A2" w:rsidRPr="00913ACD">
        <w:rPr>
          <w:b/>
          <w:bCs/>
          <w:color w:val="000000" w:themeColor="text1"/>
          <w:sz w:val="22"/>
          <w:szCs w:val="22"/>
          <w:lang w:val="pt-BR"/>
        </w:rPr>
        <w:t>”</w:t>
      </w:r>
      <w:r w:rsidRPr="00913ACD">
        <w:rPr>
          <w:b/>
          <w:bCs/>
          <w:color w:val="000000" w:themeColor="text1"/>
          <w:sz w:val="22"/>
          <w:szCs w:val="22"/>
          <w:lang w:val="pt-BR"/>
        </w:rPr>
        <w:t>.</w:t>
      </w:r>
    </w:p>
    <w:p w14:paraId="3F66B040" w14:textId="77777777" w:rsidR="001516E7" w:rsidRPr="00913ACD" w:rsidRDefault="001516E7" w:rsidP="00CB030B">
      <w:pPr>
        <w:pStyle w:val="ListParagraph"/>
        <w:ind w:left="1440" w:hanging="720"/>
        <w:rPr>
          <w:color w:val="000000" w:themeColor="text1"/>
          <w:sz w:val="22"/>
          <w:szCs w:val="22"/>
          <w:lang w:val="pt-BR"/>
        </w:rPr>
      </w:pPr>
    </w:p>
    <w:p w14:paraId="61844CA2" w14:textId="5DD9BD30"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Iniciou a elaboração d</w:t>
      </w:r>
      <w:r w:rsidR="00914A13" w:rsidRPr="00913ACD">
        <w:rPr>
          <w:color w:val="000000" w:themeColor="text1"/>
          <w:sz w:val="22"/>
          <w:szCs w:val="22"/>
          <w:lang w:val="pt-BR"/>
        </w:rPr>
        <w:t>o</w:t>
      </w:r>
      <w:r w:rsidRPr="00913ACD">
        <w:rPr>
          <w:color w:val="000000" w:themeColor="text1"/>
          <w:sz w:val="22"/>
          <w:szCs w:val="22"/>
          <w:lang w:val="pt-BR"/>
        </w:rPr>
        <w:t xml:space="preserve"> </w:t>
      </w:r>
      <w:r w:rsidR="00914A13" w:rsidRPr="00913ACD">
        <w:rPr>
          <w:color w:val="000000" w:themeColor="text1"/>
          <w:sz w:val="22"/>
          <w:szCs w:val="22"/>
          <w:lang w:val="pt-BR"/>
        </w:rPr>
        <w:t>p</w:t>
      </w:r>
      <w:r w:rsidRPr="00913ACD">
        <w:rPr>
          <w:color w:val="000000" w:themeColor="text1"/>
          <w:sz w:val="22"/>
          <w:szCs w:val="22"/>
          <w:lang w:val="pt-BR"/>
        </w:rPr>
        <w:t xml:space="preserve">rograma Capacitação para Títulos Verdes em Bacias Transfronteiriças. O programa será financiado pela GIZ e implementado com </w:t>
      </w:r>
      <w:r w:rsidR="00062EEA" w:rsidRPr="00913ACD">
        <w:rPr>
          <w:color w:val="000000" w:themeColor="text1"/>
          <w:sz w:val="22"/>
          <w:szCs w:val="22"/>
          <w:lang w:val="pt-BR"/>
        </w:rPr>
        <w:t>o BID</w:t>
      </w:r>
      <w:r w:rsidRPr="00913ACD">
        <w:rPr>
          <w:color w:val="000000" w:themeColor="text1"/>
          <w:sz w:val="22"/>
          <w:szCs w:val="22"/>
          <w:lang w:val="pt-BR"/>
        </w:rPr>
        <w:t xml:space="preserve">. </w:t>
      </w:r>
    </w:p>
    <w:p w14:paraId="2B7CC456" w14:textId="77777777" w:rsidR="001516E7" w:rsidRPr="00913ACD" w:rsidRDefault="001516E7" w:rsidP="00CB030B">
      <w:pPr>
        <w:pStyle w:val="ListParagraph"/>
        <w:ind w:left="1440" w:hanging="720"/>
        <w:rPr>
          <w:color w:val="000000" w:themeColor="text1"/>
          <w:sz w:val="22"/>
          <w:szCs w:val="22"/>
          <w:lang w:val="pt-BR"/>
        </w:rPr>
      </w:pPr>
    </w:p>
    <w:p w14:paraId="6C84D6C7" w14:textId="749D60A8"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Iniciou o desenvolvimento de propostas de projetos para promover a gestão sustentável de ecossistemas e bacias estratégicas da </w:t>
      </w:r>
      <w:r w:rsidR="00914A13" w:rsidRPr="00913ACD">
        <w:rPr>
          <w:color w:val="000000" w:themeColor="text1"/>
          <w:sz w:val="22"/>
          <w:szCs w:val="22"/>
          <w:lang w:val="pt-BR"/>
        </w:rPr>
        <w:t>r</w:t>
      </w:r>
      <w:r w:rsidRPr="00913ACD">
        <w:rPr>
          <w:color w:val="000000" w:themeColor="text1"/>
          <w:sz w:val="22"/>
          <w:szCs w:val="22"/>
          <w:lang w:val="pt-BR"/>
        </w:rPr>
        <w:t>egião d</w:t>
      </w:r>
      <w:r w:rsidR="00224823" w:rsidRPr="00913ACD">
        <w:rPr>
          <w:color w:val="000000" w:themeColor="text1"/>
          <w:sz w:val="22"/>
          <w:szCs w:val="22"/>
          <w:lang w:val="pt-BR"/>
        </w:rPr>
        <w:t>e</w:t>
      </w:r>
      <w:r w:rsidRPr="00913ACD">
        <w:rPr>
          <w:color w:val="000000" w:themeColor="text1"/>
          <w:sz w:val="22"/>
          <w:szCs w:val="22"/>
          <w:lang w:val="pt-BR"/>
        </w:rPr>
        <w:t xml:space="preserve"> Trifinio</w:t>
      </w:r>
      <w:r w:rsidR="00D11E83">
        <w:rPr>
          <w:color w:val="000000" w:themeColor="text1"/>
          <w:sz w:val="22"/>
          <w:szCs w:val="22"/>
          <w:lang w:val="pt-BR"/>
        </w:rPr>
        <w:t xml:space="preserve"> –</w:t>
      </w:r>
      <w:r w:rsidRPr="00913ACD">
        <w:rPr>
          <w:color w:val="000000" w:themeColor="text1"/>
          <w:sz w:val="22"/>
          <w:szCs w:val="22"/>
          <w:lang w:val="pt-BR"/>
        </w:rPr>
        <w:t xml:space="preserve"> nomeadamente</w:t>
      </w:r>
      <w:r w:rsidR="00D11E83">
        <w:rPr>
          <w:color w:val="000000" w:themeColor="text1"/>
          <w:sz w:val="22"/>
          <w:szCs w:val="22"/>
          <w:lang w:val="pt-BR"/>
        </w:rPr>
        <w:t>,</w:t>
      </w:r>
      <w:r w:rsidRPr="00913ACD">
        <w:rPr>
          <w:color w:val="000000" w:themeColor="text1"/>
          <w:sz w:val="22"/>
          <w:szCs w:val="22"/>
          <w:lang w:val="pt-BR"/>
        </w:rPr>
        <w:t xml:space="preserve"> a bacia do rio Sumpul, o lago Guija e o aquífero Ocotepeque-Citala. </w:t>
      </w:r>
      <w:r w:rsidR="009617ED" w:rsidRPr="00913ACD">
        <w:rPr>
          <w:color w:val="000000" w:themeColor="text1"/>
          <w:sz w:val="22"/>
          <w:szCs w:val="22"/>
          <w:lang w:val="pt-BR"/>
        </w:rPr>
        <w:t>O BID</w:t>
      </w:r>
      <w:r w:rsidRPr="00913ACD">
        <w:rPr>
          <w:color w:val="000000" w:themeColor="text1"/>
          <w:sz w:val="22"/>
          <w:szCs w:val="22"/>
          <w:lang w:val="pt-BR"/>
        </w:rPr>
        <w:t xml:space="preserve"> e o CAF são parceiros nesta iniciativa.</w:t>
      </w:r>
    </w:p>
    <w:p w14:paraId="455227D0" w14:textId="0CD93422" w:rsidR="001516E7" w:rsidRPr="00913ACD" w:rsidRDefault="0081055B"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Garantiu o f</w:t>
      </w:r>
      <w:r w:rsidR="001516E7" w:rsidRPr="00913ACD">
        <w:rPr>
          <w:color w:val="000000" w:themeColor="text1"/>
          <w:sz w:val="22"/>
          <w:szCs w:val="22"/>
          <w:lang w:val="pt-BR"/>
        </w:rPr>
        <w:t xml:space="preserve">inanciamento inicial em cooperação técnica com </w:t>
      </w:r>
      <w:r w:rsidR="006C7988" w:rsidRPr="00913ACD">
        <w:rPr>
          <w:color w:val="000000" w:themeColor="text1"/>
          <w:sz w:val="22"/>
          <w:szCs w:val="22"/>
          <w:lang w:val="pt-BR"/>
        </w:rPr>
        <w:t>o BID</w:t>
      </w:r>
      <w:r w:rsidR="001516E7" w:rsidRPr="00913ACD">
        <w:rPr>
          <w:color w:val="000000" w:themeColor="text1"/>
          <w:sz w:val="22"/>
          <w:szCs w:val="22"/>
          <w:lang w:val="pt-BR"/>
        </w:rPr>
        <w:t xml:space="preserve"> para desenvolver </w:t>
      </w:r>
      <w:r w:rsidR="002D4451" w:rsidRPr="00913ACD">
        <w:rPr>
          <w:color w:val="000000" w:themeColor="text1"/>
          <w:sz w:val="22"/>
          <w:szCs w:val="22"/>
          <w:lang w:val="pt-BR"/>
        </w:rPr>
        <w:t>o</w:t>
      </w:r>
      <w:r w:rsidR="001516E7" w:rsidRPr="00913ACD">
        <w:rPr>
          <w:color w:val="000000" w:themeColor="text1"/>
          <w:sz w:val="22"/>
          <w:szCs w:val="22"/>
          <w:lang w:val="pt-BR"/>
        </w:rPr>
        <w:t xml:space="preserve"> projeto </w:t>
      </w:r>
      <w:r w:rsidR="007800A2" w:rsidRPr="00913ACD">
        <w:rPr>
          <w:b/>
          <w:bCs/>
          <w:color w:val="000000" w:themeColor="text1"/>
          <w:sz w:val="22"/>
          <w:szCs w:val="22"/>
          <w:lang w:val="pt-BR"/>
        </w:rPr>
        <w:t>“</w:t>
      </w:r>
      <w:r w:rsidR="00C3751E" w:rsidRPr="00913ACD">
        <w:rPr>
          <w:b/>
          <w:bCs/>
          <w:color w:val="000000" w:themeColor="text1"/>
          <w:sz w:val="22"/>
          <w:szCs w:val="22"/>
          <w:lang w:val="pt-BR"/>
        </w:rPr>
        <w:t>Promovendo a Gestão Sustentável da Ilha La Hispaniola</w:t>
      </w:r>
      <w:r w:rsidR="007800A2" w:rsidRPr="00913ACD">
        <w:rPr>
          <w:b/>
          <w:bCs/>
          <w:color w:val="000000" w:themeColor="text1"/>
          <w:sz w:val="22"/>
          <w:szCs w:val="22"/>
          <w:lang w:val="pt-BR"/>
        </w:rPr>
        <w:t>”</w:t>
      </w:r>
      <w:r w:rsidR="00C3751E" w:rsidRPr="00913ACD">
        <w:rPr>
          <w:b/>
          <w:bCs/>
          <w:color w:val="000000" w:themeColor="text1"/>
          <w:sz w:val="22"/>
          <w:szCs w:val="22"/>
          <w:lang w:val="pt-BR"/>
        </w:rPr>
        <w:t>,</w:t>
      </w:r>
      <w:r w:rsidR="00C3751E" w:rsidRPr="00913ACD">
        <w:rPr>
          <w:color w:val="000000" w:themeColor="text1"/>
          <w:sz w:val="22"/>
          <w:szCs w:val="22"/>
          <w:lang w:val="pt-BR"/>
        </w:rPr>
        <w:t xml:space="preserve"> com foco especial na </w:t>
      </w:r>
      <w:r w:rsidR="002D4451" w:rsidRPr="00913ACD">
        <w:rPr>
          <w:color w:val="000000" w:themeColor="text1"/>
          <w:sz w:val="22"/>
          <w:szCs w:val="22"/>
          <w:lang w:val="pt-BR"/>
        </w:rPr>
        <w:t>b</w:t>
      </w:r>
      <w:r w:rsidR="00C3751E" w:rsidRPr="00913ACD">
        <w:rPr>
          <w:color w:val="000000" w:themeColor="text1"/>
          <w:sz w:val="22"/>
          <w:szCs w:val="22"/>
          <w:lang w:val="pt-BR"/>
        </w:rPr>
        <w:t xml:space="preserve">acia do Rio Artibonite. </w:t>
      </w:r>
      <w:r w:rsidR="00DB6942">
        <w:rPr>
          <w:color w:val="000000" w:themeColor="text1"/>
          <w:sz w:val="22"/>
          <w:szCs w:val="22"/>
          <w:lang w:val="pt-BR"/>
        </w:rPr>
        <w:t>O p</w:t>
      </w:r>
      <w:r w:rsidR="00C3751E" w:rsidRPr="00913ACD">
        <w:rPr>
          <w:color w:val="000000" w:themeColor="text1"/>
          <w:sz w:val="22"/>
          <w:szCs w:val="22"/>
          <w:lang w:val="pt-BR"/>
        </w:rPr>
        <w:t xml:space="preserve">rojeto </w:t>
      </w:r>
      <w:r w:rsidR="00D364AB" w:rsidRPr="00913ACD">
        <w:rPr>
          <w:color w:val="000000" w:themeColor="text1"/>
          <w:sz w:val="22"/>
          <w:szCs w:val="22"/>
          <w:lang w:val="pt-BR"/>
        </w:rPr>
        <w:t>ser</w:t>
      </w:r>
      <w:r w:rsidR="00DB6942">
        <w:rPr>
          <w:color w:val="000000" w:themeColor="text1"/>
          <w:sz w:val="22"/>
          <w:szCs w:val="22"/>
          <w:lang w:val="pt-BR"/>
        </w:rPr>
        <w:t>á</w:t>
      </w:r>
      <w:r w:rsidR="00D364AB" w:rsidRPr="00913ACD">
        <w:rPr>
          <w:color w:val="000000" w:themeColor="text1"/>
          <w:sz w:val="22"/>
          <w:szCs w:val="22"/>
          <w:lang w:val="pt-BR"/>
        </w:rPr>
        <w:t xml:space="preserve"> </w:t>
      </w:r>
      <w:r w:rsidR="00C3751E" w:rsidRPr="00913ACD">
        <w:rPr>
          <w:color w:val="000000" w:themeColor="text1"/>
          <w:sz w:val="22"/>
          <w:szCs w:val="22"/>
          <w:lang w:val="pt-BR"/>
        </w:rPr>
        <w:t>submet</w:t>
      </w:r>
      <w:r w:rsidR="00D364AB" w:rsidRPr="00913ACD">
        <w:rPr>
          <w:color w:val="000000" w:themeColor="text1"/>
          <w:sz w:val="22"/>
          <w:szCs w:val="22"/>
          <w:lang w:val="pt-BR"/>
        </w:rPr>
        <w:t xml:space="preserve">ido </w:t>
      </w:r>
      <w:r w:rsidR="00C3751E" w:rsidRPr="00913ACD">
        <w:rPr>
          <w:color w:val="000000" w:themeColor="text1"/>
          <w:sz w:val="22"/>
          <w:szCs w:val="22"/>
          <w:lang w:val="pt-BR"/>
        </w:rPr>
        <w:t>ao GEF para financiamento incremental no primeiro semestre de 2023.</w:t>
      </w:r>
    </w:p>
    <w:p w14:paraId="7BCE41B5" w14:textId="77777777" w:rsidR="001516E7" w:rsidRPr="00913ACD" w:rsidRDefault="001516E7" w:rsidP="00CB030B">
      <w:pPr>
        <w:pStyle w:val="ListParagraph"/>
        <w:rPr>
          <w:color w:val="000000" w:themeColor="text1"/>
          <w:sz w:val="22"/>
          <w:szCs w:val="22"/>
          <w:lang w:val="pt-BR"/>
        </w:rPr>
      </w:pPr>
    </w:p>
    <w:p w14:paraId="32BBB337" w14:textId="4F3AF61C" w:rsidR="001516E7" w:rsidRPr="00913ACD" w:rsidRDefault="001516E7" w:rsidP="00CB030B">
      <w:pPr>
        <w:pStyle w:val="ListParagraph"/>
        <w:numPr>
          <w:ilvl w:val="0"/>
          <w:numId w:val="14"/>
        </w:numPr>
        <w:ind w:left="1440" w:hanging="720"/>
        <w:contextualSpacing/>
        <w:jc w:val="both"/>
        <w:rPr>
          <w:color w:val="000000" w:themeColor="text1"/>
          <w:sz w:val="22"/>
          <w:szCs w:val="22"/>
          <w:lang w:val="pt-BR"/>
        </w:rPr>
      </w:pPr>
      <w:r w:rsidRPr="00913ACD">
        <w:rPr>
          <w:color w:val="000000" w:themeColor="text1"/>
          <w:sz w:val="22"/>
          <w:szCs w:val="22"/>
          <w:lang w:val="pt-BR"/>
        </w:rPr>
        <w:t xml:space="preserve">Iniciou </w:t>
      </w:r>
      <w:r w:rsidR="00D364AB" w:rsidRPr="00913ACD">
        <w:rPr>
          <w:color w:val="000000" w:themeColor="text1"/>
          <w:sz w:val="22"/>
          <w:szCs w:val="22"/>
          <w:lang w:val="pt-BR"/>
        </w:rPr>
        <w:t xml:space="preserve">o </w:t>
      </w:r>
      <w:r w:rsidRPr="00913ACD">
        <w:rPr>
          <w:color w:val="000000" w:themeColor="text1"/>
          <w:sz w:val="22"/>
          <w:szCs w:val="22"/>
          <w:lang w:val="pt-BR"/>
        </w:rPr>
        <w:t>processo de cocriação com a Agência Sueca de Cooperação Internacional para o Desenvolvimento</w:t>
      </w:r>
      <w:r w:rsidRPr="00913ACD">
        <w:rPr>
          <w:b/>
          <w:bCs/>
          <w:color w:val="000000" w:themeColor="text1"/>
          <w:sz w:val="22"/>
          <w:szCs w:val="22"/>
          <w:lang w:val="pt-BR"/>
        </w:rPr>
        <w:t xml:space="preserve"> </w:t>
      </w:r>
      <w:r w:rsidRPr="00913ACD">
        <w:rPr>
          <w:color w:val="000000" w:themeColor="text1"/>
          <w:sz w:val="22"/>
          <w:szCs w:val="22"/>
          <w:lang w:val="pt-BR"/>
        </w:rPr>
        <w:t>para o</w:t>
      </w:r>
      <w:r w:rsidR="00CE77FD">
        <w:rPr>
          <w:color w:val="000000" w:themeColor="text1"/>
          <w:sz w:val="22"/>
          <w:szCs w:val="22"/>
          <w:lang w:val="pt-BR"/>
        </w:rPr>
        <w:t xml:space="preserve"> projeto </w:t>
      </w:r>
      <w:r w:rsidRPr="00913ACD">
        <w:rPr>
          <w:b/>
          <w:bCs/>
          <w:color w:val="000000" w:themeColor="text1"/>
          <w:sz w:val="22"/>
          <w:szCs w:val="22"/>
          <w:lang w:val="pt-BR"/>
        </w:rPr>
        <w:t>Acelerador de Desenvolvimento e Estratégias Financeiras para Bacias Transfronteiriças na América Latina e no Caribe.</w:t>
      </w:r>
    </w:p>
    <w:p w14:paraId="65D72590" w14:textId="77777777" w:rsidR="001516E7" w:rsidRPr="00913ACD" w:rsidRDefault="001516E7" w:rsidP="00CB030B">
      <w:pPr>
        <w:pStyle w:val="ListParagraph"/>
        <w:ind w:left="1440" w:hanging="720"/>
        <w:rPr>
          <w:color w:val="000000" w:themeColor="text1"/>
          <w:sz w:val="22"/>
          <w:szCs w:val="22"/>
          <w:lang w:val="pt-BR"/>
        </w:rPr>
      </w:pPr>
    </w:p>
    <w:p w14:paraId="09C8E453" w14:textId="410B505C" w:rsidR="001516E7" w:rsidRPr="00913ACD" w:rsidRDefault="00C3751E" w:rsidP="00CB030B">
      <w:pPr>
        <w:pStyle w:val="ListParagraph"/>
        <w:numPr>
          <w:ilvl w:val="0"/>
          <w:numId w:val="14"/>
        </w:numPr>
        <w:ind w:left="1440" w:hanging="720"/>
        <w:contextualSpacing/>
        <w:jc w:val="both"/>
        <w:rPr>
          <w:color w:val="000000" w:themeColor="text1"/>
          <w:sz w:val="22"/>
          <w:szCs w:val="22"/>
          <w:lang w:val="pt-BR"/>
        </w:rPr>
      </w:pPr>
      <w:r w:rsidRPr="00913ACD">
        <w:rPr>
          <w:color w:val="000000"/>
          <w:sz w:val="22"/>
          <w:szCs w:val="22"/>
          <w:lang w:val="pt-BR"/>
        </w:rPr>
        <w:t>Elabor</w:t>
      </w:r>
      <w:r w:rsidR="00346FE8" w:rsidRPr="00913ACD">
        <w:rPr>
          <w:color w:val="000000"/>
          <w:sz w:val="22"/>
          <w:szCs w:val="22"/>
          <w:lang w:val="pt-BR"/>
        </w:rPr>
        <w:t xml:space="preserve">ou </w:t>
      </w:r>
      <w:r w:rsidRPr="00913ACD">
        <w:rPr>
          <w:color w:val="000000"/>
          <w:sz w:val="22"/>
          <w:szCs w:val="22"/>
          <w:lang w:val="pt-BR"/>
        </w:rPr>
        <w:t>e submet</w:t>
      </w:r>
      <w:r w:rsidR="00346FE8" w:rsidRPr="00913ACD">
        <w:rPr>
          <w:color w:val="000000"/>
          <w:sz w:val="22"/>
          <w:szCs w:val="22"/>
          <w:lang w:val="pt-BR"/>
        </w:rPr>
        <w:t xml:space="preserve">eu </w:t>
      </w:r>
      <w:r w:rsidRPr="00913ACD">
        <w:rPr>
          <w:color w:val="000000"/>
          <w:sz w:val="22"/>
          <w:szCs w:val="22"/>
          <w:lang w:val="pt-BR"/>
        </w:rPr>
        <w:t>ao GEF – em coordenação com o CAF e os Governos d</w:t>
      </w:r>
      <w:r w:rsidR="00346FE8" w:rsidRPr="00913ACD">
        <w:rPr>
          <w:color w:val="000000"/>
          <w:sz w:val="22"/>
          <w:szCs w:val="22"/>
          <w:lang w:val="pt-BR"/>
        </w:rPr>
        <w:t>e</w:t>
      </w:r>
      <w:r w:rsidRPr="00913ACD">
        <w:rPr>
          <w:color w:val="000000"/>
          <w:sz w:val="22"/>
          <w:szCs w:val="22"/>
          <w:lang w:val="pt-BR"/>
        </w:rPr>
        <w:t xml:space="preserve"> Argentina e Bolívia – </w:t>
      </w:r>
      <w:r w:rsidR="00A458ED" w:rsidRPr="00913ACD">
        <w:rPr>
          <w:color w:val="000000"/>
          <w:sz w:val="22"/>
          <w:szCs w:val="22"/>
          <w:lang w:val="pt-BR"/>
        </w:rPr>
        <w:t>o projeto</w:t>
      </w:r>
      <w:r w:rsidR="00A458ED" w:rsidRPr="00913ACD">
        <w:rPr>
          <w:b/>
          <w:bCs/>
          <w:color w:val="000000"/>
          <w:sz w:val="22"/>
          <w:szCs w:val="22"/>
          <w:lang w:val="pt-BR"/>
        </w:rPr>
        <w:t xml:space="preserve"> </w:t>
      </w:r>
      <w:r w:rsidR="007800A2" w:rsidRPr="00913ACD">
        <w:rPr>
          <w:b/>
          <w:bCs/>
          <w:color w:val="000000"/>
          <w:sz w:val="22"/>
          <w:szCs w:val="22"/>
          <w:lang w:val="pt-BR"/>
        </w:rPr>
        <w:t>“</w:t>
      </w:r>
      <w:r w:rsidRPr="00913ACD">
        <w:rPr>
          <w:b/>
          <w:bCs/>
          <w:color w:val="000000"/>
          <w:sz w:val="22"/>
          <w:szCs w:val="22"/>
          <w:lang w:val="pt-BR"/>
        </w:rPr>
        <w:t>Gestão Integrada de Recursos Hídricos na Bacia Transfronteiriça do Rio Bermejo</w:t>
      </w:r>
      <w:r w:rsidR="007800A2" w:rsidRPr="00913ACD">
        <w:rPr>
          <w:b/>
          <w:bCs/>
          <w:color w:val="000000"/>
          <w:sz w:val="22"/>
          <w:szCs w:val="22"/>
          <w:lang w:val="pt-BR"/>
        </w:rPr>
        <w:t>”</w:t>
      </w:r>
      <w:r w:rsidRPr="00913ACD">
        <w:rPr>
          <w:b/>
          <w:bCs/>
          <w:color w:val="000000"/>
          <w:sz w:val="22"/>
          <w:szCs w:val="22"/>
          <w:lang w:val="pt-BR"/>
        </w:rPr>
        <w:t>,</w:t>
      </w:r>
      <w:r w:rsidR="001516E7" w:rsidRPr="00913ACD">
        <w:rPr>
          <w:color w:val="000000"/>
          <w:sz w:val="22"/>
          <w:szCs w:val="22"/>
          <w:lang w:val="pt-BR"/>
        </w:rPr>
        <w:t xml:space="preserve"> a ser financiado pelo CAF </w:t>
      </w:r>
      <w:r w:rsidR="00A458ED" w:rsidRPr="00913ACD">
        <w:rPr>
          <w:color w:val="000000"/>
          <w:sz w:val="22"/>
          <w:szCs w:val="22"/>
          <w:lang w:val="pt-BR"/>
        </w:rPr>
        <w:t xml:space="preserve">no valor de </w:t>
      </w:r>
      <w:r w:rsidR="001516E7" w:rsidRPr="00913ACD">
        <w:rPr>
          <w:color w:val="000000"/>
          <w:sz w:val="22"/>
          <w:szCs w:val="22"/>
          <w:lang w:val="pt-BR"/>
        </w:rPr>
        <w:t>US$</w:t>
      </w:r>
      <w:r w:rsidR="00DD1455" w:rsidRPr="00DD1455">
        <w:rPr>
          <w:color w:val="000000"/>
          <w:sz w:val="22"/>
          <w:szCs w:val="22"/>
          <w:lang w:val="pt-BR"/>
        </w:rPr>
        <w:t> </w:t>
      </w:r>
      <w:r w:rsidR="001516E7" w:rsidRPr="00913ACD">
        <w:rPr>
          <w:color w:val="000000"/>
          <w:sz w:val="22"/>
          <w:szCs w:val="22"/>
          <w:lang w:val="pt-BR"/>
        </w:rPr>
        <w:t>6</w:t>
      </w:r>
      <w:r w:rsidR="00730494">
        <w:rPr>
          <w:color w:val="000000"/>
          <w:sz w:val="22"/>
          <w:szCs w:val="22"/>
          <w:lang w:val="pt-BR"/>
        </w:rPr>
        <w:t> </w:t>
      </w:r>
      <w:r w:rsidR="001516E7" w:rsidRPr="00913ACD">
        <w:rPr>
          <w:color w:val="000000"/>
          <w:sz w:val="22"/>
          <w:szCs w:val="22"/>
          <w:lang w:val="pt-BR"/>
        </w:rPr>
        <w:t>milhões e executado em 2024-2028. O projeto foi aprovado pelo doador em julho de 2022.</w:t>
      </w:r>
    </w:p>
    <w:p w14:paraId="3B25D281" w14:textId="77777777" w:rsidR="00A52779" w:rsidRPr="00913ACD" w:rsidRDefault="00A52779" w:rsidP="00CB030B">
      <w:pPr>
        <w:jc w:val="both"/>
        <w:rPr>
          <w:rFonts w:ascii="Times New Roman" w:eastAsia="Calibri" w:hAnsi="Times New Roman" w:cs="Times New Roman"/>
          <w:sz w:val="22"/>
          <w:szCs w:val="22"/>
          <w:lang w:val="pt-BR"/>
        </w:rPr>
      </w:pPr>
    </w:p>
    <w:p w14:paraId="0D7441BD" w14:textId="7542A081" w:rsidR="00C3751E" w:rsidRPr="00913ACD" w:rsidRDefault="007427DB" w:rsidP="00CB030B">
      <w:pPr>
        <w:jc w:val="both"/>
        <w:rPr>
          <w:rFonts w:ascii="Times New Roman" w:eastAsia="Calibri" w:hAnsi="Times New Roman" w:cs="Times New Roman"/>
          <w:b/>
          <w:sz w:val="22"/>
          <w:szCs w:val="22"/>
          <w:u w:val="single"/>
          <w:lang w:val="pt-BR"/>
        </w:rPr>
      </w:pPr>
      <w:r w:rsidRPr="00913ACD">
        <w:rPr>
          <w:rFonts w:ascii="Times New Roman" w:hAnsi="Times New Roman" w:cs="Times New Roman"/>
          <w:b/>
          <w:sz w:val="22"/>
          <w:szCs w:val="22"/>
          <w:u w:val="single"/>
          <w:lang w:val="pt-BR"/>
        </w:rPr>
        <w:t>OBJETIVO</w:t>
      </w:r>
      <w:r w:rsidR="00C3751E" w:rsidRPr="00913ACD">
        <w:rPr>
          <w:rFonts w:ascii="Times New Roman" w:hAnsi="Times New Roman" w:cs="Times New Roman"/>
          <w:b/>
          <w:sz w:val="22"/>
          <w:szCs w:val="22"/>
          <w:u w:val="single"/>
          <w:lang w:val="pt-BR"/>
        </w:rPr>
        <w:t xml:space="preserve"> 2.4</w:t>
      </w:r>
    </w:p>
    <w:p w14:paraId="0947B4BD" w14:textId="77777777" w:rsidR="005F2C83" w:rsidRPr="00913ACD" w:rsidRDefault="005F2C83" w:rsidP="00CB030B">
      <w:pPr>
        <w:jc w:val="both"/>
        <w:rPr>
          <w:rFonts w:ascii="Times New Roman" w:eastAsia="Calibri" w:hAnsi="Times New Roman" w:cs="Times New Roman"/>
          <w:b/>
          <w:sz w:val="22"/>
          <w:szCs w:val="22"/>
          <w:u w:val="single"/>
          <w:lang w:val="pt-BR"/>
        </w:rPr>
      </w:pPr>
    </w:p>
    <w:p w14:paraId="65C502BE" w14:textId="2994853B" w:rsidR="00C3751E" w:rsidRPr="00913ACD" w:rsidRDefault="00FA5985" w:rsidP="00CB030B">
      <w:pPr>
        <w:ind w:firstLine="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sz w:val="22"/>
          <w:szCs w:val="22"/>
          <w:lang w:val="pt-BR"/>
        </w:rPr>
        <w:t>Promover a capacidade dos Estados membros no tema cidades e comunidades sustentáveis, de acordo com os objetivos e bases de ação dispostos na Seção 3.4 do PIDS</w:t>
      </w:r>
      <w:r w:rsidR="00C3751E" w:rsidRPr="00913ACD">
        <w:rPr>
          <w:rFonts w:ascii="Times New Roman" w:hAnsi="Times New Roman" w:cs="Times New Roman"/>
          <w:color w:val="000000" w:themeColor="text1"/>
          <w:sz w:val="22"/>
          <w:szCs w:val="22"/>
          <w:lang w:val="pt-BR"/>
        </w:rPr>
        <w:t>.</w:t>
      </w:r>
    </w:p>
    <w:p w14:paraId="46B4D7B7" w14:textId="77777777" w:rsidR="00C3751E" w:rsidRPr="00913ACD" w:rsidRDefault="00C3751E" w:rsidP="00CB030B">
      <w:pPr>
        <w:jc w:val="both"/>
        <w:rPr>
          <w:rFonts w:ascii="Times New Roman" w:hAnsi="Times New Roman" w:cs="Times New Roman"/>
          <w:color w:val="000000" w:themeColor="text1"/>
          <w:sz w:val="22"/>
          <w:szCs w:val="22"/>
          <w:lang w:val="pt-BR"/>
        </w:rPr>
      </w:pPr>
    </w:p>
    <w:p w14:paraId="742C0474" w14:textId="6C68FF8F" w:rsidR="00C3751E" w:rsidRPr="00913ACD" w:rsidRDefault="00C3751E" w:rsidP="00CB030B">
      <w:pPr>
        <w:pStyle w:val="ListParagraph"/>
        <w:numPr>
          <w:ilvl w:val="0"/>
          <w:numId w:val="18"/>
        </w:numPr>
        <w:tabs>
          <w:tab w:val="left" w:pos="1440"/>
        </w:tabs>
        <w:ind w:left="1440" w:hanging="720"/>
        <w:jc w:val="both"/>
        <w:rPr>
          <w:color w:val="000000" w:themeColor="text1"/>
          <w:sz w:val="22"/>
          <w:szCs w:val="22"/>
          <w:lang w:val="pt-BR"/>
        </w:rPr>
      </w:pPr>
      <w:r w:rsidRPr="00913ACD">
        <w:rPr>
          <w:color w:val="000000" w:themeColor="text1"/>
          <w:sz w:val="22"/>
          <w:szCs w:val="22"/>
          <w:lang w:val="pt-BR"/>
        </w:rPr>
        <w:t xml:space="preserve">À semelhança do </w:t>
      </w:r>
      <w:r w:rsidR="008413F7" w:rsidRPr="00913ACD">
        <w:rPr>
          <w:color w:val="000000" w:themeColor="text1"/>
          <w:sz w:val="22"/>
          <w:szCs w:val="22"/>
          <w:lang w:val="pt-BR"/>
        </w:rPr>
        <w:t>Objetivo</w:t>
      </w:r>
      <w:r w:rsidRPr="00913ACD">
        <w:rPr>
          <w:color w:val="000000" w:themeColor="text1"/>
          <w:sz w:val="22"/>
          <w:szCs w:val="22"/>
          <w:lang w:val="pt-BR"/>
        </w:rPr>
        <w:t xml:space="preserve"> 2.2 (ver supra), este </w:t>
      </w:r>
      <w:r w:rsidR="00FA5985" w:rsidRPr="00913ACD">
        <w:rPr>
          <w:color w:val="000000" w:themeColor="text1"/>
          <w:sz w:val="22"/>
          <w:szCs w:val="22"/>
          <w:lang w:val="pt-BR"/>
        </w:rPr>
        <w:t>o</w:t>
      </w:r>
      <w:r w:rsidR="008413F7" w:rsidRPr="00913ACD">
        <w:rPr>
          <w:color w:val="000000" w:themeColor="text1"/>
          <w:sz w:val="22"/>
          <w:szCs w:val="22"/>
          <w:lang w:val="pt-BR"/>
        </w:rPr>
        <w:t>bjetivo</w:t>
      </w:r>
      <w:r w:rsidRPr="00913ACD">
        <w:rPr>
          <w:color w:val="000000" w:themeColor="text1"/>
          <w:sz w:val="22"/>
          <w:szCs w:val="22"/>
          <w:lang w:val="pt-BR"/>
        </w:rPr>
        <w:t xml:space="preserve"> é também abordado como uma área temática global de todos os programas e </w:t>
      </w:r>
      <w:r w:rsidR="00C95137" w:rsidRPr="00913ACD">
        <w:rPr>
          <w:color w:val="000000" w:themeColor="text1"/>
          <w:sz w:val="22"/>
          <w:szCs w:val="22"/>
          <w:lang w:val="pt-BR"/>
        </w:rPr>
        <w:t>projet</w:t>
      </w:r>
      <w:r w:rsidRPr="00913ACD">
        <w:rPr>
          <w:color w:val="000000" w:themeColor="text1"/>
          <w:sz w:val="22"/>
          <w:szCs w:val="22"/>
          <w:lang w:val="pt-BR"/>
        </w:rPr>
        <w:t xml:space="preserve">os SEDI/DSD, uma vez que visam </w:t>
      </w:r>
      <w:r w:rsidR="00ED363F" w:rsidRPr="00913ACD">
        <w:rPr>
          <w:color w:val="000000" w:themeColor="text1"/>
          <w:sz w:val="22"/>
          <w:szCs w:val="22"/>
          <w:lang w:val="pt-BR"/>
        </w:rPr>
        <w:t xml:space="preserve">a </w:t>
      </w:r>
      <w:r w:rsidRPr="00913ACD">
        <w:rPr>
          <w:color w:val="000000" w:themeColor="text1"/>
          <w:sz w:val="22"/>
          <w:szCs w:val="22"/>
          <w:lang w:val="pt-BR"/>
        </w:rPr>
        <w:t>comunidades urbanas dentro de bacias transfronteiriças e unidades de plane</w:t>
      </w:r>
      <w:r w:rsidR="008D2E13" w:rsidRPr="00913ACD">
        <w:rPr>
          <w:color w:val="000000" w:themeColor="text1"/>
          <w:sz w:val="22"/>
          <w:szCs w:val="22"/>
          <w:lang w:val="pt-BR"/>
        </w:rPr>
        <w:t>j</w:t>
      </w:r>
      <w:r w:rsidRPr="00913ACD">
        <w:rPr>
          <w:color w:val="000000" w:themeColor="text1"/>
          <w:sz w:val="22"/>
          <w:szCs w:val="22"/>
          <w:lang w:val="pt-BR"/>
        </w:rPr>
        <w:t xml:space="preserve">amento e gestão regionais. Da mesma forma, a </w:t>
      </w:r>
      <w:r w:rsidR="00710376" w:rsidRPr="00913ACD">
        <w:rPr>
          <w:color w:val="000000" w:themeColor="text1"/>
          <w:sz w:val="22"/>
          <w:szCs w:val="22"/>
          <w:lang w:val="pt-BR"/>
        </w:rPr>
        <w:t>Parceria em Energia e Clima para as</w:t>
      </w:r>
      <w:r w:rsidRPr="00913ACD">
        <w:rPr>
          <w:color w:val="000000" w:themeColor="text1"/>
          <w:sz w:val="22"/>
          <w:szCs w:val="22"/>
          <w:lang w:val="pt-BR"/>
        </w:rPr>
        <w:t xml:space="preserve"> Américas e o Programa de Gestão de Risco de Desastres contribuem para o avanço dos objetivos de cidades e comunidades sustentáveis no Hemisfério.</w:t>
      </w:r>
    </w:p>
    <w:p w14:paraId="49F8205D" w14:textId="114AD5B5" w:rsidR="008E7DCC" w:rsidRPr="00913ACD" w:rsidRDefault="008E7DCC" w:rsidP="00CB030B">
      <w:pPr>
        <w:jc w:val="both"/>
        <w:rPr>
          <w:rFonts w:ascii="Times New Roman" w:hAnsi="Times New Roman" w:cs="Times New Roman"/>
          <w:color w:val="000000" w:themeColor="text1"/>
          <w:sz w:val="22"/>
          <w:szCs w:val="22"/>
          <w:lang w:val="pt-BR"/>
        </w:rPr>
      </w:pPr>
    </w:p>
    <w:p w14:paraId="2C6048E2" w14:textId="62A84CAF" w:rsidR="008E7DCC" w:rsidRPr="00913ACD" w:rsidRDefault="007427DB" w:rsidP="00CB030B">
      <w:pPr>
        <w:jc w:val="both"/>
        <w:rPr>
          <w:rFonts w:ascii="Times New Roman" w:eastAsia="Calibri" w:hAnsi="Times New Roman" w:cs="Times New Roman"/>
          <w:b/>
          <w:sz w:val="22"/>
          <w:szCs w:val="22"/>
          <w:u w:val="single"/>
          <w:lang w:val="pt-BR"/>
        </w:rPr>
      </w:pPr>
      <w:r w:rsidRPr="00913ACD">
        <w:rPr>
          <w:rFonts w:ascii="Times New Roman" w:hAnsi="Times New Roman" w:cs="Times New Roman"/>
          <w:b/>
          <w:sz w:val="22"/>
          <w:szCs w:val="22"/>
          <w:u w:val="single"/>
          <w:lang w:val="pt-BR"/>
        </w:rPr>
        <w:t>OBJETIVO</w:t>
      </w:r>
      <w:r w:rsidR="008E7DCC" w:rsidRPr="00913ACD">
        <w:rPr>
          <w:rFonts w:ascii="Times New Roman" w:hAnsi="Times New Roman" w:cs="Times New Roman"/>
          <w:b/>
          <w:sz w:val="22"/>
          <w:szCs w:val="22"/>
          <w:u w:val="single"/>
          <w:lang w:val="pt-BR"/>
        </w:rPr>
        <w:t xml:space="preserve"> 2.5</w:t>
      </w:r>
    </w:p>
    <w:p w14:paraId="5406434B" w14:textId="77777777" w:rsidR="00135759" w:rsidRPr="00913ACD" w:rsidRDefault="00135759" w:rsidP="00CB030B">
      <w:pPr>
        <w:jc w:val="both"/>
        <w:rPr>
          <w:rFonts w:ascii="Times New Roman" w:eastAsia="Calibri" w:hAnsi="Times New Roman" w:cs="Times New Roman"/>
          <w:b/>
          <w:sz w:val="22"/>
          <w:szCs w:val="22"/>
          <w:u w:val="single"/>
          <w:lang w:val="pt-BR"/>
        </w:rPr>
      </w:pPr>
    </w:p>
    <w:p w14:paraId="2C75C55F" w14:textId="346A2D3F" w:rsidR="008E7DCC" w:rsidRPr="00913ACD" w:rsidRDefault="006A55B8" w:rsidP="00CB030B">
      <w:pPr>
        <w:ind w:firstLine="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sz w:val="22"/>
          <w:szCs w:val="22"/>
          <w:lang w:val="pt-BR"/>
        </w:rPr>
        <w:t>Promover a capacidade dos Estados membros na gestão sustentável da energia, priorizando as energias limpas, renováveis e ambientalmente sustentáveis e a eficiência energética, de acordo com os objetivos e bases de ação dispostos na Seção 3.5 do PIDS</w:t>
      </w:r>
      <w:r w:rsidR="008E7DCC" w:rsidRPr="00913ACD">
        <w:rPr>
          <w:rFonts w:ascii="Times New Roman" w:hAnsi="Times New Roman" w:cs="Times New Roman"/>
          <w:color w:val="000000" w:themeColor="text1"/>
          <w:sz w:val="22"/>
          <w:szCs w:val="22"/>
          <w:lang w:val="pt-BR"/>
        </w:rPr>
        <w:t>.</w:t>
      </w:r>
    </w:p>
    <w:p w14:paraId="1C9EC0AA" w14:textId="77777777" w:rsidR="008E7DCC" w:rsidRPr="00913ACD" w:rsidRDefault="008E7DCC" w:rsidP="00CB030B">
      <w:pPr>
        <w:jc w:val="both"/>
        <w:rPr>
          <w:rFonts w:ascii="Times New Roman" w:hAnsi="Times New Roman" w:cs="Times New Roman"/>
          <w:b/>
          <w:bCs/>
          <w:iCs/>
          <w:color w:val="000000" w:themeColor="text1"/>
          <w:sz w:val="22"/>
          <w:szCs w:val="22"/>
          <w:lang w:val="pt-BR"/>
        </w:rPr>
      </w:pPr>
    </w:p>
    <w:p w14:paraId="4D3B0F18" w14:textId="75E3DF30" w:rsidR="008E7DCC" w:rsidRPr="00913ACD" w:rsidRDefault="00710376" w:rsidP="00CB030B">
      <w:pPr>
        <w:ind w:firstLine="720"/>
        <w:jc w:val="both"/>
        <w:rPr>
          <w:rFonts w:ascii="Times New Roman" w:eastAsia="Calibri" w:hAnsi="Times New Roman" w:cs="Times New Roman"/>
          <w:b/>
          <w:bCs/>
          <w:color w:val="000000"/>
          <w:sz w:val="22"/>
          <w:szCs w:val="22"/>
          <w:lang w:val="pt-BR"/>
        </w:rPr>
      </w:pPr>
      <w:r w:rsidRPr="00913ACD">
        <w:rPr>
          <w:rFonts w:ascii="Times New Roman" w:hAnsi="Times New Roman" w:cs="Times New Roman"/>
          <w:b/>
          <w:color w:val="000000"/>
          <w:sz w:val="22"/>
          <w:szCs w:val="22"/>
          <w:lang w:val="pt-BR"/>
        </w:rPr>
        <w:t>Parceria em Energia e Clima para as</w:t>
      </w:r>
      <w:r w:rsidR="008E7DCC" w:rsidRPr="00913ACD">
        <w:rPr>
          <w:rFonts w:ascii="Times New Roman" w:hAnsi="Times New Roman" w:cs="Times New Roman"/>
          <w:b/>
          <w:color w:val="000000"/>
          <w:sz w:val="22"/>
          <w:szCs w:val="22"/>
          <w:lang w:val="pt-BR"/>
        </w:rPr>
        <w:t xml:space="preserve"> Américas (ECPA)</w:t>
      </w:r>
    </w:p>
    <w:p w14:paraId="6DBEE6E7" w14:textId="77777777" w:rsidR="008E7DCC" w:rsidRPr="00913ACD" w:rsidRDefault="008E7DCC" w:rsidP="00CB030B">
      <w:pPr>
        <w:ind w:firstLine="720"/>
        <w:jc w:val="both"/>
        <w:rPr>
          <w:rFonts w:ascii="Times New Roman" w:hAnsi="Times New Roman" w:cs="Times New Roman"/>
          <w:b/>
          <w:color w:val="000000" w:themeColor="text1"/>
          <w:sz w:val="22"/>
          <w:szCs w:val="22"/>
          <w:lang w:val="pt-BR"/>
        </w:rPr>
      </w:pPr>
    </w:p>
    <w:p w14:paraId="4FAD2E4B" w14:textId="5EB0D8D2" w:rsidR="008E7DCC" w:rsidRPr="00913ACD" w:rsidRDefault="008E7DCC" w:rsidP="00CB030B">
      <w:pPr>
        <w:pStyle w:val="ListParagraph"/>
        <w:numPr>
          <w:ilvl w:val="0"/>
          <w:numId w:val="18"/>
        </w:numPr>
        <w:ind w:left="1440" w:hanging="720"/>
        <w:jc w:val="both"/>
        <w:rPr>
          <w:color w:val="000000" w:themeColor="text1"/>
          <w:sz w:val="22"/>
          <w:szCs w:val="22"/>
          <w:lang w:val="pt-BR"/>
        </w:rPr>
      </w:pPr>
      <w:r w:rsidRPr="00913ACD">
        <w:rPr>
          <w:color w:val="000000" w:themeColor="text1"/>
          <w:sz w:val="22"/>
          <w:szCs w:val="22"/>
          <w:lang w:val="pt-BR"/>
        </w:rPr>
        <w:t xml:space="preserve">Apoiou o Panamá na realização da </w:t>
      </w:r>
      <w:r w:rsidR="00DE2B95" w:rsidRPr="00913ACD">
        <w:rPr>
          <w:color w:val="000000" w:themeColor="text1"/>
          <w:sz w:val="22"/>
          <w:szCs w:val="22"/>
          <w:lang w:val="pt-BR"/>
        </w:rPr>
        <w:t>Q</w:t>
      </w:r>
      <w:r w:rsidRPr="00913ACD">
        <w:rPr>
          <w:color w:val="000000" w:themeColor="text1"/>
          <w:sz w:val="22"/>
          <w:szCs w:val="22"/>
          <w:lang w:val="pt-BR"/>
        </w:rPr>
        <w:t xml:space="preserve">uinta Reunião Ministerial da ECPA sob o tema </w:t>
      </w:r>
      <w:r w:rsidR="007800A2" w:rsidRPr="00913ACD">
        <w:rPr>
          <w:b/>
          <w:bCs/>
          <w:color w:val="000000" w:themeColor="text1"/>
          <w:sz w:val="22"/>
          <w:szCs w:val="22"/>
          <w:lang w:val="pt-BR"/>
        </w:rPr>
        <w:t>“</w:t>
      </w:r>
      <w:r w:rsidRPr="00913ACD">
        <w:rPr>
          <w:b/>
          <w:bCs/>
          <w:color w:val="000000" w:themeColor="text1"/>
          <w:sz w:val="22"/>
          <w:szCs w:val="22"/>
          <w:lang w:val="pt-BR"/>
        </w:rPr>
        <w:t xml:space="preserve">Transições </w:t>
      </w:r>
      <w:r w:rsidR="00B91962" w:rsidRPr="00913ACD">
        <w:rPr>
          <w:b/>
          <w:bCs/>
          <w:color w:val="000000" w:themeColor="text1"/>
          <w:sz w:val="22"/>
          <w:szCs w:val="22"/>
          <w:lang w:val="pt-BR"/>
        </w:rPr>
        <w:t>e</w:t>
      </w:r>
      <w:r w:rsidRPr="00913ACD">
        <w:rPr>
          <w:b/>
          <w:bCs/>
          <w:color w:val="000000" w:themeColor="text1"/>
          <w:sz w:val="22"/>
          <w:szCs w:val="22"/>
          <w:lang w:val="pt-BR"/>
        </w:rPr>
        <w:t xml:space="preserve">nergéticas </w:t>
      </w:r>
      <w:r w:rsidR="00B91962" w:rsidRPr="00913ACD">
        <w:rPr>
          <w:b/>
          <w:bCs/>
          <w:color w:val="000000" w:themeColor="text1"/>
          <w:sz w:val="22"/>
          <w:szCs w:val="22"/>
          <w:lang w:val="pt-BR"/>
        </w:rPr>
        <w:t>j</w:t>
      </w:r>
      <w:r w:rsidRPr="00913ACD">
        <w:rPr>
          <w:b/>
          <w:bCs/>
          <w:color w:val="000000" w:themeColor="text1"/>
          <w:sz w:val="22"/>
          <w:szCs w:val="22"/>
          <w:lang w:val="pt-BR"/>
        </w:rPr>
        <w:t xml:space="preserve">ustas e </w:t>
      </w:r>
      <w:r w:rsidR="00B91962" w:rsidRPr="00913ACD">
        <w:rPr>
          <w:b/>
          <w:bCs/>
          <w:color w:val="000000" w:themeColor="text1"/>
          <w:sz w:val="22"/>
          <w:szCs w:val="22"/>
          <w:lang w:val="pt-BR"/>
        </w:rPr>
        <w:t>i</w:t>
      </w:r>
      <w:r w:rsidRPr="00913ACD">
        <w:rPr>
          <w:b/>
          <w:bCs/>
          <w:color w:val="000000" w:themeColor="text1"/>
          <w:sz w:val="22"/>
          <w:szCs w:val="22"/>
          <w:lang w:val="pt-BR"/>
        </w:rPr>
        <w:t>nclusivas</w:t>
      </w:r>
      <w:r w:rsidR="007800A2" w:rsidRPr="00913ACD">
        <w:rPr>
          <w:b/>
          <w:bCs/>
          <w:color w:val="000000" w:themeColor="text1"/>
          <w:sz w:val="22"/>
          <w:szCs w:val="22"/>
          <w:lang w:val="pt-BR"/>
        </w:rPr>
        <w:t>”</w:t>
      </w:r>
      <w:r w:rsidRPr="00913ACD">
        <w:rPr>
          <w:b/>
          <w:bCs/>
          <w:color w:val="000000" w:themeColor="text1"/>
          <w:sz w:val="22"/>
          <w:szCs w:val="22"/>
          <w:lang w:val="pt-BR"/>
        </w:rPr>
        <w:t>.</w:t>
      </w:r>
      <w:r w:rsidR="00C51D8E" w:rsidRPr="00913ACD">
        <w:rPr>
          <w:sz w:val="22"/>
          <w:szCs w:val="22"/>
          <w:lang w:val="pt-BR"/>
        </w:rPr>
        <w:t xml:space="preserve"> </w:t>
      </w:r>
      <w:r w:rsidRPr="00913ACD">
        <w:rPr>
          <w:color w:val="000000" w:themeColor="text1"/>
          <w:sz w:val="22"/>
          <w:szCs w:val="22"/>
          <w:lang w:val="pt-BR"/>
        </w:rPr>
        <w:t xml:space="preserve">O evento reuniu ministros da </w:t>
      </w:r>
      <w:r w:rsidR="00B91962" w:rsidRPr="00913ACD">
        <w:rPr>
          <w:color w:val="000000" w:themeColor="text1"/>
          <w:sz w:val="22"/>
          <w:szCs w:val="22"/>
          <w:lang w:val="pt-BR"/>
        </w:rPr>
        <w:t>e</w:t>
      </w:r>
      <w:r w:rsidRPr="00913ACD">
        <w:rPr>
          <w:color w:val="000000" w:themeColor="text1"/>
          <w:sz w:val="22"/>
          <w:szCs w:val="22"/>
          <w:lang w:val="pt-BR"/>
        </w:rPr>
        <w:t xml:space="preserve">nergia e funcionários de alto escalão de 29 países das Américas. A reunião foi realizada presencial e virtualmente e gerou </w:t>
      </w:r>
      <w:r w:rsidR="00F82211" w:rsidRPr="00913ACD">
        <w:rPr>
          <w:color w:val="000000" w:themeColor="text1"/>
          <w:sz w:val="22"/>
          <w:szCs w:val="22"/>
          <w:lang w:val="pt-BR"/>
        </w:rPr>
        <w:t xml:space="preserve">o </w:t>
      </w:r>
      <w:r w:rsidRPr="00913ACD">
        <w:rPr>
          <w:color w:val="000000" w:themeColor="text1"/>
          <w:sz w:val="22"/>
          <w:szCs w:val="22"/>
          <w:lang w:val="pt-BR"/>
        </w:rPr>
        <w:t>Plano de Ação bienal prometido pelos países participantes.</w:t>
      </w:r>
    </w:p>
    <w:p w14:paraId="41D5CF2F" w14:textId="77777777" w:rsidR="008E7DCC" w:rsidRPr="00913ACD" w:rsidRDefault="008E7DCC" w:rsidP="00CB030B">
      <w:pPr>
        <w:pStyle w:val="ListParagraph"/>
        <w:ind w:left="1440" w:hanging="720"/>
        <w:jc w:val="both"/>
        <w:rPr>
          <w:color w:val="000000" w:themeColor="text1"/>
          <w:sz w:val="22"/>
          <w:szCs w:val="22"/>
          <w:highlight w:val="yellow"/>
          <w:lang w:val="pt-BR"/>
        </w:rPr>
      </w:pPr>
    </w:p>
    <w:p w14:paraId="427A130B" w14:textId="0CC508D7" w:rsidR="008E7DCC" w:rsidRPr="00913ACD" w:rsidRDefault="008E7DCC" w:rsidP="00CB030B">
      <w:pPr>
        <w:pStyle w:val="ListParagraph"/>
        <w:numPr>
          <w:ilvl w:val="0"/>
          <w:numId w:val="18"/>
        </w:numPr>
        <w:ind w:left="1440" w:hanging="720"/>
        <w:jc w:val="both"/>
        <w:rPr>
          <w:color w:val="000000" w:themeColor="text1"/>
          <w:sz w:val="22"/>
          <w:szCs w:val="22"/>
          <w:lang w:val="pt-BR"/>
        </w:rPr>
      </w:pPr>
      <w:r w:rsidRPr="00913ACD">
        <w:rPr>
          <w:color w:val="000000" w:themeColor="text1"/>
          <w:sz w:val="22"/>
          <w:szCs w:val="22"/>
          <w:lang w:val="pt-BR"/>
        </w:rPr>
        <w:t xml:space="preserve">Apoiou o Grupo de Revisão da </w:t>
      </w:r>
      <w:r w:rsidR="00612A4B" w:rsidRPr="00913ACD">
        <w:rPr>
          <w:color w:val="000000" w:themeColor="text1"/>
          <w:sz w:val="22"/>
          <w:szCs w:val="22"/>
          <w:lang w:val="pt-BR"/>
        </w:rPr>
        <w:t>Implementação de Cúpulas</w:t>
      </w:r>
      <w:r w:rsidRPr="00913ACD">
        <w:rPr>
          <w:color w:val="000000" w:themeColor="text1"/>
          <w:sz w:val="22"/>
          <w:szCs w:val="22"/>
          <w:lang w:val="pt-BR"/>
        </w:rPr>
        <w:t xml:space="preserve"> na elaboração de um documento de compromisso, aprovado pelos </w:t>
      </w:r>
      <w:r w:rsidR="00612A4B" w:rsidRPr="00913ACD">
        <w:rPr>
          <w:color w:val="000000" w:themeColor="text1"/>
          <w:sz w:val="22"/>
          <w:szCs w:val="22"/>
          <w:lang w:val="pt-BR"/>
        </w:rPr>
        <w:t>C</w:t>
      </w:r>
      <w:r w:rsidRPr="00913ACD">
        <w:rPr>
          <w:color w:val="000000" w:themeColor="text1"/>
          <w:sz w:val="22"/>
          <w:szCs w:val="22"/>
          <w:lang w:val="pt-BR"/>
        </w:rPr>
        <w:t xml:space="preserve">hefes de Estado do Hemisfério Ocidental na </w:t>
      </w:r>
      <w:r w:rsidR="00235FC3" w:rsidRPr="00913ACD">
        <w:rPr>
          <w:color w:val="000000" w:themeColor="text1"/>
          <w:sz w:val="22"/>
          <w:szCs w:val="22"/>
          <w:lang w:val="pt-BR"/>
        </w:rPr>
        <w:t>Nona</w:t>
      </w:r>
      <w:r w:rsidRPr="00913ACD">
        <w:rPr>
          <w:color w:val="000000" w:themeColor="text1"/>
          <w:sz w:val="22"/>
          <w:szCs w:val="22"/>
          <w:lang w:val="pt-BR"/>
        </w:rPr>
        <w:t xml:space="preserve"> Cúpula das Américas, realizada em Los Angeles, para acelerar a transição energética limpa, sustentável, renovável e justa nas Américas. A ECPA é considerada um dos principais mecanismos para </w:t>
      </w:r>
      <w:r w:rsidR="00684C9F" w:rsidRPr="00913ACD">
        <w:rPr>
          <w:color w:val="000000" w:themeColor="text1"/>
          <w:sz w:val="22"/>
          <w:szCs w:val="22"/>
          <w:lang w:val="pt-BR"/>
        </w:rPr>
        <w:t xml:space="preserve">se </w:t>
      </w:r>
      <w:r w:rsidRPr="00913ACD">
        <w:rPr>
          <w:color w:val="000000" w:themeColor="text1"/>
          <w:sz w:val="22"/>
          <w:szCs w:val="22"/>
          <w:lang w:val="pt-BR"/>
        </w:rPr>
        <w:t>atingir es</w:t>
      </w:r>
      <w:r w:rsidR="00684C9F" w:rsidRPr="00913ACD">
        <w:rPr>
          <w:color w:val="000000" w:themeColor="text1"/>
          <w:sz w:val="22"/>
          <w:szCs w:val="22"/>
          <w:lang w:val="pt-BR"/>
        </w:rPr>
        <w:t>s</w:t>
      </w:r>
      <w:r w:rsidRPr="00913ACD">
        <w:rPr>
          <w:color w:val="000000" w:themeColor="text1"/>
          <w:sz w:val="22"/>
          <w:szCs w:val="22"/>
          <w:lang w:val="pt-BR"/>
        </w:rPr>
        <w:t xml:space="preserve">e objetivo </w:t>
      </w:r>
      <w:r w:rsidR="00684C9F" w:rsidRPr="00913ACD">
        <w:rPr>
          <w:color w:val="000000" w:themeColor="text1"/>
          <w:sz w:val="22"/>
          <w:szCs w:val="22"/>
          <w:lang w:val="pt-BR"/>
        </w:rPr>
        <w:t>no</w:t>
      </w:r>
      <w:r w:rsidRPr="00913ACD">
        <w:rPr>
          <w:color w:val="000000" w:themeColor="text1"/>
          <w:sz w:val="22"/>
          <w:szCs w:val="22"/>
          <w:lang w:val="pt-BR"/>
        </w:rPr>
        <w:t xml:space="preserve"> nível regional.</w:t>
      </w:r>
    </w:p>
    <w:p w14:paraId="60396616" w14:textId="77777777" w:rsidR="008E7DCC" w:rsidRPr="00913ACD" w:rsidRDefault="008E7DCC" w:rsidP="00CB030B">
      <w:pPr>
        <w:pStyle w:val="ListParagraph"/>
        <w:ind w:left="1440" w:hanging="720"/>
        <w:rPr>
          <w:color w:val="000000" w:themeColor="text1"/>
          <w:sz w:val="22"/>
          <w:szCs w:val="22"/>
          <w:highlight w:val="yellow"/>
          <w:lang w:val="pt-BR"/>
        </w:rPr>
      </w:pPr>
    </w:p>
    <w:p w14:paraId="150E32B6" w14:textId="1258AF80" w:rsidR="008E7DCC" w:rsidRPr="00913ACD" w:rsidRDefault="000E7764" w:rsidP="00CB030B">
      <w:pPr>
        <w:pStyle w:val="ListParagraph"/>
        <w:numPr>
          <w:ilvl w:val="0"/>
          <w:numId w:val="18"/>
        </w:numPr>
        <w:ind w:left="1440" w:hanging="720"/>
        <w:jc w:val="both"/>
        <w:rPr>
          <w:color w:val="000000" w:themeColor="text1"/>
          <w:sz w:val="22"/>
          <w:szCs w:val="22"/>
          <w:lang w:val="pt-BR"/>
        </w:rPr>
      </w:pPr>
      <w:r w:rsidRPr="00913ACD">
        <w:rPr>
          <w:color w:val="000000" w:themeColor="text1"/>
          <w:sz w:val="22"/>
          <w:szCs w:val="22"/>
          <w:lang w:val="pt-BR"/>
        </w:rPr>
        <w:t>Deu</w:t>
      </w:r>
      <w:r w:rsidR="008E7DCC" w:rsidRPr="00913ACD">
        <w:rPr>
          <w:color w:val="000000" w:themeColor="text1"/>
          <w:sz w:val="22"/>
          <w:szCs w:val="22"/>
          <w:lang w:val="pt-BR"/>
        </w:rPr>
        <w:t xml:space="preserve"> treinamento sobre resiliência do setor de energia em </w:t>
      </w:r>
      <w:r w:rsidR="00234B1F" w:rsidRPr="00913ACD">
        <w:rPr>
          <w:color w:val="000000" w:themeColor="text1"/>
          <w:sz w:val="22"/>
          <w:szCs w:val="22"/>
          <w:lang w:val="pt-BR"/>
        </w:rPr>
        <w:t>p</w:t>
      </w:r>
      <w:r w:rsidR="008E7DCC" w:rsidRPr="00913ACD">
        <w:rPr>
          <w:color w:val="000000" w:themeColor="text1"/>
          <w:sz w:val="22"/>
          <w:szCs w:val="22"/>
          <w:lang w:val="pt-BR"/>
        </w:rPr>
        <w:t xml:space="preserve">equenos Estados </w:t>
      </w:r>
      <w:r w:rsidR="00234B1F" w:rsidRPr="00913ACD">
        <w:rPr>
          <w:color w:val="000000" w:themeColor="text1"/>
          <w:sz w:val="22"/>
          <w:szCs w:val="22"/>
          <w:lang w:val="pt-BR"/>
        </w:rPr>
        <w:t>i</w:t>
      </w:r>
      <w:r w:rsidR="008E7DCC" w:rsidRPr="00913ACD">
        <w:rPr>
          <w:color w:val="000000" w:themeColor="text1"/>
          <w:sz w:val="22"/>
          <w:szCs w:val="22"/>
          <w:lang w:val="pt-BR"/>
        </w:rPr>
        <w:t xml:space="preserve">nsulares em </w:t>
      </w:r>
      <w:r w:rsidR="00234B1F" w:rsidRPr="00913ACD">
        <w:rPr>
          <w:color w:val="000000" w:themeColor="text1"/>
          <w:sz w:val="22"/>
          <w:szCs w:val="22"/>
          <w:lang w:val="pt-BR"/>
        </w:rPr>
        <w:t>d</w:t>
      </w:r>
      <w:r w:rsidR="008E7DCC" w:rsidRPr="00913ACD">
        <w:rPr>
          <w:color w:val="000000" w:themeColor="text1"/>
          <w:sz w:val="22"/>
          <w:szCs w:val="22"/>
          <w:lang w:val="pt-BR"/>
        </w:rPr>
        <w:t xml:space="preserve">esenvolvimento </w:t>
      </w:r>
      <w:r w:rsidR="00D13E60" w:rsidRPr="00913ACD">
        <w:rPr>
          <w:color w:val="000000" w:themeColor="text1"/>
          <w:sz w:val="22"/>
          <w:szCs w:val="22"/>
          <w:lang w:val="pt-BR"/>
        </w:rPr>
        <w:t>com</w:t>
      </w:r>
      <w:r w:rsidR="008E7DCC" w:rsidRPr="00913ACD">
        <w:rPr>
          <w:color w:val="000000" w:themeColor="text1"/>
          <w:sz w:val="22"/>
          <w:szCs w:val="22"/>
          <w:lang w:val="pt-BR"/>
        </w:rPr>
        <w:t xml:space="preserve"> quatro </w:t>
      </w:r>
      <w:r w:rsidR="00D13E60" w:rsidRPr="00913ACD">
        <w:rPr>
          <w:color w:val="000000" w:themeColor="text1"/>
          <w:sz w:val="22"/>
          <w:szCs w:val="22"/>
          <w:lang w:val="pt-BR"/>
        </w:rPr>
        <w:t>seminário</w:t>
      </w:r>
      <w:r w:rsidR="008E7DCC" w:rsidRPr="00913ACD">
        <w:rPr>
          <w:color w:val="000000" w:themeColor="text1"/>
          <w:sz w:val="22"/>
          <w:szCs w:val="22"/>
          <w:lang w:val="pt-BR"/>
        </w:rPr>
        <w:t xml:space="preserve">s </w:t>
      </w:r>
      <w:r w:rsidR="0041021E" w:rsidRPr="00913ACD">
        <w:rPr>
          <w:color w:val="000000" w:themeColor="text1"/>
          <w:sz w:val="22"/>
          <w:szCs w:val="22"/>
          <w:lang w:val="pt-BR"/>
        </w:rPr>
        <w:t xml:space="preserve">sobre o enfrentamento de </w:t>
      </w:r>
      <w:r w:rsidR="008E7DCC" w:rsidRPr="00913ACD">
        <w:rPr>
          <w:color w:val="000000" w:themeColor="text1"/>
          <w:sz w:val="22"/>
          <w:szCs w:val="22"/>
          <w:lang w:val="pt-BR"/>
        </w:rPr>
        <w:t xml:space="preserve">obstáculos específicos relacionados à </w:t>
      </w:r>
      <w:r w:rsidR="0041021E" w:rsidRPr="00913ACD">
        <w:rPr>
          <w:color w:val="000000" w:themeColor="text1"/>
          <w:sz w:val="22"/>
          <w:szCs w:val="22"/>
          <w:lang w:val="pt-BR"/>
        </w:rPr>
        <w:t>g</w:t>
      </w:r>
      <w:r w:rsidR="00F61173" w:rsidRPr="00913ACD">
        <w:rPr>
          <w:color w:val="000000" w:themeColor="text1"/>
          <w:sz w:val="22"/>
          <w:szCs w:val="22"/>
          <w:lang w:val="pt-BR"/>
        </w:rPr>
        <w:t xml:space="preserve">estão de </w:t>
      </w:r>
      <w:r w:rsidR="0041021E" w:rsidRPr="00913ACD">
        <w:rPr>
          <w:color w:val="000000" w:themeColor="text1"/>
          <w:sz w:val="22"/>
          <w:szCs w:val="22"/>
          <w:lang w:val="pt-BR"/>
        </w:rPr>
        <w:t>r</w:t>
      </w:r>
      <w:r w:rsidR="00F61173" w:rsidRPr="00913ACD">
        <w:rPr>
          <w:color w:val="000000" w:themeColor="text1"/>
          <w:sz w:val="22"/>
          <w:szCs w:val="22"/>
          <w:lang w:val="pt-BR"/>
        </w:rPr>
        <w:t>isco</w:t>
      </w:r>
      <w:r w:rsidR="008E7DCC" w:rsidRPr="00913ACD">
        <w:rPr>
          <w:color w:val="000000" w:themeColor="text1"/>
          <w:sz w:val="22"/>
          <w:szCs w:val="22"/>
          <w:lang w:val="pt-BR"/>
        </w:rPr>
        <w:t xml:space="preserve"> de desastres e resiliência </w:t>
      </w:r>
      <w:r w:rsidR="00DA4AAC" w:rsidRPr="00913ACD">
        <w:rPr>
          <w:color w:val="000000" w:themeColor="text1"/>
          <w:sz w:val="22"/>
          <w:szCs w:val="22"/>
          <w:lang w:val="pt-BR"/>
        </w:rPr>
        <w:t>n</w:t>
      </w:r>
      <w:r w:rsidR="008E7DCC" w:rsidRPr="00913ACD">
        <w:rPr>
          <w:color w:val="000000" w:themeColor="text1"/>
          <w:sz w:val="22"/>
          <w:szCs w:val="22"/>
          <w:lang w:val="pt-BR"/>
        </w:rPr>
        <w:t xml:space="preserve">o setor de energia </w:t>
      </w:r>
      <w:r w:rsidR="00DA4AAC" w:rsidRPr="00913ACD">
        <w:rPr>
          <w:color w:val="000000" w:themeColor="text1"/>
          <w:sz w:val="22"/>
          <w:szCs w:val="22"/>
          <w:lang w:val="pt-BR"/>
        </w:rPr>
        <w:t>d</w:t>
      </w:r>
      <w:r w:rsidR="008E7DCC" w:rsidRPr="00913ACD">
        <w:rPr>
          <w:color w:val="000000" w:themeColor="text1"/>
          <w:sz w:val="22"/>
          <w:szCs w:val="22"/>
          <w:lang w:val="pt-BR"/>
        </w:rPr>
        <w:t xml:space="preserve">o Caribe. Os tópicos abordados por cada </w:t>
      </w:r>
      <w:r w:rsidR="00D13E60" w:rsidRPr="00913ACD">
        <w:rPr>
          <w:color w:val="000000" w:themeColor="text1"/>
          <w:sz w:val="22"/>
          <w:szCs w:val="22"/>
          <w:lang w:val="pt-BR"/>
        </w:rPr>
        <w:t>seminário</w:t>
      </w:r>
      <w:r w:rsidR="008E7DCC" w:rsidRPr="00913ACD">
        <w:rPr>
          <w:color w:val="000000" w:themeColor="text1"/>
          <w:sz w:val="22"/>
          <w:szCs w:val="22"/>
          <w:lang w:val="pt-BR"/>
        </w:rPr>
        <w:t xml:space="preserve"> </w:t>
      </w:r>
      <w:r w:rsidR="00DA4AAC" w:rsidRPr="00913ACD">
        <w:rPr>
          <w:color w:val="000000" w:themeColor="text1"/>
          <w:sz w:val="22"/>
          <w:szCs w:val="22"/>
          <w:lang w:val="pt-BR"/>
        </w:rPr>
        <w:t>foram</w:t>
      </w:r>
      <w:r w:rsidR="008E7DCC" w:rsidRPr="00913ACD">
        <w:rPr>
          <w:color w:val="000000" w:themeColor="text1"/>
          <w:sz w:val="22"/>
          <w:szCs w:val="22"/>
          <w:lang w:val="pt-BR"/>
        </w:rPr>
        <w:t xml:space="preserve">: </w:t>
      </w:r>
      <w:r w:rsidR="007800A2" w:rsidRPr="005B0EFD">
        <w:rPr>
          <w:color w:val="000000" w:themeColor="text1"/>
          <w:sz w:val="22"/>
          <w:szCs w:val="22"/>
          <w:lang w:val="pt-BR"/>
        </w:rPr>
        <w:t>“</w:t>
      </w:r>
      <w:r w:rsidR="008E7DCC" w:rsidRPr="005B0EFD">
        <w:rPr>
          <w:color w:val="000000" w:themeColor="text1"/>
          <w:sz w:val="22"/>
          <w:szCs w:val="22"/>
          <w:lang w:val="pt-BR"/>
        </w:rPr>
        <w:t xml:space="preserve">Sistemas de </w:t>
      </w:r>
      <w:r w:rsidR="005A0E66" w:rsidRPr="005B0EFD">
        <w:rPr>
          <w:color w:val="000000" w:themeColor="text1"/>
          <w:sz w:val="22"/>
          <w:szCs w:val="22"/>
          <w:lang w:val="pt-BR"/>
        </w:rPr>
        <w:t>e</w:t>
      </w:r>
      <w:r w:rsidR="008E7DCC" w:rsidRPr="005B0EFD">
        <w:rPr>
          <w:color w:val="000000" w:themeColor="text1"/>
          <w:sz w:val="22"/>
          <w:szCs w:val="22"/>
          <w:lang w:val="pt-BR"/>
        </w:rPr>
        <w:t xml:space="preserve">nergia </w:t>
      </w:r>
      <w:r w:rsidR="005A0E66" w:rsidRPr="005B0EFD">
        <w:rPr>
          <w:color w:val="000000" w:themeColor="text1"/>
          <w:sz w:val="22"/>
          <w:szCs w:val="22"/>
          <w:lang w:val="pt-BR"/>
        </w:rPr>
        <w:t>e</w:t>
      </w:r>
      <w:r w:rsidR="008E7DCC" w:rsidRPr="005B0EFD">
        <w:rPr>
          <w:color w:val="000000" w:themeColor="text1"/>
          <w:sz w:val="22"/>
          <w:szCs w:val="22"/>
          <w:lang w:val="pt-BR"/>
        </w:rPr>
        <w:t xml:space="preserve">létrica e </w:t>
      </w:r>
      <w:r w:rsidR="005A0E66" w:rsidRPr="005B0EFD">
        <w:rPr>
          <w:color w:val="000000" w:themeColor="text1"/>
          <w:sz w:val="22"/>
          <w:szCs w:val="22"/>
          <w:lang w:val="pt-BR"/>
        </w:rPr>
        <w:t>g</w:t>
      </w:r>
      <w:r w:rsidR="008E7DCC" w:rsidRPr="005B0EFD">
        <w:rPr>
          <w:color w:val="000000" w:themeColor="text1"/>
          <w:sz w:val="22"/>
          <w:szCs w:val="22"/>
          <w:lang w:val="pt-BR"/>
        </w:rPr>
        <w:t xml:space="preserve">overnança </w:t>
      </w:r>
      <w:r w:rsidR="005A0E66" w:rsidRPr="005B0EFD">
        <w:rPr>
          <w:color w:val="000000" w:themeColor="text1"/>
          <w:sz w:val="22"/>
          <w:szCs w:val="22"/>
          <w:lang w:val="pt-BR"/>
        </w:rPr>
        <w:t>i</w:t>
      </w:r>
      <w:r w:rsidR="008E7DCC" w:rsidRPr="005B0EFD">
        <w:rPr>
          <w:color w:val="000000" w:themeColor="text1"/>
          <w:sz w:val="22"/>
          <w:szCs w:val="22"/>
          <w:lang w:val="pt-BR"/>
        </w:rPr>
        <w:t>nstitucional</w:t>
      </w:r>
      <w:r w:rsidR="007800A2" w:rsidRPr="005B0EFD">
        <w:rPr>
          <w:color w:val="000000" w:themeColor="text1"/>
          <w:sz w:val="22"/>
          <w:szCs w:val="22"/>
          <w:lang w:val="pt-BR"/>
        </w:rPr>
        <w:t>”</w:t>
      </w:r>
      <w:r w:rsidR="000343FC" w:rsidRPr="005B0EFD">
        <w:rPr>
          <w:color w:val="000000" w:themeColor="text1"/>
          <w:sz w:val="22"/>
          <w:szCs w:val="22"/>
          <w:lang w:val="pt-BR"/>
        </w:rPr>
        <w:t>;</w:t>
      </w:r>
      <w:r w:rsidR="008E7DCC" w:rsidRPr="005B0EFD">
        <w:rPr>
          <w:color w:val="000000" w:themeColor="text1"/>
          <w:sz w:val="22"/>
          <w:szCs w:val="22"/>
          <w:lang w:val="pt-BR"/>
        </w:rPr>
        <w:t xml:space="preserve"> </w:t>
      </w:r>
      <w:r w:rsidR="007800A2" w:rsidRPr="005B0EFD">
        <w:rPr>
          <w:color w:val="000000" w:themeColor="text1"/>
          <w:sz w:val="22"/>
          <w:szCs w:val="22"/>
          <w:lang w:val="pt-BR"/>
        </w:rPr>
        <w:t>“</w:t>
      </w:r>
      <w:r w:rsidR="008E7DCC" w:rsidRPr="005B0EFD">
        <w:rPr>
          <w:color w:val="000000" w:themeColor="text1"/>
          <w:sz w:val="22"/>
          <w:szCs w:val="22"/>
          <w:lang w:val="pt-BR"/>
        </w:rPr>
        <w:t xml:space="preserve">Microrredes para </w:t>
      </w:r>
      <w:r w:rsidR="00F4184B" w:rsidRPr="005B0EFD">
        <w:rPr>
          <w:color w:val="000000" w:themeColor="text1"/>
          <w:sz w:val="22"/>
          <w:szCs w:val="22"/>
          <w:lang w:val="pt-BR"/>
        </w:rPr>
        <w:t>m</w:t>
      </w:r>
      <w:r w:rsidR="008E7DCC" w:rsidRPr="005B0EFD">
        <w:rPr>
          <w:color w:val="000000" w:themeColor="text1"/>
          <w:sz w:val="22"/>
          <w:szCs w:val="22"/>
          <w:lang w:val="pt-BR"/>
        </w:rPr>
        <w:t xml:space="preserve">elhorar a </w:t>
      </w:r>
      <w:r w:rsidR="00F4184B" w:rsidRPr="005B0EFD">
        <w:rPr>
          <w:color w:val="000000" w:themeColor="text1"/>
          <w:sz w:val="22"/>
          <w:szCs w:val="22"/>
          <w:lang w:val="pt-BR"/>
        </w:rPr>
        <w:t>r</w:t>
      </w:r>
      <w:r w:rsidR="008E7DCC" w:rsidRPr="005B0EFD">
        <w:rPr>
          <w:color w:val="000000" w:themeColor="text1"/>
          <w:sz w:val="22"/>
          <w:szCs w:val="22"/>
          <w:lang w:val="pt-BR"/>
        </w:rPr>
        <w:t>esiliência</w:t>
      </w:r>
      <w:r w:rsidR="007800A2" w:rsidRPr="005B0EFD">
        <w:rPr>
          <w:color w:val="000000" w:themeColor="text1"/>
          <w:sz w:val="22"/>
          <w:szCs w:val="22"/>
          <w:lang w:val="pt-BR"/>
        </w:rPr>
        <w:t>”</w:t>
      </w:r>
      <w:r w:rsidR="00A5578D" w:rsidRPr="005B0EFD">
        <w:rPr>
          <w:color w:val="000000" w:themeColor="text1"/>
          <w:sz w:val="22"/>
          <w:szCs w:val="22"/>
          <w:lang w:val="pt-BR"/>
        </w:rPr>
        <w:t>;</w:t>
      </w:r>
      <w:r w:rsidR="008E7DCC" w:rsidRPr="005B0EFD">
        <w:rPr>
          <w:color w:val="000000" w:themeColor="text1"/>
          <w:sz w:val="22"/>
          <w:szCs w:val="22"/>
          <w:lang w:val="pt-BR"/>
        </w:rPr>
        <w:t xml:space="preserve"> </w:t>
      </w:r>
      <w:r w:rsidR="007800A2" w:rsidRPr="005B0EFD">
        <w:rPr>
          <w:color w:val="000000" w:themeColor="text1"/>
          <w:sz w:val="22"/>
          <w:szCs w:val="22"/>
          <w:lang w:val="pt-BR"/>
        </w:rPr>
        <w:t>“</w:t>
      </w:r>
      <w:r w:rsidR="008E7DCC" w:rsidRPr="005B0EFD">
        <w:rPr>
          <w:color w:val="000000" w:themeColor="text1"/>
          <w:sz w:val="22"/>
          <w:szCs w:val="22"/>
          <w:lang w:val="pt-BR"/>
        </w:rPr>
        <w:t xml:space="preserve">Entendendo os </w:t>
      </w:r>
      <w:r w:rsidR="006B19D5" w:rsidRPr="005B0EFD">
        <w:rPr>
          <w:color w:val="000000" w:themeColor="text1"/>
          <w:sz w:val="22"/>
          <w:szCs w:val="22"/>
          <w:lang w:val="pt-BR"/>
        </w:rPr>
        <w:t>d</w:t>
      </w:r>
      <w:r w:rsidR="008E7DCC" w:rsidRPr="005B0EFD">
        <w:rPr>
          <w:color w:val="000000" w:themeColor="text1"/>
          <w:sz w:val="22"/>
          <w:szCs w:val="22"/>
          <w:lang w:val="pt-BR"/>
        </w:rPr>
        <w:t xml:space="preserve">isruptores da </w:t>
      </w:r>
      <w:r w:rsidR="006B19D5" w:rsidRPr="005B0EFD">
        <w:rPr>
          <w:color w:val="000000" w:themeColor="text1"/>
          <w:sz w:val="22"/>
          <w:szCs w:val="22"/>
          <w:lang w:val="pt-BR"/>
        </w:rPr>
        <w:t>v</w:t>
      </w:r>
      <w:r w:rsidR="008E7DCC" w:rsidRPr="005B0EFD">
        <w:rPr>
          <w:color w:val="000000" w:themeColor="text1"/>
          <w:sz w:val="22"/>
          <w:szCs w:val="22"/>
          <w:lang w:val="pt-BR"/>
        </w:rPr>
        <w:t xml:space="preserve">iabilidade </w:t>
      </w:r>
      <w:r w:rsidR="00FA104B" w:rsidRPr="005B0EFD">
        <w:rPr>
          <w:color w:val="000000" w:themeColor="text1"/>
          <w:sz w:val="22"/>
          <w:szCs w:val="22"/>
          <w:lang w:val="pt-BR"/>
        </w:rPr>
        <w:t xml:space="preserve">do mecanismo </w:t>
      </w:r>
      <w:r w:rsidR="006B19D5" w:rsidRPr="005B0EFD">
        <w:rPr>
          <w:color w:val="000000" w:themeColor="text1"/>
          <w:sz w:val="22"/>
          <w:szCs w:val="22"/>
          <w:lang w:val="pt-BR"/>
        </w:rPr>
        <w:t>f</w:t>
      </w:r>
      <w:r w:rsidR="008E7DCC" w:rsidRPr="005B0EFD">
        <w:rPr>
          <w:color w:val="000000" w:themeColor="text1"/>
          <w:sz w:val="22"/>
          <w:szCs w:val="22"/>
          <w:lang w:val="pt-BR"/>
        </w:rPr>
        <w:t>inanceir</w:t>
      </w:r>
      <w:r w:rsidR="00FA104B" w:rsidRPr="005B0EFD">
        <w:rPr>
          <w:color w:val="000000" w:themeColor="text1"/>
          <w:sz w:val="22"/>
          <w:szCs w:val="22"/>
          <w:lang w:val="pt-BR"/>
        </w:rPr>
        <w:t>o</w:t>
      </w:r>
      <w:r w:rsidR="007800A2" w:rsidRPr="005B0EFD">
        <w:rPr>
          <w:color w:val="000000" w:themeColor="text1"/>
          <w:sz w:val="22"/>
          <w:szCs w:val="22"/>
          <w:lang w:val="pt-BR"/>
        </w:rPr>
        <w:t>”</w:t>
      </w:r>
      <w:r w:rsidR="00FA104B" w:rsidRPr="005B0EFD">
        <w:rPr>
          <w:color w:val="000000" w:themeColor="text1"/>
          <w:sz w:val="22"/>
          <w:szCs w:val="22"/>
          <w:lang w:val="pt-BR"/>
        </w:rPr>
        <w:t>;</w:t>
      </w:r>
      <w:r w:rsidR="008E7DCC" w:rsidRPr="005B0EFD">
        <w:rPr>
          <w:color w:val="000000" w:themeColor="text1"/>
          <w:sz w:val="22"/>
          <w:szCs w:val="22"/>
          <w:lang w:val="pt-BR"/>
        </w:rPr>
        <w:t xml:space="preserve"> e </w:t>
      </w:r>
      <w:r w:rsidR="007800A2" w:rsidRPr="005B0EFD">
        <w:rPr>
          <w:color w:val="000000" w:themeColor="text1"/>
          <w:sz w:val="22"/>
          <w:szCs w:val="22"/>
          <w:lang w:val="pt-BR"/>
        </w:rPr>
        <w:t>“</w:t>
      </w:r>
      <w:r w:rsidR="008E7DCC" w:rsidRPr="005B0EFD">
        <w:rPr>
          <w:color w:val="000000" w:themeColor="text1"/>
          <w:sz w:val="22"/>
          <w:szCs w:val="22"/>
          <w:lang w:val="pt-BR"/>
        </w:rPr>
        <w:t xml:space="preserve">Transparência na </w:t>
      </w:r>
      <w:r w:rsidR="00FA104B" w:rsidRPr="005B0EFD">
        <w:rPr>
          <w:color w:val="000000" w:themeColor="text1"/>
          <w:sz w:val="22"/>
          <w:szCs w:val="22"/>
          <w:lang w:val="pt-BR"/>
        </w:rPr>
        <w:t>a</w:t>
      </w:r>
      <w:r w:rsidR="008E7DCC" w:rsidRPr="005B0EFD">
        <w:rPr>
          <w:color w:val="000000" w:themeColor="text1"/>
          <w:sz w:val="22"/>
          <w:szCs w:val="22"/>
          <w:lang w:val="pt-BR"/>
        </w:rPr>
        <w:t xml:space="preserve">quisição de </w:t>
      </w:r>
      <w:r w:rsidR="00FA104B" w:rsidRPr="005B0EFD">
        <w:rPr>
          <w:color w:val="000000" w:themeColor="text1"/>
          <w:sz w:val="22"/>
          <w:szCs w:val="22"/>
          <w:lang w:val="pt-BR"/>
        </w:rPr>
        <w:t>e</w:t>
      </w:r>
      <w:r w:rsidR="008E7DCC" w:rsidRPr="005B0EFD">
        <w:rPr>
          <w:color w:val="000000" w:themeColor="text1"/>
          <w:sz w:val="22"/>
          <w:szCs w:val="22"/>
          <w:lang w:val="pt-BR"/>
        </w:rPr>
        <w:t xml:space="preserve">nergia </w:t>
      </w:r>
      <w:r w:rsidR="00FA104B" w:rsidRPr="005B0EFD">
        <w:rPr>
          <w:color w:val="000000" w:themeColor="text1"/>
          <w:sz w:val="22"/>
          <w:szCs w:val="22"/>
          <w:lang w:val="pt-BR"/>
        </w:rPr>
        <w:t>r</w:t>
      </w:r>
      <w:r w:rsidR="008E7DCC" w:rsidRPr="005B0EFD">
        <w:rPr>
          <w:color w:val="000000" w:themeColor="text1"/>
          <w:sz w:val="22"/>
          <w:szCs w:val="22"/>
          <w:lang w:val="pt-BR"/>
        </w:rPr>
        <w:t>enovável</w:t>
      </w:r>
      <w:r w:rsidR="007800A2" w:rsidRPr="005B0EFD">
        <w:rPr>
          <w:color w:val="000000" w:themeColor="text1"/>
          <w:sz w:val="22"/>
          <w:szCs w:val="22"/>
          <w:lang w:val="pt-BR"/>
        </w:rPr>
        <w:t>”</w:t>
      </w:r>
      <w:r w:rsidR="008E7DCC" w:rsidRPr="005B0EFD">
        <w:rPr>
          <w:color w:val="000000" w:themeColor="text1"/>
          <w:sz w:val="22"/>
          <w:szCs w:val="22"/>
          <w:lang w:val="pt-BR"/>
        </w:rPr>
        <w:t>.</w:t>
      </w:r>
      <w:r w:rsidR="00C51D8E" w:rsidRPr="00913ACD">
        <w:rPr>
          <w:sz w:val="22"/>
          <w:szCs w:val="22"/>
          <w:lang w:val="pt-BR"/>
        </w:rPr>
        <w:t xml:space="preserve"> </w:t>
      </w:r>
      <w:r w:rsidR="008E7DCC" w:rsidRPr="00913ACD">
        <w:rPr>
          <w:color w:val="000000" w:themeColor="text1"/>
          <w:sz w:val="22"/>
          <w:szCs w:val="22"/>
          <w:lang w:val="pt-BR"/>
        </w:rPr>
        <w:t xml:space="preserve">Cerca de 100 funcionários </w:t>
      </w:r>
      <w:r w:rsidR="004D744C">
        <w:rPr>
          <w:color w:val="000000" w:themeColor="text1"/>
          <w:sz w:val="22"/>
          <w:szCs w:val="22"/>
          <w:lang w:val="pt-BR"/>
        </w:rPr>
        <w:t xml:space="preserve">governamentais </w:t>
      </w:r>
      <w:r w:rsidR="008E7DCC" w:rsidRPr="00913ACD">
        <w:rPr>
          <w:color w:val="000000" w:themeColor="text1"/>
          <w:sz w:val="22"/>
          <w:szCs w:val="22"/>
          <w:lang w:val="pt-BR"/>
        </w:rPr>
        <w:t xml:space="preserve">de </w:t>
      </w:r>
      <w:r w:rsidR="00FA104B" w:rsidRPr="00913ACD">
        <w:rPr>
          <w:color w:val="000000" w:themeColor="text1"/>
          <w:sz w:val="22"/>
          <w:szCs w:val="22"/>
          <w:lang w:val="pt-BR"/>
        </w:rPr>
        <w:t xml:space="preserve">17 </w:t>
      </w:r>
      <w:r w:rsidR="008E7DCC" w:rsidRPr="00913ACD">
        <w:rPr>
          <w:color w:val="000000" w:themeColor="text1"/>
          <w:sz w:val="22"/>
          <w:szCs w:val="22"/>
          <w:lang w:val="pt-BR"/>
        </w:rPr>
        <w:t>países participaram dos treinamentos.</w:t>
      </w:r>
    </w:p>
    <w:p w14:paraId="5CBC25FD" w14:textId="77777777" w:rsidR="008E7DCC" w:rsidRPr="00913ACD" w:rsidRDefault="008E7DCC" w:rsidP="00CB030B">
      <w:pPr>
        <w:pStyle w:val="ListParagraph"/>
        <w:rPr>
          <w:color w:val="000000" w:themeColor="text1"/>
          <w:sz w:val="22"/>
          <w:szCs w:val="22"/>
          <w:lang w:val="pt-BR"/>
        </w:rPr>
      </w:pPr>
    </w:p>
    <w:p w14:paraId="5A73A955" w14:textId="7D1980A5" w:rsidR="003D06B0" w:rsidRPr="00913ACD" w:rsidRDefault="008E7DCC" w:rsidP="00CB030B">
      <w:pPr>
        <w:pStyle w:val="ListParagraph"/>
        <w:numPr>
          <w:ilvl w:val="0"/>
          <w:numId w:val="18"/>
        </w:numPr>
        <w:ind w:left="1440" w:hanging="720"/>
        <w:jc w:val="both"/>
        <w:rPr>
          <w:color w:val="000000" w:themeColor="text1"/>
          <w:sz w:val="22"/>
          <w:szCs w:val="22"/>
          <w:lang w:val="pt-BR"/>
        </w:rPr>
      </w:pPr>
      <w:r w:rsidRPr="00913ACD">
        <w:rPr>
          <w:color w:val="000000" w:themeColor="text1"/>
          <w:sz w:val="22"/>
          <w:szCs w:val="22"/>
          <w:lang w:val="pt-BR"/>
        </w:rPr>
        <w:t xml:space="preserve">Sediou o </w:t>
      </w:r>
      <w:r w:rsidRPr="00913ACD">
        <w:rPr>
          <w:b/>
          <w:bCs/>
          <w:color w:val="000000" w:themeColor="text1"/>
          <w:sz w:val="22"/>
          <w:szCs w:val="22"/>
          <w:lang w:val="pt-BR"/>
        </w:rPr>
        <w:t>Programa Treinamento de Liderança em Descarbonização 2022</w:t>
      </w:r>
      <w:r w:rsidRPr="00913ACD">
        <w:rPr>
          <w:color w:val="000000" w:themeColor="text1"/>
          <w:sz w:val="22"/>
          <w:szCs w:val="22"/>
          <w:lang w:val="pt-BR"/>
        </w:rPr>
        <w:t>, projetado para capacitar os tomadores de decisão da América Latina e do Caribe em questões críticas de descarbonização e promover o engajamento e o investimento do setor privado. Por meio de três sessões virtuais realizadas entre maio e junho de 2022, 150 funcionários govern</w:t>
      </w:r>
      <w:r w:rsidR="000B5CB2" w:rsidRPr="00913ACD">
        <w:rPr>
          <w:color w:val="000000" w:themeColor="text1"/>
          <w:sz w:val="22"/>
          <w:szCs w:val="22"/>
          <w:lang w:val="pt-BR"/>
        </w:rPr>
        <w:t>amentais</w:t>
      </w:r>
      <w:r w:rsidRPr="00913ACD">
        <w:rPr>
          <w:color w:val="000000" w:themeColor="text1"/>
          <w:sz w:val="22"/>
          <w:szCs w:val="22"/>
          <w:lang w:val="pt-BR"/>
        </w:rPr>
        <w:t xml:space="preserve"> puderam conversar com especialistas sobre questões relacionadas a energia, hidrogênio, planejamento de descarbonização, políticas, compras e parcerias.</w:t>
      </w:r>
    </w:p>
    <w:p w14:paraId="685579DB" w14:textId="77777777" w:rsidR="00135759" w:rsidRPr="00913ACD" w:rsidRDefault="00135759" w:rsidP="00CB030B">
      <w:pPr>
        <w:pStyle w:val="ListParagraph"/>
        <w:rPr>
          <w:color w:val="000000" w:themeColor="text1"/>
          <w:sz w:val="22"/>
          <w:szCs w:val="22"/>
          <w:lang w:val="pt-BR"/>
        </w:rPr>
      </w:pPr>
    </w:p>
    <w:p w14:paraId="5EBBF5F4" w14:textId="59EADE69" w:rsidR="003D06B0" w:rsidRPr="00913ACD" w:rsidRDefault="003D06B0" w:rsidP="00CB030B">
      <w:pPr>
        <w:pStyle w:val="ListParagraph"/>
        <w:numPr>
          <w:ilvl w:val="0"/>
          <w:numId w:val="18"/>
        </w:numPr>
        <w:ind w:left="1440" w:hanging="720"/>
        <w:jc w:val="both"/>
        <w:rPr>
          <w:color w:val="000000" w:themeColor="text1"/>
          <w:sz w:val="22"/>
          <w:szCs w:val="22"/>
          <w:lang w:val="pt-BR"/>
        </w:rPr>
      </w:pPr>
      <w:r w:rsidRPr="00913ACD">
        <w:rPr>
          <w:color w:val="000000" w:themeColor="text1"/>
          <w:sz w:val="22"/>
          <w:szCs w:val="22"/>
          <w:lang w:val="pt-BR"/>
        </w:rPr>
        <w:t xml:space="preserve">Facilitou a diplomacia e a integração de energia por meio de intercâmbios de políticas na </w:t>
      </w:r>
      <w:r w:rsidR="00652E1D" w:rsidRPr="00913ACD">
        <w:rPr>
          <w:color w:val="000000" w:themeColor="text1"/>
          <w:sz w:val="22"/>
          <w:szCs w:val="22"/>
          <w:lang w:val="pt-BR"/>
        </w:rPr>
        <w:t xml:space="preserve">Décima </w:t>
      </w:r>
      <w:r w:rsidR="008D277A" w:rsidRPr="00913ACD">
        <w:rPr>
          <w:color w:val="000000" w:themeColor="text1"/>
          <w:sz w:val="22"/>
          <w:szCs w:val="22"/>
          <w:lang w:val="pt-BR"/>
        </w:rPr>
        <w:t xml:space="preserve">Terceira Reunião </w:t>
      </w:r>
      <w:r w:rsidRPr="00913ACD">
        <w:rPr>
          <w:color w:val="000000" w:themeColor="text1"/>
          <w:sz w:val="22"/>
          <w:szCs w:val="22"/>
          <w:lang w:val="pt-BR"/>
        </w:rPr>
        <w:t xml:space="preserve">Ministerial de Energia Limpa e na </w:t>
      </w:r>
      <w:r w:rsidR="007A6766" w:rsidRPr="00913ACD">
        <w:rPr>
          <w:color w:val="000000" w:themeColor="text1"/>
          <w:sz w:val="22"/>
          <w:szCs w:val="22"/>
          <w:lang w:val="pt-BR"/>
        </w:rPr>
        <w:t xml:space="preserve">Sétima </w:t>
      </w:r>
      <w:r w:rsidRPr="00913ACD">
        <w:rPr>
          <w:color w:val="000000" w:themeColor="text1"/>
          <w:sz w:val="22"/>
          <w:szCs w:val="22"/>
          <w:lang w:val="pt-BR"/>
        </w:rPr>
        <w:t>Missão Ministerial de Inovação, organizada p</w:t>
      </w:r>
      <w:r w:rsidR="00705823" w:rsidRPr="00913ACD">
        <w:rPr>
          <w:color w:val="000000" w:themeColor="text1"/>
          <w:sz w:val="22"/>
          <w:szCs w:val="22"/>
          <w:lang w:val="pt-BR"/>
        </w:rPr>
        <w:t>or</w:t>
      </w:r>
      <w:r w:rsidRPr="00913ACD">
        <w:rPr>
          <w:color w:val="000000" w:themeColor="text1"/>
          <w:sz w:val="22"/>
          <w:szCs w:val="22"/>
          <w:lang w:val="pt-BR"/>
        </w:rPr>
        <w:t xml:space="preserve"> EUA, Chile, República Dominicana, Panamá e Uruguai, </w:t>
      </w:r>
      <w:r w:rsidR="00366ADA" w:rsidRPr="00913ACD">
        <w:rPr>
          <w:color w:val="000000" w:themeColor="text1"/>
          <w:sz w:val="22"/>
          <w:szCs w:val="22"/>
          <w:lang w:val="pt-BR"/>
        </w:rPr>
        <w:t xml:space="preserve">em que </w:t>
      </w:r>
      <w:r w:rsidR="00354CA6" w:rsidRPr="00913ACD">
        <w:rPr>
          <w:color w:val="000000" w:themeColor="text1"/>
          <w:sz w:val="22"/>
          <w:szCs w:val="22"/>
          <w:lang w:val="pt-BR"/>
        </w:rPr>
        <w:t xml:space="preserve">os países </w:t>
      </w:r>
      <w:r w:rsidRPr="00913ACD">
        <w:rPr>
          <w:color w:val="000000" w:themeColor="text1"/>
          <w:sz w:val="22"/>
          <w:szCs w:val="22"/>
          <w:lang w:val="pt-BR"/>
        </w:rPr>
        <w:t xml:space="preserve">compartilharam suas experiências e lições aprendidas na transição energética e descarbonização </w:t>
      </w:r>
      <w:r w:rsidR="009E2007" w:rsidRPr="00913ACD">
        <w:rPr>
          <w:color w:val="000000" w:themeColor="text1"/>
          <w:sz w:val="22"/>
          <w:szCs w:val="22"/>
          <w:lang w:val="pt-BR"/>
        </w:rPr>
        <w:t xml:space="preserve">até </w:t>
      </w:r>
      <w:r w:rsidR="00206F68" w:rsidRPr="00913ACD">
        <w:rPr>
          <w:color w:val="000000" w:themeColor="text1"/>
          <w:sz w:val="22"/>
          <w:szCs w:val="22"/>
          <w:lang w:val="pt-BR"/>
        </w:rPr>
        <w:t xml:space="preserve">o horizonte de </w:t>
      </w:r>
      <w:r w:rsidRPr="00913ACD">
        <w:rPr>
          <w:color w:val="000000" w:themeColor="text1"/>
          <w:sz w:val="22"/>
          <w:szCs w:val="22"/>
          <w:lang w:val="pt-BR"/>
        </w:rPr>
        <w:t>2050, com ênfase em mobilidade elétrica, resiliência de infraestrutura e inclusão social.</w:t>
      </w:r>
    </w:p>
    <w:p w14:paraId="19251335" w14:textId="6E4889D6" w:rsidR="00135759" w:rsidRPr="00913ACD" w:rsidRDefault="00135759" w:rsidP="00CB030B">
      <w:pPr>
        <w:jc w:val="both"/>
        <w:rPr>
          <w:rFonts w:ascii="Times New Roman" w:eastAsia="Calibri" w:hAnsi="Times New Roman" w:cs="Times New Roman"/>
          <w:color w:val="000000" w:themeColor="text1"/>
          <w:sz w:val="22"/>
          <w:szCs w:val="22"/>
          <w:lang w:val="pt-BR"/>
        </w:rPr>
      </w:pPr>
    </w:p>
    <w:p w14:paraId="74F727B9" w14:textId="5514F7CD" w:rsidR="00141240" w:rsidRPr="00913ACD" w:rsidRDefault="00141240" w:rsidP="00CB030B">
      <w:pPr>
        <w:ind w:firstLine="720"/>
        <w:rPr>
          <w:rFonts w:ascii="Times New Roman" w:eastAsia="Calibri"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Secretaria da Comissão Interamericana de Portos</w:t>
      </w:r>
    </w:p>
    <w:p w14:paraId="1DBBBA19" w14:textId="77777777" w:rsidR="00141240" w:rsidRPr="00913ACD" w:rsidRDefault="00141240" w:rsidP="00CB030B">
      <w:pPr>
        <w:rPr>
          <w:rFonts w:ascii="Times New Roman" w:eastAsia="Calibri" w:hAnsi="Times New Roman" w:cs="Times New Roman"/>
          <w:color w:val="000000" w:themeColor="text1"/>
          <w:sz w:val="22"/>
          <w:szCs w:val="22"/>
          <w:lang w:val="pt-BR"/>
        </w:rPr>
      </w:pPr>
    </w:p>
    <w:p w14:paraId="2D1AFA22" w14:textId="392B529E" w:rsidR="00141240" w:rsidRPr="00913ACD" w:rsidRDefault="00141240" w:rsidP="00CB030B">
      <w:pPr>
        <w:pStyle w:val="ListParagraph"/>
        <w:numPr>
          <w:ilvl w:val="0"/>
          <w:numId w:val="22"/>
        </w:numPr>
        <w:ind w:left="1440" w:hanging="720"/>
        <w:contextualSpacing/>
        <w:jc w:val="both"/>
        <w:rPr>
          <w:color w:val="000000" w:themeColor="text1"/>
          <w:sz w:val="22"/>
          <w:szCs w:val="22"/>
          <w:lang w:val="pt-BR"/>
        </w:rPr>
      </w:pPr>
      <w:r w:rsidRPr="00913ACD">
        <w:rPr>
          <w:color w:val="000000" w:themeColor="text1"/>
          <w:sz w:val="22"/>
          <w:szCs w:val="22"/>
          <w:lang w:val="pt-BR"/>
        </w:rPr>
        <w:t xml:space="preserve">Iniciou conversas com a Autoridade Marítima do Panamá sobre a implementação do Programa de Incentivo Portuário em um de seus portos. </w:t>
      </w:r>
      <w:r w:rsidR="00274652" w:rsidRPr="00913ACD">
        <w:rPr>
          <w:color w:val="000000" w:themeColor="text1"/>
          <w:sz w:val="22"/>
          <w:szCs w:val="22"/>
          <w:lang w:val="pt-BR"/>
        </w:rPr>
        <w:t>A</w:t>
      </w:r>
      <w:r w:rsidRPr="00913ACD">
        <w:rPr>
          <w:color w:val="000000" w:themeColor="text1"/>
          <w:sz w:val="22"/>
          <w:szCs w:val="22"/>
          <w:lang w:val="pt-BR"/>
        </w:rPr>
        <w:t xml:space="preserve"> </w:t>
      </w:r>
      <w:r w:rsidR="00274652" w:rsidRPr="00913ACD">
        <w:rPr>
          <w:color w:val="000000" w:themeColor="text1"/>
          <w:sz w:val="22"/>
          <w:szCs w:val="22"/>
          <w:lang w:val="pt-BR"/>
        </w:rPr>
        <w:t>Secretaria</w:t>
      </w:r>
      <w:r w:rsidRPr="00913ACD">
        <w:rPr>
          <w:color w:val="000000" w:themeColor="text1"/>
          <w:sz w:val="22"/>
          <w:szCs w:val="22"/>
          <w:lang w:val="pt-BR"/>
        </w:rPr>
        <w:t xml:space="preserve"> </w:t>
      </w:r>
      <w:r w:rsidR="00AD15A1" w:rsidRPr="00913ACD">
        <w:rPr>
          <w:color w:val="000000" w:themeColor="text1"/>
          <w:sz w:val="22"/>
          <w:szCs w:val="22"/>
          <w:lang w:val="pt-BR"/>
        </w:rPr>
        <w:t>da CIP</w:t>
      </w:r>
      <w:r w:rsidRPr="00913ACD">
        <w:rPr>
          <w:color w:val="000000" w:themeColor="text1"/>
          <w:sz w:val="22"/>
          <w:szCs w:val="22"/>
          <w:lang w:val="pt-BR"/>
        </w:rPr>
        <w:t xml:space="preserve"> espera resultados em 2023.</w:t>
      </w:r>
    </w:p>
    <w:p w14:paraId="1A8364B1" w14:textId="1E37FFEC" w:rsidR="005F30B1" w:rsidRPr="00913ACD" w:rsidRDefault="005F30B1" w:rsidP="00CB030B">
      <w:pPr>
        <w:contextualSpacing/>
        <w:jc w:val="both"/>
        <w:rPr>
          <w:rFonts w:ascii="Times New Roman" w:hAnsi="Times New Roman" w:cs="Times New Roman"/>
          <w:color w:val="000000" w:themeColor="text1"/>
          <w:sz w:val="22"/>
          <w:szCs w:val="22"/>
          <w:lang w:val="pt-BR"/>
        </w:rPr>
      </w:pPr>
    </w:p>
    <w:p w14:paraId="6669E644" w14:textId="3226473D" w:rsidR="003D06B0" w:rsidRPr="00913ACD" w:rsidRDefault="007427DB" w:rsidP="00CB030B">
      <w:pPr>
        <w:ind w:firstLine="18"/>
        <w:jc w:val="both"/>
        <w:rPr>
          <w:rFonts w:ascii="Times New Roman" w:eastAsia="Calibri" w:hAnsi="Times New Roman" w:cs="Times New Roman"/>
          <w:b/>
          <w:sz w:val="22"/>
          <w:szCs w:val="22"/>
          <w:u w:val="single"/>
          <w:lang w:val="pt-BR"/>
        </w:rPr>
      </w:pPr>
      <w:r w:rsidRPr="00913ACD">
        <w:rPr>
          <w:rFonts w:ascii="Times New Roman" w:hAnsi="Times New Roman" w:cs="Times New Roman"/>
          <w:b/>
          <w:sz w:val="22"/>
          <w:szCs w:val="22"/>
          <w:u w:val="single"/>
          <w:lang w:val="pt-BR"/>
        </w:rPr>
        <w:t>OBJETIVO</w:t>
      </w:r>
      <w:r w:rsidR="003D06B0" w:rsidRPr="00913ACD">
        <w:rPr>
          <w:rFonts w:ascii="Times New Roman" w:hAnsi="Times New Roman" w:cs="Times New Roman"/>
          <w:b/>
          <w:sz w:val="22"/>
          <w:szCs w:val="22"/>
          <w:u w:val="single"/>
          <w:lang w:val="pt-BR"/>
        </w:rPr>
        <w:t xml:space="preserve"> 2.6</w:t>
      </w:r>
    </w:p>
    <w:p w14:paraId="6412F10B" w14:textId="77777777" w:rsidR="00135759" w:rsidRPr="00913ACD" w:rsidRDefault="00135759" w:rsidP="00CB030B">
      <w:pPr>
        <w:ind w:firstLine="18"/>
        <w:jc w:val="both"/>
        <w:rPr>
          <w:rFonts w:ascii="Times New Roman" w:eastAsia="Calibri" w:hAnsi="Times New Roman" w:cs="Times New Roman"/>
          <w:b/>
          <w:sz w:val="22"/>
          <w:szCs w:val="22"/>
          <w:u w:val="single"/>
          <w:lang w:val="pt-BR"/>
        </w:rPr>
      </w:pPr>
    </w:p>
    <w:p w14:paraId="65B71568" w14:textId="036A5432" w:rsidR="003D06B0" w:rsidRPr="00913ACD" w:rsidRDefault="00B34932" w:rsidP="00CB030B">
      <w:pPr>
        <w:ind w:firstLine="36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sz w:val="22"/>
          <w:szCs w:val="22"/>
          <w:lang w:val="pt-BR"/>
        </w:rPr>
        <w:t>Fortalecer a capacidade dos Estados membros de desenvolver instituições eficientes, eficazes, responsáveis e inclusivas para o desenvolvimento sustentável, de acordo com os objetivos e bases de ação dispostos na Seção 3.6 do PIDS</w:t>
      </w:r>
      <w:r w:rsidR="003D06B0" w:rsidRPr="00913ACD">
        <w:rPr>
          <w:rFonts w:ascii="Times New Roman" w:hAnsi="Times New Roman" w:cs="Times New Roman"/>
          <w:color w:val="000000" w:themeColor="text1"/>
          <w:sz w:val="22"/>
          <w:szCs w:val="22"/>
          <w:lang w:val="pt-BR"/>
        </w:rPr>
        <w:t>.</w:t>
      </w:r>
    </w:p>
    <w:p w14:paraId="3BBD3556" w14:textId="77777777" w:rsidR="003D06B0" w:rsidRPr="00913ACD" w:rsidRDefault="003D06B0" w:rsidP="00CB030B">
      <w:pPr>
        <w:tabs>
          <w:tab w:val="left" w:pos="432"/>
        </w:tabs>
        <w:ind w:left="432" w:hanging="432"/>
        <w:jc w:val="both"/>
        <w:rPr>
          <w:rFonts w:ascii="Times New Roman" w:hAnsi="Times New Roman" w:cs="Times New Roman"/>
          <w:color w:val="000000" w:themeColor="text1"/>
          <w:sz w:val="22"/>
          <w:szCs w:val="22"/>
          <w:lang w:val="pt-BR"/>
        </w:rPr>
      </w:pPr>
    </w:p>
    <w:p w14:paraId="64B3F610" w14:textId="73DBAA6A" w:rsidR="003D06B0" w:rsidRPr="00913ACD" w:rsidRDefault="003D06B0" w:rsidP="00CB030B">
      <w:pPr>
        <w:pStyle w:val="ListParagraph"/>
        <w:numPr>
          <w:ilvl w:val="0"/>
          <w:numId w:val="21"/>
        </w:numPr>
        <w:ind w:left="1440" w:hanging="720"/>
        <w:jc w:val="both"/>
        <w:rPr>
          <w:color w:val="000000" w:themeColor="text1"/>
          <w:sz w:val="22"/>
          <w:szCs w:val="22"/>
          <w:lang w:val="pt-BR"/>
        </w:rPr>
      </w:pPr>
      <w:r w:rsidRPr="00913ACD">
        <w:rPr>
          <w:color w:val="000000" w:themeColor="text1"/>
          <w:sz w:val="22"/>
          <w:szCs w:val="22"/>
          <w:lang w:val="pt-BR"/>
        </w:rPr>
        <w:t xml:space="preserve">Prestou assistência administrativa e técnica à Secretaria no âmbito do Acordo de Promoção Comercial EUA-Peru para </w:t>
      </w:r>
      <w:r w:rsidR="00E76F9A" w:rsidRPr="00913ACD">
        <w:rPr>
          <w:color w:val="000000" w:themeColor="text1"/>
          <w:sz w:val="22"/>
          <w:szCs w:val="22"/>
          <w:lang w:val="pt-BR"/>
        </w:rPr>
        <w:t xml:space="preserve">apresentações </w:t>
      </w:r>
      <w:r w:rsidR="00D34E1E" w:rsidRPr="00913ACD">
        <w:rPr>
          <w:color w:val="000000" w:themeColor="text1"/>
          <w:sz w:val="22"/>
          <w:szCs w:val="22"/>
          <w:lang w:val="pt-BR"/>
        </w:rPr>
        <w:t xml:space="preserve">em </w:t>
      </w:r>
      <w:r w:rsidR="001D7499">
        <w:rPr>
          <w:color w:val="000000" w:themeColor="text1"/>
          <w:sz w:val="22"/>
          <w:szCs w:val="22"/>
          <w:lang w:val="pt-BR"/>
        </w:rPr>
        <w:t xml:space="preserve">matéria </w:t>
      </w:r>
      <w:r w:rsidRPr="00913ACD">
        <w:rPr>
          <w:color w:val="000000" w:themeColor="text1"/>
          <w:sz w:val="22"/>
          <w:szCs w:val="22"/>
          <w:lang w:val="pt-BR"/>
        </w:rPr>
        <w:t xml:space="preserve">de </w:t>
      </w:r>
      <w:r w:rsidR="00D34E1E" w:rsidRPr="00913ACD">
        <w:rPr>
          <w:color w:val="000000" w:themeColor="text1"/>
          <w:sz w:val="22"/>
          <w:szCs w:val="22"/>
          <w:lang w:val="pt-BR"/>
        </w:rPr>
        <w:t>fiscalização a</w:t>
      </w:r>
      <w:r w:rsidRPr="00913ACD">
        <w:rPr>
          <w:color w:val="000000" w:themeColor="text1"/>
          <w:sz w:val="22"/>
          <w:szCs w:val="22"/>
          <w:lang w:val="pt-BR"/>
        </w:rPr>
        <w:t xml:space="preserve">mbiental e </w:t>
      </w:r>
      <w:r w:rsidR="00DD49E0" w:rsidRPr="00913ACD">
        <w:rPr>
          <w:color w:val="000000" w:themeColor="text1"/>
          <w:sz w:val="22"/>
          <w:szCs w:val="22"/>
          <w:lang w:val="pt-BR"/>
        </w:rPr>
        <w:t xml:space="preserve">para </w:t>
      </w:r>
      <w:r w:rsidRPr="00913ACD">
        <w:rPr>
          <w:color w:val="000000" w:themeColor="text1"/>
          <w:sz w:val="22"/>
          <w:szCs w:val="22"/>
          <w:lang w:val="pt-BR"/>
        </w:rPr>
        <w:t xml:space="preserve">o recebimento e processamento de </w:t>
      </w:r>
      <w:r w:rsidR="00DD49E0" w:rsidRPr="00913ACD">
        <w:rPr>
          <w:color w:val="000000" w:themeColor="text1"/>
          <w:sz w:val="22"/>
          <w:szCs w:val="22"/>
          <w:lang w:val="pt-BR"/>
        </w:rPr>
        <w:t xml:space="preserve">apresentações </w:t>
      </w:r>
      <w:r w:rsidRPr="00913ACD">
        <w:rPr>
          <w:color w:val="000000" w:themeColor="text1"/>
          <w:sz w:val="22"/>
          <w:szCs w:val="22"/>
          <w:lang w:val="pt-BR"/>
        </w:rPr>
        <w:t>públicas relativas a falhas de uma Parte em aplicar efetivamente suas leis ambientais.</w:t>
      </w:r>
    </w:p>
    <w:p w14:paraId="66F3AB23" w14:textId="77777777" w:rsidR="003D06B0" w:rsidRPr="00913ACD" w:rsidRDefault="003D06B0" w:rsidP="00CB030B">
      <w:pPr>
        <w:ind w:left="1440" w:hanging="720"/>
        <w:jc w:val="both"/>
        <w:rPr>
          <w:rFonts w:ascii="Times New Roman" w:hAnsi="Times New Roman" w:cs="Times New Roman"/>
          <w:color w:val="000000" w:themeColor="text1"/>
          <w:sz w:val="22"/>
          <w:szCs w:val="22"/>
          <w:lang w:val="pt-BR"/>
        </w:rPr>
      </w:pPr>
    </w:p>
    <w:p w14:paraId="2CF94A10" w14:textId="3E8B5898" w:rsidR="003D06B0" w:rsidRPr="00913ACD" w:rsidRDefault="003D06B0" w:rsidP="00CB030B">
      <w:pPr>
        <w:pStyle w:val="ListParagraph"/>
        <w:numPr>
          <w:ilvl w:val="0"/>
          <w:numId w:val="21"/>
        </w:numPr>
        <w:ind w:left="1440" w:hanging="720"/>
        <w:contextualSpacing/>
        <w:jc w:val="both"/>
        <w:rPr>
          <w:b/>
          <w:bCs/>
          <w:color w:val="000000"/>
          <w:sz w:val="22"/>
          <w:szCs w:val="22"/>
          <w:lang w:val="pt-BR"/>
        </w:rPr>
      </w:pPr>
      <w:r w:rsidRPr="00913ACD">
        <w:rPr>
          <w:color w:val="000000" w:themeColor="text1"/>
          <w:sz w:val="22"/>
          <w:szCs w:val="22"/>
          <w:lang w:val="pt-BR"/>
        </w:rPr>
        <w:t xml:space="preserve">Desenvolveu uma proposta de projeto para </w:t>
      </w:r>
      <w:r w:rsidR="007800A2" w:rsidRPr="00913ACD">
        <w:rPr>
          <w:color w:val="000000" w:themeColor="text1"/>
          <w:sz w:val="22"/>
          <w:szCs w:val="22"/>
          <w:lang w:val="pt-BR"/>
        </w:rPr>
        <w:t>“</w:t>
      </w:r>
      <w:r w:rsidRPr="00913ACD">
        <w:rPr>
          <w:b/>
          <w:bCs/>
          <w:color w:val="000000" w:themeColor="text1"/>
          <w:sz w:val="22"/>
          <w:szCs w:val="22"/>
          <w:lang w:val="pt-BR"/>
        </w:rPr>
        <w:t xml:space="preserve">Capacitação das </w:t>
      </w:r>
      <w:r w:rsidR="0040287B" w:rsidRPr="00913ACD">
        <w:rPr>
          <w:b/>
          <w:bCs/>
          <w:color w:val="000000" w:themeColor="text1"/>
          <w:sz w:val="22"/>
          <w:szCs w:val="22"/>
          <w:lang w:val="pt-BR"/>
        </w:rPr>
        <w:t>a</w:t>
      </w:r>
      <w:r w:rsidRPr="00913ACD">
        <w:rPr>
          <w:b/>
          <w:bCs/>
          <w:color w:val="000000" w:themeColor="text1"/>
          <w:sz w:val="22"/>
          <w:szCs w:val="22"/>
          <w:lang w:val="pt-BR"/>
        </w:rPr>
        <w:t xml:space="preserve">gências </w:t>
      </w:r>
      <w:r w:rsidR="0040287B" w:rsidRPr="00913ACD">
        <w:rPr>
          <w:b/>
          <w:bCs/>
          <w:color w:val="000000" w:themeColor="text1"/>
          <w:sz w:val="22"/>
          <w:szCs w:val="22"/>
          <w:lang w:val="pt-BR"/>
        </w:rPr>
        <w:t>e</w:t>
      </w:r>
      <w:r w:rsidRPr="00913ACD">
        <w:rPr>
          <w:b/>
          <w:bCs/>
          <w:color w:val="000000" w:themeColor="text1"/>
          <w:sz w:val="22"/>
          <w:szCs w:val="22"/>
          <w:lang w:val="pt-BR"/>
        </w:rPr>
        <w:t xml:space="preserve">xecutoras </w:t>
      </w:r>
      <w:r w:rsidR="0040287B" w:rsidRPr="00913ACD">
        <w:rPr>
          <w:b/>
          <w:bCs/>
          <w:color w:val="000000" w:themeColor="text1"/>
          <w:sz w:val="22"/>
          <w:szCs w:val="22"/>
          <w:lang w:val="pt-BR"/>
        </w:rPr>
        <w:t>n</w:t>
      </w:r>
      <w:r w:rsidRPr="00913ACD">
        <w:rPr>
          <w:b/>
          <w:bCs/>
          <w:color w:val="000000" w:themeColor="text1"/>
          <w:sz w:val="22"/>
          <w:szCs w:val="22"/>
          <w:lang w:val="pt-BR"/>
        </w:rPr>
        <w:t>acionais do GEF na América Latina e no Caribe</w:t>
      </w:r>
      <w:r w:rsidR="007800A2" w:rsidRPr="00913ACD">
        <w:rPr>
          <w:b/>
          <w:bCs/>
          <w:color w:val="000000" w:themeColor="text1"/>
          <w:sz w:val="22"/>
          <w:szCs w:val="22"/>
          <w:lang w:val="pt-BR"/>
        </w:rPr>
        <w:t>”</w:t>
      </w:r>
      <w:r w:rsidR="0040287B" w:rsidRPr="00913ACD">
        <w:rPr>
          <w:color w:val="000000" w:themeColor="text1"/>
          <w:sz w:val="22"/>
          <w:szCs w:val="22"/>
          <w:lang w:val="pt-BR"/>
        </w:rPr>
        <w:t xml:space="preserve">, </w:t>
      </w:r>
      <w:r w:rsidRPr="00913ACD">
        <w:rPr>
          <w:color w:val="000000" w:themeColor="text1"/>
          <w:sz w:val="22"/>
          <w:szCs w:val="22"/>
          <w:lang w:val="pt-BR"/>
        </w:rPr>
        <w:t xml:space="preserve">em colaboração com a Secretaria do GEF e como parte de seu </w:t>
      </w:r>
      <w:r w:rsidR="000C4BFB" w:rsidRPr="00913ACD">
        <w:rPr>
          <w:color w:val="000000" w:themeColor="text1"/>
          <w:sz w:val="22"/>
          <w:szCs w:val="22"/>
          <w:lang w:val="pt-BR"/>
        </w:rPr>
        <w:t>p</w:t>
      </w:r>
      <w:r w:rsidRPr="00913ACD">
        <w:rPr>
          <w:color w:val="000000" w:themeColor="text1"/>
          <w:sz w:val="22"/>
          <w:szCs w:val="22"/>
          <w:lang w:val="pt-BR"/>
        </w:rPr>
        <w:t xml:space="preserve">rograma de </w:t>
      </w:r>
      <w:r w:rsidR="000C4BFB" w:rsidRPr="00913ACD">
        <w:rPr>
          <w:color w:val="000000" w:themeColor="text1"/>
          <w:sz w:val="22"/>
          <w:szCs w:val="22"/>
          <w:lang w:val="pt-BR"/>
        </w:rPr>
        <w:t>a</w:t>
      </w:r>
      <w:r w:rsidRPr="00913ACD">
        <w:rPr>
          <w:color w:val="000000" w:themeColor="text1"/>
          <w:sz w:val="22"/>
          <w:szCs w:val="22"/>
          <w:lang w:val="pt-BR"/>
        </w:rPr>
        <w:t xml:space="preserve">poio ao </w:t>
      </w:r>
      <w:r w:rsidR="000C4BFB" w:rsidRPr="00913ACD">
        <w:rPr>
          <w:color w:val="000000" w:themeColor="text1"/>
          <w:sz w:val="22"/>
          <w:szCs w:val="22"/>
          <w:lang w:val="pt-BR"/>
        </w:rPr>
        <w:t>p</w:t>
      </w:r>
      <w:r w:rsidRPr="00913ACD">
        <w:rPr>
          <w:color w:val="000000" w:themeColor="text1"/>
          <w:sz w:val="22"/>
          <w:szCs w:val="22"/>
          <w:lang w:val="pt-BR"/>
        </w:rPr>
        <w:t>aís. Es</w:t>
      </w:r>
      <w:r w:rsidR="000C4BFB" w:rsidRPr="00913ACD">
        <w:rPr>
          <w:color w:val="000000" w:themeColor="text1"/>
          <w:sz w:val="22"/>
          <w:szCs w:val="22"/>
          <w:lang w:val="pt-BR"/>
        </w:rPr>
        <w:t>s</w:t>
      </w:r>
      <w:r w:rsidRPr="00913ACD">
        <w:rPr>
          <w:color w:val="000000" w:themeColor="text1"/>
          <w:sz w:val="22"/>
          <w:szCs w:val="22"/>
          <w:lang w:val="pt-BR"/>
        </w:rPr>
        <w:t xml:space="preserve">a </w:t>
      </w:r>
      <w:r w:rsidRPr="00913ACD">
        <w:rPr>
          <w:color w:val="000000"/>
          <w:sz w:val="22"/>
          <w:szCs w:val="22"/>
          <w:lang w:val="pt-BR"/>
        </w:rPr>
        <w:t>proposta de projeto foi aprovada pelo conselho do GEF no âmbito d</w:t>
      </w:r>
      <w:r w:rsidR="0068307D">
        <w:rPr>
          <w:color w:val="000000"/>
          <w:sz w:val="22"/>
          <w:szCs w:val="22"/>
          <w:lang w:val="pt-BR"/>
        </w:rPr>
        <w:t>e</w:t>
      </w:r>
      <w:r w:rsidRPr="00913ACD">
        <w:rPr>
          <w:color w:val="000000"/>
          <w:sz w:val="22"/>
          <w:szCs w:val="22"/>
          <w:lang w:val="pt-BR"/>
        </w:rPr>
        <w:t xml:space="preserve"> suas oito </w:t>
      </w:r>
      <w:r w:rsidR="001C213A" w:rsidRPr="00913ACD">
        <w:rPr>
          <w:color w:val="000000"/>
          <w:sz w:val="22"/>
          <w:szCs w:val="22"/>
          <w:lang w:val="pt-BR"/>
        </w:rPr>
        <w:t>reconstituições de recurs</w:t>
      </w:r>
      <w:r w:rsidR="00DF345B" w:rsidRPr="00913ACD">
        <w:rPr>
          <w:color w:val="000000"/>
          <w:sz w:val="22"/>
          <w:szCs w:val="22"/>
          <w:lang w:val="pt-BR"/>
        </w:rPr>
        <w:t>os.</w:t>
      </w:r>
      <w:r w:rsidRPr="00913ACD">
        <w:rPr>
          <w:color w:val="000000"/>
          <w:sz w:val="22"/>
          <w:szCs w:val="22"/>
          <w:lang w:val="pt-BR"/>
        </w:rPr>
        <w:t xml:space="preserve"> A </w:t>
      </w:r>
      <w:r w:rsidR="00DF345B" w:rsidRPr="00913ACD">
        <w:rPr>
          <w:color w:val="000000"/>
          <w:sz w:val="22"/>
          <w:szCs w:val="22"/>
          <w:lang w:val="pt-BR"/>
        </w:rPr>
        <w:t>SG</w:t>
      </w:r>
      <w:r w:rsidRPr="00913ACD">
        <w:rPr>
          <w:color w:val="000000"/>
          <w:sz w:val="22"/>
          <w:szCs w:val="22"/>
          <w:lang w:val="pt-BR"/>
        </w:rPr>
        <w:t>/O</w:t>
      </w:r>
      <w:r w:rsidR="00DF345B" w:rsidRPr="00913ACD">
        <w:rPr>
          <w:color w:val="000000"/>
          <w:sz w:val="22"/>
          <w:szCs w:val="22"/>
          <w:lang w:val="pt-BR"/>
        </w:rPr>
        <w:t>EA</w:t>
      </w:r>
      <w:r w:rsidRPr="00913ACD">
        <w:rPr>
          <w:color w:val="000000"/>
          <w:sz w:val="22"/>
          <w:szCs w:val="22"/>
          <w:lang w:val="pt-BR"/>
        </w:rPr>
        <w:t xml:space="preserve"> aguarda agora a orientação do GEF para iniciar o processo d</w:t>
      </w:r>
      <w:r w:rsidR="00DF345B" w:rsidRPr="00913ACD">
        <w:rPr>
          <w:color w:val="000000"/>
          <w:sz w:val="22"/>
          <w:szCs w:val="22"/>
          <w:lang w:val="pt-BR"/>
        </w:rPr>
        <w:t>a devida diligência</w:t>
      </w:r>
      <w:r w:rsidRPr="00913ACD">
        <w:rPr>
          <w:color w:val="000000"/>
          <w:sz w:val="22"/>
          <w:szCs w:val="22"/>
          <w:lang w:val="pt-BR"/>
        </w:rPr>
        <w:t>.</w:t>
      </w:r>
    </w:p>
    <w:p w14:paraId="6BC0FD02" w14:textId="21D2F745" w:rsidR="003D06B0" w:rsidRDefault="003D06B0" w:rsidP="00CB030B">
      <w:pPr>
        <w:jc w:val="both"/>
        <w:rPr>
          <w:rFonts w:ascii="Times New Roman" w:hAnsi="Times New Roman" w:cs="Times New Roman"/>
          <w:color w:val="000000" w:themeColor="text1"/>
          <w:sz w:val="22"/>
          <w:szCs w:val="22"/>
          <w:lang w:val="pt-BR"/>
        </w:rPr>
      </w:pPr>
    </w:p>
    <w:p w14:paraId="3564E935" w14:textId="7B53799B" w:rsidR="007A6E7B" w:rsidRDefault="007A6E7B" w:rsidP="00CB030B">
      <w:pPr>
        <w:jc w:val="both"/>
        <w:rPr>
          <w:rFonts w:ascii="Times New Roman" w:hAnsi="Times New Roman" w:cs="Times New Roman"/>
          <w:color w:val="000000" w:themeColor="text1"/>
          <w:sz w:val="22"/>
          <w:szCs w:val="22"/>
          <w:lang w:val="pt-BR"/>
        </w:rPr>
      </w:pPr>
    </w:p>
    <w:p w14:paraId="4C6D29F7" w14:textId="12EFCFE9" w:rsidR="007A6E7B" w:rsidRDefault="007A6E7B" w:rsidP="00CB030B">
      <w:pPr>
        <w:jc w:val="both"/>
        <w:rPr>
          <w:rFonts w:ascii="Times New Roman" w:hAnsi="Times New Roman" w:cs="Times New Roman"/>
          <w:color w:val="000000" w:themeColor="text1"/>
          <w:sz w:val="22"/>
          <w:szCs w:val="22"/>
          <w:lang w:val="pt-BR"/>
        </w:rPr>
      </w:pPr>
    </w:p>
    <w:p w14:paraId="1507D5B2" w14:textId="689DBC0B" w:rsidR="007A6E7B" w:rsidRDefault="007A6E7B" w:rsidP="00CB030B">
      <w:pPr>
        <w:jc w:val="both"/>
        <w:rPr>
          <w:rFonts w:ascii="Times New Roman" w:hAnsi="Times New Roman" w:cs="Times New Roman"/>
          <w:color w:val="000000" w:themeColor="text1"/>
          <w:sz w:val="22"/>
          <w:szCs w:val="22"/>
          <w:lang w:val="pt-BR"/>
        </w:rPr>
      </w:pPr>
    </w:p>
    <w:p w14:paraId="0643DC8C" w14:textId="77777777" w:rsidR="007A6E7B" w:rsidRPr="00913ACD" w:rsidRDefault="007A6E7B" w:rsidP="00CB030B">
      <w:pPr>
        <w:jc w:val="both"/>
        <w:rPr>
          <w:rFonts w:ascii="Times New Roman" w:hAnsi="Times New Roman" w:cs="Times New Roman"/>
          <w:color w:val="000000" w:themeColor="text1"/>
          <w:sz w:val="22"/>
          <w:szCs w:val="22"/>
          <w:lang w:val="pt-BR"/>
        </w:rPr>
      </w:pPr>
    </w:p>
    <w:p w14:paraId="7AEF3781" w14:textId="77777777" w:rsidR="00135759" w:rsidRPr="00913ACD" w:rsidRDefault="00135759" w:rsidP="00CB030B">
      <w:pPr>
        <w:jc w:val="both"/>
        <w:rPr>
          <w:rFonts w:ascii="Times New Roman" w:hAnsi="Times New Roman" w:cs="Times New Roman"/>
          <w:color w:val="000000" w:themeColor="text1"/>
          <w:sz w:val="22"/>
          <w:szCs w:val="22"/>
          <w:lang w:val="pt-BR"/>
        </w:rPr>
      </w:pPr>
    </w:p>
    <w:p w14:paraId="5DB33267" w14:textId="6FEA3571" w:rsidR="00141240" w:rsidRPr="00913ACD" w:rsidRDefault="00141240"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3</w:t>
      </w:r>
    </w:p>
    <w:p w14:paraId="0711126F" w14:textId="2247FC8B" w:rsidR="00DB1F46" w:rsidRPr="00913ACD" w:rsidRDefault="00DB1F46" w:rsidP="00CB030B">
      <w:pPr>
        <w:pBdr>
          <w:bottom w:val="single" w:sz="6" w:space="1" w:color="auto"/>
        </w:pBdr>
        <w:rPr>
          <w:rFonts w:ascii="Times New Roman" w:hAnsi="Times New Roman" w:cs="Times New Roman"/>
          <w:sz w:val="22"/>
          <w:szCs w:val="22"/>
          <w:lang w:val="pt-BR"/>
        </w:rPr>
      </w:pPr>
      <w:r w:rsidRPr="00913ACD">
        <w:rPr>
          <w:rFonts w:ascii="Times New Roman" w:hAnsi="Times New Roman" w:cs="Times New Roman"/>
          <w:sz w:val="22"/>
          <w:szCs w:val="22"/>
          <w:lang w:val="pt-BR"/>
        </w:rPr>
        <w:t>PROMO</w:t>
      </w:r>
      <w:r w:rsidR="0090673F" w:rsidRPr="00913ACD">
        <w:rPr>
          <w:rFonts w:ascii="Times New Roman" w:hAnsi="Times New Roman" w:cs="Times New Roman"/>
          <w:sz w:val="22"/>
          <w:szCs w:val="22"/>
          <w:lang w:val="pt-BR"/>
        </w:rPr>
        <w:t xml:space="preserve">VER </w:t>
      </w:r>
      <w:r w:rsidRPr="00913ACD">
        <w:rPr>
          <w:rFonts w:ascii="Times New Roman" w:hAnsi="Times New Roman" w:cs="Times New Roman"/>
          <w:sz w:val="22"/>
          <w:szCs w:val="22"/>
          <w:lang w:val="pt-BR"/>
        </w:rPr>
        <w:t>A EDUCAÇÃO E O DESENVOLVIMENTO HUMANO NAS AMÉRICAS</w:t>
      </w:r>
    </w:p>
    <w:p w14:paraId="400DF817" w14:textId="77777777" w:rsidR="00DB1F46" w:rsidRPr="00913ACD" w:rsidRDefault="00DB1F46" w:rsidP="00CB030B">
      <w:pPr>
        <w:rPr>
          <w:rFonts w:ascii="Times New Roman" w:hAnsi="Times New Roman" w:cs="Times New Roman"/>
          <w:sz w:val="22"/>
          <w:szCs w:val="22"/>
          <w:lang w:val="pt-BR"/>
        </w:rPr>
      </w:pPr>
    </w:p>
    <w:p w14:paraId="7241A786" w14:textId="043705B5" w:rsidR="00141240" w:rsidRPr="00913ACD" w:rsidRDefault="00141240" w:rsidP="00CB030B">
      <w:pPr>
        <w:ind w:firstLine="720"/>
        <w:jc w:val="both"/>
        <w:rPr>
          <w:rFonts w:ascii="Times New Roman" w:hAnsi="Times New Roman" w:cs="Times New Roman"/>
          <w:sz w:val="22"/>
          <w:szCs w:val="22"/>
          <w:lang w:val="pt-BR"/>
        </w:rPr>
      </w:pPr>
      <w:r w:rsidRPr="00913ACD">
        <w:rPr>
          <w:rFonts w:ascii="Times New Roman" w:hAnsi="Times New Roman" w:cs="Times New Roman"/>
          <w:sz w:val="22"/>
          <w:szCs w:val="22"/>
          <w:lang w:val="pt-BR"/>
        </w:rPr>
        <w:t xml:space="preserve">A Assembleia Geral da Organização dos Estados Americanos, </w:t>
      </w:r>
      <w:r w:rsidR="00C73AF8">
        <w:rPr>
          <w:rFonts w:ascii="Times New Roman" w:hAnsi="Times New Roman" w:cs="Times New Roman"/>
          <w:sz w:val="22"/>
          <w:szCs w:val="22"/>
          <w:lang w:val="pt-BR"/>
        </w:rPr>
        <w:t xml:space="preserve">mediante </w:t>
      </w:r>
      <w:r w:rsidRPr="00913ACD">
        <w:rPr>
          <w:rFonts w:ascii="Times New Roman" w:hAnsi="Times New Roman" w:cs="Times New Roman"/>
          <w:sz w:val="22"/>
          <w:szCs w:val="22"/>
          <w:lang w:val="pt-BR"/>
        </w:rPr>
        <w:t xml:space="preserve">a resolução AG/RES. 2967 (LI-O/21), encarregou a SEDI de apresentar o Projeto de </w:t>
      </w:r>
      <w:r w:rsidR="00F72512" w:rsidRPr="00913ACD">
        <w:rPr>
          <w:rFonts w:ascii="Times New Roman" w:hAnsi="Times New Roman" w:cs="Times New Roman"/>
          <w:sz w:val="22"/>
          <w:szCs w:val="22"/>
          <w:lang w:val="pt-BR"/>
        </w:rPr>
        <w:t>Agenda Interamericana de Educação</w:t>
      </w:r>
      <w:r w:rsidRPr="00913ACD">
        <w:rPr>
          <w:rFonts w:ascii="Times New Roman" w:hAnsi="Times New Roman" w:cs="Times New Roman"/>
          <w:sz w:val="22"/>
          <w:szCs w:val="22"/>
          <w:lang w:val="pt-BR"/>
        </w:rPr>
        <w:t xml:space="preserve"> (AIE) 2022-2027. Nes</w:t>
      </w:r>
      <w:r w:rsidR="00F1132E">
        <w:rPr>
          <w:rFonts w:ascii="Times New Roman" w:hAnsi="Times New Roman" w:cs="Times New Roman"/>
          <w:sz w:val="22"/>
          <w:szCs w:val="22"/>
          <w:lang w:val="pt-BR"/>
        </w:rPr>
        <w:t>t</w:t>
      </w:r>
      <w:r w:rsidRPr="00913ACD">
        <w:rPr>
          <w:rFonts w:ascii="Times New Roman" w:hAnsi="Times New Roman" w:cs="Times New Roman"/>
          <w:sz w:val="22"/>
          <w:szCs w:val="22"/>
          <w:lang w:val="pt-BR"/>
        </w:rPr>
        <w:t xml:space="preserve">e sentido, sob a liderança das Autoridades da Comissão Interamericana de Educação (CIE), os diálogos entre os </w:t>
      </w:r>
      <w:r w:rsidR="00F72512" w:rsidRPr="00913ACD">
        <w:rPr>
          <w:rFonts w:ascii="Times New Roman" w:hAnsi="Times New Roman" w:cs="Times New Roman"/>
          <w:sz w:val="22"/>
          <w:szCs w:val="22"/>
          <w:lang w:val="pt-BR"/>
        </w:rPr>
        <w:t>m</w:t>
      </w:r>
      <w:r w:rsidRPr="00913ACD">
        <w:rPr>
          <w:rFonts w:ascii="Times New Roman" w:hAnsi="Times New Roman" w:cs="Times New Roman"/>
          <w:sz w:val="22"/>
          <w:szCs w:val="22"/>
          <w:lang w:val="pt-BR"/>
        </w:rPr>
        <w:t xml:space="preserve">inistérios da </w:t>
      </w:r>
      <w:r w:rsidR="00F72512"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ducação realizados em 2022 adquiriram uma dinâmica que se consolidou na </w:t>
      </w:r>
      <w:r w:rsidR="00F1132E">
        <w:rPr>
          <w:rFonts w:ascii="Times New Roman" w:hAnsi="Times New Roman" w:cs="Times New Roman"/>
          <w:sz w:val="22"/>
          <w:szCs w:val="22"/>
          <w:lang w:val="pt-BR"/>
        </w:rPr>
        <w:t>r</w:t>
      </w:r>
      <w:r w:rsidRPr="00913ACD">
        <w:rPr>
          <w:rFonts w:ascii="Times New Roman" w:hAnsi="Times New Roman" w:cs="Times New Roman"/>
          <w:sz w:val="22"/>
          <w:szCs w:val="22"/>
          <w:lang w:val="pt-BR"/>
        </w:rPr>
        <w:t xml:space="preserve">eunião </w:t>
      </w:r>
      <w:r w:rsidR="00F1132E">
        <w:rPr>
          <w:rFonts w:ascii="Times New Roman" w:hAnsi="Times New Roman" w:cs="Times New Roman"/>
          <w:sz w:val="22"/>
          <w:szCs w:val="22"/>
          <w:lang w:val="pt-BR"/>
        </w:rPr>
        <w:t>p</w:t>
      </w:r>
      <w:r w:rsidRPr="00913ACD">
        <w:rPr>
          <w:rFonts w:ascii="Times New Roman" w:hAnsi="Times New Roman" w:cs="Times New Roman"/>
          <w:sz w:val="22"/>
          <w:szCs w:val="22"/>
          <w:lang w:val="pt-BR"/>
        </w:rPr>
        <w:t xml:space="preserve">reparatória para a Décima Primeira Reunião Interamericana de Ministros da Educação, realizada em julho de 2022, </w:t>
      </w:r>
      <w:r w:rsidR="00393639">
        <w:rPr>
          <w:rFonts w:ascii="Times New Roman" w:hAnsi="Times New Roman" w:cs="Times New Roman"/>
          <w:sz w:val="22"/>
          <w:szCs w:val="22"/>
          <w:lang w:val="pt-BR"/>
        </w:rPr>
        <w:t xml:space="preserve">na qual </w:t>
      </w:r>
      <w:r w:rsidRPr="00913ACD">
        <w:rPr>
          <w:rFonts w:ascii="Times New Roman" w:hAnsi="Times New Roman" w:cs="Times New Roman"/>
          <w:sz w:val="22"/>
          <w:szCs w:val="22"/>
          <w:lang w:val="pt-BR"/>
        </w:rPr>
        <w:t xml:space="preserve">representantes de 28 países ratificaram o consenso em torno das áreas prioritárias e das linhas temáticas que nortearão a </w:t>
      </w:r>
      <w:hyperlink r:id="rId19" w:history="1">
        <w:r w:rsidR="00CF24B0" w:rsidRPr="00913ACD">
          <w:rPr>
            <w:rStyle w:val="Hyperlink"/>
            <w:rFonts w:ascii="Times New Roman" w:hAnsi="Times New Roman" w:cs="Times New Roman"/>
            <w:sz w:val="22"/>
            <w:szCs w:val="22"/>
            <w:lang w:val="pt-BR"/>
          </w:rPr>
          <w:t>Agenda Interamericana da Educação 2022-2027</w:t>
        </w:r>
      </w:hyperlink>
      <w:r w:rsidRPr="00913ACD">
        <w:rPr>
          <w:rFonts w:ascii="Times New Roman" w:hAnsi="Times New Roman" w:cs="Times New Roman"/>
          <w:sz w:val="22"/>
          <w:szCs w:val="22"/>
          <w:lang w:val="pt-BR"/>
        </w:rPr>
        <w:t xml:space="preserve">. Além disso, os representantes dos </w:t>
      </w:r>
      <w:r w:rsidR="00EC3AA0" w:rsidRPr="00913ACD">
        <w:rPr>
          <w:rFonts w:ascii="Times New Roman" w:hAnsi="Times New Roman" w:cs="Times New Roman"/>
          <w:sz w:val="22"/>
          <w:szCs w:val="22"/>
          <w:lang w:val="pt-BR"/>
        </w:rPr>
        <w:t>m</w:t>
      </w:r>
      <w:r w:rsidRPr="00913ACD">
        <w:rPr>
          <w:rFonts w:ascii="Times New Roman" w:hAnsi="Times New Roman" w:cs="Times New Roman"/>
          <w:sz w:val="22"/>
          <w:szCs w:val="22"/>
          <w:lang w:val="pt-BR"/>
        </w:rPr>
        <w:t xml:space="preserve">inistérios da </w:t>
      </w:r>
      <w:r w:rsidR="00EC3AA0"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ducação cumpriram o objetivo central de gerar consenso sobre</w:t>
      </w:r>
      <w:r w:rsidR="00C51D8E" w:rsidRPr="00913ACD">
        <w:rPr>
          <w:rFonts w:ascii="Times New Roman" w:hAnsi="Times New Roman" w:cs="Times New Roman"/>
          <w:sz w:val="22"/>
          <w:szCs w:val="22"/>
          <w:lang w:val="pt-BR"/>
        </w:rPr>
        <w:t xml:space="preserve"> </w:t>
      </w:r>
      <w:r w:rsidRPr="00913ACD">
        <w:rPr>
          <w:rFonts w:ascii="Times New Roman" w:hAnsi="Times New Roman" w:cs="Times New Roman"/>
          <w:sz w:val="22"/>
          <w:szCs w:val="22"/>
          <w:lang w:val="pt-BR"/>
        </w:rPr>
        <w:t xml:space="preserve">a </w:t>
      </w:r>
      <w:hyperlink r:id="rId20" w:history="1">
        <w:r w:rsidR="00FA7604" w:rsidRPr="00913ACD">
          <w:rPr>
            <w:rStyle w:val="Hyperlink"/>
            <w:rFonts w:ascii="Times New Roman" w:hAnsi="Times New Roman" w:cs="Times New Roman"/>
            <w:sz w:val="22"/>
            <w:szCs w:val="22"/>
            <w:lang w:val="pt-BR"/>
          </w:rPr>
          <w:t>D</w:t>
        </w:r>
        <w:r w:rsidR="00A579AD" w:rsidRPr="00913ACD">
          <w:rPr>
            <w:rStyle w:val="Hyperlink"/>
            <w:rFonts w:ascii="Times New Roman" w:hAnsi="Times New Roman" w:cs="Times New Roman"/>
            <w:sz w:val="22"/>
            <w:szCs w:val="22"/>
            <w:lang w:val="pt-BR"/>
          </w:rPr>
          <w:t xml:space="preserve">eclaração </w:t>
        </w:r>
        <w:r w:rsidR="00CB19D7" w:rsidRPr="00913ACD">
          <w:rPr>
            <w:rStyle w:val="Hyperlink"/>
            <w:rFonts w:ascii="Times New Roman" w:hAnsi="Times New Roman" w:cs="Times New Roman"/>
            <w:sz w:val="22"/>
            <w:szCs w:val="22"/>
            <w:lang w:val="pt-BR"/>
          </w:rPr>
          <w:t>Hemisférica da Educação</w:t>
        </w:r>
        <w:r w:rsidR="00CB19D7" w:rsidRPr="00913ACD">
          <w:rPr>
            <w:rStyle w:val="Hyperlink"/>
            <w:rFonts w:ascii="Times New Roman" w:hAnsi="Times New Roman" w:cs="Times New Roman"/>
            <w:color w:val="auto"/>
            <w:sz w:val="22"/>
            <w:szCs w:val="22"/>
            <w:lang w:val="pt-BR"/>
          </w:rPr>
          <w:t xml:space="preserve"> </w:t>
        </w:r>
        <w:r w:rsidR="00140E0C" w:rsidRPr="00913ACD">
          <w:rPr>
            <w:rStyle w:val="Hyperlink"/>
            <w:rFonts w:ascii="Times New Roman" w:hAnsi="Times New Roman" w:cs="Times New Roman"/>
            <w:color w:val="auto"/>
            <w:sz w:val="22"/>
            <w:szCs w:val="22"/>
            <w:lang w:val="pt-BR"/>
          </w:rPr>
          <w:t xml:space="preserve">e o </w:t>
        </w:r>
        <w:r w:rsidR="00140E0C" w:rsidRPr="00913ACD">
          <w:rPr>
            <w:rStyle w:val="Hyperlink"/>
            <w:rFonts w:ascii="Times New Roman" w:hAnsi="Times New Roman" w:cs="Times New Roman"/>
            <w:sz w:val="22"/>
            <w:szCs w:val="22"/>
            <w:lang w:val="pt-BR"/>
          </w:rPr>
          <w:t xml:space="preserve">Plano </w:t>
        </w:r>
        <w:r w:rsidRPr="00913ACD">
          <w:rPr>
            <w:rStyle w:val="Hyperlink"/>
            <w:rFonts w:ascii="Times New Roman" w:hAnsi="Times New Roman" w:cs="Times New Roman"/>
            <w:sz w:val="22"/>
            <w:szCs w:val="22"/>
            <w:lang w:val="pt-BR"/>
          </w:rPr>
          <w:t>Hemisférico de Ação</w:t>
        </w:r>
      </w:hyperlink>
      <w:r w:rsidRPr="00913ACD">
        <w:rPr>
          <w:rFonts w:ascii="Times New Roman" w:hAnsi="Times New Roman" w:cs="Times New Roman"/>
          <w:sz w:val="22"/>
          <w:szCs w:val="22"/>
          <w:lang w:val="pt-BR"/>
        </w:rPr>
        <w:t xml:space="preserve"> para a Educação, documentos aprovados por aclamação </w:t>
      </w:r>
      <w:r w:rsidR="003652B3" w:rsidRPr="00913ACD">
        <w:rPr>
          <w:rFonts w:ascii="Times New Roman" w:hAnsi="Times New Roman" w:cs="Times New Roman"/>
          <w:sz w:val="22"/>
          <w:szCs w:val="22"/>
          <w:lang w:val="pt-BR"/>
        </w:rPr>
        <w:t>n</w:t>
      </w:r>
      <w:r w:rsidRPr="00913ACD">
        <w:rPr>
          <w:rFonts w:ascii="Times New Roman" w:hAnsi="Times New Roman" w:cs="Times New Roman"/>
          <w:sz w:val="22"/>
          <w:szCs w:val="22"/>
          <w:lang w:val="pt-BR"/>
        </w:rPr>
        <w:t xml:space="preserve">a Décima Primeira Reunião Interamericana de Ministros da Educação, realizada </w:t>
      </w:r>
      <w:r w:rsidR="00BE5230">
        <w:rPr>
          <w:rFonts w:ascii="Times New Roman" w:hAnsi="Times New Roman" w:cs="Times New Roman"/>
          <w:sz w:val="22"/>
          <w:szCs w:val="22"/>
          <w:lang w:val="pt-BR"/>
        </w:rPr>
        <w:t xml:space="preserve">em </w:t>
      </w:r>
      <w:r w:rsidRPr="00913ACD">
        <w:rPr>
          <w:rFonts w:ascii="Times New Roman" w:hAnsi="Times New Roman" w:cs="Times New Roman"/>
          <w:sz w:val="22"/>
          <w:szCs w:val="22"/>
          <w:lang w:val="pt-BR"/>
        </w:rPr>
        <w:t>10 e 11 de novembro de 2022.</w:t>
      </w:r>
      <w:hyperlink r:id="rId21" w:history="1"/>
    </w:p>
    <w:p w14:paraId="6F838128" w14:textId="22FED9B6" w:rsidR="00141240" w:rsidRPr="00913ACD" w:rsidRDefault="00141240" w:rsidP="00CB030B">
      <w:pPr>
        <w:jc w:val="both"/>
        <w:rPr>
          <w:rFonts w:ascii="Times New Roman" w:hAnsi="Times New Roman" w:cs="Times New Roman"/>
          <w:sz w:val="22"/>
          <w:szCs w:val="22"/>
          <w:lang w:val="pt-BR"/>
        </w:rPr>
      </w:pPr>
    </w:p>
    <w:p w14:paraId="7D5A3EAF" w14:textId="4E17BAA0" w:rsidR="00141240" w:rsidRPr="00913ACD" w:rsidRDefault="007427DB" w:rsidP="00CB030B">
      <w:pPr>
        <w:ind w:firstLine="18"/>
        <w:jc w:val="both"/>
        <w:rPr>
          <w:rFonts w:ascii="Times New Roman" w:hAnsi="Times New Roman" w:cs="Times New Roman"/>
          <w:b/>
          <w:bCs/>
          <w:sz w:val="22"/>
          <w:szCs w:val="22"/>
          <w:u w:val="single"/>
          <w:lang w:val="pt-BR"/>
        </w:rPr>
      </w:pPr>
      <w:r w:rsidRPr="00913ACD">
        <w:rPr>
          <w:rFonts w:ascii="Times New Roman" w:hAnsi="Times New Roman" w:cs="Times New Roman"/>
          <w:b/>
          <w:sz w:val="22"/>
          <w:szCs w:val="22"/>
          <w:u w:val="single"/>
          <w:lang w:val="pt-BR"/>
        </w:rPr>
        <w:t>OBJETIVO</w:t>
      </w:r>
      <w:r w:rsidR="00141240" w:rsidRPr="00913ACD">
        <w:rPr>
          <w:rFonts w:ascii="Times New Roman" w:hAnsi="Times New Roman" w:cs="Times New Roman"/>
          <w:b/>
          <w:sz w:val="22"/>
          <w:szCs w:val="22"/>
          <w:u w:val="single"/>
          <w:lang w:val="pt-BR"/>
        </w:rPr>
        <w:t xml:space="preserve"> 3.1</w:t>
      </w:r>
    </w:p>
    <w:p w14:paraId="0134C2D1" w14:textId="77777777" w:rsidR="00135759" w:rsidRPr="00913ACD" w:rsidRDefault="00135759" w:rsidP="00CB030B">
      <w:pPr>
        <w:ind w:firstLine="18"/>
        <w:jc w:val="both"/>
        <w:rPr>
          <w:rFonts w:ascii="Times New Roman" w:hAnsi="Times New Roman" w:cs="Times New Roman"/>
          <w:b/>
          <w:bCs/>
          <w:sz w:val="22"/>
          <w:szCs w:val="22"/>
          <w:u w:val="single"/>
          <w:lang w:val="pt-BR"/>
        </w:rPr>
      </w:pPr>
    </w:p>
    <w:p w14:paraId="7F57A04A" w14:textId="514E20BE" w:rsidR="00141240" w:rsidRPr="00913ACD" w:rsidRDefault="004B2C57" w:rsidP="00CB030B">
      <w:pPr>
        <w:ind w:firstLine="720"/>
        <w:jc w:val="both"/>
        <w:rPr>
          <w:rFonts w:ascii="Times New Roman" w:hAnsi="Times New Roman" w:cs="Times New Roman"/>
          <w:sz w:val="22"/>
          <w:szCs w:val="22"/>
          <w:lang w:val="pt-BR"/>
        </w:rPr>
      </w:pPr>
      <w:r w:rsidRPr="00913ACD">
        <w:rPr>
          <w:rFonts w:ascii="Times New Roman" w:hAnsi="Times New Roman" w:cs="Times New Roman"/>
          <w:color w:val="000000" w:themeColor="text1"/>
          <w:sz w:val="22"/>
          <w:szCs w:val="22"/>
          <w:lang w:val="pt-BR"/>
        </w:rPr>
        <w:t>Fortalecer a capacidade institucional dos Estados membros de oferecer educação de qualidade, inclusiva e equitativa</w:t>
      </w:r>
      <w:r w:rsidR="00141240" w:rsidRPr="00913ACD">
        <w:rPr>
          <w:rFonts w:ascii="Times New Roman" w:hAnsi="Times New Roman" w:cs="Times New Roman"/>
          <w:sz w:val="22"/>
          <w:szCs w:val="22"/>
          <w:lang w:val="pt-BR"/>
        </w:rPr>
        <w:t>.</w:t>
      </w:r>
    </w:p>
    <w:p w14:paraId="5FAD4372" w14:textId="77777777" w:rsidR="00141240" w:rsidRPr="00913ACD" w:rsidRDefault="00141240" w:rsidP="00CB030B">
      <w:pPr>
        <w:ind w:left="720"/>
        <w:jc w:val="both"/>
        <w:rPr>
          <w:rFonts w:ascii="Times New Roman" w:hAnsi="Times New Roman" w:cs="Times New Roman"/>
          <w:b/>
          <w:bCs/>
          <w:iCs/>
          <w:color w:val="000000" w:themeColor="text1"/>
          <w:sz w:val="22"/>
          <w:szCs w:val="22"/>
          <w:lang w:val="pt-BR"/>
        </w:rPr>
      </w:pPr>
    </w:p>
    <w:p w14:paraId="15016354" w14:textId="4F4135EC" w:rsidR="00141240" w:rsidRPr="00913ACD" w:rsidRDefault="00141240" w:rsidP="00CB030B">
      <w:pPr>
        <w:ind w:firstLine="720"/>
        <w:jc w:val="both"/>
        <w:rPr>
          <w:rFonts w:ascii="Times New Roman" w:eastAsia="Calibri"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 xml:space="preserve">A AIE e a </w:t>
      </w:r>
      <w:r w:rsidR="009737C5" w:rsidRPr="00913ACD">
        <w:rPr>
          <w:rFonts w:ascii="Times New Roman" w:hAnsi="Times New Roman" w:cs="Times New Roman"/>
          <w:b/>
          <w:color w:val="000000" w:themeColor="text1"/>
          <w:sz w:val="22"/>
          <w:szCs w:val="22"/>
          <w:lang w:val="pt-BR"/>
        </w:rPr>
        <w:t>i</w:t>
      </w:r>
      <w:r w:rsidRPr="00913ACD">
        <w:rPr>
          <w:rFonts w:ascii="Times New Roman" w:hAnsi="Times New Roman" w:cs="Times New Roman"/>
          <w:b/>
          <w:color w:val="000000" w:themeColor="text1"/>
          <w:sz w:val="22"/>
          <w:szCs w:val="22"/>
          <w:lang w:val="pt-BR"/>
        </w:rPr>
        <w:t>mplementação do Plano de Trabalho d</w:t>
      </w:r>
      <w:r w:rsidR="009737C5" w:rsidRPr="00913ACD">
        <w:rPr>
          <w:rFonts w:ascii="Times New Roman" w:hAnsi="Times New Roman" w:cs="Times New Roman"/>
          <w:b/>
          <w:color w:val="000000" w:themeColor="text1"/>
          <w:sz w:val="22"/>
          <w:szCs w:val="22"/>
          <w:lang w:val="pt-BR"/>
        </w:rPr>
        <w:t>a</w:t>
      </w:r>
      <w:r w:rsidRPr="00913ACD">
        <w:rPr>
          <w:rFonts w:ascii="Times New Roman" w:hAnsi="Times New Roman" w:cs="Times New Roman"/>
          <w:b/>
          <w:color w:val="000000" w:themeColor="text1"/>
          <w:sz w:val="22"/>
          <w:szCs w:val="22"/>
          <w:lang w:val="pt-BR"/>
        </w:rPr>
        <w:t xml:space="preserve"> CIE 2019-2022</w:t>
      </w:r>
    </w:p>
    <w:p w14:paraId="7ABEF20C" w14:textId="77777777" w:rsidR="00141240" w:rsidRPr="00913ACD" w:rsidRDefault="00141240" w:rsidP="00CB030B">
      <w:pPr>
        <w:jc w:val="both"/>
        <w:rPr>
          <w:rFonts w:ascii="Times New Roman" w:hAnsi="Times New Roman" w:cs="Times New Roman"/>
          <w:sz w:val="22"/>
          <w:szCs w:val="22"/>
          <w:lang w:val="pt-BR"/>
        </w:rPr>
      </w:pPr>
    </w:p>
    <w:p w14:paraId="714C4B1B" w14:textId="4E7B0861" w:rsidR="00141240" w:rsidRPr="00913ACD" w:rsidRDefault="00141240" w:rsidP="00CB030B">
      <w:pPr>
        <w:pStyle w:val="ListParagraph"/>
        <w:numPr>
          <w:ilvl w:val="0"/>
          <w:numId w:val="25"/>
        </w:numPr>
        <w:ind w:left="1440" w:hanging="720"/>
        <w:jc w:val="both"/>
        <w:rPr>
          <w:sz w:val="22"/>
          <w:szCs w:val="22"/>
          <w:lang w:val="pt-BR"/>
        </w:rPr>
      </w:pPr>
      <w:r w:rsidRPr="00913ACD">
        <w:rPr>
          <w:sz w:val="22"/>
          <w:szCs w:val="22"/>
          <w:lang w:val="pt-BR"/>
        </w:rPr>
        <w:t xml:space="preserve">Em março, foram realizados dois espaços virtuais de diálogo sobre os programas de </w:t>
      </w:r>
      <w:r w:rsidR="009737C5" w:rsidRPr="00913ACD">
        <w:rPr>
          <w:sz w:val="22"/>
          <w:szCs w:val="22"/>
          <w:lang w:val="pt-BR"/>
        </w:rPr>
        <w:t>p</w:t>
      </w:r>
      <w:r w:rsidRPr="00913ACD">
        <w:rPr>
          <w:sz w:val="22"/>
          <w:szCs w:val="22"/>
          <w:lang w:val="pt-BR"/>
        </w:rPr>
        <w:t xml:space="preserve">olíticas </w:t>
      </w:r>
      <w:r w:rsidR="009737C5" w:rsidRPr="00913ACD">
        <w:rPr>
          <w:sz w:val="22"/>
          <w:szCs w:val="22"/>
          <w:lang w:val="pt-BR"/>
        </w:rPr>
        <w:t>p</w:t>
      </w:r>
      <w:r w:rsidRPr="00913ACD">
        <w:rPr>
          <w:sz w:val="22"/>
          <w:szCs w:val="22"/>
          <w:lang w:val="pt-BR"/>
        </w:rPr>
        <w:t xml:space="preserve">úblicas e </w:t>
      </w:r>
      <w:r w:rsidR="009737C5" w:rsidRPr="00913ACD">
        <w:rPr>
          <w:sz w:val="22"/>
          <w:szCs w:val="22"/>
          <w:lang w:val="pt-BR"/>
        </w:rPr>
        <w:t>c</w:t>
      </w:r>
      <w:r w:rsidRPr="00913ACD">
        <w:rPr>
          <w:sz w:val="22"/>
          <w:szCs w:val="22"/>
          <w:lang w:val="pt-BR"/>
        </w:rPr>
        <w:t xml:space="preserve">onvivência </w:t>
      </w:r>
      <w:r w:rsidR="009737C5" w:rsidRPr="00913ACD">
        <w:rPr>
          <w:sz w:val="22"/>
          <w:szCs w:val="22"/>
          <w:lang w:val="pt-BR"/>
        </w:rPr>
        <w:t>e</w:t>
      </w:r>
      <w:r w:rsidRPr="00913ACD">
        <w:rPr>
          <w:sz w:val="22"/>
          <w:szCs w:val="22"/>
          <w:lang w:val="pt-BR"/>
        </w:rPr>
        <w:t xml:space="preserve">scolar, correspondentes ao Projeto 7 do Plano de Trabalho 2019-2022 </w:t>
      </w:r>
      <w:r w:rsidR="004E489F" w:rsidRPr="00913ACD">
        <w:rPr>
          <w:sz w:val="22"/>
          <w:szCs w:val="22"/>
          <w:lang w:val="pt-BR"/>
        </w:rPr>
        <w:t>da CIE</w:t>
      </w:r>
      <w:r w:rsidRPr="00913ACD">
        <w:rPr>
          <w:sz w:val="22"/>
          <w:szCs w:val="22"/>
          <w:lang w:val="pt-BR"/>
        </w:rPr>
        <w:t xml:space="preserve">. Sob a liderança do Ministério da Educação da Colômbia, </w:t>
      </w:r>
      <w:r w:rsidR="004E489F" w:rsidRPr="00913ACD">
        <w:rPr>
          <w:sz w:val="22"/>
          <w:szCs w:val="22"/>
          <w:lang w:val="pt-BR"/>
        </w:rPr>
        <w:t xml:space="preserve">foram compilados </w:t>
      </w:r>
      <w:r w:rsidRPr="00913ACD">
        <w:rPr>
          <w:sz w:val="22"/>
          <w:szCs w:val="22"/>
          <w:lang w:val="pt-BR"/>
        </w:rPr>
        <w:t xml:space="preserve">programas, iniciativas e boas práticas para </w:t>
      </w:r>
      <w:r w:rsidR="00685B8C" w:rsidRPr="00913ACD">
        <w:rPr>
          <w:sz w:val="22"/>
          <w:szCs w:val="22"/>
          <w:lang w:val="pt-BR"/>
        </w:rPr>
        <w:t xml:space="preserve">a </w:t>
      </w:r>
      <w:r w:rsidRPr="00913ACD">
        <w:rPr>
          <w:sz w:val="22"/>
          <w:szCs w:val="22"/>
          <w:lang w:val="pt-BR"/>
        </w:rPr>
        <w:t>cria</w:t>
      </w:r>
      <w:r w:rsidR="00685B8C" w:rsidRPr="00913ACD">
        <w:rPr>
          <w:sz w:val="22"/>
          <w:szCs w:val="22"/>
          <w:lang w:val="pt-BR"/>
        </w:rPr>
        <w:t>ção de</w:t>
      </w:r>
      <w:r w:rsidRPr="00913ACD">
        <w:rPr>
          <w:sz w:val="22"/>
          <w:szCs w:val="22"/>
          <w:lang w:val="pt-BR"/>
        </w:rPr>
        <w:t xml:space="preserve"> um recurso compartilhado de </w:t>
      </w:r>
      <w:r w:rsidR="00350CF2" w:rsidRPr="00913ACD">
        <w:rPr>
          <w:sz w:val="22"/>
          <w:szCs w:val="22"/>
          <w:lang w:val="pt-BR"/>
        </w:rPr>
        <w:t>boas práticas</w:t>
      </w:r>
      <w:r w:rsidRPr="00913ACD">
        <w:rPr>
          <w:sz w:val="22"/>
          <w:szCs w:val="22"/>
          <w:lang w:val="pt-BR"/>
        </w:rPr>
        <w:t>, facilmente acessível a todos os funcionários.</w:t>
      </w:r>
    </w:p>
    <w:p w14:paraId="16EA307D" w14:textId="77777777" w:rsidR="00141240" w:rsidRPr="00913ACD" w:rsidRDefault="00141240" w:rsidP="00CB030B">
      <w:pPr>
        <w:ind w:left="720"/>
        <w:jc w:val="both"/>
        <w:rPr>
          <w:rFonts w:ascii="Times New Roman" w:hAnsi="Times New Roman" w:cs="Times New Roman"/>
          <w:color w:val="000000" w:themeColor="text1"/>
          <w:sz w:val="22"/>
          <w:szCs w:val="22"/>
          <w:lang w:val="pt-BR"/>
        </w:rPr>
      </w:pPr>
    </w:p>
    <w:p w14:paraId="560C1BCE" w14:textId="7D9C181C" w:rsidR="00141240" w:rsidRPr="00913ACD" w:rsidRDefault="00141240" w:rsidP="00CB030B">
      <w:pPr>
        <w:numPr>
          <w:ilvl w:val="0"/>
          <w:numId w:val="23"/>
        </w:numPr>
        <w:ind w:left="1440" w:hanging="720"/>
        <w:jc w:val="both"/>
        <w:rPr>
          <w:rFonts w:ascii="Times New Roman" w:hAnsi="Times New Roman" w:cs="Times New Roman"/>
          <w:color w:val="000000" w:themeColor="text1"/>
          <w:sz w:val="22"/>
          <w:szCs w:val="22"/>
          <w:lang w:val="pt-BR"/>
        </w:rPr>
      </w:pPr>
      <w:r w:rsidRPr="00913ACD">
        <w:rPr>
          <w:rFonts w:ascii="Times New Roman" w:hAnsi="Times New Roman" w:cs="Times New Roman"/>
          <w:sz w:val="22"/>
          <w:szCs w:val="22"/>
          <w:lang w:val="pt-BR"/>
        </w:rPr>
        <w:t xml:space="preserve">Em junho, a pedido de funcionários </w:t>
      </w:r>
      <w:r w:rsidR="004F2A85" w:rsidRPr="00913ACD">
        <w:rPr>
          <w:rFonts w:ascii="Times New Roman" w:hAnsi="Times New Roman" w:cs="Times New Roman"/>
          <w:sz w:val="22"/>
          <w:szCs w:val="22"/>
          <w:lang w:val="pt-BR"/>
        </w:rPr>
        <w:t>dos m</w:t>
      </w:r>
      <w:r w:rsidR="00DE574A">
        <w:rPr>
          <w:rFonts w:ascii="Times New Roman" w:hAnsi="Times New Roman" w:cs="Times New Roman"/>
          <w:sz w:val="22"/>
          <w:szCs w:val="22"/>
          <w:lang w:val="pt-BR"/>
        </w:rPr>
        <w:t>i</w:t>
      </w:r>
      <w:r w:rsidR="004F2A85" w:rsidRPr="00913ACD">
        <w:rPr>
          <w:rFonts w:ascii="Times New Roman" w:hAnsi="Times New Roman" w:cs="Times New Roman"/>
          <w:sz w:val="22"/>
          <w:szCs w:val="22"/>
          <w:lang w:val="pt-BR"/>
        </w:rPr>
        <w:t>nistérios da educação</w:t>
      </w:r>
      <w:r w:rsidRPr="00913ACD">
        <w:rPr>
          <w:rFonts w:ascii="Times New Roman" w:hAnsi="Times New Roman" w:cs="Times New Roman"/>
          <w:sz w:val="22"/>
          <w:szCs w:val="22"/>
          <w:lang w:val="pt-BR"/>
        </w:rPr>
        <w:t xml:space="preserve">, realizou-se a terceira sessão virtual sobre </w:t>
      </w:r>
      <w:r w:rsidR="004F2A85" w:rsidRPr="00913ACD">
        <w:rPr>
          <w:rFonts w:ascii="Times New Roman" w:hAnsi="Times New Roman" w:cs="Times New Roman"/>
          <w:sz w:val="22"/>
          <w:szCs w:val="22"/>
          <w:lang w:val="pt-BR"/>
        </w:rPr>
        <w:t>c</w:t>
      </w:r>
      <w:r w:rsidRPr="00913ACD">
        <w:rPr>
          <w:rFonts w:ascii="Times New Roman" w:hAnsi="Times New Roman" w:cs="Times New Roman"/>
          <w:sz w:val="22"/>
          <w:szCs w:val="22"/>
          <w:lang w:val="pt-BR"/>
        </w:rPr>
        <w:t xml:space="preserve">onvivência </w:t>
      </w:r>
      <w:r w:rsidR="004F2A85" w:rsidRPr="00913ACD">
        <w:rPr>
          <w:rFonts w:ascii="Times New Roman" w:hAnsi="Times New Roman" w:cs="Times New Roman"/>
          <w:sz w:val="22"/>
          <w:szCs w:val="22"/>
          <w:lang w:val="pt-BR"/>
        </w:rPr>
        <w:t>e</w:t>
      </w:r>
      <w:r w:rsidRPr="00913ACD">
        <w:rPr>
          <w:rFonts w:ascii="Times New Roman" w:hAnsi="Times New Roman" w:cs="Times New Roman"/>
          <w:sz w:val="22"/>
          <w:szCs w:val="22"/>
          <w:lang w:val="pt-BR"/>
        </w:rPr>
        <w:t xml:space="preserve">scolar, </w:t>
      </w:r>
      <w:r w:rsidR="0091715D" w:rsidRPr="00913ACD">
        <w:rPr>
          <w:rFonts w:ascii="Times New Roman" w:hAnsi="Times New Roman" w:cs="Times New Roman"/>
          <w:sz w:val="22"/>
          <w:szCs w:val="22"/>
          <w:lang w:val="pt-BR"/>
        </w:rPr>
        <w:t xml:space="preserve">na qual </w:t>
      </w:r>
      <w:r w:rsidRPr="00913ACD">
        <w:rPr>
          <w:rFonts w:ascii="Times New Roman" w:hAnsi="Times New Roman" w:cs="Times New Roman"/>
          <w:sz w:val="22"/>
          <w:szCs w:val="22"/>
          <w:lang w:val="pt-BR"/>
        </w:rPr>
        <w:t xml:space="preserve">foi acordada a apresentação da proposta de Programa Interamericano de Convivência Escolar para inclusão no Plano de Trabalho </w:t>
      </w:r>
      <w:r w:rsidR="004E489F" w:rsidRPr="00913ACD">
        <w:rPr>
          <w:rFonts w:ascii="Times New Roman" w:hAnsi="Times New Roman" w:cs="Times New Roman"/>
          <w:sz w:val="22"/>
          <w:szCs w:val="22"/>
          <w:lang w:val="pt-BR"/>
        </w:rPr>
        <w:t>da CIE</w:t>
      </w:r>
      <w:r w:rsidRPr="00913ACD">
        <w:rPr>
          <w:rFonts w:ascii="Times New Roman" w:hAnsi="Times New Roman" w:cs="Times New Roman"/>
          <w:sz w:val="22"/>
          <w:szCs w:val="22"/>
          <w:lang w:val="pt-BR"/>
        </w:rPr>
        <w:t xml:space="preserve"> 2022-2025.</w:t>
      </w:r>
    </w:p>
    <w:p w14:paraId="3F63C14B" w14:textId="77777777" w:rsidR="00996DC7" w:rsidRPr="00913ACD" w:rsidRDefault="00996DC7" w:rsidP="00CB030B">
      <w:pPr>
        <w:ind w:left="1440" w:hanging="720"/>
        <w:jc w:val="both"/>
        <w:rPr>
          <w:rFonts w:ascii="Times New Roman" w:hAnsi="Times New Roman" w:cs="Times New Roman"/>
          <w:color w:val="000000" w:themeColor="text1"/>
          <w:sz w:val="22"/>
          <w:szCs w:val="22"/>
          <w:lang w:val="pt-BR"/>
        </w:rPr>
      </w:pPr>
    </w:p>
    <w:p w14:paraId="1C8C40BA" w14:textId="6C1E0B7C" w:rsidR="00141240" w:rsidRPr="00913ACD" w:rsidRDefault="00996DC7" w:rsidP="00CB030B">
      <w:pPr>
        <w:pStyle w:val="ListParagraph"/>
        <w:numPr>
          <w:ilvl w:val="0"/>
          <w:numId w:val="25"/>
        </w:numPr>
        <w:ind w:left="1440" w:hanging="720"/>
        <w:jc w:val="both"/>
        <w:rPr>
          <w:color w:val="000000" w:themeColor="text1"/>
          <w:sz w:val="22"/>
          <w:szCs w:val="22"/>
          <w:lang w:val="pt-BR"/>
        </w:rPr>
      </w:pPr>
      <w:r w:rsidRPr="00913ACD">
        <w:rPr>
          <w:color w:val="000000" w:themeColor="text1"/>
          <w:sz w:val="22"/>
          <w:szCs w:val="22"/>
          <w:lang w:val="pt-BR"/>
        </w:rPr>
        <w:t xml:space="preserve">Promoveu a colaboração entre os </w:t>
      </w:r>
      <w:r w:rsidR="0091715D" w:rsidRPr="00913ACD">
        <w:rPr>
          <w:color w:val="000000" w:themeColor="text1"/>
          <w:sz w:val="22"/>
          <w:szCs w:val="22"/>
          <w:lang w:val="pt-BR"/>
        </w:rPr>
        <w:t>m</w:t>
      </w:r>
      <w:r w:rsidRPr="00913ACD">
        <w:rPr>
          <w:color w:val="000000" w:themeColor="text1"/>
          <w:sz w:val="22"/>
          <w:szCs w:val="22"/>
          <w:lang w:val="pt-BR"/>
        </w:rPr>
        <w:t xml:space="preserve">inistérios da </w:t>
      </w:r>
      <w:r w:rsidR="0091715D" w:rsidRPr="00913ACD">
        <w:rPr>
          <w:color w:val="000000" w:themeColor="text1"/>
          <w:sz w:val="22"/>
          <w:szCs w:val="22"/>
          <w:lang w:val="pt-BR"/>
        </w:rPr>
        <w:t>s</w:t>
      </w:r>
      <w:r w:rsidRPr="00913ACD">
        <w:rPr>
          <w:color w:val="000000" w:themeColor="text1"/>
          <w:sz w:val="22"/>
          <w:szCs w:val="22"/>
          <w:lang w:val="pt-BR"/>
        </w:rPr>
        <w:t xml:space="preserve">aúde e da </w:t>
      </w:r>
      <w:r w:rsidR="0091715D" w:rsidRPr="00913ACD">
        <w:rPr>
          <w:color w:val="000000" w:themeColor="text1"/>
          <w:sz w:val="22"/>
          <w:szCs w:val="22"/>
          <w:lang w:val="pt-BR"/>
        </w:rPr>
        <w:t>e</w:t>
      </w:r>
      <w:r w:rsidRPr="00913ACD">
        <w:rPr>
          <w:color w:val="000000" w:themeColor="text1"/>
          <w:sz w:val="22"/>
          <w:szCs w:val="22"/>
          <w:lang w:val="pt-BR"/>
        </w:rPr>
        <w:t xml:space="preserve">ducação. O trabalho conjunto continuou por meio de parceria com a Organização Pan-Americana da Saúde com o lançamento do </w:t>
      </w:r>
      <w:r w:rsidR="007800A2" w:rsidRPr="00913ACD">
        <w:rPr>
          <w:color w:val="000000" w:themeColor="text1"/>
          <w:sz w:val="22"/>
          <w:szCs w:val="22"/>
          <w:lang w:val="pt-BR"/>
        </w:rPr>
        <w:t>“</w:t>
      </w:r>
      <w:r w:rsidR="00141240" w:rsidRPr="00913ACD">
        <w:rPr>
          <w:b/>
          <w:bCs/>
          <w:color w:val="000000" w:themeColor="text1"/>
          <w:sz w:val="22"/>
          <w:szCs w:val="22"/>
          <w:lang w:val="pt-BR"/>
        </w:rPr>
        <w:t xml:space="preserve">Programa Interamericano sobre </w:t>
      </w:r>
      <w:r w:rsidR="00E370BC" w:rsidRPr="00913ACD">
        <w:rPr>
          <w:b/>
          <w:bCs/>
          <w:color w:val="000000" w:themeColor="text1"/>
          <w:sz w:val="22"/>
          <w:szCs w:val="22"/>
          <w:lang w:val="pt-BR"/>
        </w:rPr>
        <w:t>A</w:t>
      </w:r>
      <w:r w:rsidR="00141240" w:rsidRPr="00913ACD">
        <w:rPr>
          <w:b/>
          <w:bCs/>
          <w:color w:val="000000" w:themeColor="text1"/>
          <w:sz w:val="22"/>
          <w:szCs w:val="22"/>
          <w:lang w:val="pt-BR"/>
        </w:rPr>
        <w:t xml:space="preserve">limentação </w:t>
      </w:r>
      <w:r w:rsidR="00E370BC" w:rsidRPr="00913ACD">
        <w:rPr>
          <w:b/>
          <w:bCs/>
          <w:color w:val="000000" w:themeColor="text1"/>
          <w:sz w:val="22"/>
          <w:szCs w:val="22"/>
          <w:lang w:val="pt-BR"/>
        </w:rPr>
        <w:t>S</w:t>
      </w:r>
      <w:r w:rsidR="00141240" w:rsidRPr="00913ACD">
        <w:rPr>
          <w:b/>
          <w:bCs/>
          <w:color w:val="000000" w:themeColor="text1"/>
          <w:sz w:val="22"/>
          <w:szCs w:val="22"/>
          <w:lang w:val="pt-BR"/>
        </w:rPr>
        <w:t xml:space="preserve">audável e </w:t>
      </w:r>
      <w:r w:rsidR="00E370BC" w:rsidRPr="00913ACD">
        <w:rPr>
          <w:b/>
          <w:bCs/>
          <w:color w:val="000000" w:themeColor="text1"/>
          <w:sz w:val="22"/>
          <w:szCs w:val="22"/>
          <w:lang w:val="pt-BR"/>
        </w:rPr>
        <w:t>P</w:t>
      </w:r>
      <w:r w:rsidR="00141240" w:rsidRPr="00913ACD">
        <w:rPr>
          <w:b/>
          <w:bCs/>
          <w:color w:val="000000" w:themeColor="text1"/>
          <w:sz w:val="22"/>
          <w:szCs w:val="22"/>
          <w:lang w:val="pt-BR"/>
        </w:rPr>
        <w:t xml:space="preserve">olíticas de </w:t>
      </w:r>
      <w:r w:rsidR="00E370BC" w:rsidRPr="00913ACD">
        <w:rPr>
          <w:b/>
          <w:bCs/>
          <w:color w:val="000000" w:themeColor="text1"/>
          <w:sz w:val="22"/>
          <w:szCs w:val="22"/>
          <w:lang w:val="pt-BR"/>
        </w:rPr>
        <w:t>A</w:t>
      </w:r>
      <w:r w:rsidR="00141240" w:rsidRPr="00913ACD">
        <w:rPr>
          <w:b/>
          <w:bCs/>
          <w:color w:val="000000" w:themeColor="text1"/>
          <w:sz w:val="22"/>
          <w:szCs w:val="22"/>
          <w:lang w:val="pt-BR"/>
        </w:rPr>
        <w:t xml:space="preserve">tividade </w:t>
      </w:r>
      <w:r w:rsidR="00E370BC" w:rsidRPr="00913ACD">
        <w:rPr>
          <w:b/>
          <w:bCs/>
          <w:color w:val="000000" w:themeColor="text1"/>
          <w:sz w:val="22"/>
          <w:szCs w:val="22"/>
          <w:lang w:val="pt-BR"/>
        </w:rPr>
        <w:t>F</w:t>
      </w:r>
      <w:r w:rsidR="00141240" w:rsidRPr="00913ACD">
        <w:rPr>
          <w:b/>
          <w:bCs/>
          <w:color w:val="000000" w:themeColor="text1"/>
          <w:sz w:val="22"/>
          <w:szCs w:val="22"/>
          <w:lang w:val="pt-BR"/>
        </w:rPr>
        <w:t xml:space="preserve">ísica em </w:t>
      </w:r>
      <w:r w:rsidR="00A860B9" w:rsidRPr="00913ACD">
        <w:rPr>
          <w:b/>
          <w:bCs/>
          <w:color w:val="000000" w:themeColor="text1"/>
          <w:sz w:val="22"/>
          <w:szCs w:val="22"/>
          <w:lang w:val="pt-BR"/>
        </w:rPr>
        <w:t>A</w:t>
      </w:r>
      <w:r w:rsidR="00141240" w:rsidRPr="00913ACD">
        <w:rPr>
          <w:b/>
          <w:bCs/>
          <w:color w:val="000000" w:themeColor="text1"/>
          <w:sz w:val="22"/>
          <w:szCs w:val="22"/>
          <w:lang w:val="pt-BR"/>
        </w:rPr>
        <w:t xml:space="preserve">mbientes </w:t>
      </w:r>
      <w:r w:rsidR="00A860B9" w:rsidRPr="00913ACD">
        <w:rPr>
          <w:b/>
          <w:bCs/>
          <w:color w:val="000000" w:themeColor="text1"/>
          <w:sz w:val="22"/>
          <w:szCs w:val="22"/>
          <w:lang w:val="pt-BR"/>
        </w:rPr>
        <w:t>E</w:t>
      </w:r>
      <w:r w:rsidR="00141240" w:rsidRPr="00913ACD">
        <w:rPr>
          <w:b/>
          <w:bCs/>
          <w:color w:val="000000" w:themeColor="text1"/>
          <w:sz w:val="22"/>
          <w:szCs w:val="22"/>
          <w:lang w:val="pt-BR"/>
        </w:rPr>
        <w:t>scolares</w:t>
      </w:r>
      <w:r w:rsidR="007800A2" w:rsidRPr="00913ACD">
        <w:rPr>
          <w:b/>
          <w:bCs/>
          <w:color w:val="000000" w:themeColor="text1"/>
          <w:sz w:val="22"/>
          <w:szCs w:val="22"/>
          <w:lang w:val="pt-BR"/>
        </w:rPr>
        <w:t>”</w:t>
      </w:r>
      <w:r w:rsidR="00141240" w:rsidRPr="00913ACD">
        <w:rPr>
          <w:color w:val="000000" w:themeColor="text1"/>
          <w:sz w:val="22"/>
          <w:szCs w:val="22"/>
          <w:lang w:val="pt-BR"/>
        </w:rPr>
        <w:t xml:space="preserve"> em 12 de outubro. Este </w:t>
      </w:r>
      <w:r w:rsidR="00A860B9" w:rsidRPr="00913ACD">
        <w:rPr>
          <w:color w:val="000000" w:themeColor="text1"/>
          <w:sz w:val="22"/>
          <w:szCs w:val="22"/>
          <w:lang w:val="pt-BR"/>
        </w:rPr>
        <w:t>p</w:t>
      </w:r>
      <w:r w:rsidR="00141240" w:rsidRPr="00913ACD">
        <w:rPr>
          <w:color w:val="000000" w:themeColor="text1"/>
          <w:sz w:val="22"/>
          <w:szCs w:val="22"/>
          <w:lang w:val="pt-BR"/>
        </w:rPr>
        <w:t>rograma é</w:t>
      </w:r>
      <w:r w:rsidR="00A860B9" w:rsidRPr="00913ACD">
        <w:rPr>
          <w:color w:val="000000" w:themeColor="text1"/>
          <w:sz w:val="22"/>
          <w:szCs w:val="22"/>
          <w:lang w:val="pt-BR"/>
        </w:rPr>
        <w:t xml:space="preserve"> </w:t>
      </w:r>
      <w:r w:rsidR="00141240" w:rsidRPr="00913ACD">
        <w:rPr>
          <w:color w:val="000000" w:themeColor="text1"/>
          <w:sz w:val="22"/>
          <w:szCs w:val="22"/>
          <w:lang w:val="pt-BR"/>
        </w:rPr>
        <w:t xml:space="preserve">produto do trabalho realizado no âmbito do </w:t>
      </w:r>
      <w:r w:rsidR="00D47030" w:rsidRPr="00913ACD">
        <w:rPr>
          <w:color w:val="000000" w:themeColor="text1"/>
          <w:sz w:val="22"/>
          <w:szCs w:val="22"/>
          <w:lang w:val="pt-BR"/>
        </w:rPr>
        <w:t>P</w:t>
      </w:r>
      <w:r w:rsidR="00141240" w:rsidRPr="00913ACD">
        <w:rPr>
          <w:color w:val="000000" w:themeColor="text1"/>
          <w:sz w:val="22"/>
          <w:szCs w:val="22"/>
          <w:lang w:val="pt-BR"/>
        </w:rPr>
        <w:t xml:space="preserve">rojeto 4 do Plano de Trabalho </w:t>
      </w:r>
      <w:r w:rsidR="004E489F" w:rsidRPr="00913ACD">
        <w:rPr>
          <w:color w:val="000000" w:themeColor="text1"/>
          <w:sz w:val="22"/>
          <w:szCs w:val="22"/>
          <w:lang w:val="pt-BR"/>
        </w:rPr>
        <w:t>da CIE</w:t>
      </w:r>
      <w:r w:rsidR="00141240" w:rsidRPr="00913ACD">
        <w:rPr>
          <w:color w:val="000000" w:themeColor="text1"/>
          <w:sz w:val="22"/>
          <w:szCs w:val="22"/>
          <w:lang w:val="pt-BR"/>
        </w:rPr>
        <w:t>, concretizando a sistematização de experiências de políticas e programas públicos em sua concepção.</w:t>
      </w:r>
    </w:p>
    <w:p w14:paraId="11F43CD8" w14:textId="77777777" w:rsidR="00996DC7" w:rsidRPr="00913ACD" w:rsidRDefault="00996DC7" w:rsidP="00CB030B">
      <w:pPr>
        <w:pStyle w:val="ListParagraph"/>
        <w:ind w:left="1440" w:hanging="720"/>
        <w:jc w:val="both"/>
        <w:rPr>
          <w:color w:val="000000" w:themeColor="text1"/>
          <w:sz w:val="22"/>
          <w:szCs w:val="22"/>
          <w:lang w:val="pt-BR"/>
        </w:rPr>
      </w:pPr>
    </w:p>
    <w:p w14:paraId="4B9BED45" w14:textId="55BD10AF" w:rsidR="00141240" w:rsidRPr="00913ACD" w:rsidRDefault="00996DC7" w:rsidP="00CB030B">
      <w:pPr>
        <w:numPr>
          <w:ilvl w:val="0"/>
          <w:numId w:val="23"/>
        </w:numPr>
        <w:ind w:left="1440" w:hanging="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Concluiu a sistematização dos diálogos sobre políticas públicas, compilando contribuições dos países sobre lições aprendidas, desafios enfrentados e experiências locais sobre questões de grande </w:t>
      </w:r>
      <w:r w:rsidR="001F4F82" w:rsidRPr="00913ACD">
        <w:rPr>
          <w:rFonts w:ascii="Times New Roman" w:hAnsi="Times New Roman" w:cs="Times New Roman"/>
          <w:color w:val="000000" w:themeColor="text1"/>
          <w:sz w:val="22"/>
          <w:szCs w:val="22"/>
          <w:lang w:val="pt-BR"/>
        </w:rPr>
        <w:t xml:space="preserve">importância </w:t>
      </w:r>
      <w:r w:rsidRPr="00913ACD">
        <w:rPr>
          <w:rFonts w:ascii="Times New Roman" w:hAnsi="Times New Roman" w:cs="Times New Roman"/>
          <w:color w:val="000000" w:themeColor="text1"/>
          <w:sz w:val="22"/>
          <w:szCs w:val="22"/>
          <w:lang w:val="pt-BR"/>
        </w:rPr>
        <w:t>para a região. Es</w:t>
      </w:r>
      <w:r w:rsidR="001F4F82" w:rsidRPr="00913ACD">
        <w:rPr>
          <w:rFonts w:ascii="Times New Roman" w:hAnsi="Times New Roman" w:cs="Times New Roman"/>
          <w:color w:val="000000" w:themeColor="text1"/>
          <w:sz w:val="22"/>
          <w:szCs w:val="22"/>
          <w:lang w:val="pt-BR"/>
        </w:rPr>
        <w:t>s</w:t>
      </w:r>
      <w:r w:rsidRPr="00913ACD">
        <w:rPr>
          <w:rFonts w:ascii="Times New Roman" w:hAnsi="Times New Roman" w:cs="Times New Roman"/>
          <w:color w:val="000000" w:themeColor="text1"/>
          <w:sz w:val="22"/>
          <w:szCs w:val="22"/>
          <w:lang w:val="pt-BR"/>
        </w:rPr>
        <w:t>es documentos foram validados pelas autoridades e funcionários dos países participantes nos respectivos diálogos.</w:t>
      </w:r>
    </w:p>
    <w:p w14:paraId="3435E307" w14:textId="77777777" w:rsidR="00141240" w:rsidRPr="00913ACD" w:rsidRDefault="00141240" w:rsidP="00CB030B">
      <w:pPr>
        <w:jc w:val="both"/>
        <w:rPr>
          <w:rFonts w:ascii="Times New Roman" w:hAnsi="Times New Roman" w:cs="Times New Roman"/>
          <w:color w:val="000000" w:themeColor="text1"/>
          <w:sz w:val="22"/>
          <w:szCs w:val="22"/>
          <w:lang w:val="pt-BR"/>
        </w:rPr>
      </w:pPr>
    </w:p>
    <w:p w14:paraId="52C79D42" w14:textId="08FD1BB3" w:rsidR="00AE5375" w:rsidRPr="00913ACD" w:rsidRDefault="007427DB" w:rsidP="00CB030B">
      <w:pPr>
        <w:jc w:val="both"/>
        <w:rPr>
          <w:rFonts w:ascii="Times New Roman" w:hAnsi="Times New Roman" w:cs="Times New Roman"/>
          <w:b/>
          <w:bCs/>
          <w:sz w:val="22"/>
          <w:szCs w:val="22"/>
          <w:u w:val="single"/>
          <w:lang w:val="pt-BR"/>
        </w:rPr>
      </w:pPr>
      <w:r w:rsidRPr="00913ACD">
        <w:rPr>
          <w:rFonts w:ascii="Times New Roman" w:hAnsi="Times New Roman" w:cs="Times New Roman"/>
          <w:b/>
          <w:sz w:val="22"/>
          <w:szCs w:val="22"/>
          <w:u w:val="single"/>
          <w:lang w:val="pt-BR"/>
        </w:rPr>
        <w:t>OBJETIVO</w:t>
      </w:r>
      <w:r w:rsidR="00141240" w:rsidRPr="00913ACD">
        <w:rPr>
          <w:rFonts w:ascii="Times New Roman" w:hAnsi="Times New Roman" w:cs="Times New Roman"/>
          <w:b/>
          <w:sz w:val="22"/>
          <w:szCs w:val="22"/>
          <w:u w:val="single"/>
          <w:lang w:val="pt-BR"/>
        </w:rPr>
        <w:t xml:space="preserve"> 3.2</w:t>
      </w:r>
    </w:p>
    <w:p w14:paraId="31512021" w14:textId="77777777" w:rsidR="00135759" w:rsidRPr="00913ACD" w:rsidRDefault="00135759" w:rsidP="00CB030B">
      <w:pPr>
        <w:jc w:val="both"/>
        <w:rPr>
          <w:rFonts w:ascii="Times New Roman" w:hAnsi="Times New Roman" w:cs="Times New Roman"/>
          <w:b/>
          <w:bCs/>
          <w:color w:val="000000" w:themeColor="text1"/>
          <w:sz w:val="22"/>
          <w:szCs w:val="22"/>
          <w:lang w:val="pt-BR"/>
        </w:rPr>
      </w:pPr>
    </w:p>
    <w:p w14:paraId="125361CE" w14:textId="0722CA9D" w:rsidR="00141240" w:rsidRPr="00913ACD" w:rsidRDefault="00327121" w:rsidP="00CB030B">
      <w:pPr>
        <w:ind w:firstLine="720"/>
        <w:jc w:val="both"/>
        <w:rPr>
          <w:rFonts w:ascii="Times New Roman" w:hAnsi="Times New Roman" w:cs="Times New Roman"/>
          <w:color w:val="000000" w:themeColor="text1"/>
          <w:sz w:val="22"/>
          <w:szCs w:val="22"/>
          <w:lang w:val="pt-BR"/>
        </w:rPr>
      </w:pPr>
      <w:r w:rsidRPr="00913ACD">
        <w:rPr>
          <w:rFonts w:ascii="Times New Roman" w:eastAsia="Calibri" w:hAnsi="Times New Roman" w:cs="Times New Roman"/>
          <w:iCs/>
          <w:color w:val="000000" w:themeColor="text1"/>
          <w:sz w:val="22"/>
          <w:szCs w:val="22"/>
          <w:lang w:val="pt-BR"/>
        </w:rPr>
        <w:t>Fortalecer a profissão docente nos Estados membros, mediante a criação de maiores oportunidades de formação</w:t>
      </w:r>
      <w:r w:rsidR="00141240" w:rsidRPr="00913ACD">
        <w:rPr>
          <w:rFonts w:ascii="Times New Roman" w:hAnsi="Times New Roman" w:cs="Times New Roman"/>
          <w:color w:val="000000" w:themeColor="text1"/>
          <w:sz w:val="22"/>
          <w:szCs w:val="22"/>
          <w:lang w:val="pt-BR"/>
        </w:rPr>
        <w:t>.</w:t>
      </w:r>
    </w:p>
    <w:p w14:paraId="23DBE2A5" w14:textId="7470A592" w:rsidR="00141240" w:rsidRDefault="00141240" w:rsidP="00CB030B">
      <w:pPr>
        <w:jc w:val="both"/>
        <w:rPr>
          <w:rFonts w:ascii="Times New Roman" w:eastAsia="Calibri" w:hAnsi="Times New Roman" w:cs="Times New Roman"/>
          <w:b/>
          <w:bCs/>
          <w:iCs/>
          <w:color w:val="000000" w:themeColor="text1"/>
          <w:sz w:val="22"/>
          <w:szCs w:val="22"/>
          <w:lang w:val="pt-BR"/>
        </w:rPr>
      </w:pPr>
    </w:p>
    <w:p w14:paraId="208CD384" w14:textId="77777777" w:rsidR="007A6E7B" w:rsidRPr="00913ACD" w:rsidRDefault="007A6E7B" w:rsidP="00CB030B">
      <w:pPr>
        <w:jc w:val="both"/>
        <w:rPr>
          <w:rFonts w:ascii="Times New Roman" w:eastAsia="Calibri" w:hAnsi="Times New Roman" w:cs="Times New Roman"/>
          <w:b/>
          <w:bCs/>
          <w:iCs/>
          <w:color w:val="000000" w:themeColor="text1"/>
          <w:sz w:val="22"/>
          <w:szCs w:val="22"/>
          <w:lang w:val="pt-BR"/>
        </w:rPr>
      </w:pPr>
    </w:p>
    <w:p w14:paraId="4592A05E" w14:textId="77777777" w:rsidR="00141240" w:rsidRPr="00913ACD" w:rsidRDefault="00141240" w:rsidP="00CB030B">
      <w:pPr>
        <w:ind w:firstLine="720"/>
        <w:jc w:val="both"/>
        <w:rPr>
          <w:rFonts w:ascii="Times New Roman" w:eastAsia="Calibri"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 xml:space="preserve">Rede Interamericana de </w:t>
      </w:r>
      <w:r w:rsidR="002E5318" w:rsidRPr="00913ACD">
        <w:rPr>
          <w:rFonts w:ascii="Times New Roman" w:hAnsi="Times New Roman" w:cs="Times New Roman"/>
          <w:b/>
          <w:color w:val="000000" w:themeColor="text1"/>
          <w:sz w:val="22"/>
          <w:szCs w:val="22"/>
          <w:lang w:val="pt-BR"/>
        </w:rPr>
        <w:t xml:space="preserve">Educação Docente </w:t>
      </w:r>
      <w:r w:rsidRPr="00913ACD">
        <w:rPr>
          <w:rFonts w:ascii="Times New Roman" w:hAnsi="Times New Roman" w:cs="Times New Roman"/>
          <w:b/>
          <w:color w:val="000000" w:themeColor="text1"/>
          <w:sz w:val="22"/>
          <w:szCs w:val="22"/>
          <w:lang w:val="pt-BR"/>
        </w:rPr>
        <w:t>(</w:t>
      </w:r>
      <w:r w:rsidR="004F5F14" w:rsidRPr="00913ACD">
        <w:rPr>
          <w:rFonts w:ascii="Times New Roman" w:hAnsi="Times New Roman" w:cs="Times New Roman"/>
          <w:b/>
          <w:color w:val="000000" w:themeColor="text1"/>
          <w:sz w:val="22"/>
          <w:szCs w:val="22"/>
          <w:lang w:val="pt-BR"/>
        </w:rPr>
        <w:t>RIED</w:t>
      </w:r>
      <w:r w:rsidRPr="00913ACD">
        <w:rPr>
          <w:rFonts w:ascii="Times New Roman" w:hAnsi="Times New Roman" w:cs="Times New Roman"/>
          <w:b/>
          <w:color w:val="000000" w:themeColor="text1"/>
          <w:sz w:val="22"/>
          <w:szCs w:val="22"/>
          <w:lang w:val="pt-BR"/>
        </w:rPr>
        <w:t>)</w:t>
      </w:r>
    </w:p>
    <w:p w14:paraId="402877B2" w14:textId="77777777" w:rsidR="00AE5375" w:rsidRPr="00913ACD" w:rsidRDefault="00AE5375" w:rsidP="00CB030B">
      <w:pPr>
        <w:jc w:val="both"/>
        <w:rPr>
          <w:rFonts w:ascii="Times New Roman" w:hAnsi="Times New Roman" w:cs="Times New Roman"/>
          <w:color w:val="000000" w:themeColor="text1"/>
          <w:sz w:val="22"/>
          <w:szCs w:val="22"/>
          <w:lang w:val="pt-BR"/>
        </w:rPr>
      </w:pPr>
      <w:bookmarkStart w:id="5" w:name="_Hlk94633910"/>
    </w:p>
    <w:p w14:paraId="251F1A7B" w14:textId="0FBCFC02" w:rsidR="00141240" w:rsidRPr="00913ACD" w:rsidRDefault="00141240" w:rsidP="00CB030B">
      <w:pPr>
        <w:pStyle w:val="ListParagraph"/>
        <w:numPr>
          <w:ilvl w:val="0"/>
          <w:numId w:val="25"/>
        </w:numPr>
        <w:ind w:left="1440" w:hanging="720"/>
        <w:jc w:val="both"/>
        <w:rPr>
          <w:color w:val="000000" w:themeColor="text1"/>
          <w:sz w:val="22"/>
          <w:szCs w:val="22"/>
          <w:lang w:val="pt-BR"/>
        </w:rPr>
      </w:pPr>
      <w:r w:rsidRPr="00913ACD">
        <w:rPr>
          <w:color w:val="000000" w:themeColor="text1"/>
          <w:sz w:val="22"/>
          <w:szCs w:val="22"/>
          <w:lang w:val="pt-BR"/>
        </w:rPr>
        <w:t>Melhorou a capacidade de 65 instituições de formação de professores em 26</w:t>
      </w:r>
      <w:r w:rsidR="00C51D8E" w:rsidRPr="00913ACD">
        <w:rPr>
          <w:color w:val="000000" w:themeColor="text1"/>
          <w:sz w:val="22"/>
          <w:szCs w:val="22"/>
          <w:lang w:val="pt-BR"/>
        </w:rPr>
        <w:t xml:space="preserve"> </w:t>
      </w:r>
      <w:r w:rsidR="004D2917" w:rsidRPr="00913ACD">
        <w:rPr>
          <w:color w:val="000000" w:themeColor="text1"/>
          <w:sz w:val="22"/>
          <w:szCs w:val="22"/>
          <w:lang w:val="pt-BR"/>
        </w:rPr>
        <w:t>Estados membros</w:t>
      </w:r>
      <w:r w:rsidRPr="00913ACD">
        <w:rPr>
          <w:color w:val="000000" w:themeColor="text1"/>
          <w:sz w:val="22"/>
          <w:szCs w:val="22"/>
          <w:lang w:val="pt-BR"/>
        </w:rPr>
        <w:t xml:space="preserve"> da OEA para fornecer formação de professores </w:t>
      </w:r>
      <w:r w:rsidR="006F67D3" w:rsidRPr="00913ACD">
        <w:rPr>
          <w:color w:val="000000" w:themeColor="text1"/>
          <w:sz w:val="22"/>
          <w:szCs w:val="22"/>
          <w:lang w:val="pt-BR"/>
        </w:rPr>
        <w:t>em</w:t>
      </w:r>
      <w:r w:rsidR="00A2672A" w:rsidRPr="00913ACD">
        <w:rPr>
          <w:color w:val="000000" w:themeColor="text1"/>
          <w:sz w:val="22"/>
          <w:szCs w:val="22"/>
          <w:lang w:val="pt-BR"/>
        </w:rPr>
        <w:t xml:space="preserve"> ciência, tecnologia, engenharia e matemáticas</w:t>
      </w:r>
      <w:r w:rsidR="006F67D3" w:rsidRPr="00913ACD">
        <w:rPr>
          <w:color w:val="000000" w:themeColor="text1"/>
          <w:sz w:val="22"/>
          <w:szCs w:val="22"/>
          <w:lang w:val="pt-BR"/>
        </w:rPr>
        <w:t xml:space="preserve"> </w:t>
      </w:r>
      <w:r w:rsidR="0045318F" w:rsidRPr="00913ACD">
        <w:rPr>
          <w:color w:val="000000" w:themeColor="text1"/>
          <w:sz w:val="22"/>
          <w:szCs w:val="22"/>
          <w:lang w:val="pt-BR"/>
        </w:rPr>
        <w:t>(</w:t>
      </w:r>
      <w:r w:rsidRPr="00913ACD">
        <w:rPr>
          <w:color w:val="000000" w:themeColor="text1"/>
          <w:sz w:val="22"/>
          <w:szCs w:val="22"/>
          <w:lang w:val="pt-BR"/>
        </w:rPr>
        <w:t>STEM</w:t>
      </w:r>
      <w:r w:rsidR="0045318F" w:rsidRPr="00913ACD">
        <w:rPr>
          <w:color w:val="000000" w:themeColor="text1"/>
          <w:sz w:val="22"/>
          <w:szCs w:val="22"/>
          <w:lang w:val="pt-BR"/>
        </w:rPr>
        <w:t>)</w:t>
      </w:r>
      <w:r w:rsidRPr="00913ACD">
        <w:rPr>
          <w:color w:val="000000" w:themeColor="text1"/>
          <w:sz w:val="22"/>
          <w:szCs w:val="22"/>
          <w:lang w:val="pt-BR"/>
        </w:rPr>
        <w:t xml:space="preserve"> de qualidade</w:t>
      </w:r>
      <w:r w:rsidR="0045318F" w:rsidRPr="00913ACD">
        <w:rPr>
          <w:color w:val="000000" w:themeColor="text1"/>
          <w:sz w:val="22"/>
          <w:szCs w:val="22"/>
          <w:lang w:val="pt-BR"/>
        </w:rPr>
        <w:t>,</w:t>
      </w:r>
      <w:r w:rsidRPr="00913ACD">
        <w:rPr>
          <w:color w:val="000000" w:themeColor="text1"/>
          <w:sz w:val="22"/>
          <w:szCs w:val="22"/>
          <w:lang w:val="pt-BR"/>
        </w:rPr>
        <w:t xml:space="preserve"> </w:t>
      </w:r>
      <w:r w:rsidR="0045318F" w:rsidRPr="00913ACD">
        <w:rPr>
          <w:color w:val="000000" w:themeColor="text1"/>
          <w:sz w:val="22"/>
          <w:szCs w:val="22"/>
          <w:lang w:val="pt-BR"/>
        </w:rPr>
        <w:t xml:space="preserve">mediante </w:t>
      </w:r>
      <w:r w:rsidRPr="00913ACD">
        <w:rPr>
          <w:color w:val="000000" w:themeColor="text1"/>
          <w:sz w:val="22"/>
          <w:szCs w:val="22"/>
          <w:lang w:val="pt-BR"/>
        </w:rPr>
        <w:t>colaboraç</w:t>
      </w:r>
      <w:r w:rsidR="00E34199" w:rsidRPr="00913ACD">
        <w:rPr>
          <w:color w:val="000000" w:themeColor="text1"/>
          <w:sz w:val="22"/>
          <w:szCs w:val="22"/>
          <w:lang w:val="pt-BR"/>
        </w:rPr>
        <w:t>ões</w:t>
      </w:r>
      <w:r w:rsidRPr="00913ACD">
        <w:rPr>
          <w:color w:val="000000" w:themeColor="text1"/>
          <w:sz w:val="22"/>
          <w:szCs w:val="22"/>
          <w:lang w:val="pt-BR"/>
        </w:rPr>
        <w:t xml:space="preserve"> multilatera</w:t>
      </w:r>
      <w:r w:rsidR="00E34199" w:rsidRPr="00913ACD">
        <w:rPr>
          <w:color w:val="000000" w:themeColor="text1"/>
          <w:sz w:val="22"/>
          <w:szCs w:val="22"/>
          <w:lang w:val="pt-BR"/>
        </w:rPr>
        <w:t>is</w:t>
      </w:r>
      <w:r w:rsidRPr="00913ACD">
        <w:rPr>
          <w:color w:val="000000" w:themeColor="text1"/>
          <w:sz w:val="22"/>
          <w:szCs w:val="22"/>
          <w:lang w:val="pt-BR"/>
        </w:rPr>
        <w:t xml:space="preserve"> na forma de </w:t>
      </w:r>
      <w:r w:rsidR="00860838" w:rsidRPr="00913ACD">
        <w:rPr>
          <w:color w:val="000000" w:themeColor="text1"/>
          <w:sz w:val="22"/>
          <w:szCs w:val="22"/>
          <w:lang w:val="pt-BR"/>
        </w:rPr>
        <w:t>e</w:t>
      </w:r>
      <w:r w:rsidRPr="00913ACD">
        <w:rPr>
          <w:color w:val="000000" w:themeColor="text1"/>
          <w:sz w:val="22"/>
          <w:szCs w:val="22"/>
          <w:lang w:val="pt-BR"/>
        </w:rPr>
        <w:t xml:space="preserve">quipes de </w:t>
      </w:r>
      <w:r w:rsidR="00860838" w:rsidRPr="00913ACD">
        <w:rPr>
          <w:color w:val="000000" w:themeColor="text1"/>
          <w:sz w:val="22"/>
          <w:szCs w:val="22"/>
          <w:lang w:val="pt-BR"/>
        </w:rPr>
        <w:t>p</w:t>
      </w:r>
      <w:r w:rsidRPr="00913ACD">
        <w:rPr>
          <w:color w:val="000000" w:themeColor="text1"/>
          <w:sz w:val="22"/>
          <w:szCs w:val="22"/>
          <w:lang w:val="pt-BR"/>
        </w:rPr>
        <w:t>rojeto. Dessas instituições, 40 receberam financiamento inicial no valor de quase US$ 500</w:t>
      </w:r>
      <w:r w:rsidR="00943CC6">
        <w:rPr>
          <w:color w:val="000000" w:themeColor="text1"/>
          <w:sz w:val="22"/>
          <w:szCs w:val="22"/>
          <w:lang w:val="pt-BR"/>
        </w:rPr>
        <w:t xml:space="preserve"> mil </w:t>
      </w:r>
      <w:r w:rsidR="00147773">
        <w:rPr>
          <w:color w:val="000000" w:themeColor="text1"/>
          <w:sz w:val="22"/>
          <w:szCs w:val="22"/>
          <w:lang w:val="pt-BR"/>
        </w:rPr>
        <w:t xml:space="preserve">em </w:t>
      </w:r>
      <w:r w:rsidR="00407983" w:rsidRPr="00913ACD">
        <w:rPr>
          <w:color w:val="000000" w:themeColor="text1"/>
          <w:sz w:val="22"/>
          <w:szCs w:val="22"/>
          <w:lang w:val="pt-BR"/>
        </w:rPr>
        <w:t xml:space="preserve">doações </w:t>
      </w:r>
      <w:r w:rsidRPr="00913ACD">
        <w:rPr>
          <w:color w:val="000000" w:themeColor="text1"/>
          <w:sz w:val="22"/>
          <w:szCs w:val="22"/>
          <w:lang w:val="pt-BR"/>
        </w:rPr>
        <w:t>financeir</w:t>
      </w:r>
      <w:r w:rsidR="00407983" w:rsidRPr="00913ACD">
        <w:rPr>
          <w:color w:val="000000" w:themeColor="text1"/>
          <w:sz w:val="22"/>
          <w:szCs w:val="22"/>
          <w:lang w:val="pt-BR"/>
        </w:rPr>
        <w:t>a</w:t>
      </w:r>
      <w:r w:rsidRPr="00913ACD">
        <w:rPr>
          <w:color w:val="000000" w:themeColor="text1"/>
          <w:sz w:val="22"/>
          <w:szCs w:val="22"/>
          <w:lang w:val="pt-BR"/>
        </w:rPr>
        <w:t xml:space="preserve">s para </w:t>
      </w:r>
      <w:r w:rsidR="00407983" w:rsidRPr="00913ACD">
        <w:rPr>
          <w:color w:val="000000" w:themeColor="text1"/>
          <w:sz w:val="22"/>
          <w:szCs w:val="22"/>
          <w:lang w:val="pt-BR"/>
        </w:rPr>
        <w:t xml:space="preserve">a </w:t>
      </w:r>
      <w:r w:rsidRPr="00913ACD">
        <w:rPr>
          <w:color w:val="000000" w:themeColor="text1"/>
          <w:sz w:val="22"/>
          <w:szCs w:val="22"/>
          <w:lang w:val="pt-BR"/>
        </w:rPr>
        <w:t>implementa</w:t>
      </w:r>
      <w:r w:rsidR="00407983" w:rsidRPr="00913ACD">
        <w:rPr>
          <w:color w:val="000000" w:themeColor="text1"/>
          <w:sz w:val="22"/>
          <w:szCs w:val="22"/>
          <w:lang w:val="pt-BR"/>
        </w:rPr>
        <w:t>ção de</w:t>
      </w:r>
      <w:r w:rsidRPr="00913ACD">
        <w:rPr>
          <w:color w:val="000000" w:themeColor="text1"/>
          <w:sz w:val="22"/>
          <w:szCs w:val="22"/>
          <w:lang w:val="pt-BR"/>
        </w:rPr>
        <w:t xml:space="preserve"> programas inovadores de treinamento de professores</w:t>
      </w:r>
      <w:r w:rsidR="00407983" w:rsidRPr="00913ACD">
        <w:rPr>
          <w:color w:val="000000" w:themeColor="text1"/>
          <w:sz w:val="22"/>
          <w:szCs w:val="22"/>
          <w:lang w:val="pt-BR"/>
        </w:rPr>
        <w:t xml:space="preserve"> de</w:t>
      </w:r>
      <w:r w:rsidRPr="00913ACD">
        <w:rPr>
          <w:color w:val="000000" w:themeColor="text1"/>
          <w:sz w:val="22"/>
          <w:szCs w:val="22"/>
          <w:lang w:val="pt-BR"/>
        </w:rPr>
        <w:t xml:space="preserve"> STEM.</w:t>
      </w:r>
    </w:p>
    <w:p w14:paraId="35479C7A" w14:textId="77777777" w:rsidR="00141240" w:rsidRPr="00913ACD" w:rsidRDefault="00141240" w:rsidP="00CB030B">
      <w:pPr>
        <w:ind w:left="1440" w:hanging="720"/>
        <w:rPr>
          <w:rFonts w:ascii="Times New Roman" w:hAnsi="Times New Roman" w:cs="Times New Roman"/>
          <w:color w:val="000000" w:themeColor="text1"/>
          <w:sz w:val="22"/>
          <w:szCs w:val="22"/>
          <w:lang w:val="pt-BR"/>
        </w:rPr>
      </w:pPr>
    </w:p>
    <w:p w14:paraId="7519C076" w14:textId="3BB4B049" w:rsidR="00AE5375" w:rsidRPr="00913ACD" w:rsidRDefault="00AE5375" w:rsidP="00CB030B">
      <w:pPr>
        <w:numPr>
          <w:ilvl w:val="0"/>
          <w:numId w:val="23"/>
        </w:numPr>
        <w:ind w:left="1440" w:hanging="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Realizou uma série de nove </w:t>
      </w:r>
      <w:r w:rsidR="00D13E60" w:rsidRPr="00913ACD">
        <w:rPr>
          <w:rFonts w:ascii="Times New Roman" w:hAnsi="Times New Roman" w:cs="Times New Roman"/>
          <w:color w:val="000000" w:themeColor="text1"/>
          <w:sz w:val="22"/>
          <w:szCs w:val="22"/>
          <w:lang w:val="pt-BR"/>
        </w:rPr>
        <w:t>seminário</w:t>
      </w:r>
      <w:r w:rsidRPr="00913ACD">
        <w:rPr>
          <w:rFonts w:ascii="Times New Roman" w:hAnsi="Times New Roman" w:cs="Times New Roman"/>
          <w:color w:val="000000" w:themeColor="text1"/>
          <w:sz w:val="22"/>
          <w:szCs w:val="22"/>
          <w:lang w:val="pt-BR"/>
        </w:rPr>
        <w:t xml:space="preserve">s virtuais chamados </w:t>
      </w:r>
      <w:r w:rsidR="007800A2" w:rsidRPr="00913ACD">
        <w:rPr>
          <w:rFonts w:ascii="Times New Roman" w:hAnsi="Times New Roman" w:cs="Times New Roman"/>
          <w:b/>
          <w:color w:val="000000" w:themeColor="text1"/>
          <w:sz w:val="22"/>
          <w:szCs w:val="22"/>
          <w:lang w:val="pt-BR"/>
        </w:rPr>
        <w:t>“</w:t>
      </w:r>
      <w:r w:rsidR="00135759" w:rsidRPr="00913ACD">
        <w:rPr>
          <w:rFonts w:ascii="Times New Roman" w:hAnsi="Times New Roman" w:cs="Times New Roman"/>
          <w:b/>
          <w:color w:val="000000" w:themeColor="text1"/>
          <w:sz w:val="22"/>
          <w:szCs w:val="22"/>
          <w:lang w:val="pt-BR"/>
        </w:rPr>
        <w:t xml:space="preserve">Transformação </w:t>
      </w:r>
      <w:r w:rsidR="00D232DB" w:rsidRPr="00913ACD">
        <w:rPr>
          <w:rFonts w:ascii="Times New Roman" w:hAnsi="Times New Roman" w:cs="Times New Roman"/>
          <w:b/>
          <w:color w:val="000000" w:themeColor="text1"/>
          <w:sz w:val="22"/>
          <w:szCs w:val="22"/>
          <w:lang w:val="pt-BR"/>
        </w:rPr>
        <w:t>d</w:t>
      </w:r>
      <w:r w:rsidR="00135759" w:rsidRPr="00913ACD">
        <w:rPr>
          <w:rFonts w:ascii="Times New Roman" w:hAnsi="Times New Roman" w:cs="Times New Roman"/>
          <w:b/>
          <w:color w:val="000000" w:themeColor="text1"/>
          <w:sz w:val="22"/>
          <w:szCs w:val="22"/>
          <w:lang w:val="pt-BR"/>
        </w:rPr>
        <w:t xml:space="preserve">igital na </w:t>
      </w:r>
      <w:r w:rsidR="00D232DB" w:rsidRPr="00913ACD">
        <w:rPr>
          <w:rFonts w:ascii="Times New Roman" w:hAnsi="Times New Roman" w:cs="Times New Roman"/>
          <w:b/>
          <w:color w:val="000000" w:themeColor="text1"/>
          <w:sz w:val="22"/>
          <w:szCs w:val="22"/>
          <w:lang w:val="pt-BR"/>
        </w:rPr>
        <w:t>e</w:t>
      </w:r>
      <w:r w:rsidR="00135759" w:rsidRPr="00913ACD">
        <w:rPr>
          <w:rFonts w:ascii="Times New Roman" w:hAnsi="Times New Roman" w:cs="Times New Roman"/>
          <w:b/>
          <w:color w:val="000000" w:themeColor="text1"/>
          <w:sz w:val="22"/>
          <w:szCs w:val="22"/>
          <w:lang w:val="pt-BR"/>
        </w:rPr>
        <w:t xml:space="preserve">ducação: Oportunidades para o </w:t>
      </w:r>
      <w:r w:rsidR="00D232DB" w:rsidRPr="00913ACD">
        <w:rPr>
          <w:rFonts w:ascii="Times New Roman" w:hAnsi="Times New Roman" w:cs="Times New Roman"/>
          <w:b/>
          <w:color w:val="000000" w:themeColor="text1"/>
          <w:sz w:val="22"/>
          <w:szCs w:val="22"/>
          <w:lang w:val="pt-BR"/>
        </w:rPr>
        <w:t>d</w:t>
      </w:r>
      <w:r w:rsidR="00135759" w:rsidRPr="00913ACD">
        <w:rPr>
          <w:rFonts w:ascii="Times New Roman" w:hAnsi="Times New Roman" w:cs="Times New Roman"/>
          <w:b/>
          <w:color w:val="000000" w:themeColor="text1"/>
          <w:sz w:val="22"/>
          <w:szCs w:val="22"/>
          <w:lang w:val="pt-BR"/>
        </w:rPr>
        <w:t xml:space="preserve">esenvolvimento de </w:t>
      </w:r>
      <w:r w:rsidR="00D232DB" w:rsidRPr="00913ACD">
        <w:rPr>
          <w:rFonts w:ascii="Times New Roman" w:hAnsi="Times New Roman" w:cs="Times New Roman"/>
          <w:b/>
          <w:color w:val="000000" w:themeColor="text1"/>
          <w:sz w:val="22"/>
          <w:szCs w:val="22"/>
          <w:lang w:val="pt-BR"/>
        </w:rPr>
        <w:t>p</w:t>
      </w:r>
      <w:r w:rsidR="00135759" w:rsidRPr="00913ACD">
        <w:rPr>
          <w:rFonts w:ascii="Times New Roman" w:hAnsi="Times New Roman" w:cs="Times New Roman"/>
          <w:b/>
          <w:color w:val="000000" w:themeColor="text1"/>
          <w:sz w:val="22"/>
          <w:szCs w:val="22"/>
          <w:lang w:val="pt-BR"/>
        </w:rPr>
        <w:t xml:space="preserve">rofessores em </w:t>
      </w:r>
      <w:r w:rsidR="00D232DB" w:rsidRPr="00913ACD">
        <w:rPr>
          <w:rFonts w:ascii="Times New Roman" w:hAnsi="Times New Roman" w:cs="Times New Roman"/>
          <w:b/>
          <w:color w:val="000000" w:themeColor="text1"/>
          <w:sz w:val="22"/>
          <w:szCs w:val="22"/>
          <w:lang w:val="pt-BR"/>
        </w:rPr>
        <w:t>t</w:t>
      </w:r>
      <w:r w:rsidR="00135759" w:rsidRPr="00913ACD">
        <w:rPr>
          <w:rFonts w:ascii="Times New Roman" w:hAnsi="Times New Roman" w:cs="Times New Roman"/>
          <w:b/>
          <w:color w:val="000000" w:themeColor="text1"/>
          <w:sz w:val="22"/>
          <w:szCs w:val="22"/>
          <w:lang w:val="pt-BR"/>
        </w:rPr>
        <w:t xml:space="preserve">empos de </w:t>
      </w:r>
      <w:r w:rsidR="00D232DB" w:rsidRPr="00913ACD">
        <w:rPr>
          <w:rFonts w:ascii="Times New Roman" w:hAnsi="Times New Roman" w:cs="Times New Roman"/>
          <w:b/>
          <w:color w:val="000000" w:themeColor="text1"/>
          <w:sz w:val="22"/>
          <w:szCs w:val="22"/>
          <w:lang w:val="pt-BR"/>
        </w:rPr>
        <w:t>m</w:t>
      </w:r>
      <w:r w:rsidR="00135759" w:rsidRPr="00913ACD">
        <w:rPr>
          <w:rFonts w:ascii="Times New Roman" w:hAnsi="Times New Roman" w:cs="Times New Roman"/>
          <w:b/>
          <w:color w:val="000000" w:themeColor="text1"/>
          <w:sz w:val="22"/>
          <w:szCs w:val="22"/>
          <w:lang w:val="pt-BR"/>
        </w:rPr>
        <w:t>udança</w:t>
      </w:r>
      <w:r w:rsidR="007800A2" w:rsidRPr="00913ACD">
        <w:rPr>
          <w:rFonts w:ascii="Times New Roman" w:hAnsi="Times New Roman" w:cs="Times New Roman"/>
          <w:b/>
          <w:color w:val="000000" w:themeColor="text1"/>
          <w:sz w:val="22"/>
          <w:szCs w:val="22"/>
          <w:lang w:val="pt-BR"/>
        </w:rPr>
        <w:t>”</w:t>
      </w:r>
      <w:r w:rsidR="00135759" w:rsidRPr="00913ACD">
        <w:rPr>
          <w:rFonts w:ascii="Times New Roman" w:hAnsi="Times New Roman" w:cs="Times New Roman"/>
          <w:b/>
          <w:color w:val="000000" w:themeColor="text1"/>
          <w:sz w:val="22"/>
          <w:szCs w:val="22"/>
          <w:lang w:val="pt-BR"/>
        </w:rPr>
        <w:t>,</w:t>
      </w:r>
      <w:r w:rsidRPr="00913ACD">
        <w:rPr>
          <w:rFonts w:ascii="Times New Roman" w:hAnsi="Times New Roman" w:cs="Times New Roman"/>
          <w:sz w:val="22"/>
          <w:szCs w:val="22"/>
          <w:lang w:val="pt-BR"/>
        </w:rPr>
        <w:t xml:space="preserve"> com</w:t>
      </w:r>
      <w:r w:rsidR="00C51D8E" w:rsidRPr="00913ACD">
        <w:rPr>
          <w:rFonts w:ascii="Times New Roman" w:hAnsi="Times New Roman" w:cs="Times New Roman"/>
          <w:sz w:val="22"/>
          <w:szCs w:val="22"/>
          <w:lang w:val="pt-BR"/>
        </w:rPr>
        <w:t xml:space="preserve"> </w:t>
      </w:r>
      <w:r w:rsidRPr="00913ACD">
        <w:rPr>
          <w:rFonts w:ascii="Times New Roman" w:hAnsi="Times New Roman" w:cs="Times New Roman"/>
          <w:color w:val="000000" w:themeColor="text1"/>
          <w:sz w:val="22"/>
          <w:szCs w:val="22"/>
          <w:lang w:val="pt-BR"/>
        </w:rPr>
        <w:t>base em alianças com parceiros estratégicos. Ess</w:t>
      </w:r>
      <w:r w:rsidR="004E75BA" w:rsidRPr="00913ACD">
        <w:rPr>
          <w:rFonts w:ascii="Times New Roman" w:hAnsi="Times New Roman" w:cs="Times New Roman"/>
          <w:color w:val="000000" w:themeColor="text1"/>
          <w:sz w:val="22"/>
          <w:szCs w:val="22"/>
          <w:lang w:val="pt-BR"/>
        </w:rPr>
        <w:t>e</w:t>
      </w:r>
      <w:r w:rsidRPr="00913ACD">
        <w:rPr>
          <w:rFonts w:ascii="Times New Roman" w:hAnsi="Times New Roman" w:cs="Times New Roman"/>
          <w:color w:val="000000" w:themeColor="text1"/>
          <w:sz w:val="22"/>
          <w:szCs w:val="22"/>
          <w:lang w:val="pt-BR"/>
        </w:rPr>
        <w:t xml:space="preserve">s </w:t>
      </w:r>
      <w:r w:rsidR="004E75BA" w:rsidRPr="00913ACD">
        <w:rPr>
          <w:rFonts w:ascii="Times New Roman" w:hAnsi="Times New Roman" w:cs="Times New Roman"/>
          <w:color w:val="000000" w:themeColor="text1"/>
          <w:sz w:val="22"/>
          <w:szCs w:val="22"/>
          <w:lang w:val="pt-BR"/>
        </w:rPr>
        <w:t xml:space="preserve">seminários </w:t>
      </w:r>
      <w:r w:rsidRPr="00913ACD">
        <w:rPr>
          <w:rFonts w:ascii="Times New Roman" w:hAnsi="Times New Roman" w:cs="Times New Roman"/>
          <w:color w:val="000000" w:themeColor="text1"/>
          <w:sz w:val="22"/>
          <w:szCs w:val="22"/>
          <w:lang w:val="pt-BR"/>
        </w:rPr>
        <w:t>foram ministrad</w:t>
      </w:r>
      <w:r w:rsidR="004E75BA" w:rsidRPr="00913ACD">
        <w:rPr>
          <w:rFonts w:ascii="Times New Roman" w:hAnsi="Times New Roman" w:cs="Times New Roman"/>
          <w:color w:val="000000" w:themeColor="text1"/>
          <w:sz w:val="22"/>
          <w:szCs w:val="22"/>
          <w:lang w:val="pt-BR"/>
        </w:rPr>
        <w:t>o</w:t>
      </w:r>
      <w:r w:rsidRPr="00913ACD">
        <w:rPr>
          <w:rFonts w:ascii="Times New Roman" w:hAnsi="Times New Roman" w:cs="Times New Roman"/>
          <w:color w:val="000000" w:themeColor="text1"/>
          <w:sz w:val="22"/>
          <w:szCs w:val="22"/>
          <w:lang w:val="pt-BR"/>
        </w:rPr>
        <w:t xml:space="preserve">s por especialistas regionais e internacionais que </w:t>
      </w:r>
      <w:r w:rsidR="004E75BA" w:rsidRPr="00913ACD">
        <w:rPr>
          <w:rFonts w:ascii="Times New Roman" w:hAnsi="Times New Roman" w:cs="Times New Roman"/>
          <w:color w:val="000000" w:themeColor="text1"/>
          <w:sz w:val="22"/>
          <w:szCs w:val="22"/>
          <w:lang w:val="pt-BR"/>
        </w:rPr>
        <w:t xml:space="preserve">apresentaram </w:t>
      </w:r>
      <w:r w:rsidRPr="00913ACD">
        <w:rPr>
          <w:rFonts w:ascii="Times New Roman" w:hAnsi="Times New Roman" w:cs="Times New Roman"/>
          <w:color w:val="000000" w:themeColor="text1"/>
          <w:sz w:val="22"/>
          <w:szCs w:val="22"/>
          <w:lang w:val="pt-BR"/>
        </w:rPr>
        <w:t xml:space="preserve">conceitos inovadores, estratégias pedagógicas e recursos gratuitos a mais de 1.300 professores, representantes ministeriais e outros educadores de 32 Estados membros da OEA, </w:t>
      </w:r>
      <w:r w:rsidR="009911C9" w:rsidRPr="00913ACD">
        <w:rPr>
          <w:rFonts w:ascii="Times New Roman" w:hAnsi="Times New Roman" w:cs="Times New Roman"/>
          <w:color w:val="000000" w:themeColor="text1"/>
          <w:sz w:val="22"/>
          <w:szCs w:val="22"/>
          <w:lang w:val="pt-BR"/>
        </w:rPr>
        <w:t xml:space="preserve">no intuito </w:t>
      </w:r>
      <w:r w:rsidRPr="00913ACD">
        <w:rPr>
          <w:rFonts w:ascii="Times New Roman" w:hAnsi="Times New Roman" w:cs="Times New Roman"/>
          <w:color w:val="000000" w:themeColor="text1"/>
          <w:sz w:val="22"/>
          <w:szCs w:val="22"/>
          <w:lang w:val="pt-BR"/>
        </w:rPr>
        <w:t xml:space="preserve">de ajudar as partes interessadas a preparar melhor seus alunos para </w:t>
      </w:r>
      <w:r w:rsidR="000A3814">
        <w:rPr>
          <w:rFonts w:ascii="Times New Roman" w:hAnsi="Times New Roman" w:cs="Times New Roman"/>
          <w:color w:val="000000" w:themeColor="text1"/>
          <w:sz w:val="22"/>
          <w:szCs w:val="22"/>
          <w:lang w:val="pt-BR"/>
        </w:rPr>
        <w:t>a</w:t>
      </w:r>
      <w:r w:rsidRPr="00913ACD">
        <w:rPr>
          <w:rFonts w:ascii="Times New Roman" w:hAnsi="Times New Roman" w:cs="Times New Roman"/>
          <w:color w:val="000000" w:themeColor="text1"/>
          <w:sz w:val="22"/>
          <w:szCs w:val="22"/>
          <w:lang w:val="pt-BR"/>
        </w:rPr>
        <w:t xml:space="preserve"> aprendiza</w:t>
      </w:r>
      <w:r w:rsidR="000A3814">
        <w:rPr>
          <w:rFonts w:ascii="Times New Roman" w:hAnsi="Times New Roman" w:cs="Times New Roman"/>
          <w:color w:val="000000" w:themeColor="text1"/>
          <w:sz w:val="22"/>
          <w:szCs w:val="22"/>
          <w:lang w:val="pt-BR"/>
        </w:rPr>
        <w:t>gem n</w:t>
      </w:r>
      <w:r w:rsidRPr="00913ACD">
        <w:rPr>
          <w:rFonts w:ascii="Times New Roman" w:hAnsi="Times New Roman" w:cs="Times New Roman"/>
          <w:color w:val="000000" w:themeColor="text1"/>
          <w:sz w:val="22"/>
          <w:szCs w:val="22"/>
          <w:lang w:val="pt-BR"/>
        </w:rPr>
        <w:t>o século</w:t>
      </w:r>
      <w:r w:rsidRPr="00913ACD">
        <w:rPr>
          <w:rFonts w:ascii="Times New Roman" w:hAnsi="Times New Roman" w:cs="Times New Roman"/>
          <w:sz w:val="22"/>
          <w:szCs w:val="22"/>
          <w:lang w:val="pt-BR"/>
        </w:rPr>
        <w:t xml:space="preserve"> 21.</w:t>
      </w:r>
    </w:p>
    <w:p w14:paraId="2B890FEE" w14:textId="77777777" w:rsidR="00141240" w:rsidRPr="00913ACD" w:rsidRDefault="00141240" w:rsidP="00CB030B">
      <w:pPr>
        <w:ind w:left="1440" w:hanging="720"/>
        <w:jc w:val="both"/>
        <w:rPr>
          <w:rFonts w:ascii="Times New Roman" w:eastAsia="Calibri" w:hAnsi="Times New Roman" w:cs="Times New Roman"/>
          <w:color w:val="000000" w:themeColor="text1"/>
          <w:sz w:val="22"/>
          <w:szCs w:val="22"/>
          <w:lang w:val="pt-BR"/>
        </w:rPr>
      </w:pPr>
    </w:p>
    <w:p w14:paraId="3DBE2521" w14:textId="7ED47299" w:rsidR="00141240" w:rsidRPr="00913ACD" w:rsidRDefault="00AE5375" w:rsidP="00CB030B">
      <w:pPr>
        <w:numPr>
          <w:ilvl w:val="0"/>
          <w:numId w:val="23"/>
        </w:numPr>
        <w:ind w:left="1440" w:hanging="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Avaliou a programação d</w:t>
      </w:r>
      <w:r w:rsidR="00FB4AF7" w:rsidRPr="00913ACD">
        <w:rPr>
          <w:rFonts w:ascii="Times New Roman" w:hAnsi="Times New Roman" w:cs="Times New Roman"/>
          <w:color w:val="000000" w:themeColor="text1"/>
          <w:sz w:val="22"/>
          <w:szCs w:val="22"/>
          <w:lang w:val="pt-BR"/>
        </w:rPr>
        <w:t>a</w:t>
      </w:r>
      <w:r w:rsidRPr="00913ACD">
        <w:rPr>
          <w:rFonts w:ascii="Times New Roman" w:hAnsi="Times New Roman" w:cs="Times New Roman"/>
          <w:color w:val="000000" w:themeColor="text1"/>
          <w:sz w:val="22"/>
          <w:szCs w:val="22"/>
          <w:lang w:val="pt-BR"/>
        </w:rPr>
        <w:t xml:space="preserve"> </w:t>
      </w:r>
      <w:r w:rsidR="004F5F14" w:rsidRPr="00913ACD">
        <w:rPr>
          <w:rFonts w:ascii="Times New Roman" w:hAnsi="Times New Roman" w:cs="Times New Roman"/>
          <w:color w:val="000000" w:themeColor="text1"/>
          <w:sz w:val="22"/>
          <w:szCs w:val="22"/>
          <w:lang w:val="pt-BR"/>
        </w:rPr>
        <w:t>RIED</w:t>
      </w:r>
      <w:r w:rsidRPr="00913ACD">
        <w:rPr>
          <w:rFonts w:ascii="Times New Roman" w:hAnsi="Times New Roman" w:cs="Times New Roman"/>
          <w:color w:val="000000" w:themeColor="text1"/>
          <w:sz w:val="22"/>
          <w:szCs w:val="22"/>
          <w:lang w:val="pt-BR"/>
        </w:rPr>
        <w:t xml:space="preserve"> nos últimos três anos – representando os esforços de seis equipes temáticas compostas por 58 participantes </w:t>
      </w:r>
      <w:r w:rsidR="009503F3" w:rsidRPr="00913ACD">
        <w:rPr>
          <w:rFonts w:ascii="Times New Roman" w:hAnsi="Times New Roman" w:cs="Times New Roman"/>
          <w:color w:val="000000" w:themeColor="text1"/>
          <w:sz w:val="22"/>
          <w:szCs w:val="22"/>
          <w:lang w:val="pt-BR"/>
        </w:rPr>
        <w:t xml:space="preserve">de </w:t>
      </w:r>
      <w:r w:rsidR="0008053E" w:rsidRPr="00913ACD">
        <w:rPr>
          <w:rFonts w:ascii="Times New Roman" w:hAnsi="Times New Roman" w:cs="Times New Roman"/>
          <w:color w:val="000000" w:themeColor="text1"/>
          <w:sz w:val="22"/>
          <w:szCs w:val="22"/>
          <w:lang w:val="pt-BR"/>
        </w:rPr>
        <w:t>1</w:t>
      </w:r>
      <w:r w:rsidRPr="00913ACD">
        <w:rPr>
          <w:rFonts w:ascii="Times New Roman" w:hAnsi="Times New Roman" w:cs="Times New Roman"/>
          <w:color w:val="000000" w:themeColor="text1"/>
          <w:sz w:val="22"/>
          <w:szCs w:val="22"/>
          <w:lang w:val="pt-BR"/>
        </w:rPr>
        <w:t xml:space="preserve">45 instituições educacionais em </w:t>
      </w:r>
      <w:r w:rsidR="0008053E" w:rsidRPr="00913ACD">
        <w:rPr>
          <w:rFonts w:ascii="Times New Roman" w:hAnsi="Times New Roman" w:cs="Times New Roman"/>
          <w:color w:val="000000" w:themeColor="text1"/>
          <w:sz w:val="22"/>
          <w:szCs w:val="22"/>
          <w:lang w:val="pt-BR"/>
        </w:rPr>
        <w:t>20 E</w:t>
      </w:r>
      <w:r w:rsidR="005F30B1" w:rsidRPr="00913ACD">
        <w:rPr>
          <w:rFonts w:ascii="Times New Roman" w:hAnsi="Times New Roman" w:cs="Times New Roman"/>
          <w:color w:val="000000" w:themeColor="text1"/>
          <w:sz w:val="22"/>
          <w:szCs w:val="22"/>
          <w:lang w:val="pt-BR"/>
        </w:rPr>
        <w:t>stados</w:t>
      </w:r>
      <w:r w:rsidRPr="00913ACD">
        <w:rPr>
          <w:rFonts w:ascii="Times New Roman" w:hAnsi="Times New Roman" w:cs="Times New Roman"/>
          <w:sz w:val="22"/>
          <w:szCs w:val="22"/>
          <w:lang w:val="pt-BR"/>
        </w:rPr>
        <w:t xml:space="preserve"> </w:t>
      </w:r>
      <w:r w:rsidR="00C67D84" w:rsidRPr="00913ACD">
        <w:rPr>
          <w:rFonts w:ascii="Times New Roman" w:hAnsi="Times New Roman" w:cs="Times New Roman"/>
          <w:color w:val="000000" w:themeColor="text1"/>
          <w:sz w:val="22"/>
          <w:szCs w:val="22"/>
          <w:lang w:val="pt-BR"/>
        </w:rPr>
        <w:t>membros</w:t>
      </w:r>
      <w:r w:rsidRPr="00913ACD">
        <w:rPr>
          <w:rFonts w:ascii="Times New Roman" w:hAnsi="Times New Roman" w:cs="Times New Roman"/>
          <w:sz w:val="22"/>
          <w:szCs w:val="22"/>
          <w:lang w:val="pt-BR"/>
        </w:rPr>
        <w:t xml:space="preserve"> </w:t>
      </w:r>
      <w:r w:rsidRPr="00913ACD">
        <w:rPr>
          <w:rFonts w:ascii="Times New Roman" w:hAnsi="Times New Roman" w:cs="Times New Roman"/>
          <w:color w:val="000000" w:themeColor="text1"/>
          <w:sz w:val="22"/>
          <w:szCs w:val="22"/>
          <w:lang w:val="pt-BR"/>
        </w:rPr>
        <w:t xml:space="preserve">– para </w:t>
      </w:r>
      <w:r w:rsidR="0008053E" w:rsidRPr="00913ACD">
        <w:rPr>
          <w:rFonts w:ascii="Times New Roman" w:hAnsi="Times New Roman" w:cs="Times New Roman"/>
          <w:color w:val="000000" w:themeColor="text1"/>
          <w:sz w:val="22"/>
          <w:szCs w:val="22"/>
          <w:lang w:val="pt-BR"/>
        </w:rPr>
        <w:t xml:space="preserve">a </w:t>
      </w:r>
      <w:r w:rsidRPr="00913ACD">
        <w:rPr>
          <w:rFonts w:ascii="Times New Roman" w:hAnsi="Times New Roman" w:cs="Times New Roman"/>
          <w:color w:val="000000" w:themeColor="text1"/>
          <w:sz w:val="22"/>
          <w:szCs w:val="22"/>
          <w:lang w:val="pt-BR"/>
        </w:rPr>
        <w:t>produ</w:t>
      </w:r>
      <w:r w:rsidR="0008053E" w:rsidRPr="00913ACD">
        <w:rPr>
          <w:rFonts w:ascii="Times New Roman" w:hAnsi="Times New Roman" w:cs="Times New Roman"/>
          <w:color w:val="000000" w:themeColor="text1"/>
          <w:sz w:val="22"/>
          <w:szCs w:val="22"/>
          <w:lang w:val="pt-BR"/>
        </w:rPr>
        <w:t>ção de</w:t>
      </w:r>
      <w:r w:rsidRPr="00913ACD">
        <w:rPr>
          <w:rFonts w:ascii="Times New Roman" w:hAnsi="Times New Roman" w:cs="Times New Roman"/>
          <w:color w:val="000000" w:themeColor="text1"/>
          <w:sz w:val="22"/>
          <w:szCs w:val="22"/>
          <w:lang w:val="pt-BR"/>
        </w:rPr>
        <w:t xml:space="preserve"> estruturas de </w:t>
      </w:r>
      <w:r w:rsidR="00350CF2" w:rsidRPr="00913ACD">
        <w:rPr>
          <w:rFonts w:ascii="Times New Roman" w:hAnsi="Times New Roman" w:cs="Times New Roman"/>
          <w:color w:val="000000" w:themeColor="text1"/>
          <w:sz w:val="22"/>
          <w:szCs w:val="22"/>
          <w:lang w:val="pt-BR"/>
        </w:rPr>
        <w:t>boas práticas</w:t>
      </w:r>
      <w:r w:rsidRPr="00913ACD">
        <w:rPr>
          <w:rFonts w:ascii="Times New Roman" w:hAnsi="Times New Roman" w:cs="Times New Roman"/>
          <w:color w:val="000000" w:themeColor="text1"/>
          <w:sz w:val="22"/>
          <w:szCs w:val="22"/>
          <w:lang w:val="pt-BR"/>
        </w:rPr>
        <w:t xml:space="preserve"> em políticas, programas e práticas de treinamento de professores</w:t>
      </w:r>
      <w:r w:rsidR="00414D57" w:rsidRPr="00913ACD">
        <w:rPr>
          <w:rFonts w:ascii="Times New Roman" w:hAnsi="Times New Roman" w:cs="Times New Roman"/>
          <w:color w:val="000000" w:themeColor="text1"/>
          <w:sz w:val="22"/>
          <w:szCs w:val="22"/>
          <w:lang w:val="pt-BR"/>
        </w:rPr>
        <w:t xml:space="preserve"> de</w:t>
      </w:r>
      <w:r w:rsidRPr="00913ACD">
        <w:rPr>
          <w:rFonts w:ascii="Times New Roman" w:hAnsi="Times New Roman" w:cs="Times New Roman"/>
          <w:color w:val="000000" w:themeColor="text1"/>
          <w:sz w:val="22"/>
          <w:szCs w:val="22"/>
          <w:lang w:val="pt-BR"/>
        </w:rPr>
        <w:t xml:space="preserve"> STEM.</w:t>
      </w:r>
    </w:p>
    <w:p w14:paraId="65D83E5E" w14:textId="77777777" w:rsidR="00AE5375" w:rsidRPr="00913ACD" w:rsidRDefault="00AE5375" w:rsidP="00CB030B">
      <w:pPr>
        <w:ind w:left="720"/>
        <w:jc w:val="both"/>
        <w:rPr>
          <w:rFonts w:ascii="Times New Roman" w:eastAsia="Calibri" w:hAnsi="Times New Roman" w:cs="Times New Roman"/>
          <w:color w:val="000000" w:themeColor="text1"/>
          <w:sz w:val="22"/>
          <w:szCs w:val="22"/>
          <w:lang w:val="pt-BR"/>
        </w:rPr>
      </w:pPr>
    </w:p>
    <w:p w14:paraId="42A33D94" w14:textId="17AA3336" w:rsidR="00141240" w:rsidRPr="00913ACD" w:rsidRDefault="00141240" w:rsidP="00CB030B">
      <w:pPr>
        <w:numPr>
          <w:ilvl w:val="0"/>
          <w:numId w:val="23"/>
        </w:numPr>
        <w:ind w:left="1440" w:hanging="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Continu</w:t>
      </w:r>
      <w:r w:rsidR="00414D57" w:rsidRPr="00913ACD">
        <w:rPr>
          <w:rFonts w:ascii="Times New Roman" w:hAnsi="Times New Roman" w:cs="Times New Roman"/>
          <w:color w:val="000000" w:themeColor="text1"/>
          <w:sz w:val="22"/>
          <w:szCs w:val="22"/>
          <w:lang w:val="pt-BR"/>
        </w:rPr>
        <w:t>ou</w:t>
      </w:r>
      <w:r w:rsidR="002D2DC2" w:rsidRPr="00913ACD">
        <w:rPr>
          <w:rFonts w:ascii="Times New Roman" w:hAnsi="Times New Roman" w:cs="Times New Roman"/>
          <w:color w:val="000000" w:themeColor="text1"/>
          <w:sz w:val="22"/>
          <w:szCs w:val="22"/>
          <w:lang w:val="pt-BR"/>
        </w:rPr>
        <w:t xml:space="preserve"> </w:t>
      </w:r>
      <w:r w:rsidRPr="00913ACD">
        <w:rPr>
          <w:rFonts w:ascii="Times New Roman" w:hAnsi="Times New Roman" w:cs="Times New Roman"/>
          <w:color w:val="000000" w:themeColor="text1"/>
          <w:sz w:val="22"/>
          <w:szCs w:val="22"/>
          <w:lang w:val="pt-BR"/>
        </w:rPr>
        <w:t>a promover a discussão sobre práticas de ensino, políticas e disseminação do trabalho e das oportunidades de desenvolvimento profissional docente oferecidas aos 30</w:t>
      </w:r>
      <w:r w:rsidR="00DF156C">
        <w:rPr>
          <w:rFonts w:ascii="Times New Roman" w:hAnsi="Times New Roman" w:cs="Times New Roman"/>
          <w:color w:val="000000" w:themeColor="text1"/>
          <w:sz w:val="22"/>
          <w:szCs w:val="22"/>
          <w:lang w:val="pt-BR"/>
        </w:rPr>
        <w:t xml:space="preserve"> mil </w:t>
      </w:r>
      <w:r w:rsidRPr="00913ACD">
        <w:rPr>
          <w:rFonts w:ascii="Times New Roman" w:hAnsi="Times New Roman" w:cs="Times New Roman"/>
          <w:color w:val="000000" w:themeColor="text1"/>
          <w:sz w:val="22"/>
          <w:szCs w:val="22"/>
          <w:lang w:val="pt-BR"/>
        </w:rPr>
        <w:t>membros</w:t>
      </w:r>
      <w:r w:rsidR="00C51D8E" w:rsidRPr="00913ACD">
        <w:rPr>
          <w:rFonts w:ascii="Times New Roman" w:hAnsi="Times New Roman" w:cs="Times New Roman"/>
          <w:color w:val="000000" w:themeColor="text1"/>
          <w:sz w:val="22"/>
          <w:szCs w:val="22"/>
          <w:lang w:val="pt-BR"/>
        </w:rPr>
        <w:t xml:space="preserve"> </w:t>
      </w:r>
      <w:r w:rsidRPr="00913ACD">
        <w:rPr>
          <w:rFonts w:ascii="Times New Roman" w:hAnsi="Times New Roman" w:cs="Times New Roman"/>
          <w:sz w:val="22"/>
          <w:szCs w:val="22"/>
          <w:lang w:val="pt-BR"/>
        </w:rPr>
        <w:t xml:space="preserve">da </w:t>
      </w:r>
      <w:r w:rsidRPr="00913ACD">
        <w:rPr>
          <w:rFonts w:ascii="Times New Roman" w:hAnsi="Times New Roman" w:cs="Times New Roman"/>
          <w:color w:val="000000" w:themeColor="text1"/>
          <w:sz w:val="22"/>
          <w:szCs w:val="22"/>
          <w:lang w:val="pt-BR"/>
        </w:rPr>
        <w:t>Comunidade Virtual de Prática d</w:t>
      </w:r>
      <w:r w:rsidR="006867F8" w:rsidRPr="00913ACD">
        <w:rPr>
          <w:rFonts w:ascii="Times New Roman" w:hAnsi="Times New Roman" w:cs="Times New Roman"/>
          <w:color w:val="000000" w:themeColor="text1"/>
          <w:sz w:val="22"/>
          <w:szCs w:val="22"/>
          <w:lang w:val="pt-BR"/>
        </w:rPr>
        <w:t>a</w:t>
      </w:r>
      <w:r w:rsidRPr="00913ACD">
        <w:rPr>
          <w:rFonts w:ascii="Times New Roman" w:hAnsi="Times New Roman" w:cs="Times New Roman"/>
          <w:color w:val="000000" w:themeColor="text1"/>
          <w:sz w:val="22"/>
          <w:szCs w:val="22"/>
          <w:lang w:val="pt-BR"/>
        </w:rPr>
        <w:t xml:space="preserve"> </w:t>
      </w:r>
      <w:r w:rsidR="004F5F14" w:rsidRPr="00913ACD">
        <w:rPr>
          <w:rFonts w:ascii="Times New Roman" w:hAnsi="Times New Roman" w:cs="Times New Roman"/>
          <w:color w:val="000000" w:themeColor="text1"/>
          <w:sz w:val="22"/>
          <w:szCs w:val="22"/>
          <w:lang w:val="pt-BR"/>
        </w:rPr>
        <w:t>RIED</w:t>
      </w:r>
      <w:r w:rsidRPr="00913ACD">
        <w:rPr>
          <w:rFonts w:ascii="Times New Roman" w:hAnsi="Times New Roman" w:cs="Times New Roman"/>
          <w:color w:val="000000" w:themeColor="text1"/>
          <w:sz w:val="22"/>
          <w:szCs w:val="22"/>
          <w:lang w:val="pt-BR"/>
        </w:rPr>
        <w:t xml:space="preserve"> nos 34</w:t>
      </w:r>
      <w:r w:rsidR="00C51D8E" w:rsidRPr="00913ACD">
        <w:rPr>
          <w:rFonts w:ascii="Times New Roman" w:hAnsi="Times New Roman" w:cs="Times New Roman"/>
          <w:color w:val="000000" w:themeColor="text1"/>
          <w:sz w:val="22"/>
          <w:szCs w:val="22"/>
          <w:lang w:val="pt-BR"/>
        </w:rPr>
        <w:t xml:space="preserve"> </w:t>
      </w:r>
      <w:r w:rsidRPr="00913ACD">
        <w:rPr>
          <w:rFonts w:ascii="Times New Roman" w:hAnsi="Times New Roman" w:cs="Times New Roman"/>
          <w:sz w:val="22"/>
          <w:szCs w:val="22"/>
          <w:lang w:val="pt-BR"/>
        </w:rPr>
        <w:t xml:space="preserve">Estados </w:t>
      </w:r>
      <w:r w:rsidR="00C67D84" w:rsidRPr="00913ACD">
        <w:rPr>
          <w:rFonts w:ascii="Times New Roman" w:hAnsi="Times New Roman" w:cs="Times New Roman"/>
          <w:color w:val="000000" w:themeColor="text1"/>
          <w:sz w:val="22"/>
          <w:szCs w:val="22"/>
          <w:lang w:val="pt-BR"/>
        </w:rPr>
        <w:t>membros</w:t>
      </w:r>
      <w:r w:rsidRPr="00913ACD">
        <w:rPr>
          <w:rFonts w:ascii="Times New Roman" w:hAnsi="Times New Roman" w:cs="Times New Roman"/>
          <w:sz w:val="22"/>
          <w:szCs w:val="22"/>
          <w:lang w:val="pt-BR"/>
        </w:rPr>
        <w:t xml:space="preserve"> da</w:t>
      </w:r>
      <w:r w:rsidR="00C51D8E" w:rsidRPr="00913ACD">
        <w:rPr>
          <w:rFonts w:ascii="Times New Roman" w:hAnsi="Times New Roman" w:cs="Times New Roman"/>
          <w:sz w:val="22"/>
          <w:szCs w:val="22"/>
          <w:lang w:val="pt-BR"/>
        </w:rPr>
        <w:t xml:space="preserve"> </w:t>
      </w:r>
      <w:r w:rsidR="005F30B1" w:rsidRPr="00913ACD">
        <w:rPr>
          <w:rFonts w:ascii="Times New Roman" w:hAnsi="Times New Roman" w:cs="Times New Roman"/>
          <w:color w:val="000000" w:themeColor="text1"/>
          <w:sz w:val="22"/>
          <w:szCs w:val="22"/>
          <w:lang w:val="pt-BR"/>
        </w:rPr>
        <w:t>OEA</w:t>
      </w:r>
      <w:r w:rsidRPr="00913ACD">
        <w:rPr>
          <w:rFonts w:ascii="Times New Roman" w:hAnsi="Times New Roman" w:cs="Times New Roman"/>
          <w:color w:val="000000" w:themeColor="text1"/>
          <w:sz w:val="22"/>
          <w:szCs w:val="22"/>
          <w:lang w:val="pt-BR"/>
        </w:rPr>
        <w:t>.</w:t>
      </w:r>
    </w:p>
    <w:p w14:paraId="0B7E2166" w14:textId="77777777" w:rsidR="00141240" w:rsidRPr="00913ACD" w:rsidRDefault="00141240" w:rsidP="00CB030B">
      <w:pPr>
        <w:pStyle w:val="ListParagraph"/>
        <w:ind w:left="1440" w:hanging="720"/>
        <w:rPr>
          <w:color w:val="000000" w:themeColor="text1"/>
          <w:sz w:val="22"/>
          <w:szCs w:val="22"/>
          <w:lang w:val="pt-BR"/>
        </w:rPr>
      </w:pPr>
    </w:p>
    <w:p w14:paraId="00D3F63D" w14:textId="0C39789D" w:rsidR="00141240" w:rsidRPr="00913ACD" w:rsidRDefault="00141240" w:rsidP="00CB030B">
      <w:pPr>
        <w:numPr>
          <w:ilvl w:val="0"/>
          <w:numId w:val="23"/>
        </w:numPr>
        <w:ind w:left="1440" w:hanging="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Melhorou a capacidade de mais de 237</w:t>
      </w:r>
      <w:r w:rsidR="008562D8">
        <w:rPr>
          <w:rFonts w:ascii="Times New Roman" w:hAnsi="Times New Roman" w:cs="Times New Roman"/>
          <w:color w:val="000000" w:themeColor="text1"/>
          <w:sz w:val="22"/>
          <w:szCs w:val="22"/>
          <w:lang w:val="pt-BR"/>
        </w:rPr>
        <w:t xml:space="preserve"> mil </w:t>
      </w:r>
      <w:r w:rsidRPr="00913ACD">
        <w:rPr>
          <w:rFonts w:ascii="Times New Roman" w:hAnsi="Times New Roman" w:cs="Times New Roman"/>
          <w:color w:val="000000" w:themeColor="text1"/>
          <w:sz w:val="22"/>
          <w:szCs w:val="22"/>
          <w:lang w:val="pt-BR"/>
        </w:rPr>
        <w:t xml:space="preserve">educadores </w:t>
      </w:r>
      <w:r w:rsidR="006867F8" w:rsidRPr="00913ACD">
        <w:rPr>
          <w:rFonts w:ascii="Times New Roman" w:hAnsi="Times New Roman" w:cs="Times New Roman"/>
          <w:color w:val="000000" w:themeColor="text1"/>
          <w:sz w:val="22"/>
          <w:szCs w:val="22"/>
          <w:lang w:val="pt-BR"/>
        </w:rPr>
        <w:t xml:space="preserve">em </w:t>
      </w:r>
      <w:r w:rsidRPr="00913ACD">
        <w:rPr>
          <w:rFonts w:ascii="Times New Roman" w:hAnsi="Times New Roman" w:cs="Times New Roman"/>
          <w:color w:val="000000" w:themeColor="text1"/>
          <w:sz w:val="22"/>
          <w:szCs w:val="22"/>
          <w:lang w:val="pt-BR"/>
        </w:rPr>
        <w:t xml:space="preserve">STEM de 34 </w:t>
      </w:r>
      <w:r w:rsidR="006867F8" w:rsidRPr="00913ACD">
        <w:rPr>
          <w:rFonts w:ascii="Times New Roman" w:hAnsi="Times New Roman" w:cs="Times New Roman"/>
          <w:color w:val="000000" w:themeColor="text1"/>
          <w:sz w:val="22"/>
          <w:szCs w:val="22"/>
          <w:lang w:val="pt-BR"/>
        </w:rPr>
        <w:t>Estados membros</w:t>
      </w:r>
      <w:r w:rsidR="00C51D8E" w:rsidRPr="00913ACD">
        <w:rPr>
          <w:rFonts w:ascii="Times New Roman" w:hAnsi="Times New Roman" w:cs="Times New Roman"/>
          <w:color w:val="000000" w:themeColor="text1"/>
          <w:sz w:val="22"/>
          <w:szCs w:val="22"/>
          <w:lang w:val="pt-BR"/>
        </w:rPr>
        <w:t xml:space="preserve"> </w:t>
      </w:r>
      <w:r w:rsidRPr="00913ACD">
        <w:rPr>
          <w:rFonts w:ascii="Times New Roman" w:hAnsi="Times New Roman" w:cs="Times New Roman"/>
          <w:color w:val="000000" w:themeColor="text1"/>
          <w:sz w:val="22"/>
          <w:szCs w:val="22"/>
          <w:lang w:val="pt-BR"/>
        </w:rPr>
        <w:t>(incluindo treinamento presencia</w:t>
      </w:r>
      <w:r w:rsidR="005A277E">
        <w:rPr>
          <w:rFonts w:ascii="Times New Roman" w:hAnsi="Times New Roman" w:cs="Times New Roman"/>
          <w:color w:val="000000" w:themeColor="text1"/>
          <w:sz w:val="22"/>
          <w:szCs w:val="22"/>
          <w:lang w:val="pt-BR"/>
        </w:rPr>
        <w:t>l</w:t>
      </w:r>
      <w:r w:rsidRPr="00913ACD">
        <w:rPr>
          <w:rFonts w:ascii="Times New Roman" w:hAnsi="Times New Roman" w:cs="Times New Roman"/>
          <w:color w:val="000000" w:themeColor="text1"/>
          <w:sz w:val="22"/>
          <w:szCs w:val="22"/>
          <w:lang w:val="pt-BR"/>
        </w:rPr>
        <w:t xml:space="preserve"> de 3.288 educadores) para </w:t>
      </w:r>
      <w:r w:rsidR="00F51DDE" w:rsidRPr="00913ACD">
        <w:rPr>
          <w:rFonts w:ascii="Times New Roman" w:hAnsi="Times New Roman" w:cs="Times New Roman"/>
          <w:color w:val="000000" w:themeColor="text1"/>
          <w:sz w:val="22"/>
          <w:szCs w:val="22"/>
          <w:lang w:val="pt-BR"/>
        </w:rPr>
        <w:t>que ofereçam educ</w:t>
      </w:r>
      <w:r w:rsidRPr="00913ACD">
        <w:rPr>
          <w:rFonts w:ascii="Times New Roman" w:hAnsi="Times New Roman" w:cs="Times New Roman"/>
          <w:color w:val="000000" w:themeColor="text1"/>
          <w:sz w:val="22"/>
          <w:szCs w:val="22"/>
          <w:lang w:val="pt-BR"/>
        </w:rPr>
        <w:t xml:space="preserve">ação </w:t>
      </w:r>
      <w:r w:rsidR="00A81F14" w:rsidRPr="00913ACD">
        <w:rPr>
          <w:rFonts w:ascii="Times New Roman" w:hAnsi="Times New Roman" w:cs="Times New Roman"/>
          <w:color w:val="000000" w:themeColor="text1"/>
          <w:sz w:val="22"/>
          <w:szCs w:val="22"/>
          <w:lang w:val="pt-BR"/>
        </w:rPr>
        <w:t xml:space="preserve">em </w:t>
      </w:r>
      <w:r w:rsidRPr="00913ACD">
        <w:rPr>
          <w:rFonts w:ascii="Times New Roman" w:hAnsi="Times New Roman" w:cs="Times New Roman"/>
          <w:color w:val="000000" w:themeColor="text1"/>
          <w:sz w:val="22"/>
          <w:szCs w:val="22"/>
          <w:lang w:val="pt-BR"/>
        </w:rPr>
        <w:t>STEM de qualidade aos seus alunos.</w:t>
      </w:r>
    </w:p>
    <w:p w14:paraId="5E9A2DC4" w14:textId="77777777" w:rsidR="00141240" w:rsidRPr="00913ACD" w:rsidRDefault="00141240" w:rsidP="00CB030B">
      <w:pPr>
        <w:ind w:left="1530" w:hanging="810"/>
        <w:jc w:val="both"/>
        <w:rPr>
          <w:rFonts w:ascii="Times New Roman" w:eastAsia="Calibri" w:hAnsi="Times New Roman" w:cs="Times New Roman"/>
          <w:color w:val="000000" w:themeColor="text1"/>
          <w:sz w:val="22"/>
          <w:szCs w:val="22"/>
          <w:lang w:val="pt-BR"/>
        </w:rPr>
      </w:pPr>
    </w:p>
    <w:p w14:paraId="5BDAAD77" w14:textId="09562C0E" w:rsidR="00141240" w:rsidRPr="00913ACD" w:rsidRDefault="00705AAC" w:rsidP="00CB030B">
      <w:pPr>
        <w:numPr>
          <w:ilvl w:val="0"/>
          <w:numId w:val="23"/>
        </w:numPr>
        <w:ind w:left="1530" w:hanging="81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Realizou o </w:t>
      </w:r>
      <w:r w:rsidR="00A81F14" w:rsidRPr="00913ACD">
        <w:rPr>
          <w:rFonts w:ascii="Times New Roman" w:hAnsi="Times New Roman" w:cs="Times New Roman"/>
          <w:color w:val="000000" w:themeColor="text1"/>
          <w:sz w:val="22"/>
          <w:szCs w:val="22"/>
          <w:lang w:val="pt-BR"/>
        </w:rPr>
        <w:t>s</w:t>
      </w:r>
      <w:r w:rsidRPr="00913ACD">
        <w:rPr>
          <w:rFonts w:ascii="Times New Roman" w:hAnsi="Times New Roman" w:cs="Times New Roman"/>
          <w:color w:val="000000" w:themeColor="text1"/>
          <w:sz w:val="22"/>
          <w:szCs w:val="22"/>
          <w:lang w:val="pt-BR"/>
        </w:rPr>
        <w:t xml:space="preserve">eminário </w:t>
      </w:r>
      <w:r w:rsidR="00A81F14" w:rsidRPr="00913ACD">
        <w:rPr>
          <w:rFonts w:ascii="Times New Roman" w:hAnsi="Times New Roman" w:cs="Times New Roman"/>
          <w:color w:val="000000" w:themeColor="text1"/>
          <w:sz w:val="22"/>
          <w:szCs w:val="22"/>
          <w:lang w:val="pt-BR"/>
        </w:rPr>
        <w:t>v</w:t>
      </w:r>
      <w:r w:rsidRPr="00913ACD">
        <w:rPr>
          <w:rFonts w:ascii="Times New Roman" w:hAnsi="Times New Roman" w:cs="Times New Roman"/>
          <w:color w:val="000000" w:themeColor="text1"/>
          <w:sz w:val="22"/>
          <w:szCs w:val="22"/>
          <w:lang w:val="pt-BR"/>
        </w:rPr>
        <w:t xml:space="preserve">irtual anual </w:t>
      </w:r>
      <w:r w:rsidR="004A7AB5" w:rsidRPr="00913ACD">
        <w:rPr>
          <w:rFonts w:ascii="Times New Roman" w:hAnsi="Times New Roman" w:cs="Times New Roman"/>
          <w:color w:val="000000" w:themeColor="text1"/>
          <w:sz w:val="22"/>
          <w:szCs w:val="22"/>
          <w:lang w:val="pt-BR"/>
        </w:rPr>
        <w:t>de</w:t>
      </w:r>
      <w:r w:rsidRPr="00913ACD">
        <w:rPr>
          <w:rFonts w:ascii="Times New Roman" w:hAnsi="Times New Roman" w:cs="Times New Roman"/>
          <w:color w:val="000000" w:themeColor="text1"/>
          <w:sz w:val="22"/>
          <w:szCs w:val="22"/>
          <w:lang w:val="pt-BR"/>
        </w:rPr>
        <w:t xml:space="preserve"> novembro </w:t>
      </w:r>
      <w:r w:rsidR="004A7AB5" w:rsidRPr="00913ACD">
        <w:rPr>
          <w:rFonts w:ascii="Times New Roman" w:hAnsi="Times New Roman" w:cs="Times New Roman"/>
          <w:color w:val="000000" w:themeColor="text1"/>
          <w:sz w:val="22"/>
          <w:szCs w:val="22"/>
          <w:lang w:val="pt-BR"/>
        </w:rPr>
        <w:t xml:space="preserve">com </w:t>
      </w:r>
      <w:r w:rsidRPr="00913ACD">
        <w:rPr>
          <w:rFonts w:ascii="Times New Roman" w:hAnsi="Times New Roman" w:cs="Times New Roman"/>
          <w:color w:val="000000" w:themeColor="text1"/>
          <w:sz w:val="22"/>
          <w:szCs w:val="22"/>
          <w:lang w:val="pt-BR"/>
        </w:rPr>
        <w:t xml:space="preserve">o tema </w:t>
      </w:r>
      <w:r w:rsidR="007800A2" w:rsidRPr="00913ACD">
        <w:rPr>
          <w:rFonts w:ascii="Times New Roman" w:hAnsi="Times New Roman" w:cs="Times New Roman"/>
          <w:b/>
          <w:color w:val="000000" w:themeColor="text1"/>
          <w:sz w:val="22"/>
          <w:szCs w:val="22"/>
          <w:lang w:val="pt-BR"/>
        </w:rPr>
        <w:t>“</w:t>
      </w:r>
      <w:r w:rsidRPr="00913ACD">
        <w:rPr>
          <w:rFonts w:ascii="Times New Roman" w:hAnsi="Times New Roman" w:cs="Times New Roman"/>
          <w:b/>
          <w:color w:val="000000" w:themeColor="text1"/>
          <w:sz w:val="22"/>
          <w:szCs w:val="22"/>
          <w:lang w:val="pt-BR"/>
        </w:rPr>
        <w:t>Professores de qualidade, futuro de qualidade</w:t>
      </w:r>
      <w:r w:rsidR="007800A2" w:rsidRPr="00913ACD">
        <w:rPr>
          <w:rFonts w:ascii="Times New Roman" w:hAnsi="Times New Roman" w:cs="Times New Roman"/>
          <w:b/>
          <w:color w:val="000000" w:themeColor="text1"/>
          <w:sz w:val="22"/>
          <w:szCs w:val="22"/>
          <w:lang w:val="pt-BR"/>
        </w:rPr>
        <w:t>”</w:t>
      </w:r>
      <w:r w:rsidRPr="00913ACD">
        <w:rPr>
          <w:rFonts w:ascii="Times New Roman" w:hAnsi="Times New Roman" w:cs="Times New Roman"/>
          <w:b/>
          <w:color w:val="000000" w:themeColor="text1"/>
          <w:sz w:val="22"/>
          <w:szCs w:val="22"/>
          <w:lang w:val="pt-BR"/>
        </w:rPr>
        <w:t>.</w:t>
      </w:r>
      <w:r w:rsidR="00C51D8E" w:rsidRPr="00913ACD">
        <w:rPr>
          <w:rFonts w:ascii="Times New Roman" w:hAnsi="Times New Roman" w:cs="Times New Roman"/>
          <w:sz w:val="22"/>
          <w:szCs w:val="22"/>
          <w:lang w:val="pt-BR"/>
        </w:rPr>
        <w:t xml:space="preserve"> </w:t>
      </w:r>
      <w:r w:rsidR="00141240" w:rsidRPr="00913ACD">
        <w:rPr>
          <w:rFonts w:ascii="Times New Roman" w:hAnsi="Times New Roman" w:cs="Times New Roman"/>
          <w:color w:val="000000" w:themeColor="text1"/>
          <w:sz w:val="22"/>
          <w:szCs w:val="22"/>
          <w:lang w:val="pt-BR"/>
        </w:rPr>
        <w:t>A atividade centrou-se na concepção e implementação de políticas, programas e práticas eficazes na formação de professores nas Américas, em antecipação à Décima Primeira Reunião Interamericana de Ministros da Educação. Es</w:t>
      </w:r>
      <w:r w:rsidR="00024400" w:rsidRPr="00913ACD">
        <w:rPr>
          <w:rFonts w:ascii="Times New Roman" w:hAnsi="Times New Roman" w:cs="Times New Roman"/>
          <w:color w:val="000000" w:themeColor="text1"/>
          <w:sz w:val="22"/>
          <w:szCs w:val="22"/>
          <w:lang w:val="pt-BR"/>
        </w:rPr>
        <w:t>se</w:t>
      </w:r>
      <w:r w:rsidR="00141240" w:rsidRPr="00913ACD">
        <w:rPr>
          <w:rFonts w:ascii="Times New Roman" w:hAnsi="Times New Roman" w:cs="Times New Roman"/>
          <w:color w:val="000000" w:themeColor="text1"/>
          <w:sz w:val="22"/>
          <w:szCs w:val="22"/>
          <w:lang w:val="pt-BR"/>
        </w:rPr>
        <w:t xml:space="preserve"> espaço de exposição virtual de dois dias ofereceu aos </w:t>
      </w:r>
      <w:r w:rsidR="00024400" w:rsidRPr="00913ACD">
        <w:rPr>
          <w:rFonts w:ascii="Times New Roman" w:hAnsi="Times New Roman" w:cs="Times New Roman"/>
          <w:color w:val="000000" w:themeColor="text1"/>
          <w:sz w:val="22"/>
          <w:szCs w:val="22"/>
          <w:lang w:val="pt-BR"/>
        </w:rPr>
        <w:t>m</w:t>
      </w:r>
      <w:r w:rsidR="00141240" w:rsidRPr="00913ACD">
        <w:rPr>
          <w:rFonts w:ascii="Times New Roman" w:hAnsi="Times New Roman" w:cs="Times New Roman"/>
          <w:color w:val="000000" w:themeColor="text1"/>
          <w:sz w:val="22"/>
          <w:szCs w:val="22"/>
          <w:lang w:val="pt-BR"/>
        </w:rPr>
        <w:t xml:space="preserve">inistérios e </w:t>
      </w:r>
      <w:r w:rsidR="00FA753C" w:rsidRPr="00913ACD">
        <w:rPr>
          <w:rFonts w:ascii="Times New Roman" w:hAnsi="Times New Roman" w:cs="Times New Roman"/>
          <w:color w:val="000000" w:themeColor="text1"/>
          <w:sz w:val="22"/>
          <w:szCs w:val="22"/>
          <w:lang w:val="pt-BR"/>
        </w:rPr>
        <w:t xml:space="preserve">a </w:t>
      </w:r>
      <w:r w:rsidR="00141240" w:rsidRPr="00913ACD">
        <w:rPr>
          <w:rFonts w:ascii="Times New Roman" w:hAnsi="Times New Roman" w:cs="Times New Roman"/>
          <w:color w:val="000000" w:themeColor="text1"/>
          <w:sz w:val="22"/>
          <w:szCs w:val="22"/>
          <w:lang w:val="pt-BR"/>
        </w:rPr>
        <w:t>outras instituições parceiras dos</w:t>
      </w:r>
      <w:r w:rsidR="00C51D8E" w:rsidRPr="00913ACD">
        <w:rPr>
          <w:rFonts w:ascii="Times New Roman" w:hAnsi="Times New Roman" w:cs="Times New Roman"/>
          <w:color w:val="000000" w:themeColor="text1"/>
          <w:sz w:val="22"/>
          <w:szCs w:val="22"/>
          <w:lang w:val="pt-BR"/>
        </w:rPr>
        <w:t xml:space="preserve"> </w:t>
      </w:r>
      <w:r w:rsidR="005F30B1" w:rsidRPr="00913ACD">
        <w:rPr>
          <w:rFonts w:ascii="Times New Roman" w:hAnsi="Times New Roman" w:cs="Times New Roman"/>
          <w:color w:val="000000" w:themeColor="text1"/>
          <w:sz w:val="22"/>
          <w:szCs w:val="22"/>
          <w:lang w:val="pt-BR"/>
        </w:rPr>
        <w:t>Estados membros</w:t>
      </w:r>
      <w:r w:rsidRPr="00913ACD">
        <w:rPr>
          <w:rFonts w:ascii="Times New Roman" w:hAnsi="Times New Roman" w:cs="Times New Roman"/>
          <w:sz w:val="22"/>
          <w:szCs w:val="22"/>
          <w:lang w:val="pt-BR"/>
        </w:rPr>
        <w:t xml:space="preserve"> da</w:t>
      </w:r>
      <w:r w:rsidR="00C51D8E" w:rsidRPr="00913ACD">
        <w:rPr>
          <w:rFonts w:ascii="Times New Roman" w:hAnsi="Times New Roman" w:cs="Times New Roman"/>
          <w:sz w:val="22"/>
          <w:szCs w:val="22"/>
          <w:lang w:val="pt-BR"/>
        </w:rPr>
        <w:t xml:space="preserve"> </w:t>
      </w:r>
      <w:r w:rsidR="00141240" w:rsidRPr="00913ACD">
        <w:rPr>
          <w:rFonts w:ascii="Times New Roman" w:hAnsi="Times New Roman" w:cs="Times New Roman"/>
          <w:color w:val="000000" w:themeColor="text1"/>
          <w:sz w:val="22"/>
          <w:szCs w:val="22"/>
          <w:lang w:val="pt-BR"/>
        </w:rPr>
        <w:t>OEA a oportunidade de mostrar suas iniciativas de formação de professores a mais de 10</w:t>
      </w:r>
      <w:r w:rsidR="004464DB">
        <w:rPr>
          <w:rFonts w:ascii="Times New Roman" w:hAnsi="Times New Roman" w:cs="Times New Roman"/>
          <w:color w:val="000000" w:themeColor="text1"/>
          <w:sz w:val="22"/>
          <w:szCs w:val="22"/>
          <w:lang w:val="pt-BR"/>
        </w:rPr>
        <w:t xml:space="preserve"> mil </w:t>
      </w:r>
      <w:r w:rsidR="00141240" w:rsidRPr="00913ACD">
        <w:rPr>
          <w:rFonts w:ascii="Times New Roman" w:hAnsi="Times New Roman" w:cs="Times New Roman"/>
          <w:color w:val="000000" w:themeColor="text1"/>
          <w:sz w:val="22"/>
          <w:szCs w:val="22"/>
          <w:lang w:val="pt-BR"/>
        </w:rPr>
        <w:t>educadores e líderes da região.</w:t>
      </w:r>
    </w:p>
    <w:p w14:paraId="6F3D9DCC" w14:textId="77777777" w:rsidR="00141240" w:rsidRPr="00913ACD" w:rsidRDefault="00141240" w:rsidP="00CB030B">
      <w:pPr>
        <w:ind w:left="720"/>
        <w:jc w:val="both"/>
        <w:rPr>
          <w:rFonts w:ascii="Times New Roman" w:hAnsi="Times New Roman" w:cs="Times New Roman"/>
          <w:color w:val="000000" w:themeColor="text1"/>
          <w:sz w:val="22"/>
          <w:szCs w:val="22"/>
          <w:lang w:val="pt-BR"/>
        </w:rPr>
      </w:pPr>
    </w:p>
    <w:p w14:paraId="29DB86B5" w14:textId="2AA8AC37" w:rsidR="00141240" w:rsidRPr="00913ACD" w:rsidRDefault="00141240" w:rsidP="00CB030B">
      <w:pPr>
        <w:numPr>
          <w:ilvl w:val="0"/>
          <w:numId w:val="23"/>
        </w:numPr>
        <w:ind w:left="1440" w:hanging="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O </w:t>
      </w:r>
      <w:r w:rsidR="004F5F14" w:rsidRPr="00913ACD">
        <w:rPr>
          <w:rFonts w:ascii="Times New Roman" w:hAnsi="Times New Roman" w:cs="Times New Roman"/>
          <w:color w:val="000000" w:themeColor="text1"/>
          <w:sz w:val="22"/>
          <w:szCs w:val="22"/>
          <w:lang w:val="pt-BR"/>
        </w:rPr>
        <w:t>RIED</w:t>
      </w:r>
      <w:r w:rsidRPr="00913ACD">
        <w:rPr>
          <w:rFonts w:ascii="Times New Roman" w:hAnsi="Times New Roman" w:cs="Times New Roman"/>
          <w:color w:val="000000" w:themeColor="text1"/>
          <w:sz w:val="22"/>
          <w:szCs w:val="22"/>
          <w:lang w:val="pt-BR"/>
        </w:rPr>
        <w:t xml:space="preserve"> e o </w:t>
      </w:r>
      <w:r w:rsidR="00BD02D0" w:rsidRPr="00913ACD">
        <w:rPr>
          <w:rFonts w:ascii="Times New Roman" w:hAnsi="Times New Roman" w:cs="Times New Roman"/>
          <w:color w:val="000000" w:themeColor="text1"/>
          <w:sz w:val="22"/>
          <w:szCs w:val="22"/>
          <w:lang w:val="pt-BR"/>
        </w:rPr>
        <w:t>Portal de Educação</w:t>
      </w:r>
      <w:r w:rsidRPr="00913ACD">
        <w:rPr>
          <w:rFonts w:ascii="Times New Roman" w:hAnsi="Times New Roman" w:cs="Times New Roman"/>
          <w:color w:val="000000" w:themeColor="text1"/>
          <w:sz w:val="22"/>
          <w:szCs w:val="22"/>
          <w:lang w:val="pt-BR"/>
        </w:rPr>
        <w:t xml:space="preserve"> das Américas, com o apoio da Funda</w:t>
      </w:r>
      <w:r w:rsidR="00F16115" w:rsidRPr="00913ACD">
        <w:rPr>
          <w:rFonts w:ascii="Times New Roman" w:hAnsi="Times New Roman" w:cs="Times New Roman"/>
          <w:color w:val="000000" w:themeColor="text1"/>
          <w:sz w:val="22"/>
          <w:szCs w:val="22"/>
          <w:lang w:val="pt-BR"/>
        </w:rPr>
        <w:t>ção</w:t>
      </w:r>
      <w:r w:rsidRPr="00913ACD">
        <w:rPr>
          <w:rFonts w:ascii="Times New Roman" w:hAnsi="Times New Roman" w:cs="Times New Roman"/>
          <w:color w:val="000000" w:themeColor="text1"/>
          <w:sz w:val="22"/>
          <w:szCs w:val="22"/>
          <w:lang w:val="pt-BR"/>
        </w:rPr>
        <w:t xml:space="preserve"> </w:t>
      </w:r>
      <w:r w:rsidRPr="00AF3534">
        <w:rPr>
          <w:rFonts w:ascii="Times New Roman" w:hAnsi="Times New Roman" w:cs="Times New Roman"/>
          <w:iCs/>
          <w:color w:val="000000" w:themeColor="text1"/>
          <w:sz w:val="22"/>
          <w:szCs w:val="22"/>
          <w:lang w:val="pt-BR"/>
        </w:rPr>
        <w:t>Profuturo</w:t>
      </w:r>
      <w:r w:rsidRPr="00913ACD">
        <w:rPr>
          <w:rFonts w:ascii="Times New Roman" w:hAnsi="Times New Roman" w:cs="Times New Roman"/>
          <w:color w:val="000000" w:themeColor="text1"/>
          <w:sz w:val="22"/>
          <w:szCs w:val="22"/>
          <w:lang w:val="pt-BR"/>
        </w:rPr>
        <w:t>, realizaram as seguintes atividades:</w:t>
      </w:r>
    </w:p>
    <w:p w14:paraId="65CBA14C" w14:textId="77777777" w:rsidR="00141240" w:rsidRPr="00913ACD" w:rsidRDefault="00141240" w:rsidP="00CB030B">
      <w:pPr>
        <w:ind w:left="720"/>
        <w:jc w:val="both"/>
        <w:rPr>
          <w:rFonts w:ascii="Times New Roman" w:hAnsi="Times New Roman" w:cs="Times New Roman"/>
          <w:color w:val="000000" w:themeColor="text1"/>
          <w:sz w:val="22"/>
          <w:szCs w:val="22"/>
          <w:lang w:val="pt-BR"/>
        </w:rPr>
      </w:pPr>
    </w:p>
    <w:p w14:paraId="4FF7CEC1" w14:textId="311801EB" w:rsidR="00141240" w:rsidRPr="00913ACD"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Completou</w:t>
      </w:r>
      <w:r w:rsidRPr="00913ACD">
        <w:rPr>
          <w:rFonts w:ascii="Times New Roman" w:hAnsi="Times New Roman" w:cs="Times New Roman"/>
          <w:bCs/>
          <w:color w:val="000000" w:themeColor="text1"/>
          <w:sz w:val="22"/>
          <w:szCs w:val="22"/>
          <w:lang w:val="pt-BR"/>
        </w:rPr>
        <w:t xml:space="preserve"> </w:t>
      </w:r>
      <w:r w:rsidR="00141240" w:rsidRPr="00913ACD">
        <w:rPr>
          <w:rFonts w:ascii="Times New Roman" w:hAnsi="Times New Roman" w:cs="Times New Roman"/>
          <w:bCs/>
          <w:color w:val="000000" w:themeColor="text1"/>
          <w:sz w:val="22"/>
          <w:szCs w:val="22"/>
          <w:lang w:val="pt-BR"/>
        </w:rPr>
        <w:t>o</w:t>
      </w:r>
      <w:r w:rsidR="00141240" w:rsidRPr="00913ACD">
        <w:rPr>
          <w:rFonts w:ascii="Times New Roman" w:hAnsi="Times New Roman" w:cs="Times New Roman"/>
          <w:b/>
          <w:color w:val="000000" w:themeColor="text1"/>
          <w:sz w:val="22"/>
          <w:szCs w:val="22"/>
          <w:lang w:val="pt-BR"/>
        </w:rPr>
        <w:t xml:space="preserve"> Mapeamento de </w:t>
      </w:r>
      <w:r w:rsidR="000602B0" w:rsidRPr="00913ACD">
        <w:rPr>
          <w:rFonts w:ascii="Times New Roman" w:hAnsi="Times New Roman" w:cs="Times New Roman"/>
          <w:b/>
          <w:color w:val="000000" w:themeColor="text1"/>
          <w:sz w:val="22"/>
          <w:szCs w:val="22"/>
          <w:lang w:val="pt-BR"/>
        </w:rPr>
        <w:t>b</w:t>
      </w:r>
      <w:r w:rsidR="00141240" w:rsidRPr="00913ACD">
        <w:rPr>
          <w:rFonts w:ascii="Times New Roman" w:hAnsi="Times New Roman" w:cs="Times New Roman"/>
          <w:b/>
          <w:color w:val="000000" w:themeColor="text1"/>
          <w:sz w:val="22"/>
          <w:szCs w:val="22"/>
          <w:lang w:val="pt-BR"/>
        </w:rPr>
        <w:t xml:space="preserve">oas </w:t>
      </w:r>
      <w:r w:rsidR="00642817" w:rsidRPr="00913ACD">
        <w:rPr>
          <w:rFonts w:ascii="Times New Roman" w:hAnsi="Times New Roman" w:cs="Times New Roman"/>
          <w:b/>
          <w:color w:val="000000" w:themeColor="text1"/>
          <w:sz w:val="22"/>
          <w:szCs w:val="22"/>
          <w:lang w:val="pt-BR"/>
        </w:rPr>
        <w:t>p</w:t>
      </w:r>
      <w:r w:rsidR="00141240" w:rsidRPr="00913ACD">
        <w:rPr>
          <w:rFonts w:ascii="Times New Roman" w:hAnsi="Times New Roman" w:cs="Times New Roman"/>
          <w:b/>
          <w:color w:val="000000" w:themeColor="text1"/>
          <w:sz w:val="22"/>
          <w:szCs w:val="22"/>
          <w:lang w:val="pt-BR"/>
        </w:rPr>
        <w:t xml:space="preserve">ráticas em </w:t>
      </w:r>
      <w:r w:rsidR="00642817" w:rsidRPr="00913ACD">
        <w:rPr>
          <w:rFonts w:ascii="Times New Roman" w:hAnsi="Times New Roman" w:cs="Times New Roman"/>
          <w:b/>
          <w:color w:val="000000" w:themeColor="text1"/>
          <w:sz w:val="22"/>
          <w:szCs w:val="22"/>
          <w:lang w:val="pt-BR"/>
        </w:rPr>
        <w:t>e</w:t>
      </w:r>
      <w:r w:rsidR="00141240" w:rsidRPr="00913ACD">
        <w:rPr>
          <w:rFonts w:ascii="Times New Roman" w:hAnsi="Times New Roman" w:cs="Times New Roman"/>
          <w:b/>
          <w:color w:val="000000" w:themeColor="text1"/>
          <w:sz w:val="22"/>
          <w:szCs w:val="22"/>
          <w:lang w:val="pt-BR"/>
        </w:rPr>
        <w:t xml:space="preserve">ducação </w:t>
      </w:r>
      <w:r w:rsidR="00642817" w:rsidRPr="00913ACD">
        <w:rPr>
          <w:rFonts w:ascii="Times New Roman" w:hAnsi="Times New Roman" w:cs="Times New Roman"/>
          <w:b/>
          <w:color w:val="000000" w:themeColor="text1"/>
          <w:sz w:val="22"/>
          <w:szCs w:val="22"/>
          <w:lang w:val="pt-BR"/>
        </w:rPr>
        <w:t>d</w:t>
      </w:r>
      <w:r w:rsidR="00141240" w:rsidRPr="00913ACD">
        <w:rPr>
          <w:rFonts w:ascii="Times New Roman" w:hAnsi="Times New Roman" w:cs="Times New Roman"/>
          <w:b/>
          <w:color w:val="000000" w:themeColor="text1"/>
          <w:sz w:val="22"/>
          <w:szCs w:val="22"/>
          <w:lang w:val="pt-BR"/>
        </w:rPr>
        <w:t>igital das Américas</w:t>
      </w:r>
      <w:r w:rsidR="00141240" w:rsidRPr="00913ACD">
        <w:rPr>
          <w:rFonts w:ascii="Times New Roman" w:hAnsi="Times New Roman" w:cs="Times New Roman"/>
          <w:color w:val="000000" w:themeColor="text1"/>
          <w:sz w:val="22"/>
          <w:szCs w:val="22"/>
          <w:lang w:val="pt-BR"/>
        </w:rPr>
        <w:t xml:space="preserve">, que recebeu mais de 170 inscrições de organizações da sociedade civil (OSCs) e </w:t>
      </w:r>
      <w:r w:rsidR="00642817" w:rsidRPr="00913ACD">
        <w:rPr>
          <w:rFonts w:ascii="Times New Roman" w:hAnsi="Times New Roman" w:cs="Times New Roman"/>
          <w:color w:val="000000" w:themeColor="text1"/>
          <w:sz w:val="22"/>
          <w:szCs w:val="22"/>
          <w:lang w:val="pt-BR"/>
        </w:rPr>
        <w:t xml:space="preserve">de </w:t>
      </w:r>
      <w:r w:rsidR="00141240" w:rsidRPr="00913ACD">
        <w:rPr>
          <w:rFonts w:ascii="Times New Roman" w:hAnsi="Times New Roman" w:cs="Times New Roman"/>
          <w:color w:val="000000" w:themeColor="text1"/>
          <w:sz w:val="22"/>
          <w:szCs w:val="22"/>
          <w:lang w:val="pt-BR"/>
        </w:rPr>
        <w:t xml:space="preserve">escolas de 19 países. </w:t>
      </w:r>
      <w:r w:rsidR="00642817" w:rsidRPr="00913ACD">
        <w:rPr>
          <w:rFonts w:ascii="Times New Roman" w:hAnsi="Times New Roman" w:cs="Times New Roman"/>
          <w:color w:val="000000" w:themeColor="text1"/>
          <w:sz w:val="22"/>
          <w:szCs w:val="22"/>
          <w:lang w:val="pt-BR"/>
        </w:rPr>
        <w:t>A</w:t>
      </w:r>
      <w:r w:rsidR="00141240" w:rsidRPr="00913ACD">
        <w:rPr>
          <w:rFonts w:ascii="Times New Roman" w:hAnsi="Times New Roman" w:cs="Times New Roman"/>
          <w:color w:val="000000" w:themeColor="text1"/>
          <w:sz w:val="22"/>
          <w:szCs w:val="22"/>
          <w:lang w:val="pt-BR"/>
        </w:rPr>
        <w:t xml:space="preserve"> </w:t>
      </w:r>
      <w:r w:rsidR="004F5F14" w:rsidRPr="00913ACD">
        <w:rPr>
          <w:rFonts w:ascii="Times New Roman" w:hAnsi="Times New Roman" w:cs="Times New Roman"/>
          <w:color w:val="000000" w:themeColor="text1"/>
          <w:sz w:val="22"/>
          <w:szCs w:val="22"/>
          <w:lang w:val="pt-BR"/>
        </w:rPr>
        <w:t>RIED</w:t>
      </w:r>
      <w:r w:rsidR="00141240" w:rsidRPr="00913ACD">
        <w:rPr>
          <w:rFonts w:ascii="Times New Roman" w:hAnsi="Times New Roman" w:cs="Times New Roman"/>
          <w:color w:val="000000" w:themeColor="text1"/>
          <w:sz w:val="22"/>
          <w:szCs w:val="22"/>
          <w:lang w:val="pt-BR"/>
        </w:rPr>
        <w:t xml:space="preserve"> fez parte do comitê de avaliação dessa atividade.</w:t>
      </w:r>
    </w:p>
    <w:p w14:paraId="70C39C66" w14:textId="5084E109" w:rsidR="00141240" w:rsidRPr="00913ACD"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Treinou mais de 950 professores d</w:t>
      </w:r>
      <w:r w:rsidR="00642817" w:rsidRPr="00913ACD">
        <w:rPr>
          <w:rFonts w:ascii="Times New Roman" w:hAnsi="Times New Roman" w:cs="Times New Roman"/>
          <w:color w:val="000000" w:themeColor="text1"/>
          <w:sz w:val="22"/>
          <w:szCs w:val="22"/>
          <w:lang w:val="pt-BR"/>
        </w:rPr>
        <w:t>e</w:t>
      </w:r>
      <w:r w:rsidRPr="00913ACD">
        <w:rPr>
          <w:rFonts w:ascii="Times New Roman" w:hAnsi="Times New Roman" w:cs="Times New Roman"/>
          <w:color w:val="000000" w:themeColor="text1"/>
          <w:sz w:val="22"/>
          <w:szCs w:val="22"/>
          <w:lang w:val="pt-BR"/>
        </w:rPr>
        <w:t xml:space="preserve"> Bahamas, Barbados, Belize, Guiana e Santa Lúcia em inovação e integração das </w:t>
      </w:r>
      <w:r w:rsidR="00A52B3B" w:rsidRPr="00913ACD">
        <w:rPr>
          <w:rFonts w:ascii="Times New Roman" w:hAnsi="Times New Roman" w:cs="Times New Roman"/>
          <w:color w:val="000000" w:themeColor="text1"/>
          <w:sz w:val="22"/>
          <w:szCs w:val="22"/>
          <w:lang w:val="pt-BR"/>
        </w:rPr>
        <w:t xml:space="preserve">tecnologias da </w:t>
      </w:r>
      <w:r w:rsidR="00EE5175" w:rsidRPr="00913ACD">
        <w:rPr>
          <w:rFonts w:ascii="Times New Roman" w:hAnsi="Times New Roman" w:cs="Times New Roman"/>
          <w:color w:val="000000" w:themeColor="text1"/>
          <w:sz w:val="22"/>
          <w:szCs w:val="22"/>
          <w:lang w:val="pt-BR"/>
        </w:rPr>
        <w:t>informação e das comunicações (</w:t>
      </w:r>
      <w:r w:rsidRPr="00913ACD">
        <w:rPr>
          <w:rFonts w:ascii="Times New Roman" w:hAnsi="Times New Roman" w:cs="Times New Roman"/>
          <w:color w:val="000000" w:themeColor="text1"/>
          <w:sz w:val="22"/>
          <w:szCs w:val="22"/>
          <w:lang w:val="pt-BR"/>
        </w:rPr>
        <w:t>TIC</w:t>
      </w:r>
      <w:r w:rsidR="00EE5175" w:rsidRPr="00913ACD">
        <w:rPr>
          <w:rFonts w:ascii="Times New Roman" w:hAnsi="Times New Roman" w:cs="Times New Roman"/>
          <w:color w:val="000000" w:themeColor="text1"/>
          <w:sz w:val="22"/>
          <w:szCs w:val="22"/>
          <w:lang w:val="pt-BR"/>
        </w:rPr>
        <w:t>s)</w:t>
      </w:r>
      <w:r w:rsidRPr="00913ACD">
        <w:rPr>
          <w:rFonts w:ascii="Times New Roman" w:hAnsi="Times New Roman" w:cs="Times New Roman"/>
          <w:color w:val="000000" w:themeColor="text1"/>
          <w:sz w:val="22"/>
          <w:szCs w:val="22"/>
          <w:lang w:val="pt-BR"/>
        </w:rPr>
        <w:t xml:space="preserve"> na sala de aula.</w:t>
      </w:r>
    </w:p>
    <w:p w14:paraId="1B53F08A" w14:textId="173D3790" w:rsidR="00141240" w:rsidRPr="00913ACD"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Estendeu a oferta de treinamento de professores a</w:t>
      </w:r>
      <w:r w:rsidR="00EE5175" w:rsidRPr="00913ACD">
        <w:rPr>
          <w:rFonts w:ascii="Times New Roman" w:hAnsi="Times New Roman" w:cs="Times New Roman"/>
          <w:color w:val="000000" w:themeColor="text1"/>
          <w:sz w:val="22"/>
          <w:szCs w:val="22"/>
          <w:lang w:val="pt-BR"/>
        </w:rPr>
        <w:t>os</w:t>
      </w:r>
      <w:r w:rsidRPr="00913ACD">
        <w:rPr>
          <w:rFonts w:ascii="Times New Roman" w:hAnsi="Times New Roman" w:cs="Times New Roman"/>
          <w:color w:val="000000" w:themeColor="text1"/>
          <w:sz w:val="22"/>
          <w:szCs w:val="22"/>
          <w:lang w:val="pt-BR"/>
        </w:rPr>
        <w:t xml:space="preserve"> </w:t>
      </w:r>
      <w:r w:rsidR="00EE5175" w:rsidRPr="00913ACD">
        <w:rPr>
          <w:rFonts w:ascii="Times New Roman" w:hAnsi="Times New Roman" w:cs="Times New Roman"/>
          <w:color w:val="000000" w:themeColor="text1"/>
          <w:sz w:val="22"/>
          <w:szCs w:val="22"/>
          <w:lang w:val="pt-BR"/>
        </w:rPr>
        <w:t xml:space="preserve">14 </w:t>
      </w:r>
      <w:r w:rsidRPr="00913ACD">
        <w:rPr>
          <w:rFonts w:ascii="Times New Roman" w:hAnsi="Times New Roman" w:cs="Times New Roman"/>
          <w:color w:val="000000" w:themeColor="text1"/>
          <w:sz w:val="22"/>
          <w:szCs w:val="22"/>
          <w:lang w:val="pt-BR"/>
        </w:rPr>
        <w:t xml:space="preserve">países da CARICOM, com mais de 1.600 professores matriculados. </w:t>
      </w:r>
    </w:p>
    <w:p w14:paraId="7E3F9ECB" w14:textId="047CB321" w:rsidR="00141240" w:rsidRPr="00913ACD"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Concedeu 4</w:t>
      </w:r>
      <w:r w:rsidR="005028AE">
        <w:rPr>
          <w:rFonts w:ascii="Times New Roman" w:hAnsi="Times New Roman" w:cs="Times New Roman"/>
          <w:color w:val="000000" w:themeColor="text1"/>
          <w:sz w:val="22"/>
          <w:szCs w:val="22"/>
          <w:lang w:val="pt-BR"/>
        </w:rPr>
        <w:t xml:space="preserve"> mil </w:t>
      </w:r>
      <w:r w:rsidRPr="00913ACD">
        <w:rPr>
          <w:rFonts w:ascii="Times New Roman" w:hAnsi="Times New Roman" w:cs="Times New Roman"/>
          <w:color w:val="000000" w:themeColor="text1"/>
          <w:sz w:val="22"/>
          <w:szCs w:val="22"/>
          <w:lang w:val="pt-BR"/>
        </w:rPr>
        <w:t xml:space="preserve">bolsas de estudo para dois cursos destinados a fortalecer as habilidades digitais </w:t>
      </w:r>
      <w:r w:rsidR="003D0FB9" w:rsidRPr="00913ACD">
        <w:rPr>
          <w:rFonts w:ascii="Times New Roman" w:hAnsi="Times New Roman" w:cs="Times New Roman"/>
          <w:color w:val="000000" w:themeColor="text1"/>
          <w:sz w:val="22"/>
          <w:szCs w:val="22"/>
          <w:lang w:val="pt-BR"/>
        </w:rPr>
        <w:t xml:space="preserve">de </w:t>
      </w:r>
      <w:r w:rsidRPr="00913ACD">
        <w:rPr>
          <w:rFonts w:ascii="Times New Roman" w:hAnsi="Times New Roman" w:cs="Times New Roman"/>
          <w:color w:val="000000" w:themeColor="text1"/>
          <w:sz w:val="22"/>
          <w:szCs w:val="22"/>
          <w:lang w:val="pt-BR"/>
        </w:rPr>
        <w:t>professores em coordenação com a Presidência do Conselho de Ministros do Peru.</w:t>
      </w:r>
    </w:p>
    <w:p w14:paraId="69BBC895" w14:textId="4A8C6E5C" w:rsidR="00141240" w:rsidRPr="00913ACD"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Registrou cerca de 7.900 professores guatemaltecos em cursos de formação de professores em coordenação com a Direção Geral de Gestão da Qualidade Educacional do Ministério da Educação e a organização da sociedade civil DECA.</w:t>
      </w:r>
    </w:p>
    <w:p w14:paraId="640AD943" w14:textId="070C9E2D" w:rsidR="00141240" w:rsidRPr="00913ACD" w:rsidRDefault="005D753C" w:rsidP="00CB030B">
      <w:pPr>
        <w:numPr>
          <w:ilvl w:val="1"/>
          <w:numId w:val="23"/>
        </w:numPr>
        <w:ind w:left="1980" w:hanging="54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Realizou dois webinars com especialistas </w:t>
      </w:r>
      <w:r w:rsidR="00FA28CE" w:rsidRPr="00913ACD">
        <w:rPr>
          <w:rFonts w:ascii="Times New Roman" w:hAnsi="Times New Roman" w:cs="Times New Roman"/>
          <w:color w:val="000000" w:themeColor="text1"/>
          <w:sz w:val="22"/>
          <w:szCs w:val="22"/>
          <w:lang w:val="pt-BR"/>
        </w:rPr>
        <w:t>s</w:t>
      </w:r>
      <w:r w:rsidR="00DA1D9E" w:rsidRPr="00913ACD">
        <w:rPr>
          <w:rFonts w:ascii="Times New Roman" w:hAnsi="Times New Roman" w:cs="Times New Roman"/>
          <w:color w:val="000000" w:themeColor="text1"/>
          <w:sz w:val="22"/>
          <w:szCs w:val="22"/>
          <w:lang w:val="pt-BR"/>
        </w:rPr>
        <w:t xml:space="preserve">obre </w:t>
      </w:r>
      <w:r w:rsidRPr="00913ACD">
        <w:rPr>
          <w:rFonts w:ascii="Times New Roman" w:hAnsi="Times New Roman" w:cs="Times New Roman"/>
          <w:color w:val="000000" w:themeColor="text1"/>
          <w:sz w:val="22"/>
          <w:szCs w:val="22"/>
          <w:lang w:val="pt-BR"/>
        </w:rPr>
        <w:t>boas práticas educacionais que receberam mais de 1</w:t>
      </w:r>
      <w:r w:rsidR="00131CD3">
        <w:rPr>
          <w:rFonts w:ascii="Times New Roman" w:hAnsi="Times New Roman" w:cs="Times New Roman"/>
          <w:color w:val="000000" w:themeColor="text1"/>
          <w:sz w:val="22"/>
          <w:szCs w:val="22"/>
          <w:lang w:val="pt-BR"/>
        </w:rPr>
        <w:t xml:space="preserve"> mil </w:t>
      </w:r>
      <w:r w:rsidRPr="00913ACD">
        <w:rPr>
          <w:rFonts w:ascii="Times New Roman" w:hAnsi="Times New Roman" w:cs="Times New Roman"/>
          <w:color w:val="000000" w:themeColor="text1"/>
          <w:sz w:val="22"/>
          <w:szCs w:val="22"/>
          <w:lang w:val="pt-BR"/>
        </w:rPr>
        <w:t>visualizações.</w:t>
      </w:r>
    </w:p>
    <w:bookmarkEnd w:id="5"/>
    <w:p w14:paraId="0F3DD714" w14:textId="77777777" w:rsidR="00141240" w:rsidRPr="00913ACD" w:rsidRDefault="00141240" w:rsidP="00CB030B">
      <w:pPr>
        <w:jc w:val="both"/>
        <w:rPr>
          <w:rFonts w:ascii="Times New Roman" w:eastAsia="Calibri" w:hAnsi="Times New Roman" w:cs="Times New Roman"/>
          <w:i/>
          <w:iCs/>
          <w:color w:val="000000" w:themeColor="text1"/>
          <w:sz w:val="22"/>
          <w:szCs w:val="22"/>
          <w:lang w:val="pt-BR"/>
        </w:rPr>
      </w:pPr>
    </w:p>
    <w:p w14:paraId="5270D7C8" w14:textId="61E48F14" w:rsidR="00141240" w:rsidRPr="00913ACD" w:rsidRDefault="00BD02D0" w:rsidP="00CB030B">
      <w:pPr>
        <w:ind w:firstLine="720"/>
        <w:jc w:val="both"/>
        <w:rPr>
          <w:rFonts w:ascii="Times New Roman" w:eastAsia="Calibri"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Portal de Educação</w:t>
      </w:r>
      <w:r w:rsidR="00141240" w:rsidRPr="00913ACD">
        <w:rPr>
          <w:rFonts w:ascii="Times New Roman" w:hAnsi="Times New Roman" w:cs="Times New Roman"/>
          <w:b/>
          <w:color w:val="000000" w:themeColor="text1"/>
          <w:sz w:val="22"/>
          <w:szCs w:val="22"/>
          <w:lang w:val="pt-BR"/>
        </w:rPr>
        <w:t xml:space="preserve"> das Américas</w:t>
      </w:r>
    </w:p>
    <w:p w14:paraId="4CD3275F" w14:textId="77777777" w:rsidR="005D753C" w:rsidRPr="00913ACD" w:rsidRDefault="005D753C" w:rsidP="00CB030B">
      <w:pPr>
        <w:ind w:firstLine="720"/>
        <w:jc w:val="both"/>
        <w:rPr>
          <w:rFonts w:ascii="Times New Roman" w:eastAsia="Calibri" w:hAnsi="Times New Roman" w:cs="Times New Roman"/>
          <w:i/>
          <w:iCs/>
          <w:color w:val="000000" w:themeColor="text1"/>
          <w:sz w:val="22"/>
          <w:szCs w:val="22"/>
          <w:lang w:val="pt-BR"/>
        </w:rPr>
      </w:pPr>
    </w:p>
    <w:p w14:paraId="49206794" w14:textId="1B1E85F8" w:rsidR="005D753C" w:rsidRPr="00913ACD" w:rsidRDefault="005D753C"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Desenvolveu as seguintes iniciativas, no âmbito da </w:t>
      </w:r>
      <w:r w:rsidR="00813B3C" w:rsidRPr="00913ACD">
        <w:rPr>
          <w:color w:val="000000" w:themeColor="text1"/>
          <w:sz w:val="22"/>
          <w:szCs w:val="22"/>
          <w:lang w:val="pt-BR"/>
        </w:rPr>
        <w:t>Fundação</w:t>
      </w:r>
      <w:r w:rsidR="00341481" w:rsidRPr="00913ACD">
        <w:rPr>
          <w:color w:val="000000" w:themeColor="text1"/>
          <w:sz w:val="22"/>
          <w:szCs w:val="22"/>
          <w:lang w:val="pt-BR"/>
        </w:rPr>
        <w:t xml:space="preserve"> ProFuturo</w:t>
      </w:r>
      <w:r w:rsidRPr="00913ACD">
        <w:rPr>
          <w:sz w:val="22"/>
          <w:szCs w:val="22"/>
          <w:lang w:val="pt-BR"/>
        </w:rPr>
        <w:t xml:space="preserve"> </w:t>
      </w:r>
      <w:r w:rsidR="009C2520" w:rsidRPr="00913ACD">
        <w:rPr>
          <w:sz w:val="22"/>
          <w:szCs w:val="22"/>
          <w:lang w:val="pt-BR"/>
        </w:rPr>
        <w:t xml:space="preserve">a fim de </w:t>
      </w:r>
      <w:r w:rsidRPr="00913ACD">
        <w:rPr>
          <w:color w:val="000000" w:themeColor="text1"/>
          <w:sz w:val="22"/>
          <w:szCs w:val="22"/>
          <w:lang w:val="pt-BR"/>
        </w:rPr>
        <w:t>aprofundar a coordenação entre as OSCs, enriquecer o diálogo hemisférico e contribuir para os objetivos da AIE:</w:t>
      </w:r>
    </w:p>
    <w:p w14:paraId="59E1F04A" w14:textId="77777777" w:rsidR="005D753C" w:rsidRPr="00913ACD" w:rsidRDefault="005D753C" w:rsidP="00CB030B">
      <w:pPr>
        <w:jc w:val="both"/>
        <w:rPr>
          <w:rFonts w:ascii="Times New Roman" w:eastAsia="Cambria" w:hAnsi="Times New Roman" w:cs="Times New Roman"/>
          <w:color w:val="000000" w:themeColor="text1"/>
          <w:sz w:val="22"/>
          <w:szCs w:val="22"/>
          <w:lang w:val="pt-BR"/>
        </w:rPr>
      </w:pPr>
    </w:p>
    <w:p w14:paraId="5024E2BF" w14:textId="7F42D820" w:rsidR="005D753C" w:rsidRPr="00913ACD" w:rsidRDefault="005D753C"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Publicou </w:t>
      </w:r>
      <w:r w:rsidR="007800A2" w:rsidRPr="00913ACD">
        <w:rPr>
          <w:color w:val="000000" w:themeColor="text1"/>
          <w:sz w:val="22"/>
          <w:szCs w:val="22"/>
          <w:lang w:val="pt-BR"/>
        </w:rPr>
        <w:t>“</w:t>
      </w:r>
      <w:r w:rsidRPr="00913ACD">
        <w:rPr>
          <w:b/>
          <w:bCs/>
          <w:color w:val="000000" w:themeColor="text1"/>
          <w:sz w:val="22"/>
          <w:szCs w:val="22"/>
          <w:lang w:val="pt-BR"/>
        </w:rPr>
        <w:t xml:space="preserve">Organizações da </w:t>
      </w:r>
      <w:r w:rsidR="0032623B" w:rsidRPr="00913ACD">
        <w:rPr>
          <w:b/>
          <w:bCs/>
          <w:color w:val="000000" w:themeColor="text1"/>
          <w:sz w:val="22"/>
          <w:szCs w:val="22"/>
          <w:lang w:val="pt-BR"/>
        </w:rPr>
        <w:t>s</w:t>
      </w:r>
      <w:r w:rsidRPr="00913ACD">
        <w:rPr>
          <w:b/>
          <w:bCs/>
          <w:color w:val="000000" w:themeColor="text1"/>
          <w:sz w:val="22"/>
          <w:szCs w:val="22"/>
          <w:lang w:val="pt-BR"/>
        </w:rPr>
        <w:t xml:space="preserve">ociedade </w:t>
      </w:r>
      <w:r w:rsidR="0032623B" w:rsidRPr="00913ACD">
        <w:rPr>
          <w:b/>
          <w:bCs/>
          <w:color w:val="000000" w:themeColor="text1"/>
          <w:sz w:val="22"/>
          <w:szCs w:val="22"/>
          <w:lang w:val="pt-BR"/>
        </w:rPr>
        <w:t>c</w:t>
      </w:r>
      <w:r w:rsidRPr="00913ACD">
        <w:rPr>
          <w:b/>
          <w:bCs/>
          <w:color w:val="000000" w:themeColor="text1"/>
          <w:sz w:val="22"/>
          <w:szCs w:val="22"/>
          <w:lang w:val="pt-BR"/>
        </w:rPr>
        <w:t>ivil e suas contribuições para a continuidade educacional em uma pandemia</w:t>
      </w:r>
      <w:r w:rsidR="007800A2" w:rsidRPr="00913ACD">
        <w:rPr>
          <w:b/>
          <w:bCs/>
          <w:color w:val="000000" w:themeColor="text1"/>
          <w:sz w:val="22"/>
          <w:szCs w:val="22"/>
          <w:lang w:val="pt-BR"/>
        </w:rPr>
        <w:t>”</w:t>
      </w:r>
      <w:r w:rsidRPr="00913ACD">
        <w:rPr>
          <w:b/>
          <w:bCs/>
          <w:color w:val="000000" w:themeColor="text1"/>
          <w:sz w:val="22"/>
          <w:szCs w:val="22"/>
          <w:lang w:val="pt-BR"/>
        </w:rPr>
        <w:t>,</w:t>
      </w:r>
      <w:r w:rsidRPr="00913ACD">
        <w:rPr>
          <w:sz w:val="22"/>
          <w:szCs w:val="22"/>
          <w:lang w:val="pt-BR"/>
        </w:rPr>
        <w:t xml:space="preserve"> com a participação de</w:t>
      </w:r>
      <w:r w:rsidR="00C51D8E" w:rsidRPr="00913ACD">
        <w:rPr>
          <w:sz w:val="22"/>
          <w:szCs w:val="22"/>
          <w:lang w:val="pt-BR"/>
        </w:rPr>
        <w:t xml:space="preserve"> </w:t>
      </w:r>
      <w:r w:rsidRPr="00913ACD">
        <w:rPr>
          <w:color w:val="000000" w:themeColor="text1"/>
          <w:sz w:val="22"/>
          <w:szCs w:val="22"/>
          <w:lang w:val="pt-BR"/>
        </w:rPr>
        <w:t xml:space="preserve">68 OSCs de </w:t>
      </w:r>
      <w:r w:rsidR="0094656F" w:rsidRPr="00913ACD">
        <w:rPr>
          <w:color w:val="000000" w:themeColor="text1"/>
          <w:sz w:val="22"/>
          <w:szCs w:val="22"/>
          <w:lang w:val="pt-BR"/>
        </w:rPr>
        <w:t xml:space="preserve">16 </w:t>
      </w:r>
      <w:r w:rsidRPr="00913ACD">
        <w:rPr>
          <w:color w:val="000000" w:themeColor="text1"/>
          <w:sz w:val="22"/>
          <w:szCs w:val="22"/>
          <w:lang w:val="pt-BR"/>
        </w:rPr>
        <w:t>países,</w:t>
      </w:r>
      <w:r w:rsidRPr="00913ACD">
        <w:rPr>
          <w:sz w:val="22"/>
          <w:szCs w:val="22"/>
          <w:lang w:val="pt-BR"/>
        </w:rPr>
        <w:t xml:space="preserve"> e </w:t>
      </w:r>
      <w:r w:rsidR="007800A2" w:rsidRPr="00913ACD">
        <w:rPr>
          <w:sz w:val="22"/>
          <w:szCs w:val="22"/>
          <w:lang w:val="pt-BR"/>
        </w:rPr>
        <w:t>“</w:t>
      </w:r>
      <w:r w:rsidRPr="00913ACD">
        <w:rPr>
          <w:b/>
          <w:bCs/>
          <w:color w:val="000000" w:themeColor="text1"/>
          <w:sz w:val="22"/>
          <w:szCs w:val="22"/>
          <w:lang w:val="pt-BR"/>
        </w:rPr>
        <w:t>Reconstrução educacional pós-pandemia e uso de tecnologia no retorno progressivo à frequência</w:t>
      </w:r>
      <w:r w:rsidR="007800A2" w:rsidRPr="00913ACD">
        <w:rPr>
          <w:b/>
          <w:bCs/>
          <w:color w:val="000000" w:themeColor="text1"/>
          <w:sz w:val="22"/>
          <w:szCs w:val="22"/>
          <w:lang w:val="pt-BR"/>
        </w:rPr>
        <w:t>”</w:t>
      </w:r>
      <w:r w:rsidR="0094656F" w:rsidRPr="00913ACD">
        <w:rPr>
          <w:color w:val="000000" w:themeColor="text1"/>
          <w:sz w:val="22"/>
          <w:szCs w:val="22"/>
          <w:lang w:val="pt-BR"/>
        </w:rPr>
        <w:t xml:space="preserve">, </w:t>
      </w:r>
      <w:r w:rsidRPr="00913ACD">
        <w:rPr>
          <w:color w:val="000000" w:themeColor="text1"/>
          <w:sz w:val="22"/>
          <w:szCs w:val="22"/>
          <w:lang w:val="pt-BR"/>
        </w:rPr>
        <w:t xml:space="preserve">com a participação de 30 OSCs de </w:t>
      </w:r>
      <w:r w:rsidR="00AC5755" w:rsidRPr="00913ACD">
        <w:rPr>
          <w:color w:val="000000" w:themeColor="text1"/>
          <w:sz w:val="22"/>
          <w:szCs w:val="22"/>
          <w:lang w:val="pt-BR"/>
        </w:rPr>
        <w:t xml:space="preserve">12 </w:t>
      </w:r>
      <w:r w:rsidRPr="00913ACD">
        <w:rPr>
          <w:color w:val="000000" w:themeColor="text1"/>
          <w:sz w:val="22"/>
          <w:szCs w:val="22"/>
          <w:lang w:val="pt-BR"/>
        </w:rPr>
        <w:t>países.</w:t>
      </w:r>
    </w:p>
    <w:p w14:paraId="1AAEC045" w14:textId="6C704708" w:rsidR="005D753C" w:rsidRPr="00913ACD" w:rsidRDefault="005D753C"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Organizou mesas-redondas com mais de 80 representantes </w:t>
      </w:r>
      <w:r w:rsidR="004F2A85" w:rsidRPr="00913ACD">
        <w:rPr>
          <w:color w:val="000000" w:themeColor="text1"/>
          <w:sz w:val="22"/>
          <w:szCs w:val="22"/>
          <w:lang w:val="pt-BR"/>
        </w:rPr>
        <w:t>d</w:t>
      </w:r>
      <w:r w:rsidR="00AC5755" w:rsidRPr="00913ACD">
        <w:rPr>
          <w:color w:val="000000" w:themeColor="text1"/>
          <w:sz w:val="22"/>
          <w:szCs w:val="22"/>
          <w:lang w:val="pt-BR"/>
        </w:rPr>
        <w:t>e</w:t>
      </w:r>
      <w:r w:rsidR="004F2A85" w:rsidRPr="00913ACD">
        <w:rPr>
          <w:color w:val="000000" w:themeColor="text1"/>
          <w:sz w:val="22"/>
          <w:szCs w:val="22"/>
          <w:lang w:val="pt-BR"/>
        </w:rPr>
        <w:t xml:space="preserve"> m</w:t>
      </w:r>
      <w:r w:rsidR="00AC5755" w:rsidRPr="00913ACD">
        <w:rPr>
          <w:color w:val="000000" w:themeColor="text1"/>
          <w:sz w:val="22"/>
          <w:szCs w:val="22"/>
          <w:lang w:val="pt-BR"/>
        </w:rPr>
        <w:t>i</w:t>
      </w:r>
      <w:r w:rsidR="004F2A85" w:rsidRPr="00913ACD">
        <w:rPr>
          <w:color w:val="000000" w:themeColor="text1"/>
          <w:sz w:val="22"/>
          <w:szCs w:val="22"/>
          <w:lang w:val="pt-BR"/>
        </w:rPr>
        <w:t>nistérios da educação</w:t>
      </w:r>
      <w:r w:rsidRPr="00913ACD">
        <w:rPr>
          <w:color w:val="000000" w:themeColor="text1"/>
          <w:sz w:val="22"/>
          <w:szCs w:val="22"/>
          <w:lang w:val="pt-BR"/>
        </w:rPr>
        <w:t xml:space="preserve"> e OSC</w:t>
      </w:r>
      <w:r w:rsidR="00452FF4" w:rsidRPr="00913ACD">
        <w:rPr>
          <w:color w:val="000000" w:themeColor="text1"/>
          <w:sz w:val="22"/>
          <w:szCs w:val="22"/>
          <w:lang w:val="pt-BR"/>
        </w:rPr>
        <w:t>s</w:t>
      </w:r>
      <w:r w:rsidRPr="00913ACD">
        <w:rPr>
          <w:color w:val="000000" w:themeColor="text1"/>
          <w:sz w:val="22"/>
          <w:szCs w:val="22"/>
          <w:lang w:val="pt-BR"/>
        </w:rPr>
        <w:t>.</w:t>
      </w:r>
    </w:p>
    <w:p w14:paraId="018CFB5F" w14:textId="78148DB4" w:rsidR="00141240" w:rsidRPr="00913ACD" w:rsidRDefault="005D753C"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As OSCs compartilharam sua visão sobre materiais de aprendiza</w:t>
      </w:r>
      <w:r w:rsidR="00EE1347" w:rsidRPr="00913ACD">
        <w:rPr>
          <w:color w:val="000000" w:themeColor="text1"/>
          <w:sz w:val="22"/>
          <w:szCs w:val="22"/>
          <w:lang w:val="pt-BR"/>
        </w:rPr>
        <w:t>do</w:t>
      </w:r>
      <w:r w:rsidRPr="00913ACD">
        <w:rPr>
          <w:color w:val="000000" w:themeColor="text1"/>
          <w:sz w:val="22"/>
          <w:szCs w:val="22"/>
          <w:lang w:val="pt-BR"/>
        </w:rPr>
        <w:t xml:space="preserve"> digital no âmbito da </w:t>
      </w:r>
      <w:r w:rsidR="00813B3C" w:rsidRPr="00913ACD">
        <w:rPr>
          <w:color w:val="000000" w:themeColor="text1"/>
          <w:sz w:val="22"/>
          <w:szCs w:val="22"/>
          <w:lang w:val="pt-BR"/>
        </w:rPr>
        <w:t>Fundação</w:t>
      </w:r>
      <w:r w:rsidRPr="00913ACD">
        <w:rPr>
          <w:color w:val="000000" w:themeColor="text1"/>
          <w:sz w:val="22"/>
          <w:szCs w:val="22"/>
          <w:lang w:val="pt-BR"/>
        </w:rPr>
        <w:t xml:space="preserve"> Telefónica, Omar Dengo (Costa Rica) e </w:t>
      </w:r>
      <w:r w:rsidR="00813B3C" w:rsidRPr="00913ACD">
        <w:rPr>
          <w:color w:val="000000" w:themeColor="text1"/>
          <w:sz w:val="22"/>
          <w:szCs w:val="22"/>
          <w:lang w:val="pt-BR"/>
        </w:rPr>
        <w:t>Fundação</w:t>
      </w:r>
      <w:r w:rsidRPr="00913ACD">
        <w:rPr>
          <w:color w:val="000000" w:themeColor="text1"/>
          <w:sz w:val="22"/>
          <w:szCs w:val="22"/>
          <w:lang w:val="pt-BR"/>
        </w:rPr>
        <w:t xml:space="preserve"> DECA (Guatemala) no Fórum da Sociedade Civil.</w:t>
      </w:r>
    </w:p>
    <w:p w14:paraId="18941480" w14:textId="6A60E1DF" w:rsidR="00141240" w:rsidRPr="00913ACD" w:rsidRDefault="005D753C"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A </w:t>
      </w:r>
      <w:r w:rsidR="00813B3C" w:rsidRPr="00913ACD">
        <w:rPr>
          <w:color w:val="000000" w:themeColor="text1"/>
          <w:sz w:val="22"/>
          <w:szCs w:val="22"/>
          <w:lang w:val="pt-BR"/>
        </w:rPr>
        <w:t>Fundação</w:t>
      </w:r>
      <w:r w:rsidRPr="00913ACD">
        <w:rPr>
          <w:color w:val="000000" w:themeColor="text1"/>
          <w:sz w:val="22"/>
          <w:szCs w:val="22"/>
          <w:lang w:val="pt-BR"/>
        </w:rPr>
        <w:t xml:space="preserve"> Padre Arrupe (El Salvador), a Fundação Gabriel Lewis Galindo (Panamá), a Fundação Telefónica Movistar Chile, a Fundação Telefónica Movistar Uruguay e a Fundação Telefónica Peru aderiram ao processo de registro d</w:t>
      </w:r>
      <w:r w:rsidR="00233FBB" w:rsidRPr="00913ACD">
        <w:rPr>
          <w:color w:val="000000" w:themeColor="text1"/>
          <w:sz w:val="22"/>
          <w:szCs w:val="22"/>
          <w:lang w:val="pt-BR"/>
        </w:rPr>
        <w:t>e</w:t>
      </w:r>
      <w:r w:rsidRPr="00913ACD">
        <w:rPr>
          <w:color w:val="000000" w:themeColor="text1"/>
          <w:sz w:val="22"/>
          <w:szCs w:val="22"/>
          <w:lang w:val="pt-BR"/>
        </w:rPr>
        <w:t xml:space="preserve"> </w:t>
      </w:r>
      <w:r w:rsidR="00A87875" w:rsidRPr="00913ACD">
        <w:rPr>
          <w:color w:val="000000" w:themeColor="text1"/>
          <w:sz w:val="22"/>
          <w:szCs w:val="22"/>
          <w:lang w:val="pt-BR"/>
        </w:rPr>
        <w:t>o</w:t>
      </w:r>
      <w:r w:rsidRPr="00913ACD">
        <w:rPr>
          <w:color w:val="000000" w:themeColor="text1"/>
          <w:sz w:val="22"/>
          <w:szCs w:val="22"/>
          <w:lang w:val="pt-BR"/>
        </w:rPr>
        <w:t>rganizaç</w:t>
      </w:r>
      <w:r w:rsidR="00233FBB" w:rsidRPr="00913ACD">
        <w:rPr>
          <w:color w:val="000000" w:themeColor="text1"/>
          <w:sz w:val="22"/>
          <w:szCs w:val="22"/>
          <w:lang w:val="pt-BR"/>
        </w:rPr>
        <w:t>ões</w:t>
      </w:r>
      <w:r w:rsidRPr="00913ACD">
        <w:rPr>
          <w:color w:val="000000" w:themeColor="text1"/>
          <w:sz w:val="22"/>
          <w:szCs w:val="22"/>
          <w:lang w:val="pt-BR"/>
        </w:rPr>
        <w:t xml:space="preserve"> da </w:t>
      </w:r>
      <w:r w:rsidR="00A87875" w:rsidRPr="00913ACD">
        <w:rPr>
          <w:color w:val="000000" w:themeColor="text1"/>
          <w:sz w:val="22"/>
          <w:szCs w:val="22"/>
          <w:lang w:val="pt-BR"/>
        </w:rPr>
        <w:t>s</w:t>
      </w:r>
      <w:r w:rsidRPr="00913ACD">
        <w:rPr>
          <w:color w:val="000000" w:themeColor="text1"/>
          <w:sz w:val="22"/>
          <w:szCs w:val="22"/>
          <w:lang w:val="pt-BR"/>
        </w:rPr>
        <w:t xml:space="preserve">ociedade </w:t>
      </w:r>
      <w:r w:rsidR="00A87875" w:rsidRPr="00913ACD">
        <w:rPr>
          <w:color w:val="000000" w:themeColor="text1"/>
          <w:sz w:val="22"/>
          <w:szCs w:val="22"/>
          <w:lang w:val="pt-BR"/>
        </w:rPr>
        <w:t>c</w:t>
      </w:r>
      <w:r w:rsidRPr="00913ACD">
        <w:rPr>
          <w:color w:val="000000" w:themeColor="text1"/>
          <w:sz w:val="22"/>
          <w:szCs w:val="22"/>
          <w:lang w:val="pt-BR"/>
        </w:rPr>
        <w:t>ivil da OEA.</w:t>
      </w:r>
    </w:p>
    <w:p w14:paraId="03E333B1" w14:textId="77777777" w:rsidR="00141240" w:rsidRPr="00913ACD" w:rsidRDefault="00141240" w:rsidP="00CB030B">
      <w:pPr>
        <w:pStyle w:val="ListParagraph"/>
        <w:ind w:left="1440"/>
        <w:jc w:val="both"/>
        <w:rPr>
          <w:rFonts w:eastAsia="Cambria"/>
          <w:color w:val="000000" w:themeColor="text1"/>
          <w:sz w:val="22"/>
          <w:szCs w:val="22"/>
          <w:lang w:val="pt-BR"/>
        </w:rPr>
      </w:pPr>
    </w:p>
    <w:p w14:paraId="23CBDE4E" w14:textId="2265D3F0" w:rsidR="00141240" w:rsidRPr="00913ACD" w:rsidRDefault="00141240"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615 cidadãos de 22</w:t>
      </w:r>
      <w:r w:rsidR="00C51D8E" w:rsidRPr="00913ACD">
        <w:rPr>
          <w:color w:val="000000" w:themeColor="text1"/>
          <w:sz w:val="22"/>
          <w:szCs w:val="22"/>
          <w:lang w:val="pt-BR"/>
        </w:rPr>
        <w:t xml:space="preserve"> </w:t>
      </w:r>
      <w:r w:rsidR="005F30B1" w:rsidRPr="00913ACD">
        <w:rPr>
          <w:color w:val="000000" w:themeColor="text1"/>
          <w:sz w:val="22"/>
          <w:szCs w:val="22"/>
          <w:lang w:val="pt-BR"/>
        </w:rPr>
        <w:t>Estados membros</w:t>
      </w:r>
      <w:r w:rsidRPr="00913ACD">
        <w:rPr>
          <w:sz w:val="22"/>
          <w:szCs w:val="22"/>
          <w:lang w:val="pt-BR"/>
        </w:rPr>
        <w:t xml:space="preserve"> se</w:t>
      </w:r>
      <w:r w:rsidR="00C51D8E" w:rsidRPr="00913ACD">
        <w:rPr>
          <w:sz w:val="22"/>
          <w:szCs w:val="22"/>
          <w:lang w:val="pt-BR"/>
        </w:rPr>
        <w:t xml:space="preserve"> </w:t>
      </w:r>
      <w:r w:rsidRPr="00913ACD">
        <w:rPr>
          <w:color w:val="000000" w:themeColor="text1"/>
          <w:sz w:val="22"/>
          <w:szCs w:val="22"/>
          <w:lang w:val="pt-BR"/>
        </w:rPr>
        <w:t xml:space="preserve">inscreveram para cursos e diplomas on-line, </w:t>
      </w:r>
      <w:r w:rsidR="00872B85" w:rsidRPr="00913ACD">
        <w:rPr>
          <w:color w:val="000000" w:themeColor="text1"/>
          <w:sz w:val="22"/>
          <w:szCs w:val="22"/>
          <w:lang w:val="pt-BR"/>
        </w:rPr>
        <w:t xml:space="preserve">dos quais </w:t>
      </w:r>
      <w:r w:rsidRPr="00913ACD">
        <w:rPr>
          <w:color w:val="000000" w:themeColor="text1"/>
          <w:sz w:val="22"/>
          <w:szCs w:val="22"/>
          <w:lang w:val="pt-BR"/>
        </w:rPr>
        <w:t xml:space="preserve">234 </w:t>
      </w:r>
      <w:r w:rsidR="00196E16">
        <w:rPr>
          <w:color w:val="000000" w:themeColor="text1"/>
          <w:sz w:val="22"/>
          <w:szCs w:val="22"/>
          <w:lang w:val="pt-BR"/>
        </w:rPr>
        <w:t xml:space="preserve">foram </w:t>
      </w:r>
      <w:r w:rsidRPr="00913ACD">
        <w:rPr>
          <w:color w:val="000000" w:themeColor="text1"/>
          <w:sz w:val="22"/>
          <w:szCs w:val="22"/>
          <w:lang w:val="pt-BR"/>
        </w:rPr>
        <w:t>beneficia</w:t>
      </w:r>
      <w:r w:rsidR="00196E16">
        <w:rPr>
          <w:color w:val="000000" w:themeColor="text1"/>
          <w:sz w:val="22"/>
          <w:szCs w:val="22"/>
          <w:lang w:val="pt-BR"/>
        </w:rPr>
        <w:t>dos</w:t>
      </w:r>
      <w:r w:rsidR="001306C4">
        <w:rPr>
          <w:color w:val="000000" w:themeColor="text1"/>
          <w:sz w:val="22"/>
          <w:szCs w:val="22"/>
          <w:lang w:val="pt-BR"/>
        </w:rPr>
        <w:t xml:space="preserve"> </w:t>
      </w:r>
      <w:r w:rsidR="00872B85" w:rsidRPr="00913ACD">
        <w:rPr>
          <w:color w:val="000000" w:themeColor="text1"/>
          <w:sz w:val="22"/>
          <w:szCs w:val="22"/>
          <w:lang w:val="pt-BR"/>
        </w:rPr>
        <w:t>com</w:t>
      </w:r>
      <w:r w:rsidRPr="00913ACD">
        <w:rPr>
          <w:color w:val="000000" w:themeColor="text1"/>
          <w:sz w:val="22"/>
          <w:szCs w:val="22"/>
          <w:lang w:val="pt-BR"/>
        </w:rPr>
        <w:t xml:space="preserve"> bolsas parciais </w:t>
      </w:r>
      <w:r w:rsidR="00E42BA6" w:rsidRPr="00913ACD">
        <w:rPr>
          <w:color w:val="000000" w:themeColor="text1"/>
          <w:sz w:val="22"/>
          <w:szCs w:val="22"/>
          <w:lang w:val="pt-BR"/>
        </w:rPr>
        <w:t>de cursos d</w:t>
      </w:r>
      <w:r w:rsidRPr="00913ACD">
        <w:rPr>
          <w:color w:val="000000" w:themeColor="text1"/>
          <w:sz w:val="22"/>
          <w:szCs w:val="22"/>
          <w:lang w:val="pt-BR"/>
        </w:rPr>
        <w:t xml:space="preserve">a Sala de Aula Virtual do </w:t>
      </w:r>
      <w:r w:rsidR="00BD02D0" w:rsidRPr="00913ACD">
        <w:rPr>
          <w:color w:val="000000" w:themeColor="text1"/>
          <w:sz w:val="22"/>
          <w:szCs w:val="22"/>
          <w:lang w:val="pt-BR"/>
        </w:rPr>
        <w:t>Portal de Educação</w:t>
      </w:r>
      <w:r w:rsidRPr="00913ACD">
        <w:rPr>
          <w:color w:val="000000" w:themeColor="text1"/>
          <w:sz w:val="22"/>
          <w:szCs w:val="22"/>
          <w:lang w:val="pt-BR"/>
        </w:rPr>
        <w:t xml:space="preserve"> das Américas.</w:t>
      </w:r>
    </w:p>
    <w:p w14:paraId="366C463E" w14:textId="77777777" w:rsidR="00361BA0" w:rsidRPr="00913ACD" w:rsidRDefault="00361BA0" w:rsidP="00361BA0">
      <w:pPr>
        <w:pStyle w:val="ListParagraph"/>
        <w:ind w:left="1440"/>
        <w:jc w:val="both"/>
        <w:rPr>
          <w:rFonts w:eastAsia="Cambria"/>
          <w:color w:val="000000" w:themeColor="text1"/>
          <w:sz w:val="22"/>
          <w:szCs w:val="22"/>
          <w:lang w:val="pt-BR"/>
        </w:rPr>
      </w:pPr>
    </w:p>
    <w:p w14:paraId="5F1C1CC4" w14:textId="34E4AAB1" w:rsidR="00141240" w:rsidRPr="00913ACD" w:rsidRDefault="00141240"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3.291 pessoas receberam acesso gratuito a </w:t>
      </w:r>
      <w:r w:rsidR="008D3F78" w:rsidRPr="00913ACD">
        <w:rPr>
          <w:color w:val="000000" w:themeColor="text1"/>
          <w:sz w:val="22"/>
          <w:szCs w:val="22"/>
          <w:lang w:val="pt-BR"/>
        </w:rPr>
        <w:t>cursos</w:t>
      </w:r>
      <w:r w:rsidR="00396D4F" w:rsidRPr="00913ACD">
        <w:rPr>
          <w:color w:val="000000" w:themeColor="text1"/>
          <w:sz w:val="22"/>
          <w:szCs w:val="22"/>
          <w:lang w:val="pt-BR"/>
        </w:rPr>
        <w:t xml:space="preserve"> abertos </w:t>
      </w:r>
      <w:r w:rsidR="002E0759" w:rsidRPr="00913ACD">
        <w:rPr>
          <w:color w:val="000000" w:themeColor="text1"/>
          <w:sz w:val="22"/>
          <w:szCs w:val="22"/>
          <w:lang w:val="pt-BR"/>
        </w:rPr>
        <w:t>em massa on-line</w:t>
      </w:r>
      <w:r w:rsidR="004342F0" w:rsidRPr="00913ACD">
        <w:rPr>
          <w:color w:val="000000" w:themeColor="text1"/>
          <w:sz w:val="22"/>
          <w:szCs w:val="22"/>
          <w:lang w:val="pt-BR"/>
        </w:rPr>
        <w:t xml:space="preserve"> </w:t>
      </w:r>
      <w:r w:rsidRPr="00913ACD">
        <w:rPr>
          <w:color w:val="000000" w:themeColor="text1"/>
          <w:sz w:val="22"/>
          <w:szCs w:val="22"/>
          <w:lang w:val="pt-BR"/>
        </w:rPr>
        <w:t>nas áreas de educação, direitos humanos, assuntos de gênero, educação STEM-STEAM e segurança cibernética.</w:t>
      </w:r>
    </w:p>
    <w:p w14:paraId="34FBE6CA" w14:textId="77777777" w:rsidR="00361BA0" w:rsidRPr="00913ACD" w:rsidRDefault="00361BA0" w:rsidP="00361BA0">
      <w:pPr>
        <w:pStyle w:val="ListParagraph"/>
        <w:rPr>
          <w:rFonts w:eastAsia="Cambria"/>
          <w:color w:val="000000" w:themeColor="text1"/>
          <w:sz w:val="22"/>
          <w:szCs w:val="22"/>
          <w:lang w:val="pt-BR"/>
        </w:rPr>
      </w:pPr>
    </w:p>
    <w:p w14:paraId="13DD7787" w14:textId="0D966911" w:rsidR="00141240" w:rsidRPr="00913ACD" w:rsidRDefault="005D753C"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Produziu </w:t>
      </w:r>
      <w:r w:rsidR="004342F0" w:rsidRPr="00913ACD">
        <w:rPr>
          <w:color w:val="000000" w:themeColor="text1"/>
          <w:sz w:val="22"/>
          <w:szCs w:val="22"/>
          <w:lang w:val="pt-BR"/>
        </w:rPr>
        <w:t xml:space="preserve">14 </w:t>
      </w:r>
      <w:r w:rsidRPr="00913ACD">
        <w:rPr>
          <w:color w:val="000000" w:themeColor="text1"/>
          <w:sz w:val="22"/>
          <w:szCs w:val="22"/>
          <w:lang w:val="pt-BR"/>
        </w:rPr>
        <w:t xml:space="preserve">cursos virtuais em coordenação com parceiros estratégicos da OEA, </w:t>
      </w:r>
      <w:r w:rsidR="00FB4195" w:rsidRPr="00913ACD">
        <w:rPr>
          <w:color w:val="000000" w:themeColor="text1"/>
          <w:sz w:val="22"/>
          <w:szCs w:val="22"/>
          <w:lang w:val="pt-BR"/>
        </w:rPr>
        <w:t>capacitando</w:t>
      </w:r>
      <w:r w:rsidRPr="00913ACD">
        <w:rPr>
          <w:color w:val="000000" w:themeColor="text1"/>
          <w:sz w:val="22"/>
          <w:szCs w:val="22"/>
          <w:lang w:val="pt-BR"/>
        </w:rPr>
        <w:t>:</w:t>
      </w:r>
    </w:p>
    <w:p w14:paraId="323F2FF7" w14:textId="77777777" w:rsidR="00141240" w:rsidRPr="00913ACD" w:rsidRDefault="00141240" w:rsidP="00CB030B">
      <w:pPr>
        <w:pStyle w:val="ListParagraph"/>
        <w:rPr>
          <w:color w:val="000000" w:themeColor="text1"/>
          <w:sz w:val="22"/>
          <w:szCs w:val="22"/>
          <w:lang w:val="pt-BR"/>
        </w:rPr>
      </w:pPr>
    </w:p>
    <w:p w14:paraId="3D1FD9DE" w14:textId="615A5207" w:rsidR="00141240" w:rsidRPr="00913ACD" w:rsidRDefault="00141240"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2.580 pessoas em direitos humanos (Comissão Interamericana de Direitos Humanos)</w:t>
      </w:r>
      <w:r w:rsidR="004B3E0A">
        <w:rPr>
          <w:color w:val="000000" w:themeColor="text1"/>
          <w:sz w:val="22"/>
          <w:szCs w:val="22"/>
          <w:lang w:val="pt-BR"/>
        </w:rPr>
        <w:t>;</w:t>
      </w:r>
    </w:p>
    <w:p w14:paraId="09F5E9E6" w14:textId="509199CB" w:rsidR="00141240" w:rsidRPr="00913ACD" w:rsidRDefault="00141240"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400 pessoas em prevenção e atenção ao tráfico de pessoas (Secretaria de Segurança Pública)</w:t>
      </w:r>
      <w:r w:rsidR="004B3E0A">
        <w:rPr>
          <w:color w:val="000000" w:themeColor="text1"/>
          <w:sz w:val="22"/>
          <w:szCs w:val="22"/>
          <w:lang w:val="pt-BR"/>
        </w:rPr>
        <w:t>;</w:t>
      </w:r>
      <w:r w:rsidRPr="00913ACD">
        <w:rPr>
          <w:color w:val="000000" w:themeColor="text1"/>
          <w:sz w:val="22"/>
          <w:szCs w:val="22"/>
          <w:lang w:val="pt-BR"/>
        </w:rPr>
        <w:t xml:space="preserve"> e</w:t>
      </w:r>
    </w:p>
    <w:p w14:paraId="3A1AE4A3" w14:textId="2D0C8705" w:rsidR="00141240" w:rsidRPr="00913ACD" w:rsidRDefault="00141240"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50 pessoas em prevenção da violência de gênero no local de trabalho (</w:t>
      </w:r>
      <w:r w:rsidR="00E90584" w:rsidRPr="00913ACD">
        <w:rPr>
          <w:color w:val="000000" w:themeColor="text1"/>
          <w:sz w:val="22"/>
          <w:szCs w:val="22"/>
          <w:lang w:val="pt-BR"/>
        </w:rPr>
        <w:t xml:space="preserve">parceria </w:t>
      </w:r>
      <w:r w:rsidRPr="00913ACD">
        <w:rPr>
          <w:color w:val="000000" w:themeColor="text1"/>
          <w:sz w:val="22"/>
          <w:szCs w:val="22"/>
          <w:lang w:val="pt-BR"/>
        </w:rPr>
        <w:t xml:space="preserve">com a Comissão Interamericana </w:t>
      </w:r>
      <w:r w:rsidR="00327AFB" w:rsidRPr="00913ACD">
        <w:rPr>
          <w:color w:val="000000" w:themeColor="text1"/>
          <w:sz w:val="22"/>
          <w:szCs w:val="22"/>
          <w:lang w:val="pt-BR"/>
        </w:rPr>
        <w:t xml:space="preserve">de </w:t>
      </w:r>
      <w:r w:rsidRPr="00913ACD">
        <w:rPr>
          <w:color w:val="000000" w:themeColor="text1"/>
          <w:sz w:val="22"/>
          <w:szCs w:val="22"/>
          <w:lang w:val="pt-BR"/>
        </w:rPr>
        <w:t>Mulher</w:t>
      </w:r>
      <w:r w:rsidR="00327AFB" w:rsidRPr="00913ACD">
        <w:rPr>
          <w:color w:val="000000" w:themeColor="text1"/>
          <w:sz w:val="22"/>
          <w:szCs w:val="22"/>
          <w:lang w:val="pt-BR"/>
        </w:rPr>
        <w:t>es</w:t>
      </w:r>
      <w:r w:rsidRPr="00913ACD">
        <w:rPr>
          <w:color w:val="000000" w:themeColor="text1"/>
          <w:sz w:val="22"/>
          <w:szCs w:val="22"/>
          <w:lang w:val="pt-BR"/>
        </w:rPr>
        <w:t xml:space="preserve"> (CIM) e a </w:t>
      </w:r>
      <w:r w:rsidR="005D753C" w:rsidRPr="00913ACD">
        <w:rPr>
          <w:color w:val="000000" w:themeColor="text1"/>
          <w:sz w:val="22"/>
          <w:szCs w:val="22"/>
          <w:lang w:val="pt-BR"/>
        </w:rPr>
        <w:t xml:space="preserve">Rede </w:t>
      </w:r>
      <w:r w:rsidR="00A57BC2" w:rsidRPr="00913ACD">
        <w:rPr>
          <w:color w:val="000000" w:themeColor="text1"/>
          <w:sz w:val="22"/>
          <w:szCs w:val="22"/>
          <w:lang w:val="pt-BR"/>
        </w:rPr>
        <w:t>Interamericana para a Administração Trabalhista</w:t>
      </w:r>
      <w:r w:rsidR="005D753C" w:rsidRPr="00913ACD">
        <w:rPr>
          <w:color w:val="000000" w:themeColor="text1"/>
          <w:sz w:val="22"/>
          <w:szCs w:val="22"/>
          <w:lang w:val="pt-BR"/>
        </w:rPr>
        <w:t xml:space="preserve"> (</w:t>
      </w:r>
      <w:r w:rsidR="001324FD" w:rsidRPr="00913ACD">
        <w:rPr>
          <w:color w:val="000000" w:themeColor="text1"/>
          <w:sz w:val="22"/>
          <w:szCs w:val="22"/>
          <w:lang w:val="pt-BR"/>
        </w:rPr>
        <w:t>RIAT</w:t>
      </w:r>
      <w:r w:rsidRPr="00913ACD">
        <w:rPr>
          <w:color w:val="000000" w:themeColor="text1"/>
          <w:sz w:val="22"/>
          <w:szCs w:val="22"/>
          <w:lang w:val="pt-BR"/>
        </w:rPr>
        <w:t>)).</w:t>
      </w:r>
    </w:p>
    <w:p w14:paraId="14138B17" w14:textId="5D0E91D0" w:rsidR="00141240" w:rsidRDefault="00141240" w:rsidP="00CB030B">
      <w:pPr>
        <w:jc w:val="both"/>
        <w:rPr>
          <w:rFonts w:ascii="Times New Roman" w:eastAsia="Calibri" w:hAnsi="Times New Roman" w:cs="Times New Roman"/>
          <w:color w:val="000000" w:themeColor="text1"/>
          <w:sz w:val="22"/>
          <w:szCs w:val="22"/>
          <w:lang w:val="pt-BR"/>
        </w:rPr>
      </w:pPr>
    </w:p>
    <w:p w14:paraId="12FCB2EE" w14:textId="03692131" w:rsidR="007A6E7B" w:rsidRDefault="007A6E7B" w:rsidP="00CB030B">
      <w:pPr>
        <w:jc w:val="both"/>
        <w:rPr>
          <w:rFonts w:ascii="Times New Roman" w:eastAsia="Calibri" w:hAnsi="Times New Roman" w:cs="Times New Roman"/>
          <w:color w:val="000000" w:themeColor="text1"/>
          <w:sz w:val="22"/>
          <w:szCs w:val="22"/>
          <w:lang w:val="pt-BR"/>
        </w:rPr>
      </w:pPr>
    </w:p>
    <w:p w14:paraId="321AB69A" w14:textId="66B88B27" w:rsidR="00D9541C" w:rsidRPr="00913ACD" w:rsidRDefault="007427DB" w:rsidP="00CB030B">
      <w:pPr>
        <w:jc w:val="both"/>
        <w:rPr>
          <w:rFonts w:ascii="Times New Roman" w:eastAsia="Calibri" w:hAnsi="Times New Roman" w:cs="Times New Roman"/>
          <w:b/>
          <w:bCs/>
          <w:color w:val="000000" w:themeColor="text1"/>
          <w:sz w:val="22"/>
          <w:szCs w:val="22"/>
          <w:u w:val="single"/>
          <w:lang w:val="pt-BR"/>
        </w:rPr>
      </w:pPr>
      <w:bookmarkStart w:id="6" w:name="_Hlk94634094"/>
      <w:r w:rsidRPr="00913ACD">
        <w:rPr>
          <w:rFonts w:ascii="Times New Roman" w:hAnsi="Times New Roman" w:cs="Times New Roman"/>
          <w:b/>
          <w:color w:val="000000" w:themeColor="text1"/>
          <w:sz w:val="22"/>
          <w:szCs w:val="22"/>
          <w:u w:val="single"/>
          <w:lang w:val="pt-BR"/>
        </w:rPr>
        <w:t>OBJETIVO</w:t>
      </w:r>
      <w:r w:rsidR="00141240" w:rsidRPr="00913ACD">
        <w:rPr>
          <w:rFonts w:ascii="Times New Roman" w:hAnsi="Times New Roman" w:cs="Times New Roman"/>
          <w:b/>
          <w:color w:val="000000" w:themeColor="text1"/>
          <w:sz w:val="22"/>
          <w:szCs w:val="22"/>
          <w:u w:val="single"/>
          <w:lang w:val="pt-BR"/>
        </w:rPr>
        <w:t xml:space="preserve"> 3.3</w:t>
      </w:r>
    </w:p>
    <w:p w14:paraId="6220A730" w14:textId="77777777" w:rsidR="00E85D19" w:rsidRPr="00913ACD" w:rsidRDefault="00E85D19" w:rsidP="00CB030B">
      <w:pPr>
        <w:jc w:val="both"/>
        <w:rPr>
          <w:rFonts w:ascii="Times New Roman" w:eastAsia="Calibri" w:hAnsi="Times New Roman" w:cs="Times New Roman"/>
          <w:b/>
          <w:bCs/>
          <w:color w:val="000000" w:themeColor="text1"/>
          <w:sz w:val="22"/>
          <w:szCs w:val="22"/>
          <w:u w:val="single"/>
          <w:lang w:val="pt-BR"/>
        </w:rPr>
      </w:pPr>
    </w:p>
    <w:p w14:paraId="4CCBB384" w14:textId="3D711ED3" w:rsidR="00141240" w:rsidRPr="00913ACD" w:rsidRDefault="00C7467F" w:rsidP="00CB030B">
      <w:pPr>
        <w:ind w:firstLine="720"/>
        <w:jc w:val="both"/>
        <w:rPr>
          <w:rFonts w:ascii="Times New Roman" w:eastAsia="Calibri" w:hAnsi="Times New Roman" w:cs="Times New Roman"/>
          <w:color w:val="000000" w:themeColor="text1"/>
          <w:sz w:val="22"/>
          <w:szCs w:val="22"/>
          <w:lang w:val="pt-BR"/>
        </w:rPr>
      </w:pPr>
      <w:r w:rsidRPr="00913ACD">
        <w:rPr>
          <w:rFonts w:ascii="Times New Roman" w:hAnsi="Times New Roman" w:cs="Times New Roman"/>
          <w:sz w:val="22"/>
          <w:szCs w:val="22"/>
          <w:lang w:val="pt-BR"/>
        </w:rPr>
        <w:t>Fortalecer a capacidade institucional dos Estados membros de oferecer atenção integral à primeira infância</w:t>
      </w:r>
      <w:r w:rsidR="00141240" w:rsidRPr="00913ACD">
        <w:rPr>
          <w:rFonts w:ascii="Times New Roman" w:hAnsi="Times New Roman" w:cs="Times New Roman"/>
          <w:color w:val="000000" w:themeColor="text1"/>
          <w:sz w:val="22"/>
          <w:szCs w:val="22"/>
          <w:lang w:val="pt-BR"/>
        </w:rPr>
        <w:t>.</w:t>
      </w:r>
    </w:p>
    <w:p w14:paraId="3DB2B7B4" w14:textId="77777777" w:rsidR="00141240" w:rsidRPr="00913ACD" w:rsidRDefault="00141240" w:rsidP="00CB030B">
      <w:pPr>
        <w:contextualSpacing/>
        <w:jc w:val="both"/>
        <w:rPr>
          <w:rFonts w:ascii="Times New Roman" w:eastAsia="Cambria" w:hAnsi="Times New Roman" w:cs="Times New Roman"/>
          <w:color w:val="000000" w:themeColor="text1"/>
          <w:sz w:val="22"/>
          <w:szCs w:val="22"/>
          <w:lang w:val="pt-BR"/>
        </w:rPr>
      </w:pPr>
    </w:p>
    <w:p w14:paraId="0C3E4BB0" w14:textId="35A0EB36" w:rsidR="00141240" w:rsidRPr="00913ACD" w:rsidRDefault="00141240"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Assinou um acordo de copatrocínio com a Universidade das Índias Ocidentais (UWI) para </w:t>
      </w:r>
      <w:r w:rsidR="00793F67" w:rsidRPr="00913ACD">
        <w:rPr>
          <w:color w:val="000000" w:themeColor="text1"/>
          <w:sz w:val="22"/>
          <w:szCs w:val="22"/>
          <w:lang w:val="pt-BR"/>
        </w:rPr>
        <w:t xml:space="preserve">a concessão de 19 </w:t>
      </w:r>
      <w:r w:rsidRPr="00913ACD">
        <w:rPr>
          <w:color w:val="000000" w:themeColor="text1"/>
          <w:sz w:val="22"/>
          <w:szCs w:val="22"/>
          <w:lang w:val="pt-BR"/>
        </w:rPr>
        <w:t xml:space="preserve">bolsas de estudo para o ano acadêmico 2021-2022 </w:t>
      </w:r>
      <w:r w:rsidR="00945CB8" w:rsidRPr="00913ACD">
        <w:rPr>
          <w:color w:val="000000" w:themeColor="text1"/>
          <w:sz w:val="22"/>
          <w:szCs w:val="22"/>
          <w:lang w:val="pt-BR"/>
        </w:rPr>
        <w:t>a</w:t>
      </w:r>
      <w:r w:rsidRPr="00913ACD">
        <w:rPr>
          <w:color w:val="000000" w:themeColor="text1"/>
          <w:sz w:val="22"/>
          <w:szCs w:val="22"/>
          <w:lang w:val="pt-BR"/>
        </w:rPr>
        <w:t>o Programa de Parcerias OEA-UWI para Beneficiários de Bolsas de Estudo de Educação e Treinamento d</w:t>
      </w:r>
      <w:r w:rsidR="00EF2AA9" w:rsidRPr="00913ACD">
        <w:rPr>
          <w:color w:val="000000" w:themeColor="text1"/>
          <w:sz w:val="22"/>
          <w:szCs w:val="22"/>
          <w:lang w:val="pt-BR"/>
        </w:rPr>
        <w:t>os</w:t>
      </w:r>
      <w:r w:rsidR="00C51D8E" w:rsidRPr="00913ACD">
        <w:rPr>
          <w:color w:val="000000" w:themeColor="text1"/>
          <w:sz w:val="22"/>
          <w:szCs w:val="22"/>
          <w:lang w:val="pt-BR"/>
        </w:rPr>
        <w:t xml:space="preserve"> </w:t>
      </w:r>
      <w:r w:rsidR="00EF2AA9" w:rsidRPr="00913ACD">
        <w:rPr>
          <w:color w:val="000000" w:themeColor="text1"/>
          <w:sz w:val="22"/>
          <w:szCs w:val="22"/>
          <w:lang w:val="pt-BR"/>
        </w:rPr>
        <w:t>E</w:t>
      </w:r>
      <w:r w:rsidR="005F30B1" w:rsidRPr="00913ACD">
        <w:rPr>
          <w:color w:val="000000" w:themeColor="text1"/>
          <w:sz w:val="22"/>
          <w:szCs w:val="22"/>
          <w:lang w:val="pt-BR"/>
        </w:rPr>
        <w:t>stados</w:t>
      </w:r>
      <w:r w:rsidRPr="00913ACD">
        <w:rPr>
          <w:sz w:val="22"/>
          <w:szCs w:val="22"/>
          <w:lang w:val="pt-BR"/>
        </w:rPr>
        <w:t xml:space="preserve"> </w:t>
      </w:r>
      <w:r w:rsidR="00EF2AA9" w:rsidRPr="00913ACD">
        <w:rPr>
          <w:sz w:val="22"/>
          <w:szCs w:val="22"/>
          <w:lang w:val="pt-BR"/>
        </w:rPr>
        <w:t xml:space="preserve">membros de fala inglesa </w:t>
      </w:r>
      <w:r w:rsidRPr="00913ACD">
        <w:rPr>
          <w:sz w:val="22"/>
          <w:szCs w:val="22"/>
          <w:lang w:val="pt-BR"/>
        </w:rPr>
        <w:t>do Caribe</w:t>
      </w:r>
      <w:r w:rsidR="00C51D8E" w:rsidRPr="00913ACD">
        <w:rPr>
          <w:sz w:val="22"/>
          <w:szCs w:val="22"/>
          <w:lang w:val="pt-BR"/>
        </w:rPr>
        <w:t xml:space="preserve"> </w:t>
      </w:r>
      <w:r w:rsidRPr="00913ACD">
        <w:rPr>
          <w:color w:val="000000" w:themeColor="text1"/>
          <w:sz w:val="22"/>
          <w:szCs w:val="22"/>
          <w:lang w:val="pt-BR"/>
        </w:rPr>
        <w:t>registrados no</w:t>
      </w:r>
      <w:r w:rsidR="00C51D8E" w:rsidRPr="00913ACD">
        <w:rPr>
          <w:color w:val="000000" w:themeColor="text1"/>
          <w:sz w:val="22"/>
          <w:szCs w:val="22"/>
          <w:lang w:val="pt-BR"/>
        </w:rPr>
        <w:t xml:space="preserve"> </w:t>
      </w:r>
      <w:r w:rsidRPr="00913ACD">
        <w:rPr>
          <w:color w:val="000000" w:themeColor="text1"/>
          <w:sz w:val="22"/>
          <w:szCs w:val="22"/>
          <w:lang w:val="pt-BR"/>
        </w:rPr>
        <w:t>curso de certificação</w:t>
      </w:r>
      <w:r w:rsidRPr="00913ACD">
        <w:rPr>
          <w:sz w:val="22"/>
          <w:szCs w:val="22"/>
          <w:lang w:val="pt-BR"/>
        </w:rPr>
        <w:t xml:space="preserve"> de </w:t>
      </w:r>
      <w:r w:rsidR="006669F6" w:rsidRPr="00913ACD">
        <w:rPr>
          <w:b/>
          <w:bCs/>
          <w:color w:val="000000" w:themeColor="text1"/>
          <w:sz w:val="22"/>
          <w:szCs w:val="22"/>
          <w:lang w:val="pt-BR"/>
        </w:rPr>
        <w:t xml:space="preserve">Estudos </w:t>
      </w:r>
      <w:r w:rsidR="009D7B2B" w:rsidRPr="00913ACD">
        <w:rPr>
          <w:b/>
          <w:bCs/>
          <w:color w:val="000000" w:themeColor="text1"/>
          <w:sz w:val="22"/>
          <w:szCs w:val="22"/>
          <w:lang w:val="pt-BR"/>
        </w:rPr>
        <w:t xml:space="preserve">sobre </w:t>
      </w:r>
      <w:r w:rsidR="004D1ED6">
        <w:rPr>
          <w:b/>
          <w:bCs/>
          <w:color w:val="000000" w:themeColor="text1"/>
          <w:sz w:val="22"/>
          <w:szCs w:val="22"/>
          <w:lang w:val="pt-BR"/>
        </w:rPr>
        <w:t>d</w:t>
      </w:r>
      <w:r w:rsidRPr="00913ACD">
        <w:rPr>
          <w:b/>
          <w:bCs/>
          <w:color w:val="000000" w:themeColor="text1"/>
          <w:sz w:val="22"/>
          <w:szCs w:val="22"/>
          <w:lang w:val="pt-BR"/>
        </w:rPr>
        <w:t xml:space="preserve">esenvolvimento da </w:t>
      </w:r>
      <w:r w:rsidR="004D1ED6">
        <w:rPr>
          <w:b/>
          <w:bCs/>
          <w:color w:val="000000" w:themeColor="text1"/>
          <w:sz w:val="22"/>
          <w:szCs w:val="22"/>
          <w:lang w:val="pt-BR"/>
        </w:rPr>
        <w:t>p</w:t>
      </w:r>
      <w:r w:rsidRPr="00913ACD">
        <w:rPr>
          <w:b/>
          <w:bCs/>
          <w:color w:val="000000" w:themeColor="text1"/>
          <w:sz w:val="22"/>
          <w:szCs w:val="22"/>
          <w:lang w:val="pt-BR"/>
        </w:rPr>
        <w:t xml:space="preserve">rimeira </w:t>
      </w:r>
      <w:r w:rsidR="004D1ED6">
        <w:rPr>
          <w:b/>
          <w:bCs/>
          <w:color w:val="000000" w:themeColor="text1"/>
          <w:sz w:val="22"/>
          <w:szCs w:val="22"/>
          <w:lang w:val="pt-BR"/>
        </w:rPr>
        <w:t>i</w:t>
      </w:r>
      <w:r w:rsidRPr="00913ACD">
        <w:rPr>
          <w:b/>
          <w:bCs/>
          <w:color w:val="000000" w:themeColor="text1"/>
          <w:sz w:val="22"/>
          <w:szCs w:val="22"/>
          <w:lang w:val="pt-BR"/>
        </w:rPr>
        <w:t xml:space="preserve">nfância e da </w:t>
      </w:r>
      <w:r w:rsidR="004D1ED6">
        <w:rPr>
          <w:b/>
          <w:bCs/>
          <w:color w:val="000000" w:themeColor="text1"/>
          <w:sz w:val="22"/>
          <w:szCs w:val="22"/>
          <w:lang w:val="pt-BR"/>
        </w:rPr>
        <w:t>f</w:t>
      </w:r>
      <w:r w:rsidRPr="00913ACD">
        <w:rPr>
          <w:b/>
          <w:bCs/>
          <w:color w:val="000000" w:themeColor="text1"/>
          <w:sz w:val="22"/>
          <w:szCs w:val="22"/>
          <w:lang w:val="pt-BR"/>
        </w:rPr>
        <w:t>amília</w:t>
      </w:r>
      <w:r w:rsidRPr="00913ACD">
        <w:rPr>
          <w:sz w:val="22"/>
          <w:szCs w:val="22"/>
          <w:lang w:val="pt-BR"/>
        </w:rPr>
        <w:t>.</w:t>
      </w:r>
    </w:p>
    <w:p w14:paraId="4CEA4381" w14:textId="77777777" w:rsidR="00141240" w:rsidRPr="00913ACD" w:rsidRDefault="00141240" w:rsidP="00CB030B">
      <w:pPr>
        <w:ind w:firstLine="18"/>
        <w:jc w:val="both"/>
        <w:rPr>
          <w:rFonts w:ascii="Times New Roman" w:hAnsi="Times New Roman" w:cs="Times New Roman"/>
          <w:color w:val="000000" w:themeColor="text1"/>
          <w:sz w:val="22"/>
          <w:szCs w:val="22"/>
          <w:lang w:val="pt-BR"/>
        </w:rPr>
      </w:pPr>
    </w:p>
    <w:p w14:paraId="2A99245C" w14:textId="77777777" w:rsidR="00593F37" w:rsidRPr="00913ACD" w:rsidRDefault="00593F37" w:rsidP="00CB030B">
      <w:pPr>
        <w:ind w:firstLine="18"/>
        <w:jc w:val="both"/>
        <w:rPr>
          <w:rFonts w:ascii="Times New Roman" w:hAnsi="Times New Roman" w:cs="Times New Roman"/>
          <w:color w:val="000000" w:themeColor="text1"/>
          <w:sz w:val="22"/>
          <w:szCs w:val="22"/>
          <w:lang w:val="pt-BR"/>
        </w:rPr>
      </w:pPr>
    </w:p>
    <w:bookmarkEnd w:id="6"/>
    <w:p w14:paraId="60062DCB" w14:textId="091FDF2D" w:rsidR="00FA78B8" w:rsidRPr="00913ACD" w:rsidRDefault="007427DB" w:rsidP="00CB030B">
      <w:pPr>
        <w:jc w:val="both"/>
        <w:rPr>
          <w:rFonts w:ascii="Times New Roman" w:eastAsia="Calibri" w:hAnsi="Times New Roman" w:cs="Times New Roman"/>
          <w:b/>
          <w:bCs/>
          <w:color w:val="000000" w:themeColor="text1"/>
          <w:sz w:val="22"/>
          <w:szCs w:val="22"/>
          <w:u w:val="single"/>
          <w:lang w:val="pt-BR"/>
        </w:rPr>
      </w:pPr>
      <w:r w:rsidRPr="00913ACD">
        <w:rPr>
          <w:rFonts w:ascii="Times New Roman" w:hAnsi="Times New Roman" w:cs="Times New Roman"/>
          <w:b/>
          <w:color w:val="000000" w:themeColor="text1"/>
          <w:sz w:val="22"/>
          <w:szCs w:val="22"/>
          <w:u w:val="single"/>
          <w:lang w:val="pt-BR"/>
        </w:rPr>
        <w:t>OBJETIVO</w:t>
      </w:r>
      <w:r w:rsidR="00141240" w:rsidRPr="00913ACD">
        <w:rPr>
          <w:rFonts w:ascii="Times New Roman" w:hAnsi="Times New Roman" w:cs="Times New Roman"/>
          <w:b/>
          <w:color w:val="000000" w:themeColor="text1"/>
          <w:sz w:val="22"/>
          <w:szCs w:val="22"/>
          <w:u w:val="single"/>
          <w:lang w:val="pt-BR"/>
        </w:rPr>
        <w:t xml:space="preserve"> 3.4</w:t>
      </w:r>
    </w:p>
    <w:p w14:paraId="2E2B6E38" w14:textId="77777777" w:rsidR="00E85D19" w:rsidRPr="00913ACD" w:rsidRDefault="00E85D19" w:rsidP="00CB030B">
      <w:pPr>
        <w:jc w:val="both"/>
        <w:rPr>
          <w:rFonts w:ascii="Times New Roman" w:eastAsia="Calibri" w:hAnsi="Times New Roman" w:cs="Times New Roman"/>
          <w:b/>
          <w:bCs/>
          <w:color w:val="000000" w:themeColor="text1"/>
          <w:sz w:val="22"/>
          <w:szCs w:val="22"/>
          <w:u w:val="single"/>
          <w:lang w:val="pt-BR"/>
        </w:rPr>
      </w:pPr>
    </w:p>
    <w:p w14:paraId="522C77EA" w14:textId="6D0EBE7E" w:rsidR="00141240" w:rsidRPr="00913ACD" w:rsidRDefault="001F70F3" w:rsidP="00CB030B">
      <w:pPr>
        <w:ind w:firstLine="720"/>
        <w:jc w:val="both"/>
        <w:rPr>
          <w:rFonts w:ascii="Times New Roman" w:eastAsia="Cambria" w:hAnsi="Times New Roman" w:cs="Times New Roman"/>
          <w:color w:val="000000" w:themeColor="text1"/>
          <w:sz w:val="22"/>
          <w:szCs w:val="22"/>
          <w:lang w:val="pt-BR"/>
        </w:rPr>
      </w:pPr>
      <w:r w:rsidRPr="00913ACD">
        <w:rPr>
          <w:rFonts w:ascii="Times New Roman" w:hAnsi="Times New Roman" w:cs="Times New Roman"/>
          <w:sz w:val="22"/>
          <w:szCs w:val="22"/>
          <w:lang w:val="pt-BR"/>
        </w:rPr>
        <w:t>Promover o acesso nos Estados membros a oportunidades de educação de qualidade, inclusiva e equitativa, em todos os níveis e modalidades, e nos quatro idiomas oficiais da Organização</w:t>
      </w:r>
      <w:r w:rsidR="004C0712" w:rsidRPr="00913ACD">
        <w:rPr>
          <w:rFonts w:ascii="Times New Roman" w:hAnsi="Times New Roman" w:cs="Times New Roman"/>
          <w:color w:val="000000" w:themeColor="text1"/>
          <w:sz w:val="22"/>
          <w:szCs w:val="22"/>
          <w:lang w:val="pt-BR"/>
        </w:rPr>
        <w:t>.</w:t>
      </w:r>
    </w:p>
    <w:p w14:paraId="0F0133DD" w14:textId="77777777" w:rsidR="00141240" w:rsidRPr="00913ACD" w:rsidRDefault="00141240" w:rsidP="00CB030B">
      <w:pPr>
        <w:ind w:firstLine="18"/>
        <w:jc w:val="both"/>
        <w:rPr>
          <w:rFonts w:ascii="Times New Roman" w:hAnsi="Times New Roman" w:cs="Times New Roman"/>
          <w:b/>
          <w:bCs/>
          <w:color w:val="000000" w:themeColor="text1"/>
          <w:sz w:val="22"/>
          <w:szCs w:val="22"/>
          <w:lang w:val="pt-BR"/>
        </w:rPr>
      </w:pPr>
    </w:p>
    <w:p w14:paraId="3C2F4F52" w14:textId="231BFB1A" w:rsidR="00141240" w:rsidRPr="00913ACD" w:rsidRDefault="00141240" w:rsidP="00CB030B">
      <w:pPr>
        <w:ind w:firstLine="720"/>
        <w:jc w:val="both"/>
        <w:rPr>
          <w:rFonts w:ascii="Times New Roman" w:eastAsia="Cambria"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 xml:space="preserve">Programas de Bolsas </w:t>
      </w:r>
      <w:r w:rsidR="00184024" w:rsidRPr="00913ACD">
        <w:rPr>
          <w:rFonts w:ascii="Times New Roman" w:hAnsi="Times New Roman" w:cs="Times New Roman"/>
          <w:b/>
          <w:color w:val="000000" w:themeColor="text1"/>
          <w:sz w:val="22"/>
          <w:szCs w:val="22"/>
          <w:lang w:val="pt-BR"/>
        </w:rPr>
        <w:t xml:space="preserve">de Estudo </w:t>
      </w:r>
      <w:r w:rsidRPr="00913ACD">
        <w:rPr>
          <w:rFonts w:ascii="Times New Roman" w:hAnsi="Times New Roman" w:cs="Times New Roman"/>
          <w:b/>
          <w:color w:val="000000" w:themeColor="text1"/>
          <w:sz w:val="22"/>
          <w:szCs w:val="22"/>
          <w:lang w:val="pt-BR"/>
        </w:rPr>
        <w:t>e Treinamento da OEA</w:t>
      </w:r>
    </w:p>
    <w:p w14:paraId="7895C21A" w14:textId="77777777" w:rsidR="00FA78B8" w:rsidRPr="00913ACD" w:rsidRDefault="00FA78B8" w:rsidP="00CB030B">
      <w:pPr>
        <w:jc w:val="both"/>
        <w:rPr>
          <w:rFonts w:ascii="Times New Roman" w:eastAsia="Cambria" w:hAnsi="Times New Roman" w:cs="Times New Roman"/>
          <w:color w:val="000000" w:themeColor="text1"/>
          <w:sz w:val="22"/>
          <w:szCs w:val="22"/>
          <w:lang w:val="pt-BR"/>
        </w:rPr>
      </w:pPr>
    </w:p>
    <w:p w14:paraId="7E02D2CE" w14:textId="1F6183E2" w:rsidR="00141240" w:rsidRPr="00913ACD" w:rsidRDefault="00141240"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Com o apoio dos governos d</w:t>
      </w:r>
      <w:r w:rsidR="002836FF" w:rsidRPr="00913ACD">
        <w:rPr>
          <w:color w:val="000000" w:themeColor="text1"/>
          <w:sz w:val="22"/>
          <w:szCs w:val="22"/>
          <w:lang w:val="pt-BR"/>
        </w:rPr>
        <w:t>e</w:t>
      </w:r>
      <w:r w:rsidRPr="00913ACD">
        <w:rPr>
          <w:color w:val="000000" w:themeColor="text1"/>
          <w:sz w:val="22"/>
          <w:szCs w:val="22"/>
          <w:lang w:val="pt-BR"/>
        </w:rPr>
        <w:t xml:space="preserve"> Bahamas, Brasil, Chile e México e em parceria com várias instituições regionais e internacionais, 3.432 bolsas de estudo foram concedidas a cidadãos de 34</w:t>
      </w:r>
      <w:r w:rsidR="00C51D8E" w:rsidRPr="00913ACD">
        <w:rPr>
          <w:color w:val="000000" w:themeColor="text1"/>
          <w:sz w:val="22"/>
          <w:szCs w:val="22"/>
          <w:lang w:val="pt-BR"/>
        </w:rPr>
        <w:t xml:space="preserve"> </w:t>
      </w:r>
      <w:r w:rsidR="006867F8" w:rsidRPr="00913ACD">
        <w:rPr>
          <w:color w:val="000000" w:themeColor="text1"/>
          <w:sz w:val="22"/>
          <w:szCs w:val="22"/>
          <w:lang w:val="pt-BR"/>
        </w:rPr>
        <w:t>Estados membros</w:t>
      </w:r>
      <w:r w:rsidRPr="00913ACD">
        <w:rPr>
          <w:color w:val="000000" w:themeColor="text1"/>
          <w:sz w:val="22"/>
          <w:szCs w:val="22"/>
          <w:lang w:val="pt-BR"/>
        </w:rPr>
        <w:t>.</w:t>
      </w:r>
    </w:p>
    <w:p w14:paraId="4D5E16C1" w14:textId="77777777" w:rsidR="00141240" w:rsidRPr="00913ACD" w:rsidRDefault="00141240" w:rsidP="00CB030B">
      <w:pPr>
        <w:pStyle w:val="ListParagraph"/>
        <w:ind w:left="1440" w:hanging="720"/>
        <w:jc w:val="both"/>
        <w:rPr>
          <w:rFonts w:eastAsia="Cambria"/>
          <w:color w:val="000000" w:themeColor="text1"/>
          <w:sz w:val="22"/>
          <w:szCs w:val="22"/>
          <w:lang w:val="pt-BR"/>
        </w:rPr>
      </w:pPr>
    </w:p>
    <w:p w14:paraId="2D9BD5F0" w14:textId="5077838A" w:rsidR="00141240" w:rsidRPr="00913ACD" w:rsidRDefault="00F02923"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Ofereceu mais de 11</w:t>
      </w:r>
      <w:r w:rsidR="00DA570D">
        <w:rPr>
          <w:color w:val="000000" w:themeColor="text1"/>
          <w:sz w:val="22"/>
          <w:szCs w:val="22"/>
          <w:lang w:val="pt-BR"/>
        </w:rPr>
        <w:t xml:space="preserve"> mil </w:t>
      </w:r>
      <w:r w:rsidRPr="00913ACD">
        <w:rPr>
          <w:color w:val="000000" w:themeColor="text1"/>
          <w:sz w:val="22"/>
          <w:szCs w:val="22"/>
          <w:lang w:val="pt-BR"/>
        </w:rPr>
        <w:t xml:space="preserve">bolsas de estudo </w:t>
      </w:r>
      <w:r w:rsidR="00F72BAA" w:rsidRPr="00913ACD">
        <w:rPr>
          <w:color w:val="000000" w:themeColor="text1"/>
          <w:sz w:val="22"/>
          <w:szCs w:val="22"/>
          <w:lang w:val="pt-BR"/>
        </w:rPr>
        <w:t>mediante</w:t>
      </w:r>
      <w:r w:rsidRPr="00913ACD">
        <w:rPr>
          <w:color w:val="000000" w:themeColor="text1"/>
          <w:sz w:val="22"/>
          <w:szCs w:val="22"/>
          <w:lang w:val="pt-BR"/>
        </w:rPr>
        <w:t xml:space="preserve"> parcerias com </w:t>
      </w:r>
      <w:r w:rsidR="00141240" w:rsidRPr="00913ACD">
        <w:rPr>
          <w:i/>
          <w:iCs/>
          <w:color w:val="000000" w:themeColor="text1"/>
          <w:sz w:val="22"/>
          <w:szCs w:val="22"/>
          <w:lang w:val="pt-BR"/>
        </w:rPr>
        <w:t>Soluciones Integrales de Formación y Gestión</w:t>
      </w:r>
      <w:r w:rsidR="00141240" w:rsidRPr="00913ACD">
        <w:rPr>
          <w:color w:val="000000" w:themeColor="text1"/>
          <w:sz w:val="22"/>
          <w:szCs w:val="22"/>
          <w:lang w:val="pt-BR"/>
        </w:rPr>
        <w:t xml:space="preserve"> (Structuralia)</w:t>
      </w:r>
      <w:r w:rsidRPr="00913ACD">
        <w:rPr>
          <w:sz w:val="22"/>
          <w:szCs w:val="22"/>
          <w:lang w:val="pt-BR"/>
        </w:rPr>
        <w:t xml:space="preserve"> e</w:t>
      </w:r>
      <w:r w:rsidR="00C51D8E" w:rsidRPr="00913ACD">
        <w:rPr>
          <w:sz w:val="22"/>
          <w:szCs w:val="22"/>
          <w:lang w:val="pt-BR"/>
        </w:rPr>
        <w:t xml:space="preserve"> </w:t>
      </w:r>
      <w:r w:rsidRPr="00913ACD">
        <w:rPr>
          <w:i/>
          <w:iCs/>
          <w:color w:val="000000" w:themeColor="text1"/>
          <w:sz w:val="22"/>
          <w:szCs w:val="22"/>
          <w:lang w:val="pt-BR"/>
        </w:rPr>
        <w:t>Formato Educativo Escuela de Negocios</w:t>
      </w:r>
      <w:r w:rsidR="00141240" w:rsidRPr="00913ACD">
        <w:rPr>
          <w:color w:val="000000" w:themeColor="text1"/>
          <w:sz w:val="22"/>
          <w:szCs w:val="22"/>
          <w:lang w:val="pt-BR"/>
        </w:rPr>
        <w:t xml:space="preserve"> </w:t>
      </w:r>
      <w:r w:rsidR="009A0400" w:rsidRPr="00913ACD">
        <w:rPr>
          <w:color w:val="000000" w:themeColor="text1"/>
          <w:sz w:val="22"/>
          <w:szCs w:val="22"/>
          <w:lang w:val="pt-BR"/>
        </w:rPr>
        <w:t>d</w:t>
      </w:r>
      <w:r w:rsidR="00141240" w:rsidRPr="00913ACD">
        <w:rPr>
          <w:color w:val="000000" w:themeColor="text1"/>
          <w:sz w:val="22"/>
          <w:szCs w:val="22"/>
          <w:lang w:val="pt-BR"/>
        </w:rPr>
        <w:t xml:space="preserve">a Espanha, e </w:t>
      </w:r>
      <w:r w:rsidR="009A0400" w:rsidRPr="00913ACD">
        <w:rPr>
          <w:color w:val="000000" w:themeColor="text1"/>
          <w:sz w:val="22"/>
          <w:szCs w:val="22"/>
          <w:lang w:val="pt-BR"/>
        </w:rPr>
        <w:t xml:space="preserve">a </w:t>
      </w:r>
      <w:r w:rsidR="00141240" w:rsidRPr="00913ACD">
        <w:rPr>
          <w:color w:val="000000" w:themeColor="text1"/>
          <w:sz w:val="22"/>
          <w:szCs w:val="22"/>
          <w:lang w:val="pt-BR"/>
        </w:rPr>
        <w:t>Marconi International University nos EUA.</w:t>
      </w:r>
    </w:p>
    <w:p w14:paraId="4E6B1A46" w14:textId="77777777" w:rsidR="00141240" w:rsidRPr="00913ACD" w:rsidRDefault="00141240" w:rsidP="00CB030B">
      <w:pPr>
        <w:pStyle w:val="ListParagraph"/>
        <w:ind w:left="1440" w:hanging="720"/>
        <w:rPr>
          <w:rFonts w:eastAsia="Cambria"/>
          <w:color w:val="000000" w:themeColor="text1"/>
          <w:sz w:val="22"/>
          <w:szCs w:val="22"/>
          <w:lang w:val="pt-BR"/>
        </w:rPr>
      </w:pPr>
    </w:p>
    <w:p w14:paraId="7DDBD135" w14:textId="65CF22D6" w:rsidR="00141240" w:rsidRPr="00913ACD" w:rsidRDefault="003807C9"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A</w:t>
      </w:r>
      <w:r w:rsidR="00141240" w:rsidRPr="00913ACD">
        <w:rPr>
          <w:color w:val="000000" w:themeColor="text1"/>
          <w:sz w:val="22"/>
          <w:szCs w:val="22"/>
          <w:lang w:val="pt-BR"/>
        </w:rPr>
        <w:t xml:space="preserve"> </w:t>
      </w:r>
      <w:r w:rsidRPr="00913ACD">
        <w:rPr>
          <w:color w:val="000000" w:themeColor="text1"/>
          <w:sz w:val="22"/>
          <w:szCs w:val="22"/>
          <w:lang w:val="pt-BR"/>
        </w:rPr>
        <w:t xml:space="preserve">Comissão </w:t>
      </w:r>
      <w:r w:rsidR="006E5EC5" w:rsidRPr="00913ACD">
        <w:rPr>
          <w:color w:val="000000" w:themeColor="text1"/>
          <w:sz w:val="22"/>
          <w:szCs w:val="22"/>
          <w:lang w:val="pt-BR"/>
        </w:rPr>
        <w:t xml:space="preserve">de Seleção </w:t>
      </w:r>
      <w:r w:rsidRPr="00913ACD">
        <w:rPr>
          <w:color w:val="000000" w:themeColor="text1"/>
          <w:sz w:val="22"/>
          <w:szCs w:val="22"/>
          <w:lang w:val="pt-BR"/>
        </w:rPr>
        <w:t>do Programa de Bolsas de Estudo de Desenvolvimento Profissional</w:t>
      </w:r>
      <w:r w:rsidR="00141240" w:rsidRPr="00913ACD">
        <w:rPr>
          <w:color w:val="000000" w:themeColor="text1"/>
          <w:sz w:val="22"/>
          <w:szCs w:val="22"/>
          <w:lang w:val="pt-BR"/>
        </w:rPr>
        <w:t xml:space="preserve"> </w:t>
      </w:r>
      <w:r w:rsidR="00322394" w:rsidRPr="00913ACD">
        <w:rPr>
          <w:color w:val="000000" w:themeColor="text1"/>
          <w:sz w:val="22"/>
          <w:szCs w:val="22"/>
          <w:lang w:val="pt-BR"/>
        </w:rPr>
        <w:t xml:space="preserve">fez uma lista curta </w:t>
      </w:r>
      <w:r w:rsidR="0039007D" w:rsidRPr="00913ACD">
        <w:rPr>
          <w:color w:val="000000" w:themeColor="text1"/>
          <w:sz w:val="22"/>
          <w:szCs w:val="22"/>
          <w:lang w:val="pt-BR"/>
        </w:rPr>
        <w:t xml:space="preserve">de </w:t>
      </w:r>
      <w:r w:rsidR="00141240" w:rsidRPr="00913ACD">
        <w:rPr>
          <w:color w:val="000000" w:themeColor="text1"/>
          <w:sz w:val="22"/>
          <w:szCs w:val="22"/>
          <w:lang w:val="pt-BR"/>
        </w:rPr>
        <w:t>23 propostas de cursos pré-selecionados d</w:t>
      </w:r>
      <w:r w:rsidR="0039007D" w:rsidRPr="00913ACD">
        <w:rPr>
          <w:color w:val="000000" w:themeColor="text1"/>
          <w:sz w:val="22"/>
          <w:szCs w:val="22"/>
          <w:lang w:val="pt-BR"/>
        </w:rPr>
        <w:t>o</w:t>
      </w:r>
      <w:r w:rsidR="00141240" w:rsidRPr="00913ACD">
        <w:rPr>
          <w:color w:val="000000" w:themeColor="text1"/>
          <w:sz w:val="22"/>
          <w:szCs w:val="22"/>
          <w:lang w:val="pt-BR"/>
        </w:rPr>
        <w:t xml:space="preserve"> total de 53 recebidas de </w:t>
      </w:r>
      <w:r w:rsidR="0039007D" w:rsidRPr="00913ACD">
        <w:rPr>
          <w:color w:val="000000" w:themeColor="text1"/>
          <w:sz w:val="22"/>
          <w:szCs w:val="22"/>
          <w:lang w:val="pt-BR"/>
        </w:rPr>
        <w:t xml:space="preserve">17 </w:t>
      </w:r>
      <w:r w:rsidR="00141240" w:rsidRPr="00913ACD">
        <w:rPr>
          <w:color w:val="000000" w:themeColor="text1"/>
          <w:sz w:val="22"/>
          <w:szCs w:val="22"/>
          <w:lang w:val="pt-BR"/>
        </w:rPr>
        <w:t xml:space="preserve">instituições diferentes </w:t>
      </w:r>
      <w:r w:rsidR="0039007D" w:rsidRPr="00913ACD">
        <w:rPr>
          <w:color w:val="000000" w:themeColor="text1"/>
          <w:sz w:val="22"/>
          <w:szCs w:val="22"/>
          <w:lang w:val="pt-BR"/>
        </w:rPr>
        <w:t>de</w:t>
      </w:r>
      <w:r w:rsidR="00141240" w:rsidRPr="00913ACD">
        <w:rPr>
          <w:color w:val="000000" w:themeColor="text1"/>
          <w:sz w:val="22"/>
          <w:szCs w:val="22"/>
          <w:lang w:val="pt-BR"/>
        </w:rPr>
        <w:t xml:space="preserve"> oito países </w:t>
      </w:r>
      <w:r w:rsidR="00C67D84" w:rsidRPr="00913ACD">
        <w:rPr>
          <w:color w:val="000000" w:themeColor="text1"/>
          <w:sz w:val="22"/>
          <w:szCs w:val="22"/>
          <w:lang w:val="pt-BR"/>
        </w:rPr>
        <w:t>membros</w:t>
      </w:r>
      <w:r w:rsidR="00141240" w:rsidRPr="00913ACD">
        <w:rPr>
          <w:sz w:val="22"/>
          <w:szCs w:val="22"/>
          <w:lang w:val="pt-BR"/>
        </w:rPr>
        <w:t xml:space="preserve"> da OEA (</w:t>
      </w:r>
      <w:r w:rsidR="00141240" w:rsidRPr="00913ACD">
        <w:rPr>
          <w:color w:val="000000" w:themeColor="text1"/>
          <w:sz w:val="22"/>
          <w:szCs w:val="22"/>
          <w:lang w:val="pt-BR"/>
        </w:rPr>
        <w:t xml:space="preserve">Argentina, Brasil, Chile, México, Peru, Trinidad e Tobago, EUA e Uruguai) e </w:t>
      </w:r>
      <w:r w:rsidR="00C34395" w:rsidRPr="00913ACD">
        <w:rPr>
          <w:color w:val="000000" w:themeColor="text1"/>
          <w:sz w:val="22"/>
          <w:szCs w:val="22"/>
          <w:lang w:val="pt-BR"/>
        </w:rPr>
        <w:t xml:space="preserve">de </w:t>
      </w:r>
      <w:r w:rsidR="00141240" w:rsidRPr="00913ACD">
        <w:rPr>
          <w:color w:val="000000" w:themeColor="text1"/>
          <w:sz w:val="22"/>
          <w:szCs w:val="22"/>
          <w:lang w:val="pt-BR"/>
        </w:rPr>
        <w:t>três países observadores permanentes da OEA (China, Espanha e Itália).</w:t>
      </w:r>
    </w:p>
    <w:p w14:paraId="74F5E007" w14:textId="77777777" w:rsidR="00141240" w:rsidRPr="00913ACD" w:rsidRDefault="00141240" w:rsidP="00CB030B">
      <w:pPr>
        <w:pStyle w:val="ListParagraph"/>
        <w:jc w:val="both"/>
        <w:rPr>
          <w:rFonts w:eastAsia="Cambria"/>
          <w:color w:val="000000" w:themeColor="text1"/>
          <w:sz w:val="22"/>
          <w:szCs w:val="22"/>
          <w:lang w:val="pt-BR"/>
        </w:rPr>
      </w:pPr>
    </w:p>
    <w:p w14:paraId="7E2E4783" w14:textId="42B83E34" w:rsidR="00141240" w:rsidRPr="00913ACD" w:rsidRDefault="00C34395"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S</w:t>
      </w:r>
      <w:r w:rsidR="00141240" w:rsidRPr="00913ACD">
        <w:rPr>
          <w:color w:val="000000" w:themeColor="text1"/>
          <w:sz w:val="22"/>
          <w:szCs w:val="22"/>
          <w:lang w:val="pt-BR"/>
        </w:rPr>
        <w:t xml:space="preserve">ete cursos </w:t>
      </w:r>
      <w:r w:rsidR="006E2246" w:rsidRPr="00913ACD">
        <w:rPr>
          <w:color w:val="000000" w:themeColor="text1"/>
          <w:sz w:val="22"/>
          <w:szCs w:val="22"/>
          <w:lang w:val="pt-BR"/>
        </w:rPr>
        <w:t xml:space="preserve">no âmbito </w:t>
      </w:r>
      <w:r w:rsidR="00141240" w:rsidRPr="00913ACD">
        <w:rPr>
          <w:color w:val="000000" w:themeColor="text1"/>
          <w:sz w:val="22"/>
          <w:szCs w:val="22"/>
          <w:lang w:val="pt-BR"/>
        </w:rPr>
        <w:t xml:space="preserve">do Programa de Bolsas de </w:t>
      </w:r>
      <w:r w:rsidR="004A2119" w:rsidRPr="00913ACD">
        <w:rPr>
          <w:color w:val="000000" w:themeColor="text1"/>
          <w:sz w:val="22"/>
          <w:szCs w:val="22"/>
          <w:lang w:val="pt-BR"/>
        </w:rPr>
        <w:t>Estudo de Desenvolvimento Profissional</w:t>
      </w:r>
      <w:r w:rsidR="00141240" w:rsidRPr="00913ACD">
        <w:rPr>
          <w:color w:val="000000" w:themeColor="text1"/>
          <w:sz w:val="22"/>
          <w:szCs w:val="22"/>
          <w:lang w:val="pt-BR"/>
        </w:rPr>
        <w:t xml:space="preserve"> – alinhados às prioridades dos países da OEA – serão ministrados entre março e junho de 2023.</w:t>
      </w:r>
    </w:p>
    <w:p w14:paraId="72ADA06D" w14:textId="77777777" w:rsidR="009F53F1" w:rsidRPr="00913ACD" w:rsidRDefault="009F53F1" w:rsidP="00CB030B">
      <w:pPr>
        <w:pStyle w:val="ListParagraph"/>
        <w:rPr>
          <w:rFonts w:eastAsia="Cambria"/>
          <w:color w:val="000000" w:themeColor="text1"/>
          <w:sz w:val="22"/>
          <w:szCs w:val="22"/>
          <w:lang w:val="pt-BR"/>
        </w:rPr>
      </w:pPr>
    </w:p>
    <w:p w14:paraId="507A7003" w14:textId="7D014A2A" w:rsidR="00141240" w:rsidRPr="00913ACD" w:rsidRDefault="00856921"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Cursos 1</w:t>
      </w:r>
      <w:r w:rsidR="001945B8" w:rsidRPr="00913ACD">
        <w:rPr>
          <w:color w:val="000000" w:themeColor="text1"/>
          <w:sz w:val="22"/>
          <w:szCs w:val="22"/>
          <w:lang w:val="pt-BR"/>
        </w:rPr>
        <w:t xml:space="preserve"> e </w:t>
      </w:r>
      <w:r w:rsidRPr="00913ACD">
        <w:rPr>
          <w:color w:val="000000" w:themeColor="text1"/>
          <w:sz w:val="22"/>
          <w:szCs w:val="22"/>
          <w:lang w:val="pt-BR"/>
        </w:rPr>
        <w:t xml:space="preserve">2 – </w:t>
      </w:r>
      <w:r w:rsidRPr="00913ACD">
        <w:rPr>
          <w:b/>
          <w:bCs/>
          <w:color w:val="000000" w:themeColor="text1"/>
          <w:sz w:val="22"/>
          <w:szCs w:val="22"/>
          <w:lang w:val="pt-BR"/>
        </w:rPr>
        <w:t xml:space="preserve">Energias </w:t>
      </w:r>
      <w:r w:rsidR="001945B8" w:rsidRPr="00913ACD">
        <w:rPr>
          <w:b/>
          <w:bCs/>
          <w:color w:val="000000" w:themeColor="text1"/>
          <w:sz w:val="22"/>
          <w:szCs w:val="22"/>
          <w:lang w:val="pt-BR"/>
        </w:rPr>
        <w:t>r</w:t>
      </w:r>
      <w:r w:rsidRPr="00913ACD">
        <w:rPr>
          <w:b/>
          <w:bCs/>
          <w:color w:val="000000" w:themeColor="text1"/>
          <w:sz w:val="22"/>
          <w:szCs w:val="22"/>
          <w:lang w:val="pt-BR"/>
        </w:rPr>
        <w:t xml:space="preserve">enováveis e </w:t>
      </w:r>
      <w:r w:rsidR="001945B8" w:rsidRPr="00913ACD">
        <w:rPr>
          <w:b/>
          <w:bCs/>
          <w:color w:val="000000" w:themeColor="text1"/>
          <w:sz w:val="22"/>
          <w:szCs w:val="22"/>
          <w:lang w:val="pt-BR"/>
        </w:rPr>
        <w:t>d</w:t>
      </w:r>
      <w:r w:rsidRPr="00913ACD">
        <w:rPr>
          <w:b/>
          <w:bCs/>
          <w:color w:val="000000" w:themeColor="text1"/>
          <w:sz w:val="22"/>
          <w:szCs w:val="22"/>
          <w:lang w:val="pt-BR"/>
        </w:rPr>
        <w:t xml:space="preserve">esenvolvimento </w:t>
      </w:r>
      <w:r w:rsidR="001945B8" w:rsidRPr="00913ACD">
        <w:rPr>
          <w:b/>
          <w:bCs/>
          <w:color w:val="000000" w:themeColor="text1"/>
          <w:sz w:val="22"/>
          <w:szCs w:val="22"/>
          <w:lang w:val="pt-BR"/>
        </w:rPr>
        <w:t>s</w:t>
      </w:r>
      <w:r w:rsidRPr="00913ACD">
        <w:rPr>
          <w:b/>
          <w:bCs/>
          <w:color w:val="000000" w:themeColor="text1"/>
          <w:sz w:val="22"/>
          <w:szCs w:val="22"/>
          <w:lang w:val="pt-BR"/>
        </w:rPr>
        <w:t>ustentável</w:t>
      </w:r>
      <w:r w:rsidR="00F02923" w:rsidRPr="00913ACD">
        <w:rPr>
          <w:color w:val="000000" w:themeColor="text1"/>
          <w:sz w:val="22"/>
          <w:szCs w:val="22"/>
          <w:lang w:val="pt-BR"/>
        </w:rPr>
        <w:t xml:space="preserve"> (elevado potencial de empregabilidade)</w:t>
      </w:r>
    </w:p>
    <w:p w14:paraId="04281403" w14:textId="08FB19E9" w:rsidR="00141240" w:rsidRPr="00913ACD" w:rsidRDefault="00856921"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Curso 3 – </w:t>
      </w:r>
      <w:r w:rsidR="00F61173" w:rsidRPr="00913ACD">
        <w:rPr>
          <w:b/>
          <w:bCs/>
          <w:color w:val="000000" w:themeColor="text1"/>
          <w:sz w:val="22"/>
          <w:szCs w:val="22"/>
          <w:lang w:val="pt-BR"/>
        </w:rPr>
        <w:t xml:space="preserve">Gestão de </w:t>
      </w:r>
      <w:r w:rsidR="00F37B17" w:rsidRPr="00913ACD">
        <w:rPr>
          <w:b/>
          <w:bCs/>
          <w:color w:val="000000" w:themeColor="text1"/>
          <w:sz w:val="22"/>
          <w:szCs w:val="22"/>
          <w:lang w:val="pt-BR"/>
        </w:rPr>
        <w:t>r</w:t>
      </w:r>
      <w:r w:rsidR="00F61173" w:rsidRPr="00913ACD">
        <w:rPr>
          <w:b/>
          <w:bCs/>
          <w:color w:val="000000" w:themeColor="text1"/>
          <w:sz w:val="22"/>
          <w:szCs w:val="22"/>
          <w:lang w:val="pt-BR"/>
        </w:rPr>
        <w:t>isco</w:t>
      </w:r>
      <w:r w:rsidRPr="00913ACD">
        <w:rPr>
          <w:b/>
          <w:bCs/>
          <w:color w:val="000000" w:themeColor="text1"/>
          <w:sz w:val="22"/>
          <w:szCs w:val="22"/>
          <w:lang w:val="pt-BR"/>
        </w:rPr>
        <w:t xml:space="preserve"> de </w:t>
      </w:r>
      <w:r w:rsidR="00F37B17" w:rsidRPr="00913ACD">
        <w:rPr>
          <w:b/>
          <w:bCs/>
          <w:color w:val="000000" w:themeColor="text1"/>
          <w:sz w:val="22"/>
          <w:szCs w:val="22"/>
          <w:lang w:val="pt-BR"/>
        </w:rPr>
        <w:t>d</w:t>
      </w:r>
      <w:r w:rsidRPr="00913ACD">
        <w:rPr>
          <w:b/>
          <w:bCs/>
          <w:color w:val="000000" w:themeColor="text1"/>
          <w:sz w:val="22"/>
          <w:szCs w:val="22"/>
          <w:lang w:val="pt-BR"/>
        </w:rPr>
        <w:t>esastres</w:t>
      </w:r>
      <w:r w:rsidRPr="00913ACD">
        <w:rPr>
          <w:color w:val="000000" w:themeColor="text1"/>
          <w:sz w:val="22"/>
          <w:szCs w:val="22"/>
          <w:lang w:val="pt-BR"/>
        </w:rPr>
        <w:t xml:space="preserve"> (fortalecer a capacidade de geração de projetos em nível local)</w:t>
      </w:r>
    </w:p>
    <w:p w14:paraId="1094604E" w14:textId="61626A51" w:rsidR="00141240" w:rsidRPr="00913ACD" w:rsidRDefault="00856921"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Curso 4 – </w:t>
      </w:r>
      <w:r w:rsidRPr="00913ACD">
        <w:rPr>
          <w:b/>
          <w:bCs/>
          <w:color w:val="000000" w:themeColor="text1"/>
          <w:sz w:val="22"/>
          <w:szCs w:val="22"/>
          <w:lang w:val="pt-BR"/>
        </w:rPr>
        <w:t xml:space="preserve">Recuperação </w:t>
      </w:r>
      <w:r w:rsidR="00F37B17" w:rsidRPr="00913ACD">
        <w:rPr>
          <w:b/>
          <w:bCs/>
          <w:color w:val="000000" w:themeColor="text1"/>
          <w:sz w:val="22"/>
          <w:szCs w:val="22"/>
          <w:lang w:val="pt-BR"/>
        </w:rPr>
        <w:t>v</w:t>
      </w:r>
      <w:r w:rsidRPr="00913ACD">
        <w:rPr>
          <w:b/>
          <w:bCs/>
          <w:color w:val="000000" w:themeColor="text1"/>
          <w:sz w:val="22"/>
          <w:szCs w:val="22"/>
          <w:lang w:val="pt-BR"/>
        </w:rPr>
        <w:t xml:space="preserve">erde e </w:t>
      </w:r>
      <w:r w:rsidR="00F37B17" w:rsidRPr="00913ACD">
        <w:rPr>
          <w:b/>
          <w:bCs/>
          <w:color w:val="000000" w:themeColor="text1"/>
          <w:sz w:val="22"/>
          <w:szCs w:val="22"/>
          <w:lang w:val="pt-BR"/>
        </w:rPr>
        <w:t>d</w:t>
      </w:r>
      <w:r w:rsidRPr="00913ACD">
        <w:rPr>
          <w:b/>
          <w:bCs/>
          <w:color w:val="000000" w:themeColor="text1"/>
          <w:sz w:val="22"/>
          <w:szCs w:val="22"/>
          <w:lang w:val="pt-BR"/>
        </w:rPr>
        <w:t xml:space="preserve">esenvolvimento </w:t>
      </w:r>
      <w:r w:rsidR="00F37B17" w:rsidRPr="00913ACD">
        <w:rPr>
          <w:b/>
          <w:bCs/>
          <w:color w:val="000000" w:themeColor="text1"/>
          <w:sz w:val="22"/>
          <w:szCs w:val="22"/>
          <w:lang w:val="pt-BR"/>
        </w:rPr>
        <w:t>s</w:t>
      </w:r>
      <w:r w:rsidRPr="00913ACD">
        <w:rPr>
          <w:b/>
          <w:bCs/>
          <w:color w:val="000000" w:themeColor="text1"/>
          <w:sz w:val="22"/>
          <w:szCs w:val="22"/>
          <w:lang w:val="pt-BR"/>
        </w:rPr>
        <w:t>ustentável</w:t>
      </w:r>
      <w:r w:rsidRPr="00913ACD">
        <w:rPr>
          <w:color w:val="000000" w:themeColor="text1"/>
          <w:sz w:val="22"/>
          <w:szCs w:val="22"/>
          <w:lang w:val="pt-BR"/>
        </w:rPr>
        <w:t xml:space="preserve"> (particularmente centrado na ligação entre os desafios ambientais e o trabalho, com ênfase </w:t>
      </w:r>
      <w:r w:rsidR="004A04E2" w:rsidRPr="00913ACD">
        <w:rPr>
          <w:color w:val="000000" w:themeColor="text1"/>
          <w:sz w:val="22"/>
          <w:szCs w:val="22"/>
          <w:lang w:val="pt-BR"/>
        </w:rPr>
        <w:t xml:space="preserve">especial </w:t>
      </w:r>
      <w:r w:rsidRPr="00913ACD">
        <w:rPr>
          <w:color w:val="000000" w:themeColor="text1"/>
          <w:sz w:val="22"/>
          <w:szCs w:val="22"/>
          <w:lang w:val="pt-BR"/>
        </w:rPr>
        <w:t xml:space="preserve">na resposta à </w:t>
      </w:r>
      <w:r w:rsidR="006C602F" w:rsidRPr="00913ACD">
        <w:rPr>
          <w:color w:val="000000" w:themeColor="text1"/>
          <w:sz w:val="22"/>
          <w:szCs w:val="22"/>
          <w:lang w:val="pt-BR"/>
        </w:rPr>
        <w:t>covid</w:t>
      </w:r>
      <w:r w:rsidRPr="00913ACD">
        <w:rPr>
          <w:color w:val="000000" w:themeColor="text1"/>
          <w:sz w:val="22"/>
          <w:szCs w:val="22"/>
          <w:lang w:val="pt-BR"/>
        </w:rPr>
        <w:t>-19 e no seu impacto na economia e no emprego)</w:t>
      </w:r>
    </w:p>
    <w:p w14:paraId="273F4011" w14:textId="241DA543" w:rsidR="00141240" w:rsidRPr="00913ACD" w:rsidRDefault="00C437CB"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Curso 5 – </w:t>
      </w:r>
      <w:r w:rsidRPr="00913ACD">
        <w:rPr>
          <w:b/>
          <w:bCs/>
          <w:color w:val="000000" w:themeColor="text1"/>
          <w:sz w:val="22"/>
          <w:szCs w:val="22"/>
          <w:lang w:val="pt-BR"/>
        </w:rPr>
        <w:t xml:space="preserve">Turismo </w:t>
      </w:r>
      <w:r w:rsidR="004A04E2" w:rsidRPr="00913ACD">
        <w:rPr>
          <w:b/>
          <w:bCs/>
          <w:color w:val="000000" w:themeColor="text1"/>
          <w:sz w:val="22"/>
          <w:szCs w:val="22"/>
          <w:lang w:val="pt-BR"/>
        </w:rPr>
        <w:t>s</w:t>
      </w:r>
      <w:r w:rsidRPr="00913ACD">
        <w:rPr>
          <w:b/>
          <w:bCs/>
          <w:color w:val="000000" w:themeColor="text1"/>
          <w:sz w:val="22"/>
          <w:szCs w:val="22"/>
          <w:lang w:val="pt-BR"/>
        </w:rPr>
        <w:t xml:space="preserve">ustentável e </w:t>
      </w:r>
      <w:r w:rsidR="004A04E2" w:rsidRPr="00913ACD">
        <w:rPr>
          <w:b/>
          <w:bCs/>
          <w:color w:val="000000" w:themeColor="text1"/>
          <w:sz w:val="22"/>
          <w:szCs w:val="22"/>
          <w:lang w:val="pt-BR"/>
        </w:rPr>
        <w:t>d</w:t>
      </w:r>
      <w:r w:rsidRPr="00913ACD">
        <w:rPr>
          <w:b/>
          <w:bCs/>
          <w:color w:val="000000" w:themeColor="text1"/>
          <w:sz w:val="22"/>
          <w:szCs w:val="22"/>
          <w:lang w:val="pt-BR"/>
        </w:rPr>
        <w:t xml:space="preserve">esenvolvimento </w:t>
      </w:r>
      <w:r w:rsidR="004A04E2" w:rsidRPr="00913ACD">
        <w:rPr>
          <w:b/>
          <w:bCs/>
          <w:color w:val="000000" w:themeColor="text1"/>
          <w:sz w:val="22"/>
          <w:szCs w:val="22"/>
          <w:lang w:val="pt-BR"/>
        </w:rPr>
        <w:t>l</w:t>
      </w:r>
      <w:r w:rsidRPr="00913ACD">
        <w:rPr>
          <w:b/>
          <w:bCs/>
          <w:color w:val="000000" w:themeColor="text1"/>
          <w:sz w:val="22"/>
          <w:szCs w:val="22"/>
          <w:lang w:val="pt-BR"/>
        </w:rPr>
        <w:t xml:space="preserve">ocal nas </w:t>
      </w:r>
      <w:r w:rsidR="004A04E2" w:rsidRPr="00913ACD">
        <w:rPr>
          <w:b/>
          <w:bCs/>
          <w:color w:val="000000" w:themeColor="text1"/>
          <w:sz w:val="22"/>
          <w:szCs w:val="22"/>
          <w:lang w:val="pt-BR"/>
        </w:rPr>
        <w:t>z</w:t>
      </w:r>
      <w:r w:rsidRPr="00913ACD">
        <w:rPr>
          <w:b/>
          <w:bCs/>
          <w:color w:val="000000" w:themeColor="text1"/>
          <w:sz w:val="22"/>
          <w:szCs w:val="22"/>
          <w:lang w:val="pt-BR"/>
        </w:rPr>
        <w:t xml:space="preserve">onas </w:t>
      </w:r>
      <w:r w:rsidR="004A04E2" w:rsidRPr="00913ACD">
        <w:rPr>
          <w:b/>
          <w:bCs/>
          <w:color w:val="000000" w:themeColor="text1"/>
          <w:sz w:val="22"/>
          <w:szCs w:val="22"/>
          <w:lang w:val="pt-BR"/>
        </w:rPr>
        <w:t>r</w:t>
      </w:r>
      <w:r w:rsidRPr="00913ACD">
        <w:rPr>
          <w:b/>
          <w:bCs/>
          <w:color w:val="000000" w:themeColor="text1"/>
          <w:sz w:val="22"/>
          <w:szCs w:val="22"/>
          <w:lang w:val="pt-BR"/>
        </w:rPr>
        <w:t>urais</w:t>
      </w:r>
      <w:r w:rsidRPr="00913ACD">
        <w:rPr>
          <w:color w:val="000000" w:themeColor="text1"/>
          <w:sz w:val="22"/>
          <w:szCs w:val="22"/>
          <w:lang w:val="pt-BR"/>
        </w:rPr>
        <w:t xml:space="preserve"> (reforçar as capacidades de conce</w:t>
      </w:r>
      <w:r w:rsidR="006043CE">
        <w:rPr>
          <w:color w:val="000000" w:themeColor="text1"/>
          <w:sz w:val="22"/>
          <w:szCs w:val="22"/>
          <w:lang w:val="pt-BR"/>
        </w:rPr>
        <w:t>p</w:t>
      </w:r>
      <w:r w:rsidRPr="00913ACD">
        <w:rPr>
          <w:color w:val="000000" w:themeColor="text1"/>
          <w:sz w:val="22"/>
          <w:szCs w:val="22"/>
          <w:lang w:val="pt-BR"/>
        </w:rPr>
        <w:t xml:space="preserve">ção de estratégias de desenvolvimento local </w:t>
      </w:r>
      <w:r w:rsidR="0059356B" w:rsidRPr="00913ACD">
        <w:rPr>
          <w:color w:val="000000" w:themeColor="text1"/>
          <w:sz w:val="22"/>
          <w:szCs w:val="22"/>
          <w:lang w:val="pt-BR"/>
        </w:rPr>
        <w:t xml:space="preserve">na </w:t>
      </w:r>
      <w:r w:rsidRPr="00913ACD">
        <w:rPr>
          <w:color w:val="000000" w:themeColor="text1"/>
          <w:sz w:val="22"/>
          <w:szCs w:val="22"/>
          <w:lang w:val="pt-BR"/>
        </w:rPr>
        <w:t>constru</w:t>
      </w:r>
      <w:r w:rsidR="0059356B" w:rsidRPr="00913ACD">
        <w:rPr>
          <w:color w:val="000000" w:themeColor="text1"/>
          <w:sz w:val="22"/>
          <w:szCs w:val="22"/>
          <w:lang w:val="pt-BR"/>
        </w:rPr>
        <w:t xml:space="preserve">ção de </w:t>
      </w:r>
      <w:r w:rsidRPr="00913ACD">
        <w:rPr>
          <w:color w:val="000000" w:themeColor="text1"/>
          <w:sz w:val="22"/>
          <w:szCs w:val="22"/>
          <w:lang w:val="pt-BR"/>
        </w:rPr>
        <w:t xml:space="preserve">modelos de turismo responsável que possam capitalizar o seu imenso potencial em termos de prosperidade </w:t>
      </w:r>
      <w:r w:rsidR="00E53FF7" w:rsidRPr="00913ACD">
        <w:rPr>
          <w:color w:val="000000" w:themeColor="text1"/>
          <w:sz w:val="22"/>
          <w:szCs w:val="22"/>
          <w:lang w:val="pt-BR"/>
        </w:rPr>
        <w:t>econômic</w:t>
      </w:r>
      <w:r w:rsidRPr="00913ACD">
        <w:rPr>
          <w:color w:val="000000" w:themeColor="text1"/>
          <w:sz w:val="22"/>
          <w:szCs w:val="22"/>
          <w:lang w:val="pt-BR"/>
        </w:rPr>
        <w:t>a, inclusão social e preservação cultural e ambiental)</w:t>
      </w:r>
    </w:p>
    <w:p w14:paraId="40899AB3" w14:textId="611F18F3" w:rsidR="00141240" w:rsidRPr="00913ACD" w:rsidRDefault="00C437CB"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Curso 6 – </w:t>
      </w:r>
      <w:r w:rsidRPr="00913ACD">
        <w:rPr>
          <w:b/>
          <w:bCs/>
          <w:color w:val="000000" w:themeColor="text1"/>
          <w:sz w:val="22"/>
          <w:szCs w:val="22"/>
          <w:lang w:val="pt-BR"/>
        </w:rPr>
        <w:t xml:space="preserve">Educação </w:t>
      </w:r>
      <w:r w:rsidR="00E80C40" w:rsidRPr="00913ACD">
        <w:rPr>
          <w:b/>
          <w:bCs/>
          <w:color w:val="000000" w:themeColor="text1"/>
          <w:sz w:val="22"/>
          <w:szCs w:val="22"/>
          <w:lang w:val="pt-BR"/>
        </w:rPr>
        <w:t>i</w:t>
      </w:r>
      <w:r w:rsidRPr="00913ACD">
        <w:rPr>
          <w:b/>
          <w:bCs/>
          <w:color w:val="000000" w:themeColor="text1"/>
          <w:sz w:val="22"/>
          <w:szCs w:val="22"/>
          <w:lang w:val="pt-BR"/>
        </w:rPr>
        <w:t>nclusiva</w:t>
      </w:r>
      <w:r w:rsidRPr="00913ACD">
        <w:rPr>
          <w:color w:val="000000" w:themeColor="text1"/>
          <w:sz w:val="22"/>
          <w:szCs w:val="22"/>
          <w:lang w:val="pt-BR"/>
        </w:rPr>
        <w:t xml:space="preserve"> (promove</w:t>
      </w:r>
      <w:r w:rsidR="00E80C40" w:rsidRPr="00913ACD">
        <w:rPr>
          <w:color w:val="000000" w:themeColor="text1"/>
          <w:sz w:val="22"/>
          <w:szCs w:val="22"/>
          <w:lang w:val="pt-BR"/>
        </w:rPr>
        <w:t>r</w:t>
      </w:r>
      <w:r w:rsidRPr="00913ACD">
        <w:rPr>
          <w:color w:val="000000" w:themeColor="text1"/>
          <w:sz w:val="22"/>
          <w:szCs w:val="22"/>
          <w:lang w:val="pt-BR"/>
        </w:rPr>
        <w:t xml:space="preserve"> o pensamento crítico sobre ferramentas e estratégias eficazes de inclusão que promov</w:t>
      </w:r>
      <w:r w:rsidR="000317AD" w:rsidRPr="00913ACD">
        <w:rPr>
          <w:color w:val="000000" w:themeColor="text1"/>
          <w:sz w:val="22"/>
          <w:szCs w:val="22"/>
          <w:lang w:val="pt-BR"/>
        </w:rPr>
        <w:t>a</w:t>
      </w:r>
      <w:r w:rsidRPr="00913ACD">
        <w:rPr>
          <w:color w:val="000000" w:themeColor="text1"/>
          <w:sz w:val="22"/>
          <w:szCs w:val="22"/>
          <w:lang w:val="pt-BR"/>
        </w:rPr>
        <w:t>m ambientes educacionais amigáveis</w:t>
      </w:r>
      <w:r w:rsidR="00E80C40" w:rsidRPr="00913ACD">
        <w:rPr>
          <w:color w:val="000000" w:themeColor="text1"/>
          <w:sz w:val="22"/>
          <w:szCs w:val="22"/>
          <w:lang w:val="pt-BR"/>
        </w:rPr>
        <w:t>)</w:t>
      </w:r>
    </w:p>
    <w:p w14:paraId="7A00ACA6" w14:textId="3615CD33" w:rsidR="00141240" w:rsidRPr="00913ACD" w:rsidRDefault="00C437CB"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Curso 7 – </w:t>
      </w:r>
      <w:r w:rsidRPr="00913ACD">
        <w:rPr>
          <w:b/>
          <w:bCs/>
          <w:color w:val="000000" w:themeColor="text1"/>
          <w:sz w:val="22"/>
          <w:szCs w:val="22"/>
          <w:lang w:val="pt-BR"/>
        </w:rPr>
        <w:t>Introdução às novas</w:t>
      </w:r>
      <w:r w:rsidRPr="00913ACD">
        <w:rPr>
          <w:b/>
          <w:bCs/>
          <w:sz w:val="22"/>
          <w:szCs w:val="22"/>
          <w:lang w:val="pt-BR"/>
        </w:rPr>
        <w:t xml:space="preserve"> tecnologias</w:t>
      </w:r>
      <w:r w:rsidR="00C51D8E" w:rsidRPr="00913ACD">
        <w:rPr>
          <w:sz w:val="22"/>
          <w:szCs w:val="22"/>
          <w:lang w:val="pt-BR"/>
        </w:rPr>
        <w:t xml:space="preserve"> </w:t>
      </w:r>
      <w:r w:rsidRPr="00913ACD">
        <w:rPr>
          <w:color w:val="000000" w:themeColor="text1"/>
          <w:sz w:val="22"/>
          <w:szCs w:val="22"/>
          <w:lang w:val="pt-BR"/>
        </w:rPr>
        <w:t>(identifica</w:t>
      </w:r>
      <w:r w:rsidR="00734AE6">
        <w:rPr>
          <w:color w:val="000000" w:themeColor="text1"/>
          <w:sz w:val="22"/>
          <w:szCs w:val="22"/>
          <w:lang w:val="pt-BR"/>
        </w:rPr>
        <w:t>r</w:t>
      </w:r>
      <w:r w:rsidRPr="00913ACD">
        <w:rPr>
          <w:color w:val="000000" w:themeColor="text1"/>
          <w:sz w:val="22"/>
          <w:szCs w:val="22"/>
          <w:lang w:val="pt-BR"/>
        </w:rPr>
        <w:t xml:space="preserve"> os benefícios da transformação digital e descreve</w:t>
      </w:r>
      <w:r w:rsidR="00734AE6">
        <w:rPr>
          <w:color w:val="000000" w:themeColor="text1"/>
          <w:sz w:val="22"/>
          <w:szCs w:val="22"/>
          <w:lang w:val="pt-BR"/>
        </w:rPr>
        <w:t>r</w:t>
      </w:r>
      <w:r w:rsidRPr="00913ACD">
        <w:rPr>
          <w:color w:val="000000" w:themeColor="text1"/>
          <w:sz w:val="22"/>
          <w:szCs w:val="22"/>
          <w:lang w:val="pt-BR"/>
        </w:rPr>
        <w:t xml:space="preserve"> as tecnologias da </w:t>
      </w:r>
      <w:r w:rsidR="000317AD" w:rsidRPr="00913ACD">
        <w:rPr>
          <w:color w:val="000000" w:themeColor="text1"/>
          <w:sz w:val="22"/>
          <w:szCs w:val="22"/>
          <w:lang w:val="pt-BR"/>
        </w:rPr>
        <w:t xml:space="preserve">Quarta </w:t>
      </w:r>
      <w:r w:rsidRPr="00913ACD">
        <w:rPr>
          <w:color w:val="000000" w:themeColor="text1"/>
          <w:sz w:val="22"/>
          <w:szCs w:val="22"/>
          <w:lang w:val="pt-BR"/>
        </w:rPr>
        <w:t>Revolução Industrial que gerar</w:t>
      </w:r>
      <w:r w:rsidR="00555107">
        <w:rPr>
          <w:color w:val="000000" w:themeColor="text1"/>
          <w:sz w:val="22"/>
          <w:szCs w:val="22"/>
          <w:lang w:val="pt-BR"/>
        </w:rPr>
        <w:t>ão</w:t>
      </w:r>
      <w:r w:rsidRPr="00913ACD">
        <w:rPr>
          <w:color w:val="000000" w:themeColor="text1"/>
          <w:sz w:val="22"/>
          <w:szCs w:val="22"/>
          <w:lang w:val="pt-BR"/>
        </w:rPr>
        <w:t xml:space="preserve"> novos modelos de negócio e novos produtos/serviços, </w:t>
      </w:r>
      <w:r w:rsidR="00C31692" w:rsidRPr="00913ACD">
        <w:rPr>
          <w:color w:val="000000" w:themeColor="text1"/>
          <w:sz w:val="22"/>
          <w:szCs w:val="22"/>
          <w:lang w:val="pt-BR"/>
        </w:rPr>
        <w:t>levando ao aumento d</w:t>
      </w:r>
      <w:r w:rsidRPr="00913ACD">
        <w:rPr>
          <w:color w:val="000000" w:themeColor="text1"/>
          <w:sz w:val="22"/>
          <w:szCs w:val="22"/>
          <w:lang w:val="pt-BR"/>
        </w:rPr>
        <w:t xml:space="preserve">a produtividade e </w:t>
      </w:r>
      <w:r w:rsidR="00C31692" w:rsidRPr="00913ACD">
        <w:rPr>
          <w:color w:val="000000" w:themeColor="text1"/>
          <w:sz w:val="22"/>
          <w:szCs w:val="22"/>
          <w:lang w:val="pt-BR"/>
        </w:rPr>
        <w:t xml:space="preserve">à </w:t>
      </w:r>
      <w:r w:rsidRPr="00913ACD">
        <w:rPr>
          <w:color w:val="000000" w:themeColor="text1"/>
          <w:sz w:val="22"/>
          <w:szCs w:val="22"/>
          <w:lang w:val="pt-BR"/>
        </w:rPr>
        <w:t>gera</w:t>
      </w:r>
      <w:r w:rsidR="00C31692" w:rsidRPr="00913ACD">
        <w:rPr>
          <w:color w:val="000000" w:themeColor="text1"/>
          <w:sz w:val="22"/>
          <w:szCs w:val="22"/>
          <w:lang w:val="pt-BR"/>
        </w:rPr>
        <w:t>ção de</w:t>
      </w:r>
      <w:r w:rsidRPr="00913ACD">
        <w:rPr>
          <w:color w:val="000000" w:themeColor="text1"/>
          <w:sz w:val="22"/>
          <w:szCs w:val="22"/>
          <w:lang w:val="pt-BR"/>
        </w:rPr>
        <w:t xml:space="preserve"> novos postos de trabalho na indústria)</w:t>
      </w:r>
    </w:p>
    <w:p w14:paraId="06EC6487" w14:textId="77777777" w:rsidR="00141240" w:rsidRPr="00913ACD" w:rsidRDefault="00141240" w:rsidP="00CB030B">
      <w:pPr>
        <w:pStyle w:val="ListParagraph"/>
        <w:rPr>
          <w:color w:val="000000" w:themeColor="text1"/>
          <w:sz w:val="22"/>
          <w:szCs w:val="22"/>
          <w:lang w:val="pt-BR"/>
        </w:rPr>
      </w:pPr>
    </w:p>
    <w:p w14:paraId="6C272AFC" w14:textId="6137E220" w:rsidR="00141240" w:rsidRPr="00913ACD" w:rsidRDefault="00141240"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O Programa de Bolsas </w:t>
      </w:r>
      <w:r w:rsidR="001777A4" w:rsidRPr="00913ACD">
        <w:rPr>
          <w:color w:val="000000" w:themeColor="text1"/>
          <w:sz w:val="22"/>
          <w:szCs w:val="22"/>
          <w:lang w:val="pt-BR"/>
        </w:rPr>
        <w:t xml:space="preserve">de Estudo </w:t>
      </w:r>
      <w:r w:rsidRPr="00913ACD">
        <w:rPr>
          <w:color w:val="000000" w:themeColor="text1"/>
          <w:sz w:val="22"/>
          <w:szCs w:val="22"/>
          <w:lang w:val="pt-BR"/>
        </w:rPr>
        <w:t xml:space="preserve">Acadêmicas recebeu 89 inscrições de 28 </w:t>
      </w:r>
      <w:r w:rsidR="002F4399" w:rsidRPr="00913ACD">
        <w:rPr>
          <w:color w:val="000000" w:themeColor="text1"/>
          <w:sz w:val="22"/>
          <w:szCs w:val="22"/>
          <w:lang w:val="pt-BR"/>
        </w:rPr>
        <w:t>Estados membros</w:t>
      </w:r>
      <w:r w:rsidRPr="00913ACD">
        <w:rPr>
          <w:color w:val="000000" w:themeColor="text1"/>
          <w:sz w:val="22"/>
          <w:szCs w:val="22"/>
          <w:lang w:val="pt-BR"/>
        </w:rPr>
        <w:t xml:space="preserve"> em resposta à Chamada de Bolsas de Estudo de 2022. </w:t>
      </w:r>
      <w:r w:rsidR="001B1152">
        <w:rPr>
          <w:color w:val="000000" w:themeColor="text1"/>
          <w:sz w:val="22"/>
          <w:szCs w:val="22"/>
          <w:lang w:val="pt-BR"/>
        </w:rPr>
        <w:t xml:space="preserve">Foram oferecidas </w:t>
      </w:r>
      <w:r w:rsidRPr="00913ACD">
        <w:rPr>
          <w:color w:val="000000" w:themeColor="text1"/>
          <w:sz w:val="22"/>
          <w:szCs w:val="22"/>
          <w:lang w:val="pt-BR"/>
        </w:rPr>
        <w:t>34 bolsas de estudo</w:t>
      </w:r>
      <w:r w:rsidR="00B9547B">
        <w:rPr>
          <w:color w:val="000000" w:themeColor="text1"/>
          <w:sz w:val="22"/>
          <w:szCs w:val="22"/>
          <w:lang w:val="pt-BR"/>
        </w:rPr>
        <w:t xml:space="preserve">; foram </w:t>
      </w:r>
      <w:r w:rsidR="00C27BEB">
        <w:rPr>
          <w:color w:val="000000" w:themeColor="text1"/>
          <w:sz w:val="22"/>
          <w:szCs w:val="22"/>
          <w:lang w:val="pt-BR"/>
        </w:rPr>
        <w:t>aceitas</w:t>
      </w:r>
      <w:r w:rsidR="001639CC" w:rsidRPr="00913ACD">
        <w:rPr>
          <w:color w:val="000000" w:themeColor="text1"/>
          <w:sz w:val="22"/>
          <w:szCs w:val="22"/>
          <w:lang w:val="pt-BR"/>
        </w:rPr>
        <w:t xml:space="preserve"> </w:t>
      </w:r>
      <w:r w:rsidRPr="00913ACD">
        <w:rPr>
          <w:color w:val="000000" w:themeColor="text1"/>
          <w:sz w:val="22"/>
          <w:szCs w:val="22"/>
          <w:lang w:val="pt-BR"/>
        </w:rPr>
        <w:t xml:space="preserve">seis </w:t>
      </w:r>
      <w:r w:rsidR="00C27BEB">
        <w:rPr>
          <w:color w:val="000000" w:themeColor="text1"/>
          <w:sz w:val="22"/>
          <w:szCs w:val="22"/>
          <w:lang w:val="pt-BR"/>
        </w:rPr>
        <w:t xml:space="preserve">ofertas de </w:t>
      </w:r>
      <w:r w:rsidRPr="00913ACD">
        <w:rPr>
          <w:color w:val="000000" w:themeColor="text1"/>
          <w:sz w:val="22"/>
          <w:szCs w:val="22"/>
          <w:lang w:val="pt-BR"/>
        </w:rPr>
        <w:t xml:space="preserve">estudos </w:t>
      </w:r>
      <w:r w:rsidR="00692E5B">
        <w:rPr>
          <w:color w:val="000000" w:themeColor="text1"/>
          <w:sz w:val="22"/>
          <w:szCs w:val="22"/>
          <w:lang w:val="pt-BR"/>
        </w:rPr>
        <w:t xml:space="preserve">universitários </w:t>
      </w:r>
      <w:r w:rsidRPr="00913ACD">
        <w:rPr>
          <w:color w:val="000000" w:themeColor="text1"/>
          <w:sz w:val="22"/>
          <w:szCs w:val="22"/>
          <w:lang w:val="pt-BR"/>
        </w:rPr>
        <w:t xml:space="preserve">e 24 </w:t>
      </w:r>
      <w:r w:rsidR="00E15728">
        <w:rPr>
          <w:color w:val="000000" w:themeColor="text1"/>
          <w:sz w:val="22"/>
          <w:szCs w:val="22"/>
          <w:lang w:val="pt-BR"/>
        </w:rPr>
        <w:t xml:space="preserve">de </w:t>
      </w:r>
      <w:r w:rsidRPr="00913ACD">
        <w:rPr>
          <w:color w:val="000000" w:themeColor="text1"/>
          <w:sz w:val="22"/>
          <w:szCs w:val="22"/>
          <w:lang w:val="pt-BR"/>
        </w:rPr>
        <w:t xml:space="preserve">estudos de pós-graduação. </w:t>
      </w:r>
    </w:p>
    <w:p w14:paraId="5716EBC6" w14:textId="77777777" w:rsidR="00174DB3" w:rsidRPr="00913ACD" w:rsidRDefault="00174DB3" w:rsidP="00CB030B">
      <w:pPr>
        <w:pStyle w:val="ListParagraph"/>
        <w:jc w:val="both"/>
        <w:rPr>
          <w:rFonts w:eastAsia="Cambria"/>
          <w:color w:val="000000" w:themeColor="text1"/>
          <w:sz w:val="22"/>
          <w:szCs w:val="22"/>
          <w:lang w:val="pt-BR"/>
        </w:rPr>
      </w:pPr>
    </w:p>
    <w:p w14:paraId="35A8F39E" w14:textId="62CDAD5B" w:rsidR="00141240" w:rsidRPr="00913ACD" w:rsidRDefault="00141240"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Bolsas de estudo acadêmicas </w:t>
      </w:r>
      <w:r w:rsidR="00E15728">
        <w:rPr>
          <w:color w:val="000000" w:themeColor="text1"/>
          <w:sz w:val="22"/>
          <w:szCs w:val="22"/>
          <w:lang w:val="pt-BR"/>
        </w:rPr>
        <w:t xml:space="preserve">foram </w:t>
      </w:r>
      <w:r w:rsidRPr="00913ACD">
        <w:rPr>
          <w:color w:val="000000" w:themeColor="text1"/>
          <w:sz w:val="22"/>
          <w:szCs w:val="22"/>
          <w:lang w:val="pt-BR"/>
        </w:rPr>
        <w:t>concedidas para os últimos dois anos de estudos de graduação a cidadãos dos</w:t>
      </w:r>
      <w:r w:rsidR="00C51D8E" w:rsidRPr="00913ACD">
        <w:rPr>
          <w:color w:val="000000" w:themeColor="text1"/>
          <w:sz w:val="22"/>
          <w:szCs w:val="22"/>
          <w:lang w:val="pt-BR"/>
        </w:rPr>
        <w:t xml:space="preserve"> </w:t>
      </w:r>
      <w:r w:rsidR="006867F8" w:rsidRPr="00913ACD">
        <w:rPr>
          <w:color w:val="000000" w:themeColor="text1"/>
          <w:sz w:val="22"/>
          <w:szCs w:val="22"/>
          <w:lang w:val="pt-BR"/>
        </w:rPr>
        <w:t>Estados membros</w:t>
      </w:r>
      <w:r w:rsidR="00C67D84" w:rsidRPr="00913ACD">
        <w:rPr>
          <w:color w:val="000000" w:themeColor="text1"/>
          <w:sz w:val="22"/>
          <w:szCs w:val="22"/>
          <w:lang w:val="pt-BR"/>
        </w:rPr>
        <w:t xml:space="preserve"> do</w:t>
      </w:r>
      <w:r w:rsidRPr="00913ACD">
        <w:rPr>
          <w:sz w:val="22"/>
          <w:szCs w:val="22"/>
          <w:lang w:val="pt-BR"/>
        </w:rPr>
        <w:t xml:space="preserve"> Caribe de língua inglesa</w:t>
      </w:r>
      <w:r w:rsidR="00C51D8E" w:rsidRPr="00913ACD">
        <w:rPr>
          <w:sz w:val="22"/>
          <w:szCs w:val="22"/>
          <w:lang w:val="pt-BR"/>
        </w:rPr>
        <w:t xml:space="preserve"> </w:t>
      </w:r>
      <w:r w:rsidRPr="00913ACD">
        <w:rPr>
          <w:color w:val="000000" w:themeColor="text1"/>
          <w:sz w:val="22"/>
          <w:szCs w:val="22"/>
          <w:lang w:val="pt-BR"/>
        </w:rPr>
        <w:t>e do Suriname.</w:t>
      </w:r>
    </w:p>
    <w:p w14:paraId="2D96C7CC" w14:textId="18BF1A83" w:rsidR="00141240" w:rsidRPr="00913ACD" w:rsidRDefault="00141240"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Bolsas de pós-graduação </w:t>
      </w:r>
      <w:r w:rsidR="00345A70">
        <w:rPr>
          <w:color w:val="000000" w:themeColor="text1"/>
          <w:sz w:val="22"/>
          <w:szCs w:val="22"/>
          <w:lang w:val="pt-BR"/>
        </w:rPr>
        <w:t xml:space="preserve">foram </w:t>
      </w:r>
      <w:r w:rsidRPr="00913ACD">
        <w:rPr>
          <w:color w:val="000000" w:themeColor="text1"/>
          <w:sz w:val="22"/>
          <w:szCs w:val="22"/>
          <w:lang w:val="pt-BR"/>
        </w:rPr>
        <w:t>concedidas para estudos que lev</w:t>
      </w:r>
      <w:r w:rsidR="008C2E36">
        <w:rPr>
          <w:color w:val="000000" w:themeColor="text1"/>
          <w:sz w:val="22"/>
          <w:szCs w:val="22"/>
          <w:lang w:val="pt-BR"/>
        </w:rPr>
        <w:t>a</w:t>
      </w:r>
      <w:r w:rsidRPr="00913ACD">
        <w:rPr>
          <w:color w:val="000000" w:themeColor="text1"/>
          <w:sz w:val="22"/>
          <w:szCs w:val="22"/>
          <w:lang w:val="pt-BR"/>
        </w:rPr>
        <w:t xml:space="preserve">m a pesquisas de mestrado, doutorado e/ou pós-graduação a cidadãos de todos os Estados </w:t>
      </w:r>
      <w:r w:rsidR="00C67D84" w:rsidRPr="00913ACD">
        <w:rPr>
          <w:color w:val="000000" w:themeColor="text1"/>
          <w:sz w:val="22"/>
          <w:szCs w:val="22"/>
          <w:lang w:val="pt-BR"/>
        </w:rPr>
        <w:t>membros da</w:t>
      </w:r>
      <w:r w:rsidR="005F30B1" w:rsidRPr="00913ACD">
        <w:rPr>
          <w:color w:val="000000" w:themeColor="text1"/>
          <w:sz w:val="22"/>
          <w:szCs w:val="22"/>
          <w:lang w:val="pt-BR"/>
        </w:rPr>
        <w:t xml:space="preserve"> OEA</w:t>
      </w:r>
      <w:r w:rsidRPr="00913ACD">
        <w:rPr>
          <w:color w:val="000000" w:themeColor="text1"/>
          <w:sz w:val="22"/>
          <w:szCs w:val="22"/>
          <w:lang w:val="pt-BR"/>
        </w:rPr>
        <w:t>.</w:t>
      </w:r>
    </w:p>
    <w:p w14:paraId="0C7B96F5" w14:textId="294D1971" w:rsidR="00141240" w:rsidRPr="00913ACD" w:rsidRDefault="00141240"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Os bolsistas recebem até US$ 10</w:t>
      </w:r>
      <w:r w:rsidR="007B759C" w:rsidRPr="00913ACD">
        <w:rPr>
          <w:color w:val="000000" w:themeColor="text1"/>
          <w:sz w:val="22"/>
          <w:szCs w:val="22"/>
          <w:lang w:val="pt-BR"/>
        </w:rPr>
        <w:t xml:space="preserve"> mil </w:t>
      </w:r>
      <w:r w:rsidRPr="00913ACD">
        <w:rPr>
          <w:color w:val="000000" w:themeColor="text1"/>
          <w:sz w:val="22"/>
          <w:szCs w:val="22"/>
          <w:lang w:val="pt-BR"/>
        </w:rPr>
        <w:t>por ano letivo</w:t>
      </w:r>
      <w:r w:rsidR="00CC6BF0" w:rsidRPr="00913ACD">
        <w:rPr>
          <w:color w:val="000000" w:themeColor="text1"/>
          <w:sz w:val="22"/>
          <w:szCs w:val="22"/>
          <w:lang w:val="pt-BR"/>
        </w:rPr>
        <w:t>,</w:t>
      </w:r>
      <w:r w:rsidR="00A87E3F" w:rsidRPr="00913ACD">
        <w:rPr>
          <w:color w:val="000000" w:themeColor="text1"/>
          <w:sz w:val="22"/>
          <w:szCs w:val="22"/>
          <w:lang w:val="pt-BR"/>
        </w:rPr>
        <w:t xml:space="preserve"> pelo </w:t>
      </w:r>
      <w:r w:rsidRPr="00913ACD">
        <w:rPr>
          <w:color w:val="000000" w:themeColor="text1"/>
          <w:sz w:val="22"/>
          <w:szCs w:val="22"/>
          <w:lang w:val="pt-BR"/>
        </w:rPr>
        <w:t>período máximo de dois anos acadêmicos, para prosseguir estudos em instituições acadêmicas respeitáveis nos</w:t>
      </w:r>
      <w:r w:rsidR="00C51D8E" w:rsidRPr="00913ACD">
        <w:rPr>
          <w:color w:val="000000" w:themeColor="text1"/>
          <w:sz w:val="22"/>
          <w:szCs w:val="22"/>
          <w:lang w:val="pt-BR"/>
        </w:rPr>
        <w:t xml:space="preserve"> </w:t>
      </w:r>
      <w:r w:rsidR="005F30B1" w:rsidRPr="00913ACD">
        <w:rPr>
          <w:color w:val="000000" w:themeColor="text1"/>
          <w:sz w:val="22"/>
          <w:szCs w:val="22"/>
          <w:lang w:val="pt-BR"/>
        </w:rPr>
        <w:t>Estados</w:t>
      </w:r>
      <w:r w:rsidRPr="00913ACD">
        <w:rPr>
          <w:sz w:val="22"/>
          <w:szCs w:val="22"/>
          <w:lang w:val="pt-BR"/>
        </w:rPr>
        <w:t xml:space="preserve"> </w:t>
      </w:r>
      <w:r w:rsidR="00C67D84" w:rsidRPr="00913ACD">
        <w:rPr>
          <w:color w:val="000000" w:themeColor="text1"/>
          <w:sz w:val="22"/>
          <w:szCs w:val="22"/>
          <w:lang w:val="pt-BR"/>
        </w:rPr>
        <w:t>membros</w:t>
      </w:r>
      <w:r w:rsidRPr="00913ACD">
        <w:rPr>
          <w:color w:val="000000" w:themeColor="text1"/>
          <w:sz w:val="22"/>
          <w:szCs w:val="22"/>
          <w:lang w:val="pt-BR"/>
        </w:rPr>
        <w:t xml:space="preserve"> da OEA em modalidades presenciais, on-line ou combinadas. </w:t>
      </w:r>
    </w:p>
    <w:p w14:paraId="0D62485D" w14:textId="77777777" w:rsidR="00A427C5" w:rsidRPr="00913ACD" w:rsidRDefault="00A427C5" w:rsidP="00CB030B">
      <w:pPr>
        <w:jc w:val="both"/>
        <w:rPr>
          <w:rFonts w:ascii="Times New Roman" w:eastAsia="Cambria" w:hAnsi="Times New Roman" w:cs="Times New Roman"/>
          <w:color w:val="000000" w:themeColor="text1"/>
          <w:sz w:val="22"/>
          <w:szCs w:val="22"/>
          <w:lang w:val="pt-BR"/>
        </w:rPr>
      </w:pPr>
    </w:p>
    <w:p w14:paraId="6984DFEA" w14:textId="2E3936DF" w:rsidR="00141240" w:rsidRPr="00913ACD" w:rsidRDefault="00141240" w:rsidP="00CB030B">
      <w:pPr>
        <w:ind w:firstLine="720"/>
        <w:jc w:val="both"/>
        <w:rPr>
          <w:rFonts w:ascii="Times New Roman" w:eastAsia="Cambria"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Fundo Pan-Americano Leo S. Rowe</w:t>
      </w:r>
    </w:p>
    <w:p w14:paraId="3817561D" w14:textId="77777777" w:rsidR="003C1314" w:rsidRPr="00913ACD" w:rsidRDefault="003C1314" w:rsidP="00CB030B">
      <w:pPr>
        <w:jc w:val="both"/>
        <w:rPr>
          <w:rFonts w:ascii="Times New Roman" w:eastAsia="Cambria" w:hAnsi="Times New Roman" w:cs="Times New Roman"/>
          <w:i/>
          <w:iCs/>
          <w:color w:val="000000" w:themeColor="text1"/>
          <w:sz w:val="22"/>
          <w:szCs w:val="22"/>
          <w:lang w:val="pt-BR"/>
        </w:rPr>
      </w:pPr>
    </w:p>
    <w:p w14:paraId="4C5D6552" w14:textId="21FFEC78" w:rsidR="003C1314" w:rsidRPr="00913ACD" w:rsidRDefault="00141240"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O Fundo Rowe é um programa de empréstimos educacionais da OEA que ajuda cidadãos da América Latina e do Caribe dos</w:t>
      </w:r>
      <w:r w:rsidR="00C51D8E" w:rsidRPr="00913ACD">
        <w:rPr>
          <w:color w:val="000000" w:themeColor="text1"/>
          <w:sz w:val="22"/>
          <w:szCs w:val="22"/>
          <w:lang w:val="pt-BR"/>
        </w:rPr>
        <w:t xml:space="preserve"> </w:t>
      </w:r>
      <w:r w:rsidR="00E15D70" w:rsidRPr="00913ACD">
        <w:rPr>
          <w:color w:val="000000" w:themeColor="text1"/>
          <w:sz w:val="22"/>
          <w:szCs w:val="22"/>
          <w:lang w:val="pt-BR"/>
        </w:rPr>
        <w:t>E</w:t>
      </w:r>
      <w:r w:rsidR="005F30B1" w:rsidRPr="00913ACD">
        <w:rPr>
          <w:color w:val="000000" w:themeColor="text1"/>
          <w:sz w:val="22"/>
          <w:szCs w:val="22"/>
          <w:lang w:val="pt-BR"/>
        </w:rPr>
        <w:t>stados</w:t>
      </w:r>
      <w:r w:rsidRPr="00913ACD">
        <w:rPr>
          <w:sz w:val="22"/>
          <w:szCs w:val="22"/>
          <w:lang w:val="pt-BR"/>
        </w:rPr>
        <w:t xml:space="preserve"> </w:t>
      </w:r>
      <w:r w:rsidR="00E15D70" w:rsidRPr="00913ACD">
        <w:rPr>
          <w:sz w:val="22"/>
          <w:szCs w:val="22"/>
          <w:lang w:val="pt-BR"/>
        </w:rPr>
        <w:t xml:space="preserve">membros </w:t>
      </w:r>
      <w:r w:rsidRPr="00913ACD">
        <w:rPr>
          <w:sz w:val="22"/>
          <w:szCs w:val="22"/>
          <w:lang w:val="pt-BR"/>
        </w:rPr>
        <w:t>da O</w:t>
      </w:r>
      <w:r w:rsidR="00E15D70" w:rsidRPr="00913ACD">
        <w:rPr>
          <w:sz w:val="22"/>
          <w:szCs w:val="22"/>
          <w:lang w:val="pt-BR"/>
        </w:rPr>
        <w:t xml:space="preserve">EA </w:t>
      </w:r>
      <w:r w:rsidR="00361BA0" w:rsidRPr="00913ACD">
        <w:rPr>
          <w:color w:val="000000" w:themeColor="text1"/>
          <w:sz w:val="22"/>
          <w:szCs w:val="22"/>
          <w:lang w:val="pt-BR"/>
        </w:rPr>
        <w:t>a</w:t>
      </w:r>
      <w:r w:rsidRPr="00913ACD">
        <w:rPr>
          <w:color w:val="000000" w:themeColor="text1"/>
          <w:sz w:val="22"/>
          <w:szCs w:val="22"/>
          <w:lang w:val="pt-BR"/>
        </w:rPr>
        <w:t xml:space="preserve"> financiar seus estudos ou pesquisas em universidades credenciadas nos Estados Unidos por meio da concessão de empréstimos sem juros de até US$ 15</w:t>
      </w:r>
      <w:r w:rsidR="007B759C" w:rsidRPr="00913ACD">
        <w:rPr>
          <w:color w:val="000000" w:themeColor="text1"/>
          <w:sz w:val="22"/>
          <w:szCs w:val="22"/>
          <w:lang w:val="pt-BR"/>
        </w:rPr>
        <w:t xml:space="preserve"> mil</w:t>
      </w:r>
      <w:r w:rsidRPr="00913ACD">
        <w:rPr>
          <w:color w:val="000000" w:themeColor="text1"/>
          <w:sz w:val="22"/>
          <w:szCs w:val="22"/>
          <w:lang w:val="pt-BR"/>
        </w:rPr>
        <w:t>. Em 2022, o fundo:</w:t>
      </w:r>
    </w:p>
    <w:p w14:paraId="70474E36" w14:textId="77777777" w:rsidR="003C1314" w:rsidRPr="00913ACD" w:rsidRDefault="003C1314" w:rsidP="00CB030B">
      <w:pPr>
        <w:pStyle w:val="ListParagraph"/>
        <w:jc w:val="both"/>
        <w:rPr>
          <w:rFonts w:eastAsia="Cambria"/>
          <w:color w:val="000000" w:themeColor="text1"/>
          <w:sz w:val="22"/>
          <w:szCs w:val="22"/>
          <w:lang w:val="pt-BR"/>
        </w:rPr>
      </w:pPr>
    </w:p>
    <w:p w14:paraId="57884094" w14:textId="55A45631" w:rsidR="003C1314" w:rsidRPr="00913ACD" w:rsidRDefault="00772172"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g</w:t>
      </w:r>
      <w:r w:rsidR="00141240" w:rsidRPr="00913ACD">
        <w:rPr>
          <w:color w:val="000000" w:themeColor="text1"/>
          <w:sz w:val="22"/>
          <w:szCs w:val="22"/>
          <w:lang w:val="pt-BR"/>
        </w:rPr>
        <w:t>er</w:t>
      </w:r>
      <w:r w:rsidR="00E55964" w:rsidRPr="00913ACD">
        <w:rPr>
          <w:color w:val="000000" w:themeColor="text1"/>
          <w:sz w:val="22"/>
          <w:szCs w:val="22"/>
          <w:lang w:val="pt-BR"/>
        </w:rPr>
        <w:t>enciou</w:t>
      </w:r>
      <w:r w:rsidR="004841B1" w:rsidRPr="00913ACD">
        <w:rPr>
          <w:color w:val="000000" w:themeColor="text1"/>
          <w:sz w:val="22"/>
          <w:szCs w:val="22"/>
          <w:lang w:val="pt-BR"/>
        </w:rPr>
        <w:t xml:space="preserve"> </w:t>
      </w:r>
      <w:r w:rsidR="00141240" w:rsidRPr="00913ACD">
        <w:rPr>
          <w:color w:val="000000" w:themeColor="text1"/>
          <w:sz w:val="22"/>
          <w:szCs w:val="22"/>
          <w:lang w:val="pt-BR"/>
        </w:rPr>
        <w:t>uma carteira de investimentos de US$ 19,4 milhões</w:t>
      </w:r>
      <w:r w:rsidR="00E55964" w:rsidRPr="00913ACD">
        <w:rPr>
          <w:color w:val="000000" w:themeColor="text1"/>
          <w:sz w:val="22"/>
          <w:szCs w:val="22"/>
          <w:lang w:val="pt-BR"/>
        </w:rPr>
        <w:t>;</w:t>
      </w:r>
    </w:p>
    <w:p w14:paraId="6F9B532C" w14:textId="1B1DC1CA" w:rsidR="003C1314" w:rsidRPr="00913ACD" w:rsidRDefault="00E55964"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a</w:t>
      </w:r>
      <w:r w:rsidR="00141240" w:rsidRPr="00913ACD">
        <w:rPr>
          <w:color w:val="000000" w:themeColor="text1"/>
          <w:sz w:val="22"/>
          <w:szCs w:val="22"/>
          <w:lang w:val="pt-BR"/>
        </w:rPr>
        <w:t>dministrou 377 contas de empréstimo no valor de US$ 2,37 milhões com taxa de inadimplência de um dígito</w:t>
      </w:r>
      <w:r w:rsidRPr="00913ACD">
        <w:rPr>
          <w:color w:val="000000" w:themeColor="text1"/>
          <w:sz w:val="22"/>
          <w:szCs w:val="22"/>
          <w:lang w:val="pt-BR"/>
        </w:rPr>
        <w:t>;</w:t>
      </w:r>
    </w:p>
    <w:p w14:paraId="5B18AFC9" w14:textId="6104D821" w:rsidR="003C1314" w:rsidRPr="00913ACD" w:rsidRDefault="00B01376"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concedeu</w:t>
      </w:r>
      <w:r w:rsidR="00141240" w:rsidRPr="00913ACD">
        <w:rPr>
          <w:color w:val="000000" w:themeColor="text1"/>
          <w:sz w:val="22"/>
          <w:szCs w:val="22"/>
          <w:lang w:val="pt-BR"/>
        </w:rPr>
        <w:t xml:space="preserve"> US$ 663.158</w:t>
      </w:r>
      <w:r w:rsidR="008813CF" w:rsidRPr="00913ACD">
        <w:rPr>
          <w:color w:val="000000" w:themeColor="text1"/>
          <w:sz w:val="22"/>
          <w:szCs w:val="22"/>
          <w:lang w:val="pt-BR"/>
        </w:rPr>
        <w:t>,00</w:t>
      </w:r>
      <w:r w:rsidR="00141240" w:rsidRPr="00913ACD">
        <w:rPr>
          <w:color w:val="000000" w:themeColor="text1"/>
          <w:sz w:val="22"/>
          <w:szCs w:val="22"/>
          <w:lang w:val="pt-BR"/>
        </w:rPr>
        <w:t xml:space="preserve"> em ajuda financeira</w:t>
      </w:r>
      <w:r w:rsidR="00C64EFF" w:rsidRPr="00913ACD">
        <w:rPr>
          <w:color w:val="000000" w:themeColor="text1"/>
          <w:sz w:val="22"/>
          <w:szCs w:val="22"/>
          <w:lang w:val="pt-BR"/>
        </w:rPr>
        <w:t xml:space="preserve"> a</w:t>
      </w:r>
      <w:r w:rsidR="00141240" w:rsidRPr="00913ACD">
        <w:rPr>
          <w:color w:val="000000" w:themeColor="text1"/>
          <w:sz w:val="22"/>
          <w:szCs w:val="22"/>
          <w:lang w:val="pt-BR"/>
        </w:rPr>
        <w:t xml:space="preserve"> estudantes internacionais de </w:t>
      </w:r>
      <w:r w:rsidR="00C64EFF" w:rsidRPr="00913ACD">
        <w:rPr>
          <w:color w:val="000000" w:themeColor="text1"/>
          <w:sz w:val="22"/>
          <w:szCs w:val="22"/>
          <w:lang w:val="pt-BR"/>
        </w:rPr>
        <w:t xml:space="preserve">17 </w:t>
      </w:r>
      <w:r w:rsidR="00141240" w:rsidRPr="00913ACD">
        <w:rPr>
          <w:color w:val="000000" w:themeColor="text1"/>
          <w:sz w:val="22"/>
          <w:szCs w:val="22"/>
          <w:lang w:val="pt-BR"/>
        </w:rPr>
        <w:t xml:space="preserve">dos 32 </w:t>
      </w:r>
      <w:r w:rsidR="00AF16D4" w:rsidRPr="00913ACD">
        <w:rPr>
          <w:color w:val="000000" w:themeColor="text1"/>
          <w:sz w:val="22"/>
          <w:szCs w:val="22"/>
          <w:lang w:val="pt-BR"/>
        </w:rPr>
        <w:t>Estados membros</w:t>
      </w:r>
      <w:r w:rsidR="00141240" w:rsidRPr="00913ACD">
        <w:rPr>
          <w:sz w:val="22"/>
          <w:szCs w:val="22"/>
          <w:lang w:val="pt-BR"/>
        </w:rPr>
        <w:t xml:space="preserve"> </w:t>
      </w:r>
      <w:r w:rsidR="000D27F0">
        <w:rPr>
          <w:sz w:val="22"/>
          <w:szCs w:val="22"/>
          <w:lang w:val="pt-BR"/>
        </w:rPr>
        <w:t xml:space="preserve">qualificáveis </w:t>
      </w:r>
      <w:r w:rsidR="00141240" w:rsidRPr="00913ACD">
        <w:rPr>
          <w:sz w:val="22"/>
          <w:szCs w:val="22"/>
          <w:lang w:val="pt-BR"/>
        </w:rPr>
        <w:t>da</w:t>
      </w:r>
      <w:r w:rsidR="00C51D8E" w:rsidRPr="00913ACD">
        <w:rPr>
          <w:sz w:val="22"/>
          <w:szCs w:val="22"/>
          <w:lang w:val="pt-BR"/>
        </w:rPr>
        <w:t xml:space="preserve"> </w:t>
      </w:r>
      <w:r w:rsidR="005F30B1" w:rsidRPr="00913ACD">
        <w:rPr>
          <w:color w:val="000000" w:themeColor="text1"/>
          <w:sz w:val="22"/>
          <w:szCs w:val="22"/>
          <w:lang w:val="pt-BR"/>
        </w:rPr>
        <w:t>OEA</w:t>
      </w:r>
      <w:r w:rsidR="00C64EFF" w:rsidRPr="00913ACD">
        <w:rPr>
          <w:color w:val="000000" w:themeColor="text1"/>
          <w:sz w:val="22"/>
          <w:szCs w:val="22"/>
          <w:lang w:val="pt-BR"/>
        </w:rPr>
        <w:t>;</w:t>
      </w:r>
    </w:p>
    <w:p w14:paraId="0CFB4FF6" w14:textId="2500CEB5" w:rsidR="00141240" w:rsidRPr="00913ACD" w:rsidRDefault="00141240"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ajudou </w:t>
      </w:r>
      <w:r w:rsidR="001F6387" w:rsidRPr="00913ACD">
        <w:rPr>
          <w:color w:val="000000" w:themeColor="text1"/>
          <w:sz w:val="22"/>
          <w:szCs w:val="22"/>
          <w:lang w:val="pt-BR"/>
        </w:rPr>
        <w:t xml:space="preserve">financeiramente </w:t>
      </w:r>
      <w:r w:rsidRPr="00913ACD">
        <w:rPr>
          <w:color w:val="000000" w:themeColor="text1"/>
          <w:sz w:val="22"/>
          <w:szCs w:val="22"/>
          <w:lang w:val="pt-BR"/>
        </w:rPr>
        <w:t>cerca de 100 estudantes internacionais da região a cobrir mensalidades e despesas de subsistência enquanto estudavam em universidades nos Estados Unidos. Des</w:t>
      </w:r>
      <w:r w:rsidR="002D70CC" w:rsidRPr="00913ACD">
        <w:rPr>
          <w:color w:val="000000" w:themeColor="text1"/>
          <w:sz w:val="22"/>
          <w:szCs w:val="22"/>
          <w:lang w:val="pt-BR"/>
        </w:rPr>
        <w:t>t</w:t>
      </w:r>
      <w:r w:rsidRPr="00913ACD">
        <w:rPr>
          <w:color w:val="000000" w:themeColor="text1"/>
          <w:sz w:val="22"/>
          <w:szCs w:val="22"/>
          <w:lang w:val="pt-BR"/>
        </w:rPr>
        <w:t>es 100:</w:t>
      </w:r>
    </w:p>
    <w:p w14:paraId="1E8C3208" w14:textId="675A65FF" w:rsidR="003C1314" w:rsidRPr="00913ACD" w:rsidRDefault="003C1314" w:rsidP="00CB030B">
      <w:pPr>
        <w:pStyle w:val="ListParagraph"/>
        <w:numPr>
          <w:ilvl w:val="2"/>
          <w:numId w:val="24"/>
        </w:numPr>
        <w:ind w:left="2520"/>
        <w:jc w:val="both"/>
        <w:rPr>
          <w:rFonts w:eastAsia="Cambria"/>
          <w:color w:val="000000" w:themeColor="text1"/>
          <w:sz w:val="22"/>
          <w:szCs w:val="22"/>
          <w:lang w:val="pt-BR"/>
        </w:rPr>
      </w:pPr>
      <w:r w:rsidRPr="00913ACD">
        <w:rPr>
          <w:color w:val="000000" w:themeColor="text1"/>
          <w:sz w:val="22"/>
          <w:szCs w:val="22"/>
          <w:lang w:val="pt-BR"/>
        </w:rPr>
        <w:t xml:space="preserve">79 estavam matriculados em </w:t>
      </w:r>
      <w:r w:rsidR="0052050A">
        <w:rPr>
          <w:color w:val="000000" w:themeColor="text1"/>
          <w:sz w:val="22"/>
          <w:szCs w:val="22"/>
          <w:lang w:val="pt-BR"/>
        </w:rPr>
        <w:t xml:space="preserve">estudos </w:t>
      </w:r>
      <w:r w:rsidRPr="00913ACD">
        <w:rPr>
          <w:color w:val="000000" w:themeColor="text1"/>
          <w:sz w:val="22"/>
          <w:szCs w:val="22"/>
          <w:lang w:val="pt-BR"/>
        </w:rPr>
        <w:t xml:space="preserve">de </w:t>
      </w:r>
      <w:r w:rsidR="00DC0F67" w:rsidRPr="00913ACD">
        <w:rPr>
          <w:color w:val="000000" w:themeColor="text1"/>
          <w:sz w:val="22"/>
          <w:szCs w:val="22"/>
          <w:lang w:val="pt-BR"/>
        </w:rPr>
        <w:t>pós-</w:t>
      </w:r>
      <w:r w:rsidRPr="00913ACD">
        <w:rPr>
          <w:color w:val="000000" w:themeColor="text1"/>
          <w:sz w:val="22"/>
          <w:szCs w:val="22"/>
          <w:lang w:val="pt-BR"/>
        </w:rPr>
        <w:t>graduação;</w:t>
      </w:r>
    </w:p>
    <w:p w14:paraId="7615E0DD" w14:textId="757032C8" w:rsidR="003C1314" w:rsidRPr="00913ACD" w:rsidRDefault="003C1314" w:rsidP="00CB030B">
      <w:pPr>
        <w:pStyle w:val="ListParagraph"/>
        <w:numPr>
          <w:ilvl w:val="2"/>
          <w:numId w:val="24"/>
        </w:numPr>
        <w:ind w:left="2520"/>
        <w:jc w:val="both"/>
        <w:rPr>
          <w:rFonts w:eastAsia="Cambria"/>
          <w:color w:val="000000" w:themeColor="text1"/>
          <w:sz w:val="22"/>
          <w:szCs w:val="22"/>
          <w:lang w:val="pt-BR"/>
        </w:rPr>
      </w:pPr>
      <w:r w:rsidRPr="00913ACD">
        <w:rPr>
          <w:color w:val="000000" w:themeColor="text1"/>
          <w:sz w:val="22"/>
          <w:szCs w:val="22"/>
          <w:lang w:val="pt-BR"/>
        </w:rPr>
        <w:t>48% eram mulheres; e</w:t>
      </w:r>
    </w:p>
    <w:p w14:paraId="601063C5" w14:textId="714A3755" w:rsidR="00141240" w:rsidRPr="00913ACD" w:rsidRDefault="00A23FFB" w:rsidP="00A23FFB">
      <w:pPr>
        <w:pStyle w:val="ListParagraph"/>
        <w:numPr>
          <w:ilvl w:val="2"/>
          <w:numId w:val="24"/>
        </w:numPr>
        <w:spacing w:line="360" w:lineRule="auto"/>
        <w:ind w:left="2520"/>
        <w:jc w:val="both"/>
        <w:rPr>
          <w:rFonts w:eastAsia="Cambria"/>
          <w:color w:val="000000" w:themeColor="text1"/>
          <w:sz w:val="22"/>
          <w:szCs w:val="22"/>
          <w:lang w:val="pt-BR"/>
        </w:rPr>
      </w:pPr>
      <w:r w:rsidRPr="00913ACD">
        <w:rPr>
          <w:color w:val="000000" w:themeColor="text1"/>
          <w:sz w:val="22"/>
          <w:szCs w:val="22"/>
          <w:lang w:val="pt-BR"/>
        </w:rPr>
        <w:t xml:space="preserve">100% </w:t>
      </w:r>
      <w:r w:rsidR="00F464A2">
        <w:rPr>
          <w:color w:val="000000" w:themeColor="text1"/>
          <w:sz w:val="22"/>
          <w:szCs w:val="22"/>
          <w:lang w:val="pt-BR"/>
        </w:rPr>
        <w:t xml:space="preserve">dos </w:t>
      </w:r>
      <w:r w:rsidR="003C1314" w:rsidRPr="00913ACD">
        <w:rPr>
          <w:color w:val="000000" w:themeColor="text1"/>
          <w:sz w:val="22"/>
          <w:szCs w:val="22"/>
          <w:lang w:val="pt-BR"/>
        </w:rPr>
        <w:t xml:space="preserve">estudos </w:t>
      </w:r>
      <w:r w:rsidR="00DD65B6">
        <w:rPr>
          <w:color w:val="000000" w:themeColor="text1"/>
          <w:sz w:val="22"/>
          <w:szCs w:val="22"/>
          <w:lang w:val="pt-BR"/>
        </w:rPr>
        <w:t xml:space="preserve">foram </w:t>
      </w:r>
      <w:r w:rsidR="003C1314" w:rsidRPr="00913ACD">
        <w:rPr>
          <w:color w:val="000000" w:themeColor="text1"/>
          <w:sz w:val="22"/>
          <w:szCs w:val="22"/>
          <w:lang w:val="pt-BR"/>
        </w:rPr>
        <w:t>presenciais (tradicionais)</w:t>
      </w:r>
      <w:r w:rsidR="00942BCB" w:rsidRPr="00913ACD">
        <w:rPr>
          <w:color w:val="000000" w:themeColor="text1"/>
          <w:sz w:val="22"/>
          <w:szCs w:val="22"/>
          <w:lang w:val="pt-BR"/>
        </w:rPr>
        <w:t>;</w:t>
      </w:r>
      <w:r w:rsidR="003C1314" w:rsidRPr="00913ACD">
        <w:rPr>
          <w:color w:val="000000" w:themeColor="text1"/>
          <w:sz w:val="22"/>
          <w:szCs w:val="22"/>
          <w:lang w:val="pt-BR"/>
        </w:rPr>
        <w:t xml:space="preserve"> </w:t>
      </w:r>
    </w:p>
    <w:p w14:paraId="29A34205" w14:textId="2ABF2407" w:rsidR="00141240" w:rsidRPr="00913ACD" w:rsidRDefault="00942BCB"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c</w:t>
      </w:r>
      <w:r w:rsidR="00141240" w:rsidRPr="00913ACD">
        <w:rPr>
          <w:color w:val="000000" w:themeColor="text1"/>
          <w:sz w:val="22"/>
          <w:szCs w:val="22"/>
          <w:lang w:val="pt-BR"/>
        </w:rPr>
        <w:t xml:space="preserve">oncedeu empréstimos educacionais e emergenciais aos </w:t>
      </w:r>
      <w:r w:rsidR="00C67D84" w:rsidRPr="00913ACD">
        <w:rPr>
          <w:color w:val="000000" w:themeColor="text1"/>
          <w:sz w:val="22"/>
          <w:szCs w:val="22"/>
          <w:lang w:val="pt-BR"/>
        </w:rPr>
        <w:t>funcionários</w:t>
      </w:r>
      <w:r w:rsidR="00141240" w:rsidRPr="00913ACD">
        <w:rPr>
          <w:sz w:val="22"/>
          <w:szCs w:val="22"/>
          <w:lang w:val="pt-BR"/>
        </w:rPr>
        <w:t xml:space="preserve"> da </w:t>
      </w:r>
      <w:r w:rsidR="00BE1759" w:rsidRPr="00913ACD">
        <w:rPr>
          <w:sz w:val="22"/>
          <w:szCs w:val="22"/>
          <w:lang w:val="pt-BR"/>
        </w:rPr>
        <w:t>SG</w:t>
      </w:r>
      <w:r w:rsidR="00AC40A2" w:rsidRPr="00913ACD">
        <w:rPr>
          <w:sz w:val="22"/>
          <w:szCs w:val="22"/>
          <w:lang w:val="pt-BR"/>
        </w:rPr>
        <w:t>/</w:t>
      </w:r>
      <w:r w:rsidR="00141240" w:rsidRPr="00913ACD">
        <w:rPr>
          <w:color w:val="000000" w:themeColor="text1"/>
          <w:sz w:val="22"/>
          <w:szCs w:val="22"/>
          <w:lang w:val="pt-BR"/>
        </w:rPr>
        <w:t>OEA para a educação de seus dependentes</w:t>
      </w:r>
      <w:r w:rsidR="00AD71BD" w:rsidRPr="00913ACD">
        <w:rPr>
          <w:color w:val="000000" w:themeColor="text1"/>
          <w:sz w:val="22"/>
          <w:szCs w:val="22"/>
          <w:lang w:val="pt-BR"/>
        </w:rPr>
        <w:t>;</w:t>
      </w:r>
    </w:p>
    <w:p w14:paraId="68260330" w14:textId="0803AD57" w:rsidR="00141240" w:rsidRPr="00913ACD" w:rsidRDefault="00AD71BD"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c</w:t>
      </w:r>
      <w:r w:rsidR="00141240" w:rsidRPr="00913ACD">
        <w:rPr>
          <w:color w:val="000000" w:themeColor="text1"/>
          <w:sz w:val="22"/>
          <w:szCs w:val="22"/>
          <w:lang w:val="pt-BR"/>
        </w:rPr>
        <w:t xml:space="preserve">oncedeu bolsas de </w:t>
      </w:r>
      <w:r w:rsidR="00C63501" w:rsidRPr="00913ACD">
        <w:rPr>
          <w:color w:val="000000" w:themeColor="text1"/>
          <w:sz w:val="22"/>
          <w:szCs w:val="22"/>
          <w:lang w:val="pt-BR"/>
        </w:rPr>
        <w:t xml:space="preserve">ajuda de emergência para a </w:t>
      </w:r>
      <w:r w:rsidR="006C602F" w:rsidRPr="00913ACD">
        <w:rPr>
          <w:color w:val="000000" w:themeColor="text1"/>
          <w:sz w:val="22"/>
          <w:szCs w:val="22"/>
          <w:lang w:val="pt-BR"/>
        </w:rPr>
        <w:t>covid</w:t>
      </w:r>
      <w:r w:rsidR="00141240" w:rsidRPr="00913ACD">
        <w:rPr>
          <w:color w:val="000000" w:themeColor="text1"/>
          <w:sz w:val="22"/>
          <w:szCs w:val="22"/>
          <w:lang w:val="pt-BR"/>
        </w:rPr>
        <w:t xml:space="preserve">-19 a </w:t>
      </w:r>
      <w:r w:rsidR="00685357" w:rsidRPr="00913ACD">
        <w:rPr>
          <w:color w:val="000000" w:themeColor="text1"/>
          <w:sz w:val="22"/>
          <w:szCs w:val="22"/>
          <w:lang w:val="pt-BR"/>
        </w:rPr>
        <w:t xml:space="preserve">alunos </w:t>
      </w:r>
      <w:r w:rsidR="00141240" w:rsidRPr="00913ACD">
        <w:rPr>
          <w:color w:val="000000" w:themeColor="text1"/>
          <w:sz w:val="22"/>
          <w:szCs w:val="22"/>
          <w:lang w:val="pt-BR"/>
        </w:rPr>
        <w:t>que estudam nos EUA, ajudando a compensar os desafios financeiros criados pela pandemia</w:t>
      </w:r>
      <w:r w:rsidRPr="00913ACD">
        <w:rPr>
          <w:color w:val="000000" w:themeColor="text1"/>
          <w:sz w:val="22"/>
          <w:szCs w:val="22"/>
          <w:lang w:val="pt-BR"/>
        </w:rPr>
        <w:t>;</w:t>
      </w:r>
    </w:p>
    <w:p w14:paraId="155534DD" w14:textId="7CD99CF3" w:rsidR="00141240" w:rsidRPr="00913ACD" w:rsidRDefault="006D2412"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c</w:t>
      </w:r>
      <w:r w:rsidR="00141240" w:rsidRPr="00913ACD">
        <w:rPr>
          <w:color w:val="000000" w:themeColor="text1"/>
          <w:sz w:val="22"/>
          <w:szCs w:val="22"/>
          <w:lang w:val="pt-BR"/>
        </w:rPr>
        <w:t xml:space="preserve">ontinuou a campanha de angariação de fundos </w:t>
      </w:r>
      <w:r w:rsidR="007800A2" w:rsidRPr="00913ACD">
        <w:rPr>
          <w:color w:val="000000" w:themeColor="text1"/>
          <w:sz w:val="22"/>
          <w:szCs w:val="22"/>
          <w:lang w:val="pt-BR"/>
        </w:rPr>
        <w:t>“</w:t>
      </w:r>
      <w:r w:rsidRPr="00913ACD">
        <w:rPr>
          <w:b/>
          <w:bCs/>
          <w:color w:val="000000" w:themeColor="text1"/>
          <w:sz w:val="22"/>
          <w:szCs w:val="22"/>
          <w:lang w:val="pt-BR"/>
        </w:rPr>
        <w:t xml:space="preserve">Doe para a </w:t>
      </w:r>
      <w:r w:rsidR="009F53F1" w:rsidRPr="00913ACD">
        <w:rPr>
          <w:b/>
          <w:bCs/>
          <w:color w:val="000000" w:themeColor="text1"/>
          <w:sz w:val="22"/>
          <w:szCs w:val="22"/>
          <w:lang w:val="pt-BR"/>
        </w:rPr>
        <w:t>Educa</w:t>
      </w:r>
      <w:r w:rsidRPr="00913ACD">
        <w:rPr>
          <w:b/>
          <w:bCs/>
          <w:color w:val="000000" w:themeColor="text1"/>
          <w:sz w:val="22"/>
          <w:szCs w:val="22"/>
          <w:lang w:val="pt-BR"/>
        </w:rPr>
        <w:t>ção</w:t>
      </w:r>
      <w:r w:rsidR="007800A2" w:rsidRPr="00913ACD">
        <w:rPr>
          <w:b/>
          <w:bCs/>
          <w:color w:val="000000" w:themeColor="text1"/>
          <w:sz w:val="22"/>
          <w:szCs w:val="22"/>
          <w:lang w:val="pt-BR"/>
        </w:rPr>
        <w:t>”</w:t>
      </w:r>
      <w:r w:rsidR="00141240" w:rsidRPr="00913ACD">
        <w:rPr>
          <w:color w:val="000000" w:themeColor="text1"/>
          <w:sz w:val="22"/>
          <w:szCs w:val="22"/>
          <w:lang w:val="pt-BR"/>
        </w:rPr>
        <w:t xml:space="preserve"> </w:t>
      </w:r>
      <w:r w:rsidR="00870787" w:rsidRPr="00913ACD">
        <w:rPr>
          <w:color w:val="000000" w:themeColor="text1"/>
          <w:sz w:val="22"/>
          <w:szCs w:val="22"/>
          <w:lang w:val="pt-BR"/>
        </w:rPr>
        <w:t xml:space="preserve">com vistas a oferecer </w:t>
      </w:r>
      <w:r w:rsidR="00141240" w:rsidRPr="00913ACD">
        <w:rPr>
          <w:color w:val="000000" w:themeColor="text1"/>
          <w:sz w:val="22"/>
          <w:szCs w:val="22"/>
          <w:lang w:val="pt-BR"/>
        </w:rPr>
        <w:t>bolsas de estudo de emergência adicionais</w:t>
      </w:r>
      <w:r w:rsidR="00870787" w:rsidRPr="00913ACD">
        <w:rPr>
          <w:color w:val="000000" w:themeColor="text1"/>
          <w:sz w:val="22"/>
          <w:szCs w:val="22"/>
          <w:lang w:val="pt-BR"/>
        </w:rPr>
        <w:t>;</w:t>
      </w:r>
    </w:p>
    <w:p w14:paraId="69C07B99" w14:textId="04B1AD10" w:rsidR="003C1314" w:rsidRPr="00913ACD" w:rsidRDefault="00870787"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e</w:t>
      </w:r>
      <w:r w:rsidR="003C1314" w:rsidRPr="00913ACD">
        <w:rPr>
          <w:color w:val="000000" w:themeColor="text1"/>
          <w:sz w:val="22"/>
          <w:szCs w:val="22"/>
          <w:lang w:val="pt-BR"/>
        </w:rPr>
        <w:t xml:space="preserve">m colaboração com outras instituições de ensino superior, realizou webinars para cidadãos dos Estados </w:t>
      </w:r>
      <w:r w:rsidR="00C67D84" w:rsidRPr="00913ACD">
        <w:rPr>
          <w:color w:val="000000" w:themeColor="text1"/>
          <w:sz w:val="22"/>
          <w:szCs w:val="22"/>
          <w:lang w:val="pt-BR"/>
        </w:rPr>
        <w:t>membros da</w:t>
      </w:r>
      <w:r w:rsidR="005F30B1" w:rsidRPr="00913ACD">
        <w:rPr>
          <w:color w:val="000000" w:themeColor="text1"/>
          <w:sz w:val="22"/>
          <w:szCs w:val="22"/>
          <w:lang w:val="pt-BR"/>
        </w:rPr>
        <w:t xml:space="preserve"> OEA</w:t>
      </w:r>
      <w:r w:rsidR="002F2F9F" w:rsidRPr="00913ACD">
        <w:rPr>
          <w:color w:val="000000" w:themeColor="text1"/>
          <w:sz w:val="22"/>
          <w:szCs w:val="22"/>
          <w:lang w:val="pt-BR"/>
        </w:rPr>
        <w:t>; e</w:t>
      </w:r>
    </w:p>
    <w:p w14:paraId="33B9F0CC" w14:textId="71987516" w:rsidR="00141240" w:rsidRPr="00913ACD" w:rsidRDefault="002F2F9F"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o</w:t>
      </w:r>
      <w:r w:rsidR="003C1314" w:rsidRPr="00913ACD">
        <w:rPr>
          <w:color w:val="000000" w:themeColor="text1"/>
          <w:sz w:val="22"/>
          <w:szCs w:val="22"/>
          <w:lang w:val="pt-BR"/>
        </w:rPr>
        <w:t>rganiz</w:t>
      </w:r>
      <w:r w:rsidRPr="00913ACD">
        <w:rPr>
          <w:color w:val="000000" w:themeColor="text1"/>
          <w:sz w:val="22"/>
          <w:szCs w:val="22"/>
          <w:lang w:val="pt-BR"/>
        </w:rPr>
        <w:t xml:space="preserve">ou </w:t>
      </w:r>
      <w:r w:rsidR="003C1314" w:rsidRPr="00913ACD">
        <w:rPr>
          <w:color w:val="000000" w:themeColor="text1"/>
          <w:sz w:val="22"/>
          <w:szCs w:val="22"/>
          <w:lang w:val="pt-BR"/>
        </w:rPr>
        <w:t>webinars em colaboração com instituições ligadas ao ensino superior.</w:t>
      </w:r>
    </w:p>
    <w:p w14:paraId="26F01CAE" w14:textId="77777777" w:rsidR="00F21F21" w:rsidRPr="00913ACD" w:rsidRDefault="00F21F21" w:rsidP="00CB030B">
      <w:pPr>
        <w:contextualSpacing/>
        <w:jc w:val="both"/>
        <w:rPr>
          <w:rFonts w:ascii="Times New Roman" w:eastAsia="Calibri" w:hAnsi="Times New Roman" w:cs="Times New Roman"/>
          <w:i/>
          <w:iCs/>
          <w:color w:val="000000" w:themeColor="text1"/>
          <w:sz w:val="22"/>
          <w:szCs w:val="22"/>
          <w:lang w:val="pt-BR"/>
        </w:rPr>
      </w:pPr>
    </w:p>
    <w:p w14:paraId="27B77572" w14:textId="77777777" w:rsidR="007A6E7B" w:rsidRDefault="007A6E7B" w:rsidP="00CB030B">
      <w:pPr>
        <w:ind w:firstLine="720"/>
        <w:contextualSpacing/>
        <w:jc w:val="both"/>
        <w:rPr>
          <w:rFonts w:ascii="Times New Roman" w:hAnsi="Times New Roman" w:cs="Times New Roman"/>
          <w:b/>
          <w:color w:val="000000" w:themeColor="text1"/>
          <w:sz w:val="22"/>
          <w:szCs w:val="22"/>
          <w:lang w:val="pt-BR"/>
        </w:rPr>
      </w:pPr>
    </w:p>
    <w:p w14:paraId="4FE535EB" w14:textId="77777777" w:rsidR="007A6E7B" w:rsidRDefault="007A6E7B" w:rsidP="00CB030B">
      <w:pPr>
        <w:ind w:firstLine="720"/>
        <w:contextualSpacing/>
        <w:jc w:val="both"/>
        <w:rPr>
          <w:rFonts w:ascii="Times New Roman" w:hAnsi="Times New Roman" w:cs="Times New Roman"/>
          <w:b/>
          <w:color w:val="000000" w:themeColor="text1"/>
          <w:sz w:val="22"/>
          <w:szCs w:val="22"/>
          <w:lang w:val="pt-BR"/>
        </w:rPr>
      </w:pPr>
    </w:p>
    <w:p w14:paraId="1AEF6163" w14:textId="77777777" w:rsidR="007A6E7B" w:rsidRDefault="007A6E7B" w:rsidP="00CB030B">
      <w:pPr>
        <w:ind w:firstLine="720"/>
        <w:contextualSpacing/>
        <w:jc w:val="both"/>
        <w:rPr>
          <w:rFonts w:ascii="Times New Roman" w:hAnsi="Times New Roman" w:cs="Times New Roman"/>
          <w:b/>
          <w:color w:val="000000" w:themeColor="text1"/>
          <w:sz w:val="22"/>
          <w:szCs w:val="22"/>
          <w:lang w:val="pt-BR"/>
        </w:rPr>
      </w:pPr>
    </w:p>
    <w:p w14:paraId="5942F72C" w14:textId="27524A0B" w:rsidR="006C0224" w:rsidRPr="00913ACD" w:rsidRDefault="006C0224" w:rsidP="00CB030B">
      <w:pPr>
        <w:ind w:firstLine="720"/>
        <w:contextualSpacing/>
        <w:jc w:val="both"/>
        <w:rPr>
          <w:rFonts w:ascii="Times New Roman" w:eastAsia="Calibri" w:hAnsi="Times New Roman" w:cs="Times New Roman"/>
          <w:b/>
          <w:bCs/>
          <w:color w:val="000000" w:themeColor="text1"/>
          <w:sz w:val="22"/>
          <w:szCs w:val="22"/>
          <w:lang w:val="pt-BR"/>
        </w:rPr>
      </w:pPr>
      <w:r w:rsidRPr="00913ACD">
        <w:rPr>
          <w:rFonts w:ascii="Times New Roman" w:hAnsi="Times New Roman" w:cs="Times New Roman"/>
          <w:b/>
          <w:color w:val="000000" w:themeColor="text1"/>
          <w:sz w:val="22"/>
          <w:szCs w:val="22"/>
          <w:lang w:val="pt-BR"/>
        </w:rPr>
        <w:t>Secretaria da Comissão Interamericana de Portos</w:t>
      </w:r>
    </w:p>
    <w:p w14:paraId="29E60B40" w14:textId="77777777" w:rsidR="0094654F" w:rsidRPr="00913ACD" w:rsidRDefault="0094654F" w:rsidP="00CB030B">
      <w:pPr>
        <w:contextualSpacing/>
        <w:jc w:val="both"/>
        <w:rPr>
          <w:rFonts w:ascii="Times New Roman" w:hAnsi="Times New Roman" w:cs="Times New Roman"/>
          <w:color w:val="000000" w:themeColor="text1"/>
          <w:sz w:val="22"/>
          <w:szCs w:val="22"/>
          <w:lang w:val="pt-BR"/>
        </w:rPr>
      </w:pPr>
    </w:p>
    <w:p w14:paraId="1F8BF07A" w14:textId="7AA9EF06" w:rsidR="0094654F" w:rsidRPr="00913ACD" w:rsidRDefault="0094654F" w:rsidP="00CB030B">
      <w:pPr>
        <w:pStyle w:val="ListParagraph"/>
        <w:numPr>
          <w:ilvl w:val="0"/>
          <w:numId w:val="24"/>
        </w:numPr>
        <w:ind w:left="1440" w:hanging="720"/>
        <w:contextualSpacing/>
        <w:jc w:val="both"/>
        <w:rPr>
          <w:rFonts w:eastAsia="Cambria"/>
          <w:color w:val="000000" w:themeColor="text1"/>
          <w:sz w:val="22"/>
          <w:szCs w:val="22"/>
          <w:lang w:val="pt-BR"/>
        </w:rPr>
      </w:pPr>
      <w:r w:rsidRPr="00913ACD">
        <w:rPr>
          <w:color w:val="000000" w:themeColor="text1"/>
          <w:sz w:val="22"/>
          <w:szCs w:val="22"/>
          <w:lang w:val="pt-BR"/>
        </w:rPr>
        <w:t xml:space="preserve">Demonstrou </w:t>
      </w:r>
      <w:r w:rsidR="00350CF2" w:rsidRPr="00913ACD">
        <w:rPr>
          <w:color w:val="000000" w:themeColor="text1"/>
          <w:sz w:val="22"/>
          <w:szCs w:val="22"/>
          <w:lang w:val="pt-BR"/>
        </w:rPr>
        <w:t>boas práticas</w:t>
      </w:r>
      <w:r w:rsidRPr="00913ACD">
        <w:rPr>
          <w:color w:val="000000" w:themeColor="text1"/>
          <w:sz w:val="22"/>
          <w:szCs w:val="22"/>
          <w:lang w:val="pt-BR"/>
        </w:rPr>
        <w:t xml:space="preserve"> a 2.038 funcionários portuários de 28</w:t>
      </w:r>
      <w:r w:rsidR="00C51D8E" w:rsidRPr="00913ACD">
        <w:rPr>
          <w:color w:val="000000" w:themeColor="text1"/>
          <w:sz w:val="22"/>
          <w:szCs w:val="22"/>
          <w:lang w:val="pt-BR"/>
        </w:rPr>
        <w:t xml:space="preserve"> </w:t>
      </w:r>
      <w:r w:rsidR="005F30B1" w:rsidRPr="00913ACD">
        <w:rPr>
          <w:color w:val="000000" w:themeColor="text1"/>
          <w:sz w:val="22"/>
          <w:szCs w:val="22"/>
          <w:lang w:val="pt-BR"/>
        </w:rPr>
        <w:t>Estados membros da OEA</w:t>
      </w:r>
      <w:r w:rsidRPr="00913ACD">
        <w:rPr>
          <w:color w:val="000000" w:themeColor="text1"/>
          <w:sz w:val="22"/>
          <w:szCs w:val="22"/>
          <w:lang w:val="pt-BR"/>
        </w:rPr>
        <w:t xml:space="preserve"> </w:t>
      </w:r>
      <w:r w:rsidR="006E72D3" w:rsidRPr="00913ACD">
        <w:rPr>
          <w:color w:val="000000" w:themeColor="text1"/>
          <w:sz w:val="22"/>
          <w:szCs w:val="22"/>
          <w:lang w:val="pt-BR"/>
        </w:rPr>
        <w:t>em</w:t>
      </w:r>
      <w:r w:rsidRPr="00913ACD">
        <w:rPr>
          <w:color w:val="000000" w:themeColor="text1"/>
          <w:sz w:val="22"/>
          <w:szCs w:val="22"/>
          <w:lang w:val="pt-BR"/>
        </w:rPr>
        <w:t xml:space="preserve"> uma série de </w:t>
      </w:r>
      <w:r w:rsidR="006E72D3" w:rsidRPr="00913ACD">
        <w:rPr>
          <w:color w:val="000000" w:themeColor="text1"/>
          <w:sz w:val="22"/>
          <w:szCs w:val="22"/>
          <w:lang w:val="pt-BR"/>
        </w:rPr>
        <w:t xml:space="preserve">12 </w:t>
      </w:r>
      <w:r w:rsidRPr="00913ACD">
        <w:rPr>
          <w:color w:val="000000" w:themeColor="text1"/>
          <w:sz w:val="22"/>
          <w:szCs w:val="22"/>
          <w:lang w:val="pt-BR"/>
        </w:rPr>
        <w:t>webinars técnicos organizados em colaboração com sete parceiros estratégicos. Os tópicos incluíram desenvolvimento portuário, igualdade de gênero, proteção e segurança portuária, alfândega, portos de cruzeiros, gestão sustentável, responsabilidade social e inovação tecnológica.</w:t>
      </w:r>
    </w:p>
    <w:p w14:paraId="52FFC75B" w14:textId="77777777" w:rsidR="006C0224" w:rsidRPr="00913ACD" w:rsidRDefault="006C0224" w:rsidP="00CB030B">
      <w:pPr>
        <w:pStyle w:val="ListParagraph"/>
        <w:ind w:left="1440" w:hanging="720"/>
        <w:jc w:val="both"/>
        <w:rPr>
          <w:rFonts w:eastAsia="Cambria"/>
          <w:color w:val="000000" w:themeColor="text1"/>
          <w:sz w:val="22"/>
          <w:szCs w:val="22"/>
          <w:lang w:val="pt-BR"/>
        </w:rPr>
      </w:pPr>
    </w:p>
    <w:p w14:paraId="398FBD7C" w14:textId="54825A3A" w:rsidR="006C0224" w:rsidRPr="00913ACD" w:rsidRDefault="006C0224" w:rsidP="00CB030B">
      <w:pPr>
        <w:pStyle w:val="ListParagraph"/>
        <w:numPr>
          <w:ilvl w:val="0"/>
          <w:numId w:val="24"/>
        </w:numPr>
        <w:ind w:left="1440" w:hanging="720"/>
        <w:contextualSpacing/>
        <w:jc w:val="both"/>
        <w:rPr>
          <w:rFonts w:eastAsia="Cambria"/>
          <w:color w:val="000000" w:themeColor="text1"/>
          <w:sz w:val="22"/>
          <w:szCs w:val="22"/>
          <w:lang w:val="pt-BR"/>
        </w:rPr>
      </w:pPr>
      <w:r w:rsidRPr="00913ACD">
        <w:rPr>
          <w:color w:val="000000" w:themeColor="text1"/>
          <w:sz w:val="22"/>
          <w:szCs w:val="22"/>
          <w:lang w:val="pt-BR"/>
        </w:rPr>
        <w:t xml:space="preserve">Realizou quatro </w:t>
      </w:r>
      <w:r w:rsidR="00106315" w:rsidRPr="00913ACD">
        <w:rPr>
          <w:color w:val="000000" w:themeColor="text1"/>
          <w:sz w:val="22"/>
          <w:szCs w:val="22"/>
          <w:lang w:val="pt-BR"/>
        </w:rPr>
        <w:t>e</w:t>
      </w:r>
      <w:r w:rsidRPr="00913ACD">
        <w:rPr>
          <w:color w:val="000000" w:themeColor="text1"/>
          <w:sz w:val="22"/>
          <w:szCs w:val="22"/>
          <w:lang w:val="pt-BR"/>
        </w:rPr>
        <w:t xml:space="preserve">ventos </w:t>
      </w:r>
      <w:r w:rsidR="00106315" w:rsidRPr="00913ACD">
        <w:rPr>
          <w:color w:val="000000" w:themeColor="text1"/>
          <w:sz w:val="22"/>
          <w:szCs w:val="22"/>
          <w:lang w:val="pt-BR"/>
        </w:rPr>
        <w:t>h</w:t>
      </w:r>
      <w:r w:rsidRPr="00913ACD">
        <w:rPr>
          <w:color w:val="000000" w:themeColor="text1"/>
          <w:sz w:val="22"/>
          <w:szCs w:val="22"/>
          <w:lang w:val="pt-BR"/>
        </w:rPr>
        <w:t xml:space="preserve">emisféricos em parceria com </w:t>
      </w:r>
      <w:r w:rsidR="00106315" w:rsidRPr="00913ACD">
        <w:rPr>
          <w:color w:val="000000" w:themeColor="text1"/>
          <w:sz w:val="22"/>
          <w:szCs w:val="22"/>
          <w:lang w:val="pt-BR"/>
        </w:rPr>
        <w:t>a</w:t>
      </w:r>
      <w:r w:rsidRPr="00913ACD">
        <w:rPr>
          <w:color w:val="000000" w:themeColor="text1"/>
          <w:sz w:val="22"/>
          <w:szCs w:val="22"/>
          <w:lang w:val="pt-BR"/>
        </w:rPr>
        <w:t xml:space="preserve">utoridades </w:t>
      </w:r>
      <w:r w:rsidR="00106315" w:rsidRPr="00913ACD">
        <w:rPr>
          <w:color w:val="000000" w:themeColor="text1"/>
          <w:sz w:val="22"/>
          <w:szCs w:val="22"/>
          <w:lang w:val="pt-BR"/>
        </w:rPr>
        <w:t>p</w:t>
      </w:r>
      <w:r w:rsidRPr="00913ACD">
        <w:rPr>
          <w:color w:val="000000" w:themeColor="text1"/>
          <w:sz w:val="22"/>
          <w:szCs w:val="22"/>
          <w:lang w:val="pt-BR"/>
        </w:rPr>
        <w:t xml:space="preserve">ortuárias </w:t>
      </w:r>
      <w:r w:rsidR="00106315" w:rsidRPr="00913ACD">
        <w:rPr>
          <w:color w:val="000000" w:themeColor="text1"/>
          <w:sz w:val="22"/>
          <w:szCs w:val="22"/>
          <w:lang w:val="pt-BR"/>
        </w:rPr>
        <w:t>n</w:t>
      </w:r>
      <w:r w:rsidRPr="00913ACD">
        <w:rPr>
          <w:color w:val="000000" w:themeColor="text1"/>
          <w:sz w:val="22"/>
          <w:szCs w:val="22"/>
          <w:lang w:val="pt-BR"/>
        </w:rPr>
        <w:t>acionais, apresentando a mais de 2.100 funcionários portuários de 29</w:t>
      </w:r>
      <w:r w:rsidR="00C51D8E" w:rsidRPr="00913ACD">
        <w:rPr>
          <w:color w:val="000000" w:themeColor="text1"/>
          <w:sz w:val="22"/>
          <w:szCs w:val="22"/>
          <w:lang w:val="pt-BR"/>
        </w:rPr>
        <w:t xml:space="preserve"> </w:t>
      </w:r>
      <w:r w:rsidR="005F30B1" w:rsidRPr="00913ACD">
        <w:rPr>
          <w:color w:val="000000" w:themeColor="text1"/>
          <w:sz w:val="22"/>
          <w:szCs w:val="22"/>
          <w:lang w:val="pt-BR"/>
        </w:rPr>
        <w:t>Estados membros</w:t>
      </w:r>
      <w:r w:rsidRPr="00913ACD">
        <w:rPr>
          <w:sz w:val="22"/>
          <w:szCs w:val="22"/>
          <w:lang w:val="pt-BR"/>
        </w:rPr>
        <w:t xml:space="preserve"> da</w:t>
      </w:r>
      <w:r w:rsidR="00C51D8E" w:rsidRPr="00913ACD">
        <w:rPr>
          <w:sz w:val="22"/>
          <w:szCs w:val="22"/>
          <w:lang w:val="pt-BR"/>
        </w:rPr>
        <w:t xml:space="preserve"> </w:t>
      </w:r>
      <w:r w:rsidRPr="00913ACD">
        <w:rPr>
          <w:color w:val="000000" w:themeColor="text1"/>
          <w:sz w:val="22"/>
          <w:szCs w:val="22"/>
          <w:lang w:val="pt-BR"/>
        </w:rPr>
        <w:t>OEA práticas bem-sucedidas em</w:t>
      </w:r>
      <w:r w:rsidR="00BE75BF">
        <w:rPr>
          <w:color w:val="000000" w:themeColor="text1"/>
          <w:sz w:val="22"/>
          <w:szCs w:val="22"/>
          <w:lang w:val="pt-BR"/>
        </w:rPr>
        <w:t>:</w:t>
      </w:r>
      <w:r w:rsidRPr="00913ACD">
        <w:rPr>
          <w:color w:val="000000" w:themeColor="text1"/>
          <w:sz w:val="22"/>
          <w:szCs w:val="22"/>
          <w:lang w:val="pt-BR"/>
        </w:rPr>
        <w:t xml:space="preserve"> Gestão </w:t>
      </w:r>
      <w:r w:rsidR="004A7E9C" w:rsidRPr="00913ACD">
        <w:rPr>
          <w:color w:val="000000" w:themeColor="text1"/>
          <w:sz w:val="22"/>
          <w:szCs w:val="22"/>
          <w:lang w:val="pt-BR"/>
        </w:rPr>
        <w:t>p</w:t>
      </w:r>
      <w:r w:rsidRPr="00913ACD">
        <w:rPr>
          <w:color w:val="000000" w:themeColor="text1"/>
          <w:sz w:val="22"/>
          <w:szCs w:val="22"/>
          <w:lang w:val="pt-BR"/>
        </w:rPr>
        <w:t xml:space="preserve">ortuária </w:t>
      </w:r>
      <w:r w:rsidR="004A7E9C" w:rsidRPr="00913ACD">
        <w:rPr>
          <w:color w:val="000000" w:themeColor="text1"/>
          <w:sz w:val="22"/>
          <w:szCs w:val="22"/>
          <w:lang w:val="pt-BR"/>
        </w:rPr>
        <w:t>s</w:t>
      </w:r>
      <w:r w:rsidRPr="00913ACD">
        <w:rPr>
          <w:color w:val="000000" w:themeColor="text1"/>
          <w:sz w:val="22"/>
          <w:szCs w:val="22"/>
          <w:lang w:val="pt-BR"/>
        </w:rPr>
        <w:t xml:space="preserve">ustentável e </w:t>
      </w:r>
      <w:r w:rsidR="004A7E9C" w:rsidRPr="00913ACD">
        <w:rPr>
          <w:color w:val="000000" w:themeColor="text1"/>
          <w:sz w:val="22"/>
          <w:szCs w:val="22"/>
          <w:lang w:val="pt-BR"/>
        </w:rPr>
        <w:t>p</w:t>
      </w:r>
      <w:r w:rsidRPr="00913ACD">
        <w:rPr>
          <w:color w:val="000000" w:themeColor="text1"/>
          <w:sz w:val="22"/>
          <w:szCs w:val="22"/>
          <w:lang w:val="pt-BR"/>
        </w:rPr>
        <w:t xml:space="preserve">roteção </w:t>
      </w:r>
      <w:r w:rsidR="004A7E9C" w:rsidRPr="00913ACD">
        <w:rPr>
          <w:color w:val="000000" w:themeColor="text1"/>
          <w:sz w:val="22"/>
          <w:szCs w:val="22"/>
          <w:lang w:val="pt-BR"/>
        </w:rPr>
        <w:t>a</w:t>
      </w:r>
      <w:r w:rsidRPr="00913ACD">
        <w:rPr>
          <w:color w:val="000000" w:themeColor="text1"/>
          <w:sz w:val="22"/>
          <w:szCs w:val="22"/>
          <w:lang w:val="pt-BR"/>
        </w:rPr>
        <w:t xml:space="preserve">mbiental (México); Portos </w:t>
      </w:r>
      <w:r w:rsidR="004A7E9C" w:rsidRPr="00913ACD">
        <w:rPr>
          <w:color w:val="000000" w:themeColor="text1"/>
          <w:sz w:val="22"/>
          <w:szCs w:val="22"/>
          <w:lang w:val="pt-BR"/>
        </w:rPr>
        <w:t>a</w:t>
      </w:r>
      <w:r w:rsidRPr="00913ACD">
        <w:rPr>
          <w:color w:val="000000" w:themeColor="text1"/>
          <w:sz w:val="22"/>
          <w:szCs w:val="22"/>
          <w:lang w:val="pt-BR"/>
        </w:rPr>
        <w:t xml:space="preserve">quaviários, </w:t>
      </w:r>
      <w:r w:rsidR="004A7E9C" w:rsidRPr="00913ACD">
        <w:rPr>
          <w:color w:val="000000" w:themeColor="text1"/>
          <w:sz w:val="22"/>
          <w:szCs w:val="22"/>
          <w:lang w:val="pt-BR"/>
        </w:rPr>
        <w:t>i</w:t>
      </w:r>
      <w:r w:rsidRPr="00913ACD">
        <w:rPr>
          <w:color w:val="000000" w:themeColor="text1"/>
          <w:sz w:val="22"/>
          <w:szCs w:val="22"/>
          <w:lang w:val="pt-BR"/>
        </w:rPr>
        <w:t xml:space="preserve">nteriores e de </w:t>
      </w:r>
      <w:r w:rsidR="004A7E9C" w:rsidRPr="00913ACD">
        <w:rPr>
          <w:color w:val="000000" w:themeColor="text1"/>
          <w:sz w:val="22"/>
          <w:szCs w:val="22"/>
          <w:lang w:val="pt-BR"/>
        </w:rPr>
        <w:t>c</w:t>
      </w:r>
      <w:r w:rsidRPr="00913ACD">
        <w:rPr>
          <w:color w:val="000000" w:themeColor="text1"/>
          <w:sz w:val="22"/>
          <w:szCs w:val="22"/>
          <w:lang w:val="pt-BR"/>
        </w:rPr>
        <w:t xml:space="preserve">ruzeiros (Argentina); Proteção </w:t>
      </w:r>
      <w:r w:rsidR="000159C0" w:rsidRPr="00913ACD">
        <w:rPr>
          <w:color w:val="000000" w:themeColor="text1"/>
          <w:sz w:val="22"/>
          <w:szCs w:val="22"/>
          <w:lang w:val="pt-BR"/>
        </w:rPr>
        <w:t>p</w:t>
      </w:r>
      <w:r w:rsidRPr="00913ACD">
        <w:rPr>
          <w:color w:val="000000" w:themeColor="text1"/>
          <w:sz w:val="22"/>
          <w:szCs w:val="22"/>
          <w:lang w:val="pt-BR"/>
        </w:rPr>
        <w:t xml:space="preserve">ortuária, </w:t>
      </w:r>
      <w:r w:rsidR="000159C0" w:rsidRPr="00913ACD">
        <w:rPr>
          <w:color w:val="000000" w:themeColor="text1"/>
          <w:sz w:val="22"/>
          <w:szCs w:val="22"/>
          <w:lang w:val="pt-BR"/>
        </w:rPr>
        <w:t>s</w:t>
      </w:r>
      <w:r w:rsidRPr="00913ACD">
        <w:rPr>
          <w:color w:val="000000" w:themeColor="text1"/>
          <w:sz w:val="22"/>
          <w:szCs w:val="22"/>
          <w:lang w:val="pt-BR"/>
        </w:rPr>
        <w:t xml:space="preserve">egurança e </w:t>
      </w:r>
      <w:r w:rsidR="000159C0" w:rsidRPr="00913ACD">
        <w:rPr>
          <w:color w:val="000000" w:themeColor="text1"/>
          <w:sz w:val="22"/>
          <w:szCs w:val="22"/>
          <w:lang w:val="pt-BR"/>
        </w:rPr>
        <w:t>r</w:t>
      </w:r>
      <w:r w:rsidRPr="00913ACD">
        <w:rPr>
          <w:color w:val="000000" w:themeColor="text1"/>
          <w:sz w:val="22"/>
          <w:szCs w:val="22"/>
          <w:lang w:val="pt-BR"/>
        </w:rPr>
        <w:t xml:space="preserve">elações </w:t>
      </w:r>
      <w:r w:rsidR="000159C0" w:rsidRPr="00913ACD">
        <w:rPr>
          <w:color w:val="000000" w:themeColor="text1"/>
          <w:sz w:val="22"/>
          <w:szCs w:val="22"/>
          <w:lang w:val="pt-BR"/>
        </w:rPr>
        <w:t>p</w:t>
      </w:r>
      <w:r w:rsidRPr="00913ACD">
        <w:rPr>
          <w:color w:val="000000" w:themeColor="text1"/>
          <w:sz w:val="22"/>
          <w:szCs w:val="22"/>
          <w:lang w:val="pt-BR"/>
        </w:rPr>
        <w:t>orto-</w:t>
      </w:r>
      <w:r w:rsidR="000159C0" w:rsidRPr="00913ACD">
        <w:rPr>
          <w:color w:val="000000" w:themeColor="text1"/>
          <w:sz w:val="22"/>
          <w:szCs w:val="22"/>
          <w:lang w:val="pt-BR"/>
        </w:rPr>
        <w:t>c</w:t>
      </w:r>
      <w:r w:rsidRPr="00913ACD">
        <w:rPr>
          <w:color w:val="000000" w:themeColor="text1"/>
          <w:sz w:val="22"/>
          <w:szCs w:val="22"/>
          <w:lang w:val="pt-BR"/>
        </w:rPr>
        <w:t xml:space="preserve">idade (Barbados e EUA); e Relações </w:t>
      </w:r>
      <w:r w:rsidR="000159C0" w:rsidRPr="00913ACD">
        <w:rPr>
          <w:color w:val="000000" w:themeColor="text1"/>
          <w:sz w:val="22"/>
          <w:szCs w:val="22"/>
          <w:lang w:val="pt-BR"/>
        </w:rPr>
        <w:t>p</w:t>
      </w:r>
      <w:r w:rsidRPr="00913ACD">
        <w:rPr>
          <w:color w:val="000000" w:themeColor="text1"/>
          <w:sz w:val="22"/>
          <w:szCs w:val="22"/>
          <w:lang w:val="pt-BR"/>
        </w:rPr>
        <w:t>orto-</w:t>
      </w:r>
      <w:r w:rsidR="000159C0" w:rsidRPr="00913ACD">
        <w:rPr>
          <w:color w:val="000000" w:themeColor="text1"/>
          <w:sz w:val="22"/>
          <w:szCs w:val="22"/>
          <w:lang w:val="pt-BR"/>
        </w:rPr>
        <w:t>c</w:t>
      </w:r>
      <w:r w:rsidRPr="00913ACD">
        <w:rPr>
          <w:color w:val="000000" w:themeColor="text1"/>
          <w:sz w:val="22"/>
          <w:szCs w:val="22"/>
          <w:lang w:val="pt-BR"/>
        </w:rPr>
        <w:t xml:space="preserve">idade, </w:t>
      </w:r>
      <w:r w:rsidR="000159C0" w:rsidRPr="00913ACD">
        <w:rPr>
          <w:color w:val="000000" w:themeColor="text1"/>
          <w:sz w:val="22"/>
          <w:szCs w:val="22"/>
          <w:lang w:val="pt-BR"/>
        </w:rPr>
        <w:t>r</w:t>
      </w:r>
      <w:r w:rsidRPr="00913ACD">
        <w:rPr>
          <w:color w:val="000000" w:themeColor="text1"/>
          <w:sz w:val="22"/>
          <w:szCs w:val="22"/>
          <w:lang w:val="pt-BR"/>
        </w:rPr>
        <w:t xml:space="preserve">esponsabilidade </w:t>
      </w:r>
      <w:r w:rsidR="000159C0" w:rsidRPr="00913ACD">
        <w:rPr>
          <w:color w:val="000000" w:themeColor="text1"/>
          <w:sz w:val="22"/>
          <w:szCs w:val="22"/>
          <w:lang w:val="pt-BR"/>
        </w:rPr>
        <w:t>s</w:t>
      </w:r>
      <w:r w:rsidRPr="00913ACD">
        <w:rPr>
          <w:color w:val="000000" w:themeColor="text1"/>
          <w:sz w:val="22"/>
          <w:szCs w:val="22"/>
          <w:lang w:val="pt-BR"/>
        </w:rPr>
        <w:t xml:space="preserve">ocial e </w:t>
      </w:r>
      <w:r w:rsidR="000159C0" w:rsidRPr="00913ACD">
        <w:rPr>
          <w:color w:val="000000" w:themeColor="text1"/>
          <w:sz w:val="22"/>
          <w:szCs w:val="22"/>
          <w:lang w:val="pt-BR"/>
        </w:rPr>
        <w:t>i</w:t>
      </w:r>
      <w:r w:rsidRPr="00913ACD">
        <w:rPr>
          <w:color w:val="000000" w:themeColor="text1"/>
          <w:sz w:val="22"/>
          <w:szCs w:val="22"/>
          <w:lang w:val="pt-BR"/>
        </w:rPr>
        <w:t xml:space="preserve">gualdade de </w:t>
      </w:r>
      <w:r w:rsidR="000159C0" w:rsidRPr="00913ACD">
        <w:rPr>
          <w:color w:val="000000" w:themeColor="text1"/>
          <w:sz w:val="22"/>
          <w:szCs w:val="22"/>
          <w:lang w:val="pt-BR"/>
        </w:rPr>
        <w:t>g</w:t>
      </w:r>
      <w:r w:rsidRPr="00913ACD">
        <w:rPr>
          <w:color w:val="000000" w:themeColor="text1"/>
          <w:sz w:val="22"/>
          <w:szCs w:val="22"/>
          <w:lang w:val="pt-BR"/>
        </w:rPr>
        <w:t>ênero (Peru).</w:t>
      </w:r>
    </w:p>
    <w:p w14:paraId="5A650634" w14:textId="77777777" w:rsidR="006C0224" w:rsidRPr="00913ACD" w:rsidRDefault="006C0224" w:rsidP="00CB030B">
      <w:pPr>
        <w:pStyle w:val="ListParagraph"/>
        <w:ind w:left="1440" w:hanging="720"/>
        <w:rPr>
          <w:rFonts w:eastAsia="Cambria"/>
          <w:color w:val="000000" w:themeColor="text1"/>
          <w:sz w:val="22"/>
          <w:szCs w:val="22"/>
          <w:lang w:val="pt-BR"/>
        </w:rPr>
      </w:pPr>
    </w:p>
    <w:p w14:paraId="1485DB64" w14:textId="32D47F1F" w:rsidR="00F21F21" w:rsidRPr="00913ACD" w:rsidRDefault="006C0224" w:rsidP="00CB030B">
      <w:pPr>
        <w:pStyle w:val="ListParagraph"/>
        <w:numPr>
          <w:ilvl w:val="0"/>
          <w:numId w:val="24"/>
        </w:numPr>
        <w:ind w:left="1440" w:hanging="720"/>
        <w:contextualSpacing/>
        <w:jc w:val="both"/>
        <w:rPr>
          <w:rFonts w:eastAsia="Cambria"/>
          <w:color w:val="000000" w:themeColor="text1"/>
          <w:sz w:val="22"/>
          <w:szCs w:val="22"/>
          <w:lang w:val="pt-BR"/>
        </w:rPr>
      </w:pPr>
      <w:r w:rsidRPr="00913ACD">
        <w:rPr>
          <w:color w:val="000000" w:themeColor="text1"/>
          <w:sz w:val="22"/>
          <w:szCs w:val="22"/>
          <w:lang w:val="pt-BR"/>
        </w:rPr>
        <w:t>Treinou, em colaboração com a Autoridade Portuária Nacional do Peru e o Centro Nacional de Treinamento Portuário da Argentina, 565 funcionários portuários de 28</w:t>
      </w:r>
      <w:r w:rsidR="00C51D8E" w:rsidRPr="00913ACD">
        <w:rPr>
          <w:color w:val="000000" w:themeColor="text1"/>
          <w:sz w:val="22"/>
          <w:szCs w:val="22"/>
          <w:lang w:val="pt-BR"/>
        </w:rPr>
        <w:t xml:space="preserve"> </w:t>
      </w:r>
      <w:r w:rsidR="005F30B1" w:rsidRPr="00913ACD">
        <w:rPr>
          <w:color w:val="000000" w:themeColor="text1"/>
          <w:sz w:val="22"/>
          <w:szCs w:val="22"/>
          <w:lang w:val="pt-BR"/>
        </w:rPr>
        <w:t>Estados membros</w:t>
      </w:r>
      <w:r w:rsidRPr="00913ACD">
        <w:rPr>
          <w:sz w:val="22"/>
          <w:szCs w:val="22"/>
          <w:lang w:val="pt-BR"/>
        </w:rPr>
        <w:t xml:space="preserve"> da</w:t>
      </w:r>
      <w:r w:rsidR="00C51D8E" w:rsidRPr="00913ACD">
        <w:rPr>
          <w:sz w:val="22"/>
          <w:szCs w:val="22"/>
          <w:lang w:val="pt-BR"/>
        </w:rPr>
        <w:t xml:space="preserve"> </w:t>
      </w:r>
      <w:r w:rsidR="00B20338" w:rsidRPr="00913ACD">
        <w:rPr>
          <w:color w:val="000000" w:themeColor="text1"/>
          <w:sz w:val="22"/>
          <w:szCs w:val="22"/>
          <w:lang w:val="pt-BR"/>
        </w:rPr>
        <w:t>OEA em 29 cursos de desenvolvimento profissional certificados por meio de bolsas de estudo no valor de US$ 526.950. Os tópicos incluíram gerenciamento de projetos, risco em operações de transporte marítimo, ge</w:t>
      </w:r>
      <w:r w:rsidR="000159C0" w:rsidRPr="00913ACD">
        <w:rPr>
          <w:color w:val="000000" w:themeColor="text1"/>
          <w:sz w:val="22"/>
          <w:szCs w:val="22"/>
          <w:lang w:val="pt-BR"/>
        </w:rPr>
        <w:t xml:space="preserve">stão </w:t>
      </w:r>
      <w:r w:rsidR="00B20338" w:rsidRPr="00913ACD">
        <w:rPr>
          <w:color w:val="000000" w:themeColor="text1"/>
          <w:sz w:val="22"/>
          <w:szCs w:val="22"/>
          <w:lang w:val="pt-BR"/>
        </w:rPr>
        <w:t>de recursos humanos, sistema de distribuição em logística portuária, mulheres na gestão portuária, segurança operacional, competitividade portuária, análise de dados, concessões portuárias e tomada de decisões.</w:t>
      </w:r>
    </w:p>
    <w:p w14:paraId="67D375C9" w14:textId="77777777" w:rsidR="00F21F21" w:rsidRPr="00913ACD" w:rsidRDefault="00F21F21" w:rsidP="00CB030B">
      <w:pPr>
        <w:pStyle w:val="ListParagraph"/>
        <w:contextualSpacing/>
        <w:jc w:val="both"/>
        <w:rPr>
          <w:rFonts w:eastAsia="Cambria"/>
          <w:color w:val="000000" w:themeColor="text1"/>
          <w:sz w:val="22"/>
          <w:szCs w:val="22"/>
          <w:lang w:val="pt-BR"/>
        </w:rPr>
      </w:pPr>
    </w:p>
    <w:p w14:paraId="5FD367F3" w14:textId="5D3BDC52" w:rsidR="00141240" w:rsidRPr="00913ACD" w:rsidRDefault="00F21F21" w:rsidP="00CB030B">
      <w:pPr>
        <w:pStyle w:val="ListParagraph"/>
        <w:numPr>
          <w:ilvl w:val="0"/>
          <w:numId w:val="24"/>
        </w:numPr>
        <w:ind w:left="1440" w:hanging="720"/>
        <w:contextualSpacing/>
        <w:jc w:val="both"/>
        <w:rPr>
          <w:rFonts w:eastAsia="Cambria"/>
          <w:color w:val="000000" w:themeColor="text1"/>
          <w:sz w:val="22"/>
          <w:szCs w:val="22"/>
          <w:lang w:val="pt-BR"/>
        </w:rPr>
      </w:pPr>
      <w:r w:rsidRPr="00913ACD">
        <w:rPr>
          <w:color w:val="000000" w:themeColor="text1"/>
          <w:sz w:val="22"/>
          <w:szCs w:val="22"/>
          <w:lang w:val="pt-BR"/>
        </w:rPr>
        <w:t xml:space="preserve">O pessoal portuário de Saint Maarten também se beneficiou dessas atividades </w:t>
      </w:r>
      <w:r w:rsidR="0080556A">
        <w:rPr>
          <w:color w:val="000000" w:themeColor="text1"/>
          <w:sz w:val="22"/>
          <w:szCs w:val="22"/>
          <w:lang w:val="pt-BR"/>
        </w:rPr>
        <w:t xml:space="preserve">graças </w:t>
      </w:r>
      <w:r w:rsidRPr="00913ACD">
        <w:rPr>
          <w:color w:val="000000" w:themeColor="text1"/>
          <w:sz w:val="22"/>
          <w:szCs w:val="22"/>
          <w:lang w:val="pt-BR"/>
        </w:rPr>
        <w:t>a um memorando de entendimento entre a CIP e a Associação de Gestão Portuária do Caribe.</w:t>
      </w:r>
    </w:p>
    <w:p w14:paraId="6BF2C3B9" w14:textId="5B4B7609" w:rsidR="00784AE3" w:rsidRPr="00913ACD" w:rsidRDefault="00784AE3" w:rsidP="00CB030B">
      <w:pPr>
        <w:rPr>
          <w:rFonts w:ascii="Times New Roman" w:hAnsi="Times New Roman" w:cs="Times New Roman"/>
          <w:sz w:val="22"/>
          <w:szCs w:val="22"/>
          <w:lang w:val="pt-BR"/>
        </w:rPr>
      </w:pPr>
    </w:p>
    <w:p w14:paraId="2F20B3D8" w14:textId="77777777" w:rsidR="00A427C5" w:rsidRPr="00913ACD" w:rsidRDefault="00A427C5" w:rsidP="00CB030B">
      <w:pPr>
        <w:rPr>
          <w:rFonts w:ascii="Times New Roman" w:hAnsi="Times New Roman" w:cs="Times New Roman"/>
          <w:sz w:val="22"/>
          <w:szCs w:val="22"/>
          <w:lang w:val="pt-BR"/>
        </w:rPr>
      </w:pPr>
    </w:p>
    <w:p w14:paraId="49391F10" w14:textId="0E7EBCE1" w:rsidR="00784AE3" w:rsidRPr="00913ACD" w:rsidRDefault="00784AE3"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4</w:t>
      </w:r>
    </w:p>
    <w:p w14:paraId="31F16FEF" w14:textId="7E2A25F7" w:rsidR="00A427C5" w:rsidRPr="00913ACD" w:rsidRDefault="00A427C5" w:rsidP="00CB030B">
      <w:pPr>
        <w:pBdr>
          <w:bottom w:val="single" w:sz="6" w:space="1" w:color="auto"/>
        </w:pBdr>
        <w:rPr>
          <w:rFonts w:ascii="Times New Roman" w:hAnsi="Times New Roman" w:cs="Times New Roman"/>
          <w:sz w:val="22"/>
          <w:szCs w:val="22"/>
          <w:lang w:val="pt-BR"/>
        </w:rPr>
      </w:pPr>
      <w:r w:rsidRPr="00913ACD">
        <w:rPr>
          <w:rFonts w:ascii="Times New Roman" w:hAnsi="Times New Roman" w:cs="Times New Roman"/>
          <w:sz w:val="22"/>
          <w:szCs w:val="22"/>
          <w:lang w:val="pt-BR"/>
        </w:rPr>
        <w:t>PROMOVER TRABALHO DECENTE, DIGNO E PRODUTIVO PARA TODOS</w:t>
      </w:r>
    </w:p>
    <w:p w14:paraId="4EB46545" w14:textId="799DE80C" w:rsidR="00784AE3" w:rsidRPr="00913ACD" w:rsidRDefault="00784AE3" w:rsidP="00CB030B">
      <w:pPr>
        <w:rPr>
          <w:rFonts w:ascii="Times New Roman" w:hAnsi="Times New Roman" w:cs="Times New Roman"/>
          <w:sz w:val="22"/>
          <w:szCs w:val="22"/>
          <w:lang w:val="pt-BR"/>
        </w:rPr>
      </w:pPr>
    </w:p>
    <w:p w14:paraId="5F75E77A" w14:textId="7614ABEB" w:rsidR="00FF0178" w:rsidRPr="00913ACD" w:rsidRDefault="00FF0178" w:rsidP="00CB030B">
      <w:pPr>
        <w:ind w:firstLine="720"/>
        <w:jc w:val="both"/>
        <w:rPr>
          <w:rFonts w:ascii="Times New Roman" w:hAnsi="Times New Roman" w:cs="Times New Roman"/>
          <w:sz w:val="22"/>
          <w:szCs w:val="22"/>
          <w:lang w:val="pt-BR"/>
        </w:rPr>
      </w:pPr>
      <w:r w:rsidRPr="00913ACD">
        <w:rPr>
          <w:rFonts w:ascii="Times New Roman" w:hAnsi="Times New Roman" w:cs="Times New Roman"/>
          <w:sz w:val="22"/>
          <w:szCs w:val="22"/>
          <w:lang w:val="pt-BR"/>
        </w:rPr>
        <w:t>A SEDI fortalece a</w:t>
      </w:r>
      <w:r w:rsidR="00C51D8E" w:rsidRPr="00913ACD">
        <w:rPr>
          <w:rFonts w:ascii="Times New Roman" w:hAnsi="Times New Roman" w:cs="Times New Roman"/>
          <w:sz w:val="22"/>
          <w:szCs w:val="22"/>
          <w:lang w:val="pt-BR"/>
        </w:rPr>
        <w:t xml:space="preserve"> </w:t>
      </w:r>
      <w:r w:rsidRPr="00913ACD">
        <w:rPr>
          <w:rFonts w:ascii="Times New Roman" w:hAnsi="Times New Roman" w:cs="Times New Roman"/>
          <w:sz w:val="22"/>
          <w:szCs w:val="22"/>
          <w:lang w:val="pt-BR"/>
        </w:rPr>
        <w:t>capacidade dos</w:t>
      </w:r>
      <w:r w:rsidR="00C51D8E" w:rsidRPr="00913ACD">
        <w:rPr>
          <w:rFonts w:ascii="Times New Roman" w:hAnsi="Times New Roman" w:cs="Times New Roman"/>
          <w:sz w:val="22"/>
          <w:szCs w:val="22"/>
          <w:lang w:val="pt-BR"/>
        </w:rPr>
        <w:t xml:space="preserve"> </w:t>
      </w:r>
      <w:r w:rsidR="005F30B1" w:rsidRPr="00913ACD">
        <w:rPr>
          <w:rFonts w:ascii="Times New Roman" w:hAnsi="Times New Roman" w:cs="Times New Roman"/>
          <w:sz w:val="22"/>
          <w:szCs w:val="22"/>
          <w:lang w:val="pt-BR"/>
        </w:rPr>
        <w:t>Estados membros</w:t>
      </w:r>
      <w:r w:rsidRPr="00913ACD">
        <w:rPr>
          <w:rFonts w:ascii="Times New Roman" w:hAnsi="Times New Roman" w:cs="Times New Roman"/>
          <w:sz w:val="22"/>
          <w:szCs w:val="22"/>
          <w:lang w:val="pt-BR"/>
        </w:rPr>
        <w:t xml:space="preserve"> de melhorar as condições de trabalho, promover os direitos trabalhistas e criar empregos – </w:t>
      </w:r>
      <w:r w:rsidR="008167FD" w:rsidRPr="00913ACD">
        <w:rPr>
          <w:rFonts w:ascii="Times New Roman" w:hAnsi="Times New Roman" w:cs="Times New Roman"/>
          <w:sz w:val="22"/>
          <w:szCs w:val="22"/>
          <w:lang w:val="pt-BR"/>
        </w:rPr>
        <w:t>em essência</w:t>
      </w:r>
      <w:r w:rsidRPr="00913ACD">
        <w:rPr>
          <w:rFonts w:ascii="Times New Roman" w:hAnsi="Times New Roman" w:cs="Times New Roman"/>
          <w:sz w:val="22"/>
          <w:szCs w:val="22"/>
          <w:lang w:val="pt-BR"/>
        </w:rPr>
        <w:t>, trabalha</w:t>
      </w:r>
      <w:r w:rsidR="004912A9">
        <w:rPr>
          <w:rFonts w:ascii="Times New Roman" w:hAnsi="Times New Roman" w:cs="Times New Roman"/>
          <w:sz w:val="22"/>
          <w:szCs w:val="22"/>
          <w:lang w:val="pt-BR"/>
        </w:rPr>
        <w:t xml:space="preserve"> </w:t>
      </w:r>
      <w:r w:rsidRPr="00913ACD">
        <w:rPr>
          <w:rFonts w:ascii="Times New Roman" w:hAnsi="Times New Roman" w:cs="Times New Roman"/>
          <w:sz w:val="22"/>
          <w:szCs w:val="22"/>
          <w:lang w:val="pt-BR"/>
        </w:rPr>
        <w:t>para promove</w:t>
      </w:r>
      <w:r w:rsidR="004E3BA2" w:rsidRPr="00913ACD">
        <w:rPr>
          <w:rFonts w:ascii="Times New Roman" w:hAnsi="Times New Roman" w:cs="Times New Roman"/>
          <w:sz w:val="22"/>
          <w:szCs w:val="22"/>
          <w:lang w:val="pt-BR"/>
        </w:rPr>
        <w:t xml:space="preserve">r </w:t>
      </w:r>
      <w:r w:rsidRPr="00913ACD">
        <w:rPr>
          <w:rFonts w:ascii="Times New Roman" w:hAnsi="Times New Roman" w:cs="Times New Roman"/>
          <w:sz w:val="22"/>
          <w:szCs w:val="22"/>
          <w:lang w:val="pt-BR"/>
        </w:rPr>
        <w:t xml:space="preserve">emprego produtivo e trabalho decente para todos. Seus esforços </w:t>
      </w:r>
      <w:r w:rsidR="0067242E">
        <w:rPr>
          <w:rFonts w:ascii="Times New Roman" w:hAnsi="Times New Roman" w:cs="Times New Roman"/>
          <w:sz w:val="22"/>
          <w:szCs w:val="22"/>
          <w:lang w:val="pt-BR"/>
        </w:rPr>
        <w:t xml:space="preserve">se </w:t>
      </w:r>
      <w:r w:rsidRPr="00913ACD">
        <w:rPr>
          <w:rFonts w:ascii="Times New Roman" w:hAnsi="Times New Roman" w:cs="Times New Roman"/>
          <w:sz w:val="22"/>
          <w:szCs w:val="22"/>
          <w:lang w:val="pt-BR"/>
        </w:rPr>
        <w:t>concentra</w:t>
      </w:r>
      <w:r w:rsidR="0067242E">
        <w:rPr>
          <w:rFonts w:ascii="Times New Roman" w:hAnsi="Times New Roman" w:cs="Times New Roman"/>
          <w:sz w:val="22"/>
          <w:szCs w:val="22"/>
          <w:lang w:val="pt-BR"/>
        </w:rPr>
        <w:t xml:space="preserve">m </w:t>
      </w:r>
      <w:r w:rsidRPr="00913ACD">
        <w:rPr>
          <w:rFonts w:ascii="Times New Roman" w:hAnsi="Times New Roman" w:cs="Times New Roman"/>
          <w:sz w:val="22"/>
          <w:szCs w:val="22"/>
          <w:lang w:val="pt-BR"/>
        </w:rPr>
        <w:t xml:space="preserve">no cumprimento dos mandatos da Conferência Interamericana de Ministros do Trabalho (CIMT), que, em sua última reunião em setembro de 2021, reconheceu as consequências negativas da pandemia sobre os níveis de emprego, </w:t>
      </w:r>
      <w:r w:rsidR="007A4EF4" w:rsidRPr="00913ACD">
        <w:rPr>
          <w:rFonts w:ascii="Times New Roman" w:hAnsi="Times New Roman" w:cs="Times New Roman"/>
          <w:sz w:val="22"/>
          <w:szCs w:val="22"/>
          <w:lang w:val="pt-BR"/>
        </w:rPr>
        <w:t xml:space="preserve">a </w:t>
      </w:r>
      <w:r w:rsidRPr="00913ACD">
        <w:rPr>
          <w:rFonts w:ascii="Times New Roman" w:hAnsi="Times New Roman" w:cs="Times New Roman"/>
          <w:sz w:val="22"/>
          <w:szCs w:val="22"/>
          <w:lang w:val="pt-BR"/>
        </w:rPr>
        <w:t xml:space="preserve">participação no trabalho e </w:t>
      </w:r>
      <w:r w:rsidR="007A4EF4" w:rsidRPr="00913ACD">
        <w:rPr>
          <w:rFonts w:ascii="Times New Roman" w:hAnsi="Times New Roman" w:cs="Times New Roman"/>
          <w:sz w:val="22"/>
          <w:szCs w:val="22"/>
          <w:lang w:val="pt-BR"/>
        </w:rPr>
        <w:t xml:space="preserve">a </w:t>
      </w:r>
      <w:r w:rsidRPr="00913ACD">
        <w:rPr>
          <w:rFonts w:ascii="Times New Roman" w:hAnsi="Times New Roman" w:cs="Times New Roman"/>
          <w:sz w:val="22"/>
          <w:szCs w:val="22"/>
          <w:lang w:val="pt-BR"/>
        </w:rPr>
        <w:t xml:space="preserve">desigualdade. A </w:t>
      </w:r>
      <w:r w:rsidR="0022431F" w:rsidRPr="00913ACD">
        <w:rPr>
          <w:rFonts w:ascii="Times New Roman" w:hAnsi="Times New Roman" w:cs="Times New Roman"/>
          <w:sz w:val="22"/>
          <w:szCs w:val="22"/>
          <w:lang w:val="pt-BR"/>
        </w:rPr>
        <w:t>CIMT</w:t>
      </w:r>
      <w:r w:rsidRPr="00913ACD">
        <w:rPr>
          <w:rFonts w:ascii="Times New Roman" w:hAnsi="Times New Roman" w:cs="Times New Roman"/>
          <w:sz w:val="22"/>
          <w:szCs w:val="22"/>
          <w:lang w:val="pt-BR"/>
        </w:rPr>
        <w:t xml:space="preserve"> também direcionou ações regionais para a construção de um mundo do trabalho mais resiliente e para a recuperação do emprego sustentável, just</w:t>
      </w:r>
      <w:r w:rsidR="00244933">
        <w:rPr>
          <w:rFonts w:ascii="Times New Roman" w:hAnsi="Times New Roman" w:cs="Times New Roman"/>
          <w:sz w:val="22"/>
          <w:szCs w:val="22"/>
          <w:lang w:val="pt-BR"/>
        </w:rPr>
        <w:t>a</w:t>
      </w:r>
      <w:r w:rsidRPr="00913ACD">
        <w:rPr>
          <w:rFonts w:ascii="Times New Roman" w:hAnsi="Times New Roman" w:cs="Times New Roman"/>
          <w:sz w:val="22"/>
          <w:szCs w:val="22"/>
          <w:lang w:val="pt-BR"/>
        </w:rPr>
        <w:t xml:space="preserve"> e centrada nas pessoas. Em 2022, as ações da SEDI nesta área, apoiadas principalmente pela </w:t>
      </w:r>
      <w:r w:rsidR="001324FD" w:rsidRPr="00913ACD">
        <w:rPr>
          <w:rFonts w:ascii="Times New Roman" w:hAnsi="Times New Roman" w:cs="Times New Roman"/>
          <w:sz w:val="22"/>
          <w:szCs w:val="22"/>
          <w:lang w:val="pt-BR"/>
        </w:rPr>
        <w:t>RIAT</w:t>
      </w:r>
      <w:r w:rsidRPr="00913ACD">
        <w:rPr>
          <w:rFonts w:ascii="Times New Roman" w:hAnsi="Times New Roman" w:cs="Times New Roman"/>
          <w:sz w:val="22"/>
          <w:szCs w:val="22"/>
          <w:lang w:val="pt-BR"/>
        </w:rPr>
        <w:t xml:space="preserve">, concentraram-se no aprofundamento do diálogo social entre governos, trabalhadores e empregadores e no fortalecimento das capacidades dos </w:t>
      </w:r>
      <w:r w:rsidR="005A3E29" w:rsidRPr="00913ACD">
        <w:rPr>
          <w:rFonts w:ascii="Times New Roman" w:hAnsi="Times New Roman" w:cs="Times New Roman"/>
          <w:sz w:val="22"/>
          <w:szCs w:val="22"/>
          <w:lang w:val="pt-BR"/>
        </w:rPr>
        <w:t>m</w:t>
      </w:r>
      <w:r w:rsidRPr="00913ACD">
        <w:rPr>
          <w:rFonts w:ascii="Times New Roman" w:hAnsi="Times New Roman" w:cs="Times New Roman"/>
          <w:sz w:val="22"/>
          <w:szCs w:val="22"/>
          <w:lang w:val="pt-BR"/>
        </w:rPr>
        <w:t xml:space="preserve">inistérios do </w:t>
      </w:r>
      <w:r w:rsidR="005A3E29" w:rsidRPr="00913ACD">
        <w:rPr>
          <w:rFonts w:ascii="Times New Roman" w:hAnsi="Times New Roman" w:cs="Times New Roman"/>
          <w:sz w:val="22"/>
          <w:szCs w:val="22"/>
          <w:lang w:val="pt-BR"/>
        </w:rPr>
        <w:t>t</w:t>
      </w:r>
      <w:r w:rsidRPr="00913ACD">
        <w:rPr>
          <w:rFonts w:ascii="Times New Roman" w:hAnsi="Times New Roman" w:cs="Times New Roman"/>
          <w:sz w:val="22"/>
          <w:szCs w:val="22"/>
          <w:lang w:val="pt-BR"/>
        </w:rPr>
        <w:t>rabalho em seus esforços para melhorar a inspeção do trabalho, regular o teletrabalho, fornecer treinamento e desenvolver habilidades relevantes para o mercado de trabalho, contribuir para a transição da economia informal para a economia formal,</w:t>
      </w:r>
      <w:r w:rsidR="00C51D8E" w:rsidRPr="00913ACD">
        <w:rPr>
          <w:rFonts w:ascii="Times New Roman" w:hAnsi="Times New Roman" w:cs="Times New Roman"/>
          <w:sz w:val="22"/>
          <w:szCs w:val="22"/>
          <w:lang w:val="pt-BR"/>
        </w:rPr>
        <w:t xml:space="preserve"> </w:t>
      </w:r>
      <w:r w:rsidRPr="00913ACD">
        <w:rPr>
          <w:rFonts w:ascii="Times New Roman" w:hAnsi="Times New Roman" w:cs="Times New Roman"/>
          <w:sz w:val="22"/>
          <w:szCs w:val="22"/>
          <w:lang w:val="pt-BR"/>
        </w:rPr>
        <w:t>alcançar maior igualdade no emprego e prevenir a violência no trabalho.</w:t>
      </w:r>
    </w:p>
    <w:p w14:paraId="3DD09635" w14:textId="2BEA7D68" w:rsidR="005F30B1" w:rsidRPr="00913ACD" w:rsidRDefault="005F30B1" w:rsidP="00CB030B">
      <w:pPr>
        <w:jc w:val="both"/>
        <w:rPr>
          <w:rFonts w:ascii="Times New Roman" w:hAnsi="Times New Roman" w:cs="Times New Roman"/>
          <w:sz w:val="22"/>
          <w:szCs w:val="22"/>
          <w:lang w:val="pt-BR"/>
        </w:rPr>
      </w:pPr>
    </w:p>
    <w:p w14:paraId="205EEAE0" w14:textId="64782DAC" w:rsidR="00FF0178" w:rsidRPr="00913ACD" w:rsidRDefault="007427DB" w:rsidP="00CB030B">
      <w:pPr>
        <w:jc w:val="both"/>
        <w:rPr>
          <w:rFonts w:ascii="Times New Roman" w:hAnsi="Times New Roman" w:cs="Times New Roman"/>
          <w:b/>
          <w:bCs/>
          <w:color w:val="000000" w:themeColor="text1"/>
          <w:sz w:val="22"/>
          <w:szCs w:val="22"/>
          <w:u w:val="single"/>
          <w:lang w:val="pt-BR"/>
        </w:rPr>
      </w:pPr>
      <w:r w:rsidRPr="00913ACD">
        <w:rPr>
          <w:rFonts w:ascii="Times New Roman" w:hAnsi="Times New Roman" w:cs="Times New Roman"/>
          <w:b/>
          <w:sz w:val="22"/>
          <w:szCs w:val="22"/>
          <w:u w:val="single"/>
          <w:lang w:val="pt-BR"/>
        </w:rPr>
        <w:t>OBJETIVO</w:t>
      </w:r>
      <w:r w:rsidR="00FF0178" w:rsidRPr="00913ACD">
        <w:rPr>
          <w:rFonts w:ascii="Times New Roman" w:hAnsi="Times New Roman" w:cs="Times New Roman"/>
          <w:b/>
          <w:sz w:val="22"/>
          <w:szCs w:val="22"/>
          <w:u w:val="single"/>
          <w:lang w:val="pt-BR"/>
        </w:rPr>
        <w:t xml:space="preserve"> 4.1</w:t>
      </w:r>
    </w:p>
    <w:p w14:paraId="7B2C9967" w14:textId="77777777" w:rsidR="009F53F1" w:rsidRPr="00913ACD" w:rsidRDefault="009F53F1" w:rsidP="00CB030B">
      <w:pPr>
        <w:jc w:val="both"/>
        <w:rPr>
          <w:rFonts w:ascii="Times New Roman" w:hAnsi="Times New Roman" w:cs="Times New Roman"/>
          <w:sz w:val="22"/>
          <w:szCs w:val="22"/>
          <w:lang w:val="pt-BR"/>
        </w:rPr>
      </w:pPr>
    </w:p>
    <w:p w14:paraId="5D00B740" w14:textId="070CBF0F" w:rsidR="00FF0178" w:rsidRPr="00913ACD" w:rsidRDefault="00FE3526" w:rsidP="00CB030B">
      <w:pPr>
        <w:ind w:firstLine="720"/>
        <w:jc w:val="both"/>
        <w:rPr>
          <w:rFonts w:ascii="Times New Roman" w:hAnsi="Times New Roman" w:cs="Times New Roman"/>
          <w:sz w:val="22"/>
          <w:szCs w:val="22"/>
          <w:lang w:val="pt-BR"/>
        </w:rPr>
      </w:pPr>
      <w:r w:rsidRPr="00913ACD">
        <w:rPr>
          <w:rFonts w:ascii="Times New Roman" w:hAnsi="Times New Roman" w:cs="Times New Roman"/>
          <w:sz w:val="22"/>
          <w:szCs w:val="22"/>
          <w:lang w:val="pt-BR"/>
        </w:rPr>
        <w:t>Fortalecer a capacidade institucional dos Estados membros, com vistas ao fortalecimento de sistemas de educação e formação contínua</w:t>
      </w:r>
      <w:r w:rsidR="00FF0178" w:rsidRPr="00913ACD">
        <w:rPr>
          <w:rFonts w:ascii="Times New Roman" w:hAnsi="Times New Roman" w:cs="Times New Roman"/>
          <w:sz w:val="22"/>
          <w:szCs w:val="22"/>
          <w:lang w:val="pt-BR"/>
        </w:rPr>
        <w:t xml:space="preserve">. </w:t>
      </w:r>
    </w:p>
    <w:p w14:paraId="5DB913BD" w14:textId="77777777" w:rsidR="00FF0178" w:rsidRPr="00913ACD" w:rsidRDefault="00FF0178" w:rsidP="00CB030B">
      <w:pPr>
        <w:jc w:val="both"/>
        <w:rPr>
          <w:rFonts w:ascii="Times New Roman" w:hAnsi="Times New Roman" w:cs="Times New Roman"/>
          <w:color w:val="000000" w:themeColor="text1"/>
          <w:sz w:val="22"/>
          <w:szCs w:val="22"/>
          <w:lang w:val="pt-BR"/>
        </w:rPr>
      </w:pPr>
    </w:p>
    <w:p w14:paraId="00777330" w14:textId="25BB7EE0" w:rsidR="00FF0178" w:rsidRPr="00913ACD" w:rsidRDefault="00FF0178"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Continuou a promover a colaboração entre os </w:t>
      </w:r>
      <w:r w:rsidR="00037C5A" w:rsidRPr="00913ACD">
        <w:rPr>
          <w:color w:val="000000" w:themeColor="text1"/>
          <w:sz w:val="22"/>
          <w:szCs w:val="22"/>
          <w:lang w:val="pt-BR"/>
        </w:rPr>
        <w:t>m</w:t>
      </w:r>
      <w:r w:rsidRPr="00913ACD">
        <w:rPr>
          <w:color w:val="000000" w:themeColor="text1"/>
          <w:sz w:val="22"/>
          <w:szCs w:val="22"/>
          <w:lang w:val="pt-BR"/>
        </w:rPr>
        <w:t xml:space="preserve">inistérios do </w:t>
      </w:r>
      <w:r w:rsidR="00037C5A" w:rsidRPr="00913ACD">
        <w:rPr>
          <w:color w:val="000000" w:themeColor="text1"/>
          <w:sz w:val="22"/>
          <w:szCs w:val="22"/>
          <w:lang w:val="pt-BR"/>
        </w:rPr>
        <w:t>t</w:t>
      </w:r>
      <w:r w:rsidRPr="00913ACD">
        <w:rPr>
          <w:color w:val="000000" w:themeColor="text1"/>
          <w:sz w:val="22"/>
          <w:szCs w:val="22"/>
          <w:lang w:val="pt-BR"/>
        </w:rPr>
        <w:t xml:space="preserve">rabalho e da </w:t>
      </w:r>
      <w:r w:rsidR="00037C5A" w:rsidRPr="00913ACD">
        <w:rPr>
          <w:color w:val="000000" w:themeColor="text1"/>
          <w:sz w:val="22"/>
          <w:szCs w:val="22"/>
          <w:lang w:val="pt-BR"/>
        </w:rPr>
        <w:t>e</w:t>
      </w:r>
      <w:r w:rsidRPr="00913ACD">
        <w:rPr>
          <w:color w:val="000000" w:themeColor="text1"/>
          <w:sz w:val="22"/>
          <w:szCs w:val="22"/>
          <w:lang w:val="pt-BR"/>
        </w:rPr>
        <w:t xml:space="preserve">ducação da </w:t>
      </w:r>
      <w:r w:rsidR="001324FD" w:rsidRPr="00913ACD">
        <w:rPr>
          <w:color w:val="000000" w:themeColor="text1"/>
          <w:sz w:val="22"/>
          <w:szCs w:val="22"/>
          <w:lang w:val="pt-BR"/>
        </w:rPr>
        <w:t>RIAT</w:t>
      </w:r>
      <w:r w:rsidRPr="00913ACD">
        <w:rPr>
          <w:color w:val="000000" w:themeColor="text1"/>
          <w:sz w:val="22"/>
          <w:szCs w:val="22"/>
          <w:lang w:val="pt-BR"/>
        </w:rPr>
        <w:t xml:space="preserve"> no âmbito dos processos ministeriais do </w:t>
      </w:r>
      <w:r w:rsidR="00B46DBF">
        <w:rPr>
          <w:color w:val="000000" w:themeColor="text1"/>
          <w:sz w:val="22"/>
          <w:szCs w:val="22"/>
          <w:lang w:val="pt-BR"/>
        </w:rPr>
        <w:t>t</w:t>
      </w:r>
      <w:r w:rsidRPr="00913ACD">
        <w:rPr>
          <w:color w:val="000000" w:themeColor="text1"/>
          <w:sz w:val="22"/>
          <w:szCs w:val="22"/>
          <w:lang w:val="pt-BR"/>
        </w:rPr>
        <w:t xml:space="preserve">rabalho e da </w:t>
      </w:r>
      <w:r w:rsidR="00B46DBF">
        <w:rPr>
          <w:color w:val="000000" w:themeColor="text1"/>
          <w:sz w:val="22"/>
          <w:szCs w:val="22"/>
          <w:lang w:val="pt-BR"/>
        </w:rPr>
        <w:t>e</w:t>
      </w:r>
      <w:r w:rsidRPr="00913ACD">
        <w:rPr>
          <w:color w:val="000000" w:themeColor="text1"/>
          <w:sz w:val="22"/>
          <w:szCs w:val="22"/>
          <w:lang w:val="pt-BR"/>
        </w:rPr>
        <w:t xml:space="preserve">ducação. A coordenação entre as </w:t>
      </w:r>
      <w:r w:rsidR="00391C10" w:rsidRPr="00913ACD">
        <w:rPr>
          <w:color w:val="000000" w:themeColor="text1"/>
          <w:sz w:val="22"/>
          <w:szCs w:val="22"/>
          <w:lang w:val="pt-BR"/>
        </w:rPr>
        <w:t xml:space="preserve">duas </w:t>
      </w:r>
      <w:r w:rsidRPr="00913ACD">
        <w:rPr>
          <w:color w:val="000000" w:themeColor="text1"/>
          <w:sz w:val="22"/>
          <w:szCs w:val="22"/>
          <w:lang w:val="pt-BR"/>
        </w:rPr>
        <w:t xml:space="preserve">carteiras setoriais foi determinada como prioridade no Plano de Trabalho do </w:t>
      </w:r>
      <w:r w:rsidR="0022431F" w:rsidRPr="00913ACD">
        <w:rPr>
          <w:color w:val="000000" w:themeColor="text1"/>
          <w:sz w:val="22"/>
          <w:szCs w:val="22"/>
          <w:lang w:val="pt-BR"/>
        </w:rPr>
        <w:t>CIMT</w:t>
      </w:r>
      <w:r w:rsidRPr="00913ACD">
        <w:rPr>
          <w:color w:val="000000" w:themeColor="text1"/>
          <w:sz w:val="22"/>
          <w:szCs w:val="22"/>
          <w:lang w:val="pt-BR"/>
        </w:rPr>
        <w:t xml:space="preserve"> 2022-2024 (destacando</w:t>
      </w:r>
      <w:r w:rsidR="00391C10" w:rsidRPr="00913ACD">
        <w:rPr>
          <w:color w:val="000000" w:themeColor="text1"/>
          <w:sz w:val="22"/>
          <w:szCs w:val="22"/>
          <w:lang w:val="pt-BR"/>
        </w:rPr>
        <w:t>-se</w:t>
      </w:r>
      <w:r w:rsidRPr="00913ACD">
        <w:rPr>
          <w:color w:val="000000" w:themeColor="text1"/>
          <w:sz w:val="22"/>
          <w:szCs w:val="22"/>
          <w:lang w:val="pt-BR"/>
        </w:rPr>
        <w:t xml:space="preserve"> as atividades a serem realizadas em 2023 e 2024), bem como na segunda fase de implementação da AIE.</w:t>
      </w:r>
    </w:p>
    <w:p w14:paraId="640850A5" w14:textId="77777777" w:rsidR="00A427C5" w:rsidRPr="00913ACD" w:rsidRDefault="00A427C5" w:rsidP="00CB030B">
      <w:pPr>
        <w:pStyle w:val="ListParagraph"/>
        <w:ind w:left="1440" w:hanging="720"/>
        <w:jc w:val="both"/>
        <w:rPr>
          <w:rFonts w:eastAsia="Cambria"/>
          <w:color w:val="000000" w:themeColor="text1"/>
          <w:sz w:val="22"/>
          <w:szCs w:val="22"/>
          <w:lang w:val="pt-BR"/>
        </w:rPr>
      </w:pPr>
    </w:p>
    <w:p w14:paraId="018AA46D" w14:textId="0F098A23" w:rsidR="00FF0178" w:rsidRPr="00913ACD" w:rsidRDefault="00FF0178"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Os Ministérios do Trabalho do Peru e do Equador estão atualmente desenvolvendo programas de treinamento em habilidades digitais e qualificações nacionais </w:t>
      </w:r>
      <w:r w:rsidR="005E4FB7">
        <w:rPr>
          <w:color w:val="000000" w:themeColor="text1"/>
          <w:sz w:val="22"/>
          <w:szCs w:val="22"/>
          <w:lang w:val="pt-BR"/>
        </w:rPr>
        <w:t xml:space="preserve">com </w:t>
      </w:r>
      <w:r w:rsidRPr="00913ACD">
        <w:rPr>
          <w:color w:val="000000" w:themeColor="text1"/>
          <w:sz w:val="22"/>
          <w:szCs w:val="22"/>
          <w:lang w:val="pt-BR"/>
        </w:rPr>
        <w:t xml:space="preserve">assistência técnica do Paraguai e da Colômbia por meio da cooperação bilateral </w:t>
      </w:r>
      <w:r w:rsidR="001324FD" w:rsidRPr="00913ACD">
        <w:rPr>
          <w:color w:val="000000" w:themeColor="text1"/>
          <w:sz w:val="22"/>
          <w:szCs w:val="22"/>
          <w:lang w:val="pt-BR"/>
        </w:rPr>
        <w:t>RIAT</w:t>
      </w:r>
      <w:r w:rsidRPr="00913ACD">
        <w:rPr>
          <w:color w:val="000000" w:themeColor="text1"/>
          <w:sz w:val="22"/>
          <w:szCs w:val="22"/>
          <w:lang w:val="pt-BR"/>
        </w:rPr>
        <w:t>/OEA.</w:t>
      </w:r>
    </w:p>
    <w:p w14:paraId="3ED28E9D" w14:textId="77777777" w:rsidR="00FF0178" w:rsidRPr="00913ACD" w:rsidRDefault="00FF0178" w:rsidP="00CB030B">
      <w:pPr>
        <w:pStyle w:val="ListParagraph"/>
        <w:ind w:left="1440" w:hanging="720"/>
        <w:rPr>
          <w:rFonts w:eastAsia="Cambria"/>
          <w:color w:val="000000" w:themeColor="text1"/>
          <w:sz w:val="22"/>
          <w:szCs w:val="22"/>
          <w:lang w:val="pt-BR"/>
        </w:rPr>
      </w:pPr>
    </w:p>
    <w:p w14:paraId="2EB5F809" w14:textId="0917424E" w:rsidR="00FF0178" w:rsidRPr="00913ACD" w:rsidRDefault="00FF0178"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O Ministro do Trabalho, Emprego e Previdência Social da Argentina e Presidente da </w:t>
      </w:r>
      <w:r w:rsidR="0022431F" w:rsidRPr="00913ACD">
        <w:rPr>
          <w:color w:val="000000" w:themeColor="text1"/>
          <w:sz w:val="22"/>
          <w:szCs w:val="22"/>
          <w:lang w:val="pt-BR"/>
        </w:rPr>
        <w:t>CIMT</w:t>
      </w:r>
      <w:r w:rsidRPr="00913ACD">
        <w:rPr>
          <w:color w:val="000000" w:themeColor="text1"/>
          <w:sz w:val="22"/>
          <w:szCs w:val="22"/>
          <w:lang w:val="pt-BR"/>
        </w:rPr>
        <w:t xml:space="preserve"> participou da Décima Primeira Reunião Interamericana de Ministros da Educação, reafirmando o compromisso de trabalhar tanto na agenda intersetorial quanto na AIE 2022-2027.</w:t>
      </w:r>
    </w:p>
    <w:p w14:paraId="5523D785" w14:textId="4F71F544" w:rsidR="00FF0178" w:rsidRDefault="00FF0178" w:rsidP="00CB030B">
      <w:pPr>
        <w:jc w:val="both"/>
        <w:rPr>
          <w:rFonts w:ascii="Times New Roman" w:hAnsi="Times New Roman" w:cs="Times New Roman"/>
          <w:b/>
          <w:bCs/>
          <w:sz w:val="22"/>
          <w:szCs w:val="22"/>
          <w:u w:val="single"/>
          <w:lang w:val="pt-BR"/>
        </w:rPr>
      </w:pPr>
    </w:p>
    <w:p w14:paraId="1C7D9FD8" w14:textId="77777777" w:rsidR="00202444" w:rsidRPr="00913ACD" w:rsidRDefault="00202444" w:rsidP="00CB030B">
      <w:pPr>
        <w:jc w:val="both"/>
        <w:rPr>
          <w:rFonts w:ascii="Times New Roman" w:hAnsi="Times New Roman" w:cs="Times New Roman"/>
          <w:b/>
          <w:bCs/>
          <w:sz w:val="22"/>
          <w:szCs w:val="22"/>
          <w:u w:val="single"/>
          <w:lang w:val="pt-BR"/>
        </w:rPr>
      </w:pPr>
    </w:p>
    <w:p w14:paraId="46C5602F" w14:textId="62B4F3FA" w:rsidR="00FF0178" w:rsidRPr="00913ACD" w:rsidRDefault="007427DB" w:rsidP="00CB030B">
      <w:pPr>
        <w:ind w:firstLine="18"/>
        <w:jc w:val="both"/>
        <w:rPr>
          <w:rFonts w:ascii="Times New Roman" w:hAnsi="Times New Roman" w:cs="Times New Roman"/>
          <w:b/>
          <w:bCs/>
          <w:sz w:val="22"/>
          <w:szCs w:val="22"/>
          <w:u w:val="single"/>
          <w:lang w:val="pt-BR"/>
        </w:rPr>
      </w:pPr>
      <w:r w:rsidRPr="00913ACD">
        <w:rPr>
          <w:rFonts w:ascii="Times New Roman" w:hAnsi="Times New Roman" w:cs="Times New Roman"/>
          <w:b/>
          <w:sz w:val="22"/>
          <w:szCs w:val="22"/>
          <w:u w:val="single"/>
          <w:lang w:val="pt-BR"/>
        </w:rPr>
        <w:t>OBJETIVO</w:t>
      </w:r>
      <w:r w:rsidR="00FF0178" w:rsidRPr="00913ACD">
        <w:rPr>
          <w:rFonts w:ascii="Times New Roman" w:hAnsi="Times New Roman" w:cs="Times New Roman"/>
          <w:b/>
          <w:sz w:val="22"/>
          <w:szCs w:val="22"/>
          <w:u w:val="single"/>
          <w:lang w:val="pt-BR"/>
        </w:rPr>
        <w:t xml:space="preserve"> 4.2</w:t>
      </w:r>
    </w:p>
    <w:p w14:paraId="4F16ADA2" w14:textId="77777777" w:rsidR="003631D7" w:rsidRPr="00913ACD" w:rsidRDefault="003631D7" w:rsidP="00CB030B">
      <w:pPr>
        <w:ind w:firstLine="18"/>
        <w:jc w:val="both"/>
        <w:rPr>
          <w:rFonts w:ascii="Times New Roman" w:eastAsia="Cambria" w:hAnsi="Times New Roman" w:cs="Times New Roman"/>
          <w:color w:val="000000" w:themeColor="text1"/>
          <w:sz w:val="22"/>
          <w:szCs w:val="22"/>
          <w:lang w:val="pt-BR"/>
        </w:rPr>
      </w:pPr>
    </w:p>
    <w:p w14:paraId="1078E7D3" w14:textId="17BD5033" w:rsidR="00FF0178" w:rsidRPr="00913ACD" w:rsidRDefault="00763808" w:rsidP="00CB030B">
      <w:pPr>
        <w:ind w:firstLine="720"/>
        <w:jc w:val="both"/>
        <w:rPr>
          <w:rFonts w:ascii="Times New Roman" w:eastAsia="Cambria" w:hAnsi="Times New Roman" w:cs="Times New Roman"/>
          <w:color w:val="000000" w:themeColor="text1"/>
          <w:sz w:val="22"/>
          <w:szCs w:val="22"/>
          <w:lang w:val="pt-BR"/>
        </w:rPr>
      </w:pPr>
      <w:r w:rsidRPr="00913ACD">
        <w:rPr>
          <w:rFonts w:ascii="Times New Roman" w:hAnsi="Times New Roman" w:cs="Times New Roman"/>
          <w:sz w:val="22"/>
          <w:szCs w:val="22"/>
          <w:lang w:val="pt-BR"/>
        </w:rPr>
        <w:t>Fortalecer a capacidade institucional dos Estados membros, com o objetivo de promover condições e oportunidades de trabalho equitativas e inclusivas para as populações em situação de vulnerabilidade e todos os grupos que enfrentam maiores desafios no mercado de trabalho</w:t>
      </w:r>
      <w:r w:rsidR="00FF0178" w:rsidRPr="00913ACD">
        <w:rPr>
          <w:rFonts w:ascii="Times New Roman" w:hAnsi="Times New Roman" w:cs="Times New Roman"/>
          <w:color w:val="000000" w:themeColor="text1"/>
          <w:sz w:val="22"/>
          <w:szCs w:val="22"/>
          <w:lang w:val="pt-BR"/>
        </w:rPr>
        <w:t>.</w:t>
      </w:r>
    </w:p>
    <w:p w14:paraId="09625376" w14:textId="77777777" w:rsidR="00FF0178" w:rsidRPr="00913ACD" w:rsidRDefault="00FF0178" w:rsidP="00CB030B">
      <w:pPr>
        <w:jc w:val="both"/>
        <w:rPr>
          <w:rFonts w:ascii="Times New Roman" w:eastAsia="Cambria" w:hAnsi="Times New Roman" w:cs="Times New Roman"/>
          <w:color w:val="000000" w:themeColor="text1"/>
          <w:sz w:val="22"/>
          <w:szCs w:val="22"/>
          <w:lang w:val="pt-BR"/>
        </w:rPr>
      </w:pPr>
    </w:p>
    <w:p w14:paraId="1C288620" w14:textId="1894C4F3" w:rsidR="00FF0178" w:rsidRPr="00913ACD" w:rsidRDefault="00FF0178"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Criou a</w:t>
      </w:r>
      <w:r w:rsidRPr="00913ACD">
        <w:rPr>
          <w:b/>
          <w:bCs/>
          <w:color w:val="000000" w:themeColor="text1"/>
          <w:sz w:val="22"/>
          <w:szCs w:val="22"/>
          <w:lang w:val="pt-BR"/>
        </w:rPr>
        <w:t xml:space="preserve"> Rede de Pontos Focais de Gênero nos Ministérios do Trabalho</w:t>
      </w:r>
      <w:r w:rsidRPr="00913ACD">
        <w:rPr>
          <w:color w:val="000000" w:themeColor="text1"/>
          <w:sz w:val="22"/>
          <w:szCs w:val="22"/>
          <w:lang w:val="pt-BR"/>
        </w:rPr>
        <w:t xml:space="preserve"> como uma comunidade especializada dentro d</w:t>
      </w:r>
      <w:r w:rsidR="00B474E3" w:rsidRPr="00913ACD">
        <w:rPr>
          <w:color w:val="000000" w:themeColor="text1"/>
          <w:sz w:val="22"/>
          <w:szCs w:val="22"/>
          <w:lang w:val="pt-BR"/>
        </w:rPr>
        <w:t>a</w:t>
      </w:r>
      <w:r w:rsidRPr="00913ACD">
        <w:rPr>
          <w:color w:val="000000" w:themeColor="text1"/>
          <w:sz w:val="22"/>
          <w:szCs w:val="22"/>
          <w:lang w:val="pt-BR"/>
        </w:rPr>
        <w:t xml:space="preserve"> </w:t>
      </w:r>
      <w:r w:rsidR="001324FD" w:rsidRPr="00913ACD">
        <w:rPr>
          <w:color w:val="000000" w:themeColor="text1"/>
          <w:sz w:val="22"/>
          <w:szCs w:val="22"/>
          <w:lang w:val="pt-BR"/>
        </w:rPr>
        <w:t>RIAT</w:t>
      </w:r>
      <w:r w:rsidRPr="00913ACD">
        <w:rPr>
          <w:color w:val="000000" w:themeColor="text1"/>
          <w:sz w:val="22"/>
          <w:szCs w:val="22"/>
          <w:lang w:val="pt-BR"/>
        </w:rPr>
        <w:t xml:space="preserve">; seu </w:t>
      </w:r>
      <w:r w:rsidR="00B474E3" w:rsidRPr="00913ACD">
        <w:rPr>
          <w:color w:val="000000" w:themeColor="text1"/>
          <w:sz w:val="22"/>
          <w:szCs w:val="22"/>
          <w:lang w:val="pt-BR"/>
        </w:rPr>
        <w:t xml:space="preserve">guia operacional </w:t>
      </w:r>
      <w:r w:rsidRPr="00913ACD">
        <w:rPr>
          <w:color w:val="000000" w:themeColor="text1"/>
          <w:sz w:val="22"/>
          <w:szCs w:val="22"/>
          <w:lang w:val="pt-BR"/>
        </w:rPr>
        <w:t xml:space="preserve">e </w:t>
      </w:r>
      <w:r w:rsidR="004673D7">
        <w:rPr>
          <w:color w:val="000000" w:themeColor="text1"/>
          <w:sz w:val="22"/>
          <w:szCs w:val="22"/>
          <w:lang w:val="pt-BR"/>
        </w:rPr>
        <w:t xml:space="preserve">seu </w:t>
      </w:r>
      <w:r w:rsidRPr="00913ACD">
        <w:rPr>
          <w:color w:val="000000" w:themeColor="text1"/>
          <w:sz w:val="22"/>
          <w:szCs w:val="22"/>
          <w:lang w:val="pt-BR"/>
        </w:rPr>
        <w:t>plano de trabalho anual fo</w:t>
      </w:r>
      <w:r w:rsidR="00B474E3" w:rsidRPr="00913ACD">
        <w:rPr>
          <w:color w:val="000000" w:themeColor="text1"/>
          <w:sz w:val="22"/>
          <w:szCs w:val="22"/>
          <w:lang w:val="pt-BR"/>
        </w:rPr>
        <w:t>ram</w:t>
      </w:r>
      <w:r w:rsidRPr="00913ACD">
        <w:rPr>
          <w:color w:val="000000" w:themeColor="text1"/>
          <w:sz w:val="22"/>
          <w:szCs w:val="22"/>
          <w:lang w:val="pt-BR"/>
        </w:rPr>
        <w:t xml:space="preserve"> preparado</w:t>
      </w:r>
      <w:r w:rsidR="00B474E3" w:rsidRPr="00913ACD">
        <w:rPr>
          <w:color w:val="000000" w:themeColor="text1"/>
          <w:sz w:val="22"/>
          <w:szCs w:val="22"/>
          <w:lang w:val="pt-BR"/>
        </w:rPr>
        <w:t>s</w:t>
      </w:r>
      <w:r w:rsidRPr="00913ACD">
        <w:rPr>
          <w:color w:val="000000" w:themeColor="text1"/>
          <w:sz w:val="22"/>
          <w:szCs w:val="22"/>
          <w:lang w:val="pt-BR"/>
        </w:rPr>
        <w:t xml:space="preserve"> em março. No âmbito desta </w:t>
      </w:r>
      <w:r w:rsidR="00853A09" w:rsidRPr="00913ACD">
        <w:rPr>
          <w:color w:val="000000" w:themeColor="text1"/>
          <w:sz w:val="22"/>
          <w:szCs w:val="22"/>
          <w:lang w:val="pt-BR"/>
        </w:rPr>
        <w:t>r</w:t>
      </w:r>
      <w:r w:rsidRPr="00913ACD">
        <w:rPr>
          <w:color w:val="000000" w:themeColor="text1"/>
          <w:sz w:val="22"/>
          <w:szCs w:val="22"/>
          <w:lang w:val="pt-BR"/>
        </w:rPr>
        <w:t>ede:</w:t>
      </w:r>
    </w:p>
    <w:p w14:paraId="59AE2C33" w14:textId="77777777" w:rsidR="00FF0178" w:rsidRPr="00913ACD" w:rsidRDefault="00FF0178" w:rsidP="00CB030B">
      <w:pPr>
        <w:pStyle w:val="ListParagraph"/>
        <w:jc w:val="both"/>
        <w:rPr>
          <w:rFonts w:eastAsia="Cambria"/>
          <w:color w:val="000000" w:themeColor="text1"/>
          <w:sz w:val="22"/>
          <w:szCs w:val="22"/>
          <w:lang w:val="pt-BR"/>
        </w:rPr>
      </w:pPr>
    </w:p>
    <w:p w14:paraId="09E291AC" w14:textId="00882324" w:rsidR="00FF0178" w:rsidRPr="00913ACD" w:rsidRDefault="00853A09"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f</w:t>
      </w:r>
      <w:r w:rsidR="00FF0178" w:rsidRPr="00913ACD">
        <w:rPr>
          <w:color w:val="000000" w:themeColor="text1"/>
          <w:sz w:val="22"/>
          <w:szCs w:val="22"/>
          <w:lang w:val="pt-BR"/>
        </w:rPr>
        <w:t>oram realizados três diálogos hemisféricos de gênero com a representação de 30</w:t>
      </w:r>
      <w:r w:rsidR="00C51D8E" w:rsidRPr="00913ACD">
        <w:rPr>
          <w:color w:val="000000" w:themeColor="text1"/>
          <w:sz w:val="22"/>
          <w:szCs w:val="22"/>
          <w:lang w:val="pt-BR"/>
        </w:rPr>
        <w:t xml:space="preserve"> </w:t>
      </w:r>
      <w:r w:rsidR="005F30B1" w:rsidRPr="00913ACD">
        <w:rPr>
          <w:color w:val="000000" w:themeColor="text1"/>
          <w:sz w:val="22"/>
          <w:szCs w:val="22"/>
          <w:lang w:val="pt-BR"/>
        </w:rPr>
        <w:t>Estados</w:t>
      </w:r>
      <w:r w:rsidR="00FF0178" w:rsidRPr="00913ACD">
        <w:rPr>
          <w:sz w:val="22"/>
          <w:szCs w:val="22"/>
          <w:lang w:val="pt-BR"/>
        </w:rPr>
        <w:t xml:space="preserve"> </w:t>
      </w:r>
      <w:r w:rsidR="00C67D84" w:rsidRPr="00913ACD">
        <w:rPr>
          <w:color w:val="000000" w:themeColor="text1"/>
          <w:sz w:val="22"/>
          <w:szCs w:val="22"/>
          <w:lang w:val="pt-BR"/>
        </w:rPr>
        <w:t>membros</w:t>
      </w:r>
      <w:r w:rsidR="00FF0178" w:rsidRPr="00913ACD">
        <w:rPr>
          <w:color w:val="000000" w:themeColor="text1"/>
          <w:sz w:val="22"/>
          <w:szCs w:val="22"/>
          <w:lang w:val="pt-BR"/>
        </w:rPr>
        <w:t xml:space="preserve"> sobre várias questões prioritárias, </w:t>
      </w:r>
      <w:r w:rsidR="009A6E05" w:rsidRPr="00913ACD">
        <w:rPr>
          <w:color w:val="000000" w:themeColor="text1"/>
          <w:sz w:val="22"/>
          <w:szCs w:val="22"/>
          <w:lang w:val="pt-BR"/>
        </w:rPr>
        <w:t xml:space="preserve">entre as quais </w:t>
      </w:r>
      <w:r w:rsidR="00FF0178" w:rsidRPr="00913ACD">
        <w:rPr>
          <w:color w:val="000000" w:themeColor="text1"/>
          <w:sz w:val="22"/>
          <w:szCs w:val="22"/>
          <w:lang w:val="pt-BR"/>
        </w:rPr>
        <w:t>a inspeção do trabalho com perspectiva de gênero</w:t>
      </w:r>
      <w:r w:rsidRPr="00913ACD">
        <w:rPr>
          <w:color w:val="000000" w:themeColor="text1"/>
          <w:sz w:val="22"/>
          <w:szCs w:val="22"/>
          <w:lang w:val="pt-BR"/>
        </w:rPr>
        <w:t>;</w:t>
      </w:r>
    </w:p>
    <w:p w14:paraId="53FB3199" w14:textId="7AEA6C95" w:rsidR="00FF0178" w:rsidRPr="00913ACD" w:rsidRDefault="002637FC" w:rsidP="00CB030B">
      <w:pPr>
        <w:pStyle w:val="ListParagraph"/>
        <w:numPr>
          <w:ilvl w:val="1"/>
          <w:numId w:val="24"/>
        </w:numPr>
        <w:ind w:left="1980" w:hanging="540"/>
        <w:jc w:val="both"/>
        <w:rPr>
          <w:rFonts w:eastAsia="Cambria"/>
          <w:color w:val="000000" w:themeColor="text1"/>
          <w:sz w:val="22"/>
          <w:szCs w:val="22"/>
          <w:lang w:val="pt-BR"/>
        </w:rPr>
      </w:pPr>
      <w:r>
        <w:rPr>
          <w:color w:val="000000" w:themeColor="text1"/>
          <w:sz w:val="22"/>
          <w:szCs w:val="22"/>
          <w:lang w:val="pt-BR"/>
        </w:rPr>
        <w:t>f</w:t>
      </w:r>
      <w:r w:rsidRPr="00913ACD">
        <w:rPr>
          <w:color w:val="000000" w:themeColor="text1"/>
          <w:sz w:val="22"/>
          <w:szCs w:val="22"/>
          <w:lang w:val="pt-BR"/>
        </w:rPr>
        <w:t>oi concluído</w:t>
      </w:r>
      <w:r>
        <w:rPr>
          <w:color w:val="000000" w:themeColor="text1"/>
          <w:sz w:val="22"/>
          <w:szCs w:val="22"/>
          <w:lang w:val="pt-BR"/>
        </w:rPr>
        <w:t xml:space="preserve"> </w:t>
      </w:r>
      <w:r w:rsidR="00C659A7" w:rsidRPr="00913ACD">
        <w:rPr>
          <w:color w:val="000000" w:themeColor="text1"/>
          <w:sz w:val="22"/>
          <w:szCs w:val="22"/>
          <w:lang w:val="pt-BR"/>
        </w:rPr>
        <w:t>o</w:t>
      </w:r>
      <w:r w:rsidR="00FF0178" w:rsidRPr="00913ACD">
        <w:rPr>
          <w:color w:val="000000" w:themeColor="text1"/>
          <w:sz w:val="22"/>
          <w:szCs w:val="22"/>
          <w:lang w:val="pt-BR"/>
        </w:rPr>
        <w:t xml:space="preserve"> </w:t>
      </w:r>
      <w:r w:rsidR="00FF0178" w:rsidRPr="00913ACD">
        <w:rPr>
          <w:b/>
          <w:bCs/>
          <w:color w:val="000000" w:themeColor="text1"/>
          <w:sz w:val="22"/>
          <w:szCs w:val="22"/>
          <w:lang w:val="pt-BR"/>
        </w:rPr>
        <w:t xml:space="preserve">Manual de </w:t>
      </w:r>
      <w:r w:rsidR="009A6E05" w:rsidRPr="00913ACD">
        <w:rPr>
          <w:b/>
          <w:bCs/>
          <w:color w:val="000000" w:themeColor="text1"/>
          <w:sz w:val="22"/>
          <w:szCs w:val="22"/>
          <w:lang w:val="pt-BR"/>
        </w:rPr>
        <w:t>c</w:t>
      </w:r>
      <w:r w:rsidR="00FF0178" w:rsidRPr="00913ACD">
        <w:rPr>
          <w:b/>
          <w:bCs/>
          <w:color w:val="000000" w:themeColor="text1"/>
          <w:sz w:val="22"/>
          <w:szCs w:val="22"/>
          <w:lang w:val="pt-BR"/>
        </w:rPr>
        <w:t xml:space="preserve">riação e </w:t>
      </w:r>
      <w:r w:rsidR="009A6E05" w:rsidRPr="00913ACD">
        <w:rPr>
          <w:b/>
          <w:bCs/>
          <w:color w:val="000000" w:themeColor="text1"/>
          <w:sz w:val="22"/>
          <w:szCs w:val="22"/>
          <w:lang w:val="pt-BR"/>
        </w:rPr>
        <w:t>f</w:t>
      </w:r>
      <w:r w:rsidR="00FF0178" w:rsidRPr="00913ACD">
        <w:rPr>
          <w:b/>
          <w:bCs/>
          <w:color w:val="000000" w:themeColor="text1"/>
          <w:sz w:val="22"/>
          <w:szCs w:val="22"/>
          <w:lang w:val="pt-BR"/>
        </w:rPr>
        <w:t xml:space="preserve">uncionamento de </w:t>
      </w:r>
      <w:r w:rsidR="009A6E05" w:rsidRPr="00913ACD">
        <w:rPr>
          <w:b/>
          <w:bCs/>
          <w:color w:val="000000" w:themeColor="text1"/>
          <w:sz w:val="22"/>
          <w:szCs w:val="22"/>
          <w:lang w:val="pt-BR"/>
        </w:rPr>
        <w:t>u</w:t>
      </w:r>
      <w:r w:rsidR="00FF0178" w:rsidRPr="00913ACD">
        <w:rPr>
          <w:b/>
          <w:bCs/>
          <w:color w:val="000000" w:themeColor="text1"/>
          <w:sz w:val="22"/>
          <w:szCs w:val="22"/>
          <w:lang w:val="pt-BR"/>
        </w:rPr>
        <w:t xml:space="preserve">nidades de </w:t>
      </w:r>
      <w:r w:rsidR="009A6E05" w:rsidRPr="00913ACD">
        <w:rPr>
          <w:b/>
          <w:bCs/>
          <w:color w:val="000000" w:themeColor="text1"/>
          <w:sz w:val="22"/>
          <w:szCs w:val="22"/>
          <w:lang w:val="pt-BR"/>
        </w:rPr>
        <w:t>g</w:t>
      </w:r>
      <w:r w:rsidR="00FF0178" w:rsidRPr="00913ACD">
        <w:rPr>
          <w:b/>
          <w:bCs/>
          <w:color w:val="000000" w:themeColor="text1"/>
          <w:sz w:val="22"/>
          <w:szCs w:val="22"/>
          <w:lang w:val="pt-BR"/>
        </w:rPr>
        <w:t xml:space="preserve">ênero nos </w:t>
      </w:r>
      <w:r w:rsidR="009A6E05" w:rsidRPr="00913ACD">
        <w:rPr>
          <w:b/>
          <w:bCs/>
          <w:color w:val="000000" w:themeColor="text1"/>
          <w:sz w:val="22"/>
          <w:szCs w:val="22"/>
          <w:lang w:val="pt-BR"/>
        </w:rPr>
        <w:t>m</w:t>
      </w:r>
      <w:r w:rsidR="00FF0178" w:rsidRPr="00913ACD">
        <w:rPr>
          <w:b/>
          <w:bCs/>
          <w:color w:val="000000" w:themeColor="text1"/>
          <w:sz w:val="22"/>
          <w:szCs w:val="22"/>
          <w:lang w:val="pt-BR"/>
        </w:rPr>
        <w:t xml:space="preserve">inistérios do </w:t>
      </w:r>
      <w:r w:rsidR="009A6E05" w:rsidRPr="00913ACD">
        <w:rPr>
          <w:b/>
          <w:bCs/>
          <w:color w:val="000000" w:themeColor="text1"/>
          <w:sz w:val="22"/>
          <w:szCs w:val="22"/>
          <w:lang w:val="pt-BR"/>
        </w:rPr>
        <w:t>t</w:t>
      </w:r>
      <w:r w:rsidR="00FF0178" w:rsidRPr="00913ACD">
        <w:rPr>
          <w:b/>
          <w:bCs/>
          <w:color w:val="000000" w:themeColor="text1"/>
          <w:sz w:val="22"/>
          <w:szCs w:val="22"/>
          <w:lang w:val="pt-BR"/>
        </w:rPr>
        <w:t>rabalho</w:t>
      </w:r>
      <w:r w:rsidR="00C659A7" w:rsidRPr="00913ACD">
        <w:rPr>
          <w:color w:val="000000" w:themeColor="text1"/>
          <w:sz w:val="22"/>
          <w:szCs w:val="22"/>
          <w:lang w:val="pt-BR"/>
        </w:rPr>
        <w:t>;</w:t>
      </w:r>
    </w:p>
    <w:p w14:paraId="66AAAAAC" w14:textId="709D1FBB" w:rsidR="00FF0178" w:rsidRPr="00913ACD" w:rsidRDefault="006739B0" w:rsidP="00CB030B">
      <w:pPr>
        <w:pStyle w:val="ListParagraph"/>
        <w:numPr>
          <w:ilvl w:val="1"/>
          <w:numId w:val="24"/>
        </w:numPr>
        <w:ind w:left="1980" w:hanging="540"/>
        <w:jc w:val="both"/>
        <w:rPr>
          <w:rFonts w:eastAsia="Cambria"/>
          <w:color w:val="000000" w:themeColor="text1"/>
          <w:sz w:val="22"/>
          <w:szCs w:val="22"/>
          <w:lang w:val="pt-BR"/>
        </w:rPr>
      </w:pPr>
      <w:r>
        <w:rPr>
          <w:color w:val="000000" w:themeColor="text1"/>
          <w:sz w:val="22"/>
          <w:szCs w:val="22"/>
          <w:lang w:val="pt-BR"/>
        </w:rPr>
        <w:t>foi lançada a</w:t>
      </w:r>
      <w:r w:rsidR="00FF0178" w:rsidRPr="00913ACD">
        <w:rPr>
          <w:color w:val="000000" w:themeColor="text1"/>
          <w:sz w:val="22"/>
          <w:szCs w:val="22"/>
          <w:lang w:val="pt-BR"/>
        </w:rPr>
        <w:t xml:space="preserve"> versão em inglês do </w:t>
      </w:r>
      <w:r w:rsidR="00FF0178" w:rsidRPr="00913ACD">
        <w:rPr>
          <w:b/>
          <w:bCs/>
          <w:color w:val="000000" w:themeColor="text1"/>
          <w:sz w:val="22"/>
          <w:szCs w:val="22"/>
          <w:lang w:val="pt-BR"/>
        </w:rPr>
        <w:t xml:space="preserve">Curso </w:t>
      </w:r>
      <w:r w:rsidR="00C659A7" w:rsidRPr="00913ACD">
        <w:rPr>
          <w:b/>
          <w:bCs/>
          <w:color w:val="000000" w:themeColor="text1"/>
          <w:sz w:val="22"/>
          <w:szCs w:val="22"/>
          <w:lang w:val="pt-BR"/>
        </w:rPr>
        <w:t>v</w:t>
      </w:r>
      <w:r w:rsidR="00FF0178" w:rsidRPr="00913ACD">
        <w:rPr>
          <w:b/>
          <w:bCs/>
          <w:color w:val="000000" w:themeColor="text1"/>
          <w:sz w:val="22"/>
          <w:szCs w:val="22"/>
          <w:lang w:val="pt-BR"/>
        </w:rPr>
        <w:t xml:space="preserve">irtual sobre </w:t>
      </w:r>
      <w:r w:rsidR="00C659A7" w:rsidRPr="00913ACD">
        <w:rPr>
          <w:b/>
          <w:bCs/>
          <w:color w:val="000000" w:themeColor="text1"/>
          <w:sz w:val="22"/>
          <w:szCs w:val="22"/>
          <w:lang w:val="pt-BR"/>
        </w:rPr>
        <w:t>v</w:t>
      </w:r>
      <w:r w:rsidR="00FF0178" w:rsidRPr="00913ACD">
        <w:rPr>
          <w:b/>
          <w:bCs/>
          <w:color w:val="000000" w:themeColor="text1"/>
          <w:sz w:val="22"/>
          <w:szCs w:val="22"/>
          <w:lang w:val="pt-BR"/>
        </w:rPr>
        <w:t xml:space="preserve">iolência de </w:t>
      </w:r>
      <w:r w:rsidR="00C659A7" w:rsidRPr="00913ACD">
        <w:rPr>
          <w:b/>
          <w:bCs/>
          <w:color w:val="000000" w:themeColor="text1"/>
          <w:sz w:val="22"/>
          <w:szCs w:val="22"/>
          <w:lang w:val="pt-BR"/>
        </w:rPr>
        <w:t>g</w:t>
      </w:r>
      <w:r w:rsidR="00FF0178" w:rsidRPr="00913ACD">
        <w:rPr>
          <w:b/>
          <w:bCs/>
          <w:color w:val="000000" w:themeColor="text1"/>
          <w:sz w:val="22"/>
          <w:szCs w:val="22"/>
          <w:lang w:val="pt-BR"/>
        </w:rPr>
        <w:t xml:space="preserve">ênero no </w:t>
      </w:r>
      <w:r w:rsidR="00C659A7" w:rsidRPr="00913ACD">
        <w:rPr>
          <w:b/>
          <w:bCs/>
          <w:color w:val="000000" w:themeColor="text1"/>
          <w:sz w:val="22"/>
          <w:szCs w:val="22"/>
          <w:lang w:val="pt-BR"/>
        </w:rPr>
        <w:t>t</w:t>
      </w:r>
      <w:r w:rsidR="00FF0178" w:rsidRPr="00913ACD">
        <w:rPr>
          <w:b/>
          <w:bCs/>
          <w:color w:val="000000" w:themeColor="text1"/>
          <w:sz w:val="22"/>
          <w:szCs w:val="22"/>
          <w:lang w:val="pt-BR"/>
        </w:rPr>
        <w:t>rabalho</w:t>
      </w:r>
      <w:r w:rsidR="00FF0178" w:rsidRPr="00913ACD">
        <w:rPr>
          <w:color w:val="000000" w:themeColor="text1"/>
          <w:sz w:val="22"/>
          <w:szCs w:val="22"/>
          <w:lang w:val="pt-BR"/>
        </w:rPr>
        <w:t xml:space="preserve"> no </w:t>
      </w:r>
      <w:r w:rsidR="00BD02D0" w:rsidRPr="00913ACD">
        <w:rPr>
          <w:color w:val="000000" w:themeColor="text1"/>
          <w:sz w:val="22"/>
          <w:szCs w:val="22"/>
          <w:lang w:val="pt-BR"/>
        </w:rPr>
        <w:t>Portal de Educação</w:t>
      </w:r>
      <w:r w:rsidR="00FF0178" w:rsidRPr="00913ACD">
        <w:rPr>
          <w:color w:val="000000" w:themeColor="text1"/>
          <w:sz w:val="22"/>
          <w:szCs w:val="22"/>
          <w:lang w:val="pt-BR"/>
        </w:rPr>
        <w:t xml:space="preserve"> das Américas, com a participação de autoridades de dez Estados membros do Caribe</w:t>
      </w:r>
      <w:r w:rsidR="00C659A7" w:rsidRPr="00913ACD">
        <w:rPr>
          <w:color w:val="000000" w:themeColor="text1"/>
          <w:sz w:val="22"/>
          <w:szCs w:val="22"/>
          <w:lang w:val="pt-BR"/>
        </w:rPr>
        <w:t>;</w:t>
      </w:r>
    </w:p>
    <w:p w14:paraId="3C627E7F" w14:textId="4F744B65" w:rsidR="00FF0178" w:rsidRPr="00913ACD" w:rsidRDefault="00835BF1" w:rsidP="00CB030B">
      <w:pPr>
        <w:pStyle w:val="ListParagraph"/>
        <w:numPr>
          <w:ilvl w:val="1"/>
          <w:numId w:val="24"/>
        </w:numPr>
        <w:ind w:left="1980" w:hanging="540"/>
        <w:jc w:val="both"/>
        <w:rPr>
          <w:rFonts w:eastAsia="Cambria"/>
          <w:color w:val="000000" w:themeColor="text1"/>
          <w:sz w:val="22"/>
          <w:szCs w:val="22"/>
          <w:lang w:val="pt-BR"/>
        </w:rPr>
      </w:pPr>
      <w:r w:rsidRPr="00913ACD">
        <w:rPr>
          <w:color w:val="000000" w:themeColor="text1"/>
          <w:sz w:val="22"/>
          <w:szCs w:val="22"/>
          <w:lang w:val="pt-BR"/>
        </w:rPr>
        <w:t xml:space="preserve">todas essas </w:t>
      </w:r>
      <w:r w:rsidR="00FF0178" w:rsidRPr="00913ACD">
        <w:rPr>
          <w:color w:val="000000" w:themeColor="text1"/>
          <w:sz w:val="22"/>
          <w:szCs w:val="22"/>
          <w:lang w:val="pt-BR"/>
        </w:rPr>
        <w:t>ações fo</w:t>
      </w:r>
      <w:r w:rsidRPr="00913ACD">
        <w:rPr>
          <w:color w:val="000000" w:themeColor="text1"/>
          <w:sz w:val="22"/>
          <w:szCs w:val="22"/>
          <w:lang w:val="pt-BR"/>
        </w:rPr>
        <w:t>ram</w:t>
      </w:r>
      <w:r w:rsidR="00FF0178" w:rsidRPr="00913ACD">
        <w:rPr>
          <w:color w:val="000000" w:themeColor="text1"/>
          <w:sz w:val="22"/>
          <w:szCs w:val="22"/>
          <w:lang w:val="pt-BR"/>
        </w:rPr>
        <w:t xml:space="preserve"> levada</w:t>
      </w:r>
      <w:r w:rsidRPr="00913ACD">
        <w:rPr>
          <w:color w:val="000000" w:themeColor="text1"/>
          <w:sz w:val="22"/>
          <w:szCs w:val="22"/>
          <w:lang w:val="pt-BR"/>
        </w:rPr>
        <w:t>s</w:t>
      </w:r>
      <w:r w:rsidR="00FF0178" w:rsidRPr="00913ACD">
        <w:rPr>
          <w:color w:val="000000" w:themeColor="text1"/>
          <w:sz w:val="22"/>
          <w:szCs w:val="22"/>
          <w:lang w:val="pt-BR"/>
        </w:rPr>
        <w:t xml:space="preserve"> a cabo em estreita colaboração com a CIM.</w:t>
      </w:r>
    </w:p>
    <w:p w14:paraId="499BAD44" w14:textId="77777777" w:rsidR="00FF0178" w:rsidRPr="00913ACD" w:rsidRDefault="00FF0178" w:rsidP="00CB030B">
      <w:pPr>
        <w:jc w:val="both"/>
        <w:rPr>
          <w:rFonts w:ascii="Times New Roman" w:eastAsia="Cambria" w:hAnsi="Times New Roman" w:cs="Times New Roman"/>
          <w:color w:val="000000" w:themeColor="text1"/>
          <w:sz w:val="22"/>
          <w:szCs w:val="22"/>
          <w:lang w:val="pt-BR"/>
        </w:rPr>
      </w:pPr>
    </w:p>
    <w:p w14:paraId="5CCF8C11" w14:textId="795893E8" w:rsidR="00FF0178" w:rsidRPr="00913ACD" w:rsidRDefault="00FF0178"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 xml:space="preserve">Sediou um amplo diálogo regional e preparou um documento de recomendação de políticas para fortalecer e institucionalizar o diálogo social entre governos, trabalhadores e empregadores da região após o </w:t>
      </w:r>
      <w:r w:rsidR="00C03449" w:rsidRPr="00913ACD">
        <w:rPr>
          <w:color w:val="000000" w:themeColor="text1"/>
          <w:sz w:val="22"/>
          <w:szCs w:val="22"/>
          <w:lang w:val="pt-BR"/>
        </w:rPr>
        <w:t>s</w:t>
      </w:r>
      <w:r w:rsidR="00D13E60" w:rsidRPr="00913ACD">
        <w:rPr>
          <w:color w:val="000000" w:themeColor="text1"/>
          <w:sz w:val="22"/>
          <w:szCs w:val="22"/>
          <w:lang w:val="pt-BR"/>
        </w:rPr>
        <w:t>eminário</w:t>
      </w:r>
      <w:r w:rsidRPr="00913ACD">
        <w:rPr>
          <w:color w:val="000000" w:themeColor="text1"/>
          <w:sz w:val="22"/>
          <w:szCs w:val="22"/>
          <w:lang w:val="pt-BR"/>
        </w:rPr>
        <w:t xml:space="preserve"> </w:t>
      </w:r>
      <w:r w:rsidR="00C03449" w:rsidRPr="00913ACD">
        <w:rPr>
          <w:color w:val="000000" w:themeColor="text1"/>
          <w:sz w:val="22"/>
          <w:szCs w:val="22"/>
          <w:lang w:val="pt-BR"/>
        </w:rPr>
        <w:t>h</w:t>
      </w:r>
      <w:r w:rsidRPr="00913ACD">
        <w:rPr>
          <w:color w:val="000000" w:themeColor="text1"/>
          <w:sz w:val="22"/>
          <w:szCs w:val="22"/>
          <w:lang w:val="pt-BR"/>
        </w:rPr>
        <w:t xml:space="preserve">emisférico </w:t>
      </w:r>
      <w:r w:rsidR="007800A2" w:rsidRPr="00913ACD">
        <w:rPr>
          <w:b/>
          <w:bCs/>
          <w:color w:val="000000" w:themeColor="text1"/>
          <w:sz w:val="22"/>
          <w:szCs w:val="22"/>
          <w:lang w:val="pt-BR"/>
        </w:rPr>
        <w:t>“</w:t>
      </w:r>
      <w:r w:rsidRPr="00913ACD">
        <w:rPr>
          <w:b/>
          <w:bCs/>
          <w:color w:val="000000" w:themeColor="text1"/>
          <w:sz w:val="22"/>
          <w:szCs w:val="22"/>
          <w:lang w:val="pt-BR"/>
        </w:rPr>
        <w:t>Diálogo social para uma recuperação sustentável, justa e equitativa</w:t>
      </w:r>
      <w:r w:rsidR="007800A2" w:rsidRPr="00913ACD">
        <w:rPr>
          <w:b/>
          <w:bCs/>
          <w:color w:val="000000" w:themeColor="text1"/>
          <w:sz w:val="22"/>
          <w:szCs w:val="22"/>
          <w:lang w:val="pt-BR"/>
        </w:rPr>
        <w:t>”</w:t>
      </w:r>
      <w:r w:rsidRPr="00913ACD">
        <w:rPr>
          <w:b/>
          <w:bCs/>
          <w:color w:val="000000" w:themeColor="text1"/>
          <w:sz w:val="22"/>
          <w:szCs w:val="22"/>
          <w:lang w:val="pt-BR"/>
        </w:rPr>
        <w:t>,</w:t>
      </w:r>
      <w:r w:rsidRPr="00913ACD">
        <w:rPr>
          <w:color w:val="000000" w:themeColor="text1"/>
          <w:sz w:val="22"/>
          <w:szCs w:val="22"/>
          <w:lang w:val="pt-BR"/>
        </w:rPr>
        <w:t xml:space="preserve"> </w:t>
      </w:r>
      <w:r w:rsidR="00C05A82">
        <w:rPr>
          <w:color w:val="000000" w:themeColor="text1"/>
          <w:sz w:val="22"/>
          <w:szCs w:val="22"/>
          <w:lang w:val="pt-BR"/>
        </w:rPr>
        <w:t xml:space="preserve">levado a cabo </w:t>
      </w:r>
      <w:r w:rsidRPr="00913ACD">
        <w:rPr>
          <w:color w:val="000000" w:themeColor="text1"/>
          <w:sz w:val="22"/>
          <w:szCs w:val="22"/>
          <w:lang w:val="pt-BR"/>
        </w:rPr>
        <w:t>em julho</w:t>
      </w:r>
      <w:r w:rsidR="00B83277">
        <w:rPr>
          <w:color w:val="000000" w:themeColor="text1"/>
          <w:sz w:val="22"/>
          <w:szCs w:val="22"/>
          <w:lang w:val="pt-BR"/>
        </w:rPr>
        <w:t xml:space="preserve">, </w:t>
      </w:r>
      <w:r w:rsidR="00B83277" w:rsidRPr="00913ACD">
        <w:rPr>
          <w:color w:val="000000" w:themeColor="text1"/>
          <w:sz w:val="22"/>
          <w:szCs w:val="22"/>
          <w:lang w:val="pt-BR"/>
        </w:rPr>
        <w:t>em Bogotá, Colômbia</w:t>
      </w:r>
      <w:r w:rsidRPr="00913ACD">
        <w:rPr>
          <w:color w:val="000000" w:themeColor="text1"/>
          <w:sz w:val="22"/>
          <w:szCs w:val="22"/>
          <w:lang w:val="pt-BR"/>
        </w:rPr>
        <w:t xml:space="preserve">. Delegações governamentais e organizações de trabalhadores e empregadores de 29 </w:t>
      </w:r>
      <w:r w:rsidR="00C67D84" w:rsidRPr="00913ACD">
        <w:rPr>
          <w:color w:val="000000" w:themeColor="text1"/>
          <w:sz w:val="22"/>
          <w:szCs w:val="22"/>
          <w:lang w:val="pt-BR"/>
        </w:rPr>
        <w:t>Estados</w:t>
      </w:r>
      <w:r w:rsidR="005F30B1" w:rsidRPr="00913ACD">
        <w:rPr>
          <w:color w:val="000000" w:themeColor="text1"/>
          <w:sz w:val="22"/>
          <w:szCs w:val="22"/>
          <w:lang w:val="pt-BR"/>
        </w:rPr>
        <w:t xml:space="preserve"> membros</w:t>
      </w:r>
      <w:r w:rsidRPr="00913ACD">
        <w:rPr>
          <w:color w:val="000000" w:themeColor="text1"/>
          <w:sz w:val="22"/>
          <w:szCs w:val="22"/>
          <w:lang w:val="pt-BR"/>
        </w:rPr>
        <w:t xml:space="preserve"> participaram </w:t>
      </w:r>
      <w:r w:rsidR="009A54BD" w:rsidRPr="00913ACD">
        <w:rPr>
          <w:color w:val="000000" w:themeColor="text1"/>
          <w:sz w:val="22"/>
          <w:szCs w:val="22"/>
          <w:lang w:val="pt-BR"/>
        </w:rPr>
        <w:t>d</w:t>
      </w:r>
      <w:r w:rsidRPr="00913ACD">
        <w:rPr>
          <w:color w:val="000000" w:themeColor="text1"/>
          <w:sz w:val="22"/>
          <w:szCs w:val="22"/>
          <w:lang w:val="pt-BR"/>
        </w:rPr>
        <w:t xml:space="preserve">este diálogo. </w:t>
      </w:r>
    </w:p>
    <w:p w14:paraId="49CAE010" w14:textId="77777777" w:rsidR="00FF0178" w:rsidRPr="00913ACD" w:rsidRDefault="00FF0178" w:rsidP="00CB030B">
      <w:pPr>
        <w:pStyle w:val="ListParagraph"/>
        <w:ind w:left="1440" w:hanging="720"/>
        <w:jc w:val="both"/>
        <w:rPr>
          <w:rFonts w:eastAsia="Cambria"/>
          <w:color w:val="000000" w:themeColor="text1"/>
          <w:sz w:val="22"/>
          <w:szCs w:val="22"/>
          <w:lang w:val="pt-BR"/>
        </w:rPr>
      </w:pPr>
    </w:p>
    <w:p w14:paraId="735E0251" w14:textId="2D0E841B" w:rsidR="00FF0178" w:rsidRPr="00913ACD" w:rsidRDefault="00FF0178" w:rsidP="00CB030B">
      <w:pPr>
        <w:pStyle w:val="ListParagraph"/>
        <w:numPr>
          <w:ilvl w:val="0"/>
          <w:numId w:val="24"/>
        </w:numPr>
        <w:ind w:left="1440" w:hanging="720"/>
        <w:jc w:val="both"/>
        <w:rPr>
          <w:rFonts w:eastAsia="Cambria"/>
          <w:i/>
          <w:iCs/>
          <w:color w:val="000000" w:themeColor="text1"/>
          <w:sz w:val="22"/>
          <w:szCs w:val="22"/>
          <w:lang w:val="pt-BR"/>
        </w:rPr>
      </w:pPr>
      <w:r w:rsidRPr="00913ACD">
        <w:rPr>
          <w:color w:val="000000" w:themeColor="text1"/>
          <w:sz w:val="22"/>
          <w:szCs w:val="22"/>
          <w:lang w:val="pt-BR"/>
        </w:rPr>
        <w:t xml:space="preserve">Realizou um </w:t>
      </w:r>
      <w:r w:rsidR="009A54BD" w:rsidRPr="00913ACD">
        <w:rPr>
          <w:color w:val="000000" w:themeColor="text1"/>
          <w:sz w:val="22"/>
          <w:szCs w:val="22"/>
          <w:lang w:val="pt-BR"/>
        </w:rPr>
        <w:t>s</w:t>
      </w:r>
      <w:r w:rsidR="00493F0E" w:rsidRPr="00913ACD">
        <w:rPr>
          <w:color w:val="000000" w:themeColor="text1"/>
          <w:sz w:val="22"/>
          <w:szCs w:val="22"/>
          <w:lang w:val="pt-BR"/>
        </w:rPr>
        <w:t>e</w:t>
      </w:r>
      <w:r w:rsidR="00D13E60" w:rsidRPr="00913ACD">
        <w:rPr>
          <w:color w:val="000000" w:themeColor="text1"/>
          <w:sz w:val="22"/>
          <w:szCs w:val="22"/>
          <w:lang w:val="pt-BR"/>
        </w:rPr>
        <w:t>minário</w:t>
      </w:r>
      <w:r w:rsidRPr="00913ACD">
        <w:rPr>
          <w:color w:val="000000" w:themeColor="text1"/>
          <w:sz w:val="22"/>
          <w:szCs w:val="22"/>
          <w:lang w:val="pt-BR"/>
        </w:rPr>
        <w:t xml:space="preserve"> </w:t>
      </w:r>
      <w:r w:rsidR="00493F0E" w:rsidRPr="00913ACD">
        <w:rPr>
          <w:color w:val="000000" w:themeColor="text1"/>
          <w:sz w:val="22"/>
          <w:szCs w:val="22"/>
          <w:lang w:val="pt-BR"/>
        </w:rPr>
        <w:t>h</w:t>
      </w:r>
      <w:r w:rsidRPr="00913ACD">
        <w:rPr>
          <w:color w:val="000000" w:themeColor="text1"/>
          <w:sz w:val="22"/>
          <w:szCs w:val="22"/>
          <w:lang w:val="pt-BR"/>
        </w:rPr>
        <w:t xml:space="preserve">emisférico </w:t>
      </w:r>
      <w:r w:rsidR="00493F0E" w:rsidRPr="00913ACD">
        <w:rPr>
          <w:color w:val="000000" w:themeColor="text1"/>
          <w:sz w:val="22"/>
          <w:szCs w:val="22"/>
          <w:lang w:val="pt-BR"/>
        </w:rPr>
        <w:t xml:space="preserve">da </w:t>
      </w:r>
      <w:r w:rsidR="001324FD" w:rsidRPr="00913ACD">
        <w:rPr>
          <w:color w:val="000000" w:themeColor="text1"/>
          <w:sz w:val="22"/>
          <w:szCs w:val="22"/>
          <w:lang w:val="pt-BR"/>
        </w:rPr>
        <w:t>RIAT</w:t>
      </w:r>
      <w:r w:rsidRPr="00913ACD">
        <w:rPr>
          <w:color w:val="000000" w:themeColor="text1"/>
          <w:sz w:val="22"/>
          <w:szCs w:val="22"/>
          <w:lang w:val="pt-BR"/>
        </w:rPr>
        <w:t xml:space="preserve"> para </w:t>
      </w:r>
      <w:r w:rsidR="003D173A">
        <w:rPr>
          <w:color w:val="000000" w:themeColor="text1"/>
          <w:sz w:val="22"/>
          <w:szCs w:val="22"/>
          <w:lang w:val="pt-BR"/>
        </w:rPr>
        <w:t xml:space="preserve">o intercâmbio </w:t>
      </w:r>
      <w:r w:rsidR="00493F0E" w:rsidRPr="00913ACD">
        <w:rPr>
          <w:color w:val="000000" w:themeColor="text1"/>
          <w:sz w:val="22"/>
          <w:szCs w:val="22"/>
          <w:lang w:val="pt-BR"/>
        </w:rPr>
        <w:t>de</w:t>
      </w:r>
      <w:r w:rsidRPr="00913ACD">
        <w:rPr>
          <w:color w:val="000000" w:themeColor="text1"/>
          <w:sz w:val="22"/>
          <w:szCs w:val="22"/>
          <w:lang w:val="pt-BR"/>
        </w:rPr>
        <w:t xml:space="preserve"> experiências e </w:t>
      </w:r>
      <w:r w:rsidR="00493F0E" w:rsidRPr="00913ACD">
        <w:rPr>
          <w:color w:val="000000" w:themeColor="text1"/>
          <w:sz w:val="22"/>
          <w:szCs w:val="22"/>
          <w:lang w:val="pt-BR"/>
        </w:rPr>
        <w:t xml:space="preserve">a </w:t>
      </w:r>
      <w:r w:rsidRPr="00913ACD">
        <w:rPr>
          <w:color w:val="000000" w:themeColor="text1"/>
          <w:sz w:val="22"/>
          <w:szCs w:val="22"/>
          <w:lang w:val="pt-BR"/>
        </w:rPr>
        <w:t>apresenta</w:t>
      </w:r>
      <w:r w:rsidR="00493F0E" w:rsidRPr="00913ACD">
        <w:rPr>
          <w:color w:val="000000" w:themeColor="text1"/>
          <w:sz w:val="22"/>
          <w:szCs w:val="22"/>
          <w:lang w:val="pt-BR"/>
        </w:rPr>
        <w:t>ção</w:t>
      </w:r>
      <w:r w:rsidRPr="00913ACD">
        <w:rPr>
          <w:color w:val="000000" w:themeColor="text1"/>
          <w:sz w:val="22"/>
          <w:szCs w:val="22"/>
          <w:lang w:val="pt-BR"/>
        </w:rPr>
        <w:t xml:space="preserve"> </w:t>
      </w:r>
      <w:r w:rsidR="00493F0E" w:rsidRPr="00913ACD">
        <w:rPr>
          <w:color w:val="000000" w:themeColor="text1"/>
          <w:sz w:val="22"/>
          <w:szCs w:val="22"/>
          <w:lang w:val="pt-BR"/>
        </w:rPr>
        <w:t xml:space="preserve">de </w:t>
      </w:r>
      <w:r w:rsidRPr="00913ACD">
        <w:rPr>
          <w:color w:val="000000" w:themeColor="text1"/>
          <w:sz w:val="22"/>
          <w:szCs w:val="22"/>
          <w:lang w:val="pt-BR"/>
        </w:rPr>
        <w:t xml:space="preserve">soluções para um dos desafios mais persistentes e complexos do mercado de trabalho da região: o emprego informal. Em outubro, em Buenos Aires, Argentina, funcionários dos </w:t>
      </w:r>
      <w:r w:rsidR="002A18F2" w:rsidRPr="00913ACD">
        <w:rPr>
          <w:color w:val="000000" w:themeColor="text1"/>
          <w:sz w:val="22"/>
          <w:szCs w:val="22"/>
          <w:lang w:val="pt-BR"/>
        </w:rPr>
        <w:t>m</w:t>
      </w:r>
      <w:r w:rsidR="00D95362">
        <w:rPr>
          <w:color w:val="000000" w:themeColor="text1"/>
          <w:sz w:val="22"/>
          <w:szCs w:val="22"/>
          <w:lang w:val="pt-BR"/>
        </w:rPr>
        <w:t>i</w:t>
      </w:r>
      <w:r w:rsidRPr="00913ACD">
        <w:rPr>
          <w:color w:val="000000" w:themeColor="text1"/>
          <w:sz w:val="22"/>
          <w:szCs w:val="22"/>
          <w:lang w:val="pt-BR"/>
        </w:rPr>
        <w:t xml:space="preserve">nistérios do </w:t>
      </w:r>
      <w:r w:rsidR="002A18F2" w:rsidRPr="00913ACD">
        <w:rPr>
          <w:color w:val="000000" w:themeColor="text1"/>
          <w:sz w:val="22"/>
          <w:szCs w:val="22"/>
          <w:lang w:val="pt-BR"/>
        </w:rPr>
        <w:t>t</w:t>
      </w:r>
      <w:r w:rsidRPr="00913ACD">
        <w:rPr>
          <w:color w:val="000000" w:themeColor="text1"/>
          <w:sz w:val="22"/>
          <w:szCs w:val="22"/>
          <w:lang w:val="pt-BR"/>
        </w:rPr>
        <w:t>rabalho de 24</w:t>
      </w:r>
      <w:r w:rsidR="00C51D8E" w:rsidRPr="00913ACD">
        <w:rPr>
          <w:color w:val="000000" w:themeColor="text1"/>
          <w:sz w:val="22"/>
          <w:szCs w:val="22"/>
          <w:lang w:val="pt-BR"/>
        </w:rPr>
        <w:t xml:space="preserve"> </w:t>
      </w:r>
      <w:r w:rsidR="005F30B1" w:rsidRPr="00913ACD">
        <w:rPr>
          <w:color w:val="000000" w:themeColor="text1"/>
          <w:sz w:val="22"/>
          <w:szCs w:val="22"/>
          <w:lang w:val="pt-BR"/>
        </w:rPr>
        <w:t>Estados</w:t>
      </w:r>
      <w:r w:rsidRPr="00913ACD">
        <w:rPr>
          <w:sz w:val="22"/>
          <w:szCs w:val="22"/>
          <w:lang w:val="pt-BR"/>
        </w:rPr>
        <w:t xml:space="preserve"> </w:t>
      </w:r>
      <w:r w:rsidR="00C67D84" w:rsidRPr="00913ACD">
        <w:rPr>
          <w:color w:val="000000" w:themeColor="text1"/>
          <w:sz w:val="22"/>
          <w:szCs w:val="22"/>
          <w:lang w:val="pt-BR"/>
        </w:rPr>
        <w:t>membros</w:t>
      </w:r>
      <w:r w:rsidRPr="00913ACD">
        <w:rPr>
          <w:sz w:val="22"/>
          <w:szCs w:val="22"/>
          <w:lang w:val="pt-BR"/>
        </w:rPr>
        <w:t xml:space="preserve"> da </w:t>
      </w:r>
      <w:r w:rsidRPr="00913ACD">
        <w:rPr>
          <w:color w:val="000000" w:themeColor="text1"/>
          <w:sz w:val="22"/>
          <w:szCs w:val="22"/>
          <w:lang w:val="pt-BR"/>
        </w:rPr>
        <w:t>OEA</w:t>
      </w:r>
      <w:r w:rsidR="00E1200B">
        <w:rPr>
          <w:color w:val="000000" w:themeColor="text1"/>
          <w:sz w:val="22"/>
          <w:szCs w:val="22"/>
          <w:lang w:val="pt-BR"/>
        </w:rPr>
        <w:t xml:space="preserve"> e</w:t>
      </w:r>
      <w:r w:rsidRPr="00913ACD">
        <w:rPr>
          <w:color w:val="000000" w:themeColor="text1"/>
          <w:sz w:val="22"/>
          <w:szCs w:val="22"/>
          <w:lang w:val="pt-BR"/>
        </w:rPr>
        <w:t xml:space="preserve"> representantes de trabalhadores e empregadores e </w:t>
      </w:r>
      <w:r w:rsidR="00C72D73">
        <w:rPr>
          <w:color w:val="000000" w:themeColor="text1"/>
          <w:sz w:val="22"/>
          <w:szCs w:val="22"/>
          <w:lang w:val="pt-BR"/>
        </w:rPr>
        <w:t xml:space="preserve">de </w:t>
      </w:r>
      <w:r w:rsidRPr="00913ACD">
        <w:rPr>
          <w:color w:val="000000" w:themeColor="text1"/>
          <w:sz w:val="22"/>
          <w:szCs w:val="22"/>
          <w:lang w:val="pt-BR"/>
        </w:rPr>
        <w:t>organizações internacionais se reuniram</w:t>
      </w:r>
      <w:r w:rsidR="00C51D8E" w:rsidRPr="00913ACD">
        <w:rPr>
          <w:color w:val="000000" w:themeColor="text1"/>
          <w:sz w:val="22"/>
          <w:szCs w:val="22"/>
          <w:lang w:val="pt-BR"/>
        </w:rPr>
        <w:t xml:space="preserve"> </w:t>
      </w:r>
      <w:r w:rsidRPr="00913ACD">
        <w:rPr>
          <w:sz w:val="22"/>
          <w:szCs w:val="22"/>
          <w:lang w:val="pt-BR"/>
        </w:rPr>
        <w:t>para</w:t>
      </w:r>
      <w:r w:rsidR="002A18F2" w:rsidRPr="00913ACD">
        <w:rPr>
          <w:sz w:val="22"/>
          <w:szCs w:val="22"/>
          <w:lang w:val="pt-BR"/>
        </w:rPr>
        <w:t xml:space="preserve"> o</w:t>
      </w:r>
      <w:r w:rsidRPr="00913ACD">
        <w:rPr>
          <w:sz w:val="22"/>
          <w:szCs w:val="22"/>
          <w:lang w:val="pt-BR"/>
        </w:rPr>
        <w:t xml:space="preserve"> </w:t>
      </w:r>
      <w:r w:rsidR="007800A2" w:rsidRPr="00913ACD">
        <w:rPr>
          <w:b/>
          <w:bCs/>
          <w:color w:val="000000" w:themeColor="text1"/>
          <w:sz w:val="22"/>
          <w:szCs w:val="22"/>
          <w:lang w:val="pt-BR"/>
        </w:rPr>
        <w:t>“</w:t>
      </w:r>
      <w:r w:rsidRPr="00913ACD">
        <w:rPr>
          <w:b/>
          <w:bCs/>
          <w:color w:val="000000" w:themeColor="text1"/>
          <w:sz w:val="22"/>
          <w:szCs w:val="22"/>
          <w:lang w:val="pt-BR"/>
        </w:rPr>
        <w:t xml:space="preserve">Diálogo </w:t>
      </w:r>
      <w:r w:rsidR="002A18F2" w:rsidRPr="00913ACD">
        <w:rPr>
          <w:b/>
          <w:bCs/>
          <w:color w:val="000000" w:themeColor="text1"/>
          <w:sz w:val="22"/>
          <w:szCs w:val="22"/>
          <w:lang w:val="pt-BR"/>
        </w:rPr>
        <w:t>s</w:t>
      </w:r>
      <w:r w:rsidRPr="00913ACD">
        <w:rPr>
          <w:b/>
          <w:bCs/>
          <w:color w:val="000000" w:themeColor="text1"/>
          <w:sz w:val="22"/>
          <w:szCs w:val="22"/>
          <w:lang w:val="pt-BR"/>
        </w:rPr>
        <w:t>ocial para uma transição baseada em direitos do emprego informal para o formal</w:t>
      </w:r>
      <w:r w:rsidR="007800A2" w:rsidRPr="00913ACD">
        <w:rPr>
          <w:b/>
          <w:bCs/>
          <w:color w:val="000000" w:themeColor="text1"/>
          <w:sz w:val="22"/>
          <w:szCs w:val="22"/>
          <w:lang w:val="pt-BR"/>
        </w:rPr>
        <w:t>”</w:t>
      </w:r>
      <w:r w:rsidRPr="00913ACD">
        <w:rPr>
          <w:b/>
          <w:bCs/>
          <w:color w:val="000000" w:themeColor="text1"/>
          <w:sz w:val="22"/>
          <w:szCs w:val="22"/>
          <w:lang w:val="pt-BR"/>
        </w:rPr>
        <w:t>.</w:t>
      </w:r>
      <w:r w:rsidR="00C51D8E" w:rsidRPr="00913ACD">
        <w:rPr>
          <w:sz w:val="22"/>
          <w:szCs w:val="22"/>
          <w:lang w:val="pt-BR"/>
        </w:rPr>
        <w:t xml:space="preserve"> </w:t>
      </w:r>
      <w:r w:rsidR="00D36A92" w:rsidRPr="00913ACD">
        <w:rPr>
          <w:sz w:val="22"/>
          <w:szCs w:val="22"/>
          <w:lang w:val="pt-BR"/>
        </w:rPr>
        <w:t xml:space="preserve">Foram identificadas </w:t>
      </w:r>
      <w:r w:rsidR="00350CF2" w:rsidRPr="00913ACD">
        <w:rPr>
          <w:color w:val="000000" w:themeColor="text1"/>
          <w:sz w:val="22"/>
          <w:szCs w:val="22"/>
          <w:lang w:val="pt-BR"/>
        </w:rPr>
        <w:t>boas práticas</w:t>
      </w:r>
      <w:r w:rsidRPr="00913ACD">
        <w:rPr>
          <w:color w:val="000000" w:themeColor="text1"/>
          <w:sz w:val="22"/>
          <w:szCs w:val="22"/>
          <w:lang w:val="pt-BR"/>
        </w:rPr>
        <w:t xml:space="preserve"> </w:t>
      </w:r>
      <w:r w:rsidR="00D36A92" w:rsidRPr="00913ACD">
        <w:rPr>
          <w:color w:val="000000" w:themeColor="text1"/>
          <w:sz w:val="22"/>
          <w:szCs w:val="22"/>
          <w:lang w:val="pt-BR"/>
        </w:rPr>
        <w:t>de</w:t>
      </w:r>
      <w:r w:rsidRPr="00913ACD">
        <w:rPr>
          <w:color w:val="000000" w:themeColor="text1"/>
          <w:sz w:val="22"/>
          <w:szCs w:val="22"/>
          <w:lang w:val="pt-BR"/>
        </w:rPr>
        <w:t xml:space="preserve"> toda a região e recomendações para </w:t>
      </w:r>
      <w:r w:rsidR="00D36A92" w:rsidRPr="00913ACD">
        <w:rPr>
          <w:color w:val="000000" w:themeColor="text1"/>
          <w:sz w:val="22"/>
          <w:szCs w:val="22"/>
          <w:lang w:val="pt-BR"/>
        </w:rPr>
        <w:t xml:space="preserve">a </w:t>
      </w:r>
      <w:r w:rsidRPr="00913ACD">
        <w:rPr>
          <w:color w:val="000000" w:themeColor="text1"/>
          <w:sz w:val="22"/>
          <w:szCs w:val="22"/>
          <w:lang w:val="pt-BR"/>
        </w:rPr>
        <w:t>aborda</w:t>
      </w:r>
      <w:r w:rsidR="00D36A92" w:rsidRPr="00913ACD">
        <w:rPr>
          <w:color w:val="000000" w:themeColor="text1"/>
          <w:sz w:val="22"/>
          <w:szCs w:val="22"/>
          <w:lang w:val="pt-BR"/>
        </w:rPr>
        <w:t>gem d</w:t>
      </w:r>
      <w:r w:rsidRPr="00913ACD">
        <w:rPr>
          <w:color w:val="000000" w:themeColor="text1"/>
          <w:sz w:val="22"/>
          <w:szCs w:val="22"/>
          <w:lang w:val="pt-BR"/>
        </w:rPr>
        <w:t>o emprego informal.</w:t>
      </w:r>
    </w:p>
    <w:p w14:paraId="48F1A468" w14:textId="77777777" w:rsidR="00FF0178" w:rsidRPr="00913ACD" w:rsidRDefault="00FF0178" w:rsidP="00CB030B">
      <w:pPr>
        <w:pStyle w:val="ListParagraph"/>
        <w:jc w:val="both"/>
        <w:rPr>
          <w:rFonts w:eastAsia="Cambria"/>
          <w:color w:val="000000" w:themeColor="text1"/>
          <w:sz w:val="22"/>
          <w:szCs w:val="22"/>
          <w:lang w:val="pt-BR"/>
        </w:rPr>
      </w:pPr>
    </w:p>
    <w:p w14:paraId="793CFC59" w14:textId="7AEA7FE3" w:rsidR="00FF0178" w:rsidRPr="00913ACD" w:rsidRDefault="00FF0178"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Inte</w:t>
      </w:r>
      <w:r w:rsidR="00953294" w:rsidRPr="00913ACD">
        <w:rPr>
          <w:color w:val="000000" w:themeColor="text1"/>
          <w:sz w:val="22"/>
          <w:szCs w:val="22"/>
          <w:lang w:val="pt-BR"/>
        </w:rPr>
        <w:t xml:space="preserve">nsificou </w:t>
      </w:r>
      <w:r w:rsidRPr="00913ACD">
        <w:rPr>
          <w:color w:val="000000" w:themeColor="text1"/>
          <w:sz w:val="22"/>
          <w:szCs w:val="22"/>
          <w:lang w:val="pt-BR"/>
        </w:rPr>
        <w:t xml:space="preserve">a cooperação trabalhista graças ao compromisso significativo dos </w:t>
      </w:r>
      <w:r w:rsidR="004571A2" w:rsidRPr="00913ACD">
        <w:rPr>
          <w:color w:val="000000" w:themeColor="text1"/>
          <w:sz w:val="22"/>
          <w:szCs w:val="22"/>
          <w:lang w:val="pt-BR"/>
        </w:rPr>
        <w:t>m</w:t>
      </w:r>
      <w:r w:rsidRPr="00913ACD">
        <w:rPr>
          <w:color w:val="000000" w:themeColor="text1"/>
          <w:sz w:val="22"/>
          <w:szCs w:val="22"/>
          <w:lang w:val="pt-BR"/>
        </w:rPr>
        <w:t xml:space="preserve">inistérios do </w:t>
      </w:r>
      <w:r w:rsidR="004571A2" w:rsidRPr="00913ACD">
        <w:rPr>
          <w:color w:val="000000" w:themeColor="text1"/>
          <w:sz w:val="22"/>
          <w:szCs w:val="22"/>
          <w:lang w:val="pt-BR"/>
        </w:rPr>
        <w:t>t</w:t>
      </w:r>
      <w:r w:rsidRPr="00913ACD">
        <w:rPr>
          <w:color w:val="000000" w:themeColor="text1"/>
          <w:sz w:val="22"/>
          <w:szCs w:val="22"/>
          <w:lang w:val="pt-BR"/>
        </w:rPr>
        <w:t xml:space="preserve">rabalho da </w:t>
      </w:r>
      <w:r w:rsidR="001324FD" w:rsidRPr="00913ACD">
        <w:rPr>
          <w:color w:val="000000" w:themeColor="text1"/>
          <w:sz w:val="22"/>
          <w:szCs w:val="22"/>
          <w:lang w:val="pt-BR"/>
        </w:rPr>
        <w:t>RIAT</w:t>
      </w:r>
      <w:r w:rsidRPr="00913ACD">
        <w:rPr>
          <w:color w:val="000000" w:themeColor="text1"/>
          <w:sz w:val="22"/>
          <w:szCs w:val="22"/>
          <w:lang w:val="pt-BR"/>
        </w:rPr>
        <w:t xml:space="preserve">. Em 2022, a </w:t>
      </w:r>
      <w:r w:rsidR="001324FD" w:rsidRPr="00913ACD">
        <w:rPr>
          <w:color w:val="000000" w:themeColor="text1"/>
          <w:sz w:val="22"/>
          <w:szCs w:val="22"/>
          <w:lang w:val="pt-BR"/>
        </w:rPr>
        <w:t>RIAT</w:t>
      </w:r>
      <w:r w:rsidRPr="00913ACD">
        <w:rPr>
          <w:color w:val="000000" w:themeColor="text1"/>
          <w:sz w:val="22"/>
          <w:szCs w:val="22"/>
          <w:lang w:val="pt-BR"/>
        </w:rPr>
        <w:t xml:space="preserve"> realizou cooperações bilaterais virtuais envolvendo os </w:t>
      </w:r>
      <w:r w:rsidR="004571A2" w:rsidRPr="00913ACD">
        <w:rPr>
          <w:color w:val="000000" w:themeColor="text1"/>
          <w:sz w:val="22"/>
          <w:szCs w:val="22"/>
          <w:lang w:val="pt-BR"/>
        </w:rPr>
        <w:t>m</w:t>
      </w:r>
      <w:r w:rsidRPr="00913ACD">
        <w:rPr>
          <w:color w:val="000000" w:themeColor="text1"/>
          <w:sz w:val="22"/>
          <w:szCs w:val="22"/>
          <w:lang w:val="pt-BR"/>
        </w:rPr>
        <w:t xml:space="preserve">inistérios do </w:t>
      </w:r>
      <w:r w:rsidR="004571A2" w:rsidRPr="00913ACD">
        <w:rPr>
          <w:color w:val="000000" w:themeColor="text1"/>
          <w:sz w:val="22"/>
          <w:szCs w:val="22"/>
          <w:lang w:val="pt-BR"/>
        </w:rPr>
        <w:t>t</w:t>
      </w:r>
      <w:r w:rsidRPr="00913ACD">
        <w:rPr>
          <w:color w:val="000000" w:themeColor="text1"/>
          <w:sz w:val="22"/>
          <w:szCs w:val="22"/>
          <w:lang w:val="pt-BR"/>
        </w:rPr>
        <w:t>rabalho d</w:t>
      </w:r>
      <w:r w:rsidR="00B7032F" w:rsidRPr="00913ACD">
        <w:rPr>
          <w:color w:val="000000" w:themeColor="text1"/>
          <w:sz w:val="22"/>
          <w:szCs w:val="22"/>
          <w:lang w:val="pt-BR"/>
        </w:rPr>
        <w:t>e</w:t>
      </w:r>
      <w:r w:rsidRPr="00913ACD">
        <w:rPr>
          <w:color w:val="000000" w:themeColor="text1"/>
          <w:sz w:val="22"/>
          <w:szCs w:val="22"/>
          <w:lang w:val="pt-BR"/>
        </w:rPr>
        <w:t xml:space="preserve"> Argentina, Belize, Barbados, Bolívia, Colômbia, Equador, Guatemala, Panamá, Paraguai, Peru e Uruguai, </w:t>
      </w:r>
      <w:r w:rsidR="00B7032F" w:rsidRPr="00913ACD">
        <w:rPr>
          <w:color w:val="000000" w:themeColor="text1"/>
          <w:sz w:val="22"/>
          <w:szCs w:val="22"/>
          <w:lang w:val="pt-BR"/>
        </w:rPr>
        <w:t xml:space="preserve">o que lhes </w:t>
      </w:r>
      <w:r w:rsidRPr="00913ACD">
        <w:rPr>
          <w:color w:val="000000" w:themeColor="text1"/>
          <w:sz w:val="22"/>
          <w:szCs w:val="22"/>
          <w:lang w:val="pt-BR"/>
        </w:rPr>
        <w:t>permiti</w:t>
      </w:r>
      <w:r w:rsidR="00B7032F" w:rsidRPr="00913ACD">
        <w:rPr>
          <w:color w:val="000000" w:themeColor="text1"/>
          <w:sz w:val="22"/>
          <w:szCs w:val="22"/>
          <w:lang w:val="pt-BR"/>
        </w:rPr>
        <w:t xml:space="preserve">u </w:t>
      </w:r>
      <w:r w:rsidRPr="00913ACD">
        <w:rPr>
          <w:color w:val="000000" w:themeColor="text1"/>
          <w:sz w:val="22"/>
          <w:szCs w:val="22"/>
          <w:lang w:val="pt-BR"/>
        </w:rPr>
        <w:t>fortalecer suas capacidades e desenvolver produtos específicos sobre saúde e segurança no trabalho, inspeção do trabalho, quadro nacional de qualificação, estratégias para prevenir a violência de gênero no trabalho, identificação do trabalho infantil</w:t>
      </w:r>
      <w:r w:rsidR="00C51D8E" w:rsidRPr="00913ACD">
        <w:rPr>
          <w:color w:val="000000" w:themeColor="text1"/>
          <w:sz w:val="22"/>
          <w:szCs w:val="22"/>
          <w:lang w:val="pt-BR"/>
        </w:rPr>
        <w:t xml:space="preserve"> </w:t>
      </w:r>
      <w:r w:rsidRPr="00913ACD">
        <w:rPr>
          <w:color w:val="000000" w:themeColor="text1"/>
          <w:sz w:val="22"/>
          <w:szCs w:val="22"/>
          <w:lang w:val="pt-BR"/>
        </w:rPr>
        <w:t xml:space="preserve">e sinais de exploração do trabalho. Em novembro de 2022, a </w:t>
      </w:r>
      <w:r w:rsidR="001324FD" w:rsidRPr="00913ACD">
        <w:rPr>
          <w:color w:val="000000" w:themeColor="text1"/>
          <w:sz w:val="22"/>
          <w:szCs w:val="22"/>
          <w:lang w:val="pt-BR"/>
        </w:rPr>
        <w:t>RIAT</w:t>
      </w:r>
      <w:r w:rsidRPr="00913ACD">
        <w:rPr>
          <w:color w:val="000000" w:themeColor="text1"/>
          <w:sz w:val="22"/>
          <w:szCs w:val="22"/>
          <w:lang w:val="pt-BR"/>
        </w:rPr>
        <w:t xml:space="preserve"> realizou um exercício de cooperação bilateral presencial, </w:t>
      </w:r>
      <w:r w:rsidR="00701649" w:rsidRPr="00913ACD">
        <w:rPr>
          <w:color w:val="000000" w:themeColor="text1"/>
          <w:sz w:val="22"/>
          <w:szCs w:val="22"/>
          <w:lang w:val="pt-BR"/>
        </w:rPr>
        <w:t xml:space="preserve">no qual </w:t>
      </w:r>
      <w:r w:rsidRPr="00913ACD">
        <w:rPr>
          <w:color w:val="000000" w:themeColor="text1"/>
          <w:sz w:val="22"/>
          <w:szCs w:val="22"/>
          <w:lang w:val="pt-BR"/>
        </w:rPr>
        <w:t xml:space="preserve">funcionários </w:t>
      </w:r>
      <w:r w:rsidR="00701649" w:rsidRPr="00913ACD">
        <w:rPr>
          <w:color w:val="000000" w:themeColor="text1"/>
          <w:sz w:val="22"/>
          <w:szCs w:val="22"/>
          <w:lang w:val="pt-BR"/>
        </w:rPr>
        <w:t>panamenhos</w:t>
      </w:r>
      <w:r w:rsidRPr="00913ACD">
        <w:rPr>
          <w:color w:val="000000" w:themeColor="text1"/>
          <w:sz w:val="22"/>
          <w:szCs w:val="22"/>
          <w:lang w:val="pt-BR"/>
        </w:rPr>
        <w:t xml:space="preserve"> receberem treinamento local do Chile sobre inspeção do trabalho no setor de mineração.</w:t>
      </w:r>
    </w:p>
    <w:p w14:paraId="33A9E8FB" w14:textId="77777777" w:rsidR="00FF0178" w:rsidRPr="00913ACD" w:rsidRDefault="00FF0178" w:rsidP="00CB030B">
      <w:pPr>
        <w:pStyle w:val="ListParagraph"/>
        <w:ind w:left="1440" w:hanging="720"/>
        <w:jc w:val="both"/>
        <w:rPr>
          <w:rFonts w:eastAsia="Cambria"/>
          <w:color w:val="000000" w:themeColor="text1"/>
          <w:sz w:val="22"/>
          <w:szCs w:val="22"/>
          <w:lang w:val="pt-BR"/>
        </w:rPr>
      </w:pPr>
    </w:p>
    <w:p w14:paraId="185BA866" w14:textId="01B5A2D3" w:rsidR="00FF0178" w:rsidRPr="00913ACD" w:rsidRDefault="00B20668" w:rsidP="00CB030B">
      <w:pPr>
        <w:pStyle w:val="ListParagraph"/>
        <w:numPr>
          <w:ilvl w:val="0"/>
          <w:numId w:val="24"/>
        </w:numPr>
        <w:ind w:left="1440" w:hanging="720"/>
        <w:jc w:val="both"/>
        <w:rPr>
          <w:rFonts w:eastAsia="Cambria"/>
          <w:color w:val="000000" w:themeColor="text1"/>
          <w:sz w:val="22"/>
          <w:szCs w:val="22"/>
          <w:lang w:val="pt-BR"/>
        </w:rPr>
      </w:pPr>
      <w:r w:rsidRPr="00913ACD">
        <w:rPr>
          <w:color w:val="000000" w:themeColor="text1"/>
          <w:sz w:val="22"/>
          <w:szCs w:val="22"/>
          <w:lang w:val="pt-BR"/>
        </w:rPr>
        <w:t>P</w:t>
      </w:r>
      <w:r w:rsidR="00FF0178" w:rsidRPr="00913ACD">
        <w:rPr>
          <w:color w:val="000000" w:themeColor="text1"/>
          <w:sz w:val="22"/>
          <w:szCs w:val="22"/>
          <w:lang w:val="pt-BR"/>
        </w:rPr>
        <w:t xml:space="preserve">reparou e lançou </w:t>
      </w:r>
      <w:r w:rsidRPr="00913ACD">
        <w:rPr>
          <w:color w:val="000000" w:themeColor="text1"/>
          <w:sz w:val="22"/>
          <w:szCs w:val="22"/>
          <w:lang w:val="pt-BR"/>
        </w:rPr>
        <w:t>a</w:t>
      </w:r>
      <w:r w:rsidR="00FF0178" w:rsidRPr="00913ACD">
        <w:rPr>
          <w:color w:val="000000" w:themeColor="text1"/>
          <w:sz w:val="22"/>
          <w:szCs w:val="22"/>
          <w:lang w:val="pt-BR"/>
        </w:rPr>
        <w:t xml:space="preserve"> </w:t>
      </w:r>
      <w:r w:rsidR="00957D3C">
        <w:rPr>
          <w:b/>
          <w:bCs/>
          <w:color w:val="000000" w:themeColor="text1"/>
          <w:sz w:val="22"/>
          <w:szCs w:val="22"/>
          <w:lang w:val="pt-BR"/>
        </w:rPr>
        <w:t>Carteira</w:t>
      </w:r>
      <w:r w:rsidR="008A149B" w:rsidRPr="00913ACD">
        <w:rPr>
          <w:b/>
          <w:bCs/>
          <w:color w:val="000000" w:themeColor="text1"/>
          <w:sz w:val="22"/>
          <w:szCs w:val="22"/>
          <w:lang w:val="pt-BR"/>
        </w:rPr>
        <w:t xml:space="preserve"> </w:t>
      </w:r>
      <w:r w:rsidRPr="00913ACD">
        <w:rPr>
          <w:b/>
          <w:bCs/>
          <w:color w:val="000000" w:themeColor="text1"/>
          <w:sz w:val="22"/>
          <w:szCs w:val="22"/>
          <w:lang w:val="pt-BR"/>
        </w:rPr>
        <w:t>a</w:t>
      </w:r>
      <w:r w:rsidR="00FF0178" w:rsidRPr="00913ACD">
        <w:rPr>
          <w:b/>
          <w:bCs/>
          <w:color w:val="000000" w:themeColor="text1"/>
          <w:sz w:val="22"/>
          <w:szCs w:val="22"/>
          <w:lang w:val="pt-BR"/>
        </w:rPr>
        <w:t>bert</w:t>
      </w:r>
      <w:r w:rsidR="00B41CD2">
        <w:rPr>
          <w:b/>
          <w:bCs/>
          <w:color w:val="000000" w:themeColor="text1"/>
          <w:sz w:val="22"/>
          <w:szCs w:val="22"/>
          <w:lang w:val="pt-BR"/>
        </w:rPr>
        <w:t>a</w:t>
      </w:r>
      <w:r w:rsidR="00FF0178" w:rsidRPr="00913ACD">
        <w:rPr>
          <w:b/>
          <w:bCs/>
          <w:color w:val="000000" w:themeColor="text1"/>
          <w:sz w:val="22"/>
          <w:szCs w:val="22"/>
          <w:lang w:val="pt-BR"/>
        </w:rPr>
        <w:t xml:space="preserve"> sobre </w:t>
      </w:r>
      <w:r w:rsidRPr="00913ACD">
        <w:rPr>
          <w:b/>
          <w:bCs/>
          <w:color w:val="000000" w:themeColor="text1"/>
          <w:sz w:val="22"/>
          <w:szCs w:val="22"/>
          <w:lang w:val="pt-BR"/>
        </w:rPr>
        <w:t>l</w:t>
      </w:r>
      <w:r w:rsidR="00FF0178" w:rsidRPr="00913ACD">
        <w:rPr>
          <w:b/>
          <w:bCs/>
          <w:color w:val="000000" w:themeColor="text1"/>
          <w:sz w:val="22"/>
          <w:szCs w:val="22"/>
          <w:lang w:val="pt-BR"/>
        </w:rPr>
        <w:t xml:space="preserve">egislação e </w:t>
      </w:r>
      <w:r w:rsidRPr="00913ACD">
        <w:rPr>
          <w:b/>
          <w:bCs/>
          <w:color w:val="000000" w:themeColor="text1"/>
          <w:sz w:val="22"/>
          <w:szCs w:val="22"/>
          <w:lang w:val="pt-BR"/>
        </w:rPr>
        <w:t>r</w:t>
      </w:r>
      <w:r w:rsidR="00FF0178" w:rsidRPr="00913ACD">
        <w:rPr>
          <w:b/>
          <w:bCs/>
          <w:color w:val="000000" w:themeColor="text1"/>
          <w:sz w:val="22"/>
          <w:szCs w:val="22"/>
          <w:lang w:val="pt-BR"/>
        </w:rPr>
        <w:t xml:space="preserve">egulamentação do </w:t>
      </w:r>
      <w:r w:rsidRPr="00913ACD">
        <w:rPr>
          <w:b/>
          <w:bCs/>
          <w:color w:val="000000" w:themeColor="text1"/>
          <w:sz w:val="22"/>
          <w:szCs w:val="22"/>
          <w:lang w:val="pt-BR"/>
        </w:rPr>
        <w:t>t</w:t>
      </w:r>
      <w:r w:rsidR="00FF0178" w:rsidRPr="00913ACD">
        <w:rPr>
          <w:b/>
          <w:bCs/>
          <w:color w:val="000000" w:themeColor="text1"/>
          <w:sz w:val="22"/>
          <w:szCs w:val="22"/>
          <w:lang w:val="pt-BR"/>
        </w:rPr>
        <w:t>eletrabalho</w:t>
      </w:r>
      <w:r w:rsidR="00FF0178" w:rsidRPr="00913ACD">
        <w:rPr>
          <w:sz w:val="22"/>
          <w:szCs w:val="22"/>
          <w:lang w:val="pt-BR"/>
        </w:rPr>
        <w:t>,</w:t>
      </w:r>
      <w:r w:rsidR="00C51D8E" w:rsidRPr="00913ACD">
        <w:rPr>
          <w:sz w:val="22"/>
          <w:szCs w:val="22"/>
          <w:lang w:val="pt-BR"/>
        </w:rPr>
        <w:t xml:space="preserve"> </w:t>
      </w:r>
      <w:r w:rsidR="00FF0178" w:rsidRPr="00913ACD">
        <w:rPr>
          <w:color w:val="000000" w:themeColor="text1"/>
          <w:sz w:val="22"/>
          <w:szCs w:val="22"/>
          <w:lang w:val="pt-BR"/>
        </w:rPr>
        <w:t xml:space="preserve">disponível </w:t>
      </w:r>
      <w:hyperlink r:id="rId22" w:history="1">
        <w:r w:rsidR="005C4B6D" w:rsidRPr="00913ACD">
          <w:rPr>
            <w:rStyle w:val="Hyperlink"/>
            <w:sz w:val="22"/>
            <w:szCs w:val="22"/>
            <w:lang w:val="pt-BR"/>
          </w:rPr>
          <w:t>aqui</w:t>
        </w:r>
      </w:hyperlink>
      <w:r w:rsidR="00FF0178" w:rsidRPr="00913ACD">
        <w:rPr>
          <w:color w:val="000000" w:themeColor="text1"/>
          <w:sz w:val="22"/>
          <w:szCs w:val="22"/>
          <w:lang w:val="pt-BR"/>
        </w:rPr>
        <w:t xml:space="preserve"> no site da </w:t>
      </w:r>
      <w:r w:rsidR="001324FD" w:rsidRPr="00913ACD">
        <w:rPr>
          <w:color w:val="000000" w:themeColor="text1"/>
          <w:sz w:val="22"/>
          <w:szCs w:val="22"/>
          <w:lang w:val="pt-BR"/>
        </w:rPr>
        <w:t>RIAT</w:t>
      </w:r>
      <w:r w:rsidR="00FF0178" w:rsidRPr="00913ACD">
        <w:rPr>
          <w:color w:val="000000" w:themeColor="text1"/>
          <w:sz w:val="22"/>
          <w:szCs w:val="22"/>
          <w:lang w:val="pt-BR"/>
        </w:rPr>
        <w:t xml:space="preserve">, </w:t>
      </w:r>
      <w:r w:rsidR="00AE2DAC" w:rsidRPr="00913ACD">
        <w:rPr>
          <w:color w:val="000000" w:themeColor="text1"/>
          <w:sz w:val="22"/>
          <w:szCs w:val="22"/>
          <w:lang w:val="pt-BR"/>
        </w:rPr>
        <w:t xml:space="preserve">que reúne </w:t>
      </w:r>
      <w:r w:rsidR="00FF0178" w:rsidRPr="00913ACD">
        <w:rPr>
          <w:color w:val="000000" w:themeColor="text1"/>
          <w:sz w:val="22"/>
          <w:szCs w:val="22"/>
          <w:lang w:val="pt-BR"/>
        </w:rPr>
        <w:t xml:space="preserve">mais de 90 leis, regulamentos, resoluções e outros instrumentos regulatórios de 23 </w:t>
      </w:r>
      <w:r w:rsidR="00AF16D4" w:rsidRPr="00913ACD">
        <w:rPr>
          <w:color w:val="000000" w:themeColor="text1"/>
          <w:sz w:val="22"/>
          <w:szCs w:val="22"/>
          <w:lang w:val="pt-BR"/>
        </w:rPr>
        <w:t>Estados membros</w:t>
      </w:r>
      <w:r w:rsidR="005C4B6D" w:rsidRPr="00913ACD">
        <w:rPr>
          <w:color w:val="000000" w:themeColor="text1"/>
          <w:sz w:val="22"/>
          <w:szCs w:val="22"/>
          <w:lang w:val="pt-BR"/>
        </w:rPr>
        <w:t>. Est</w:t>
      </w:r>
      <w:r w:rsidR="000856FB">
        <w:rPr>
          <w:color w:val="000000" w:themeColor="text1"/>
          <w:sz w:val="22"/>
          <w:szCs w:val="22"/>
          <w:lang w:val="pt-BR"/>
        </w:rPr>
        <w:t xml:space="preserve">a </w:t>
      </w:r>
      <w:r w:rsidR="00957D3C">
        <w:rPr>
          <w:color w:val="000000" w:themeColor="text1"/>
          <w:sz w:val="22"/>
          <w:szCs w:val="22"/>
          <w:lang w:val="pt-BR"/>
        </w:rPr>
        <w:t>carteira</w:t>
      </w:r>
      <w:r w:rsidR="005C4B6D" w:rsidRPr="00913ACD">
        <w:rPr>
          <w:color w:val="000000" w:themeColor="text1"/>
          <w:sz w:val="22"/>
          <w:szCs w:val="22"/>
          <w:lang w:val="pt-BR"/>
        </w:rPr>
        <w:t xml:space="preserve"> é um repositório útil de informações e pesquisas, e uma fonte de referência estratégica para outros países que avançam seus esforços nes</w:t>
      </w:r>
      <w:r w:rsidR="00C20D7F" w:rsidRPr="00913ACD">
        <w:rPr>
          <w:color w:val="000000" w:themeColor="text1"/>
          <w:sz w:val="22"/>
          <w:szCs w:val="22"/>
          <w:lang w:val="pt-BR"/>
        </w:rPr>
        <w:t>s</w:t>
      </w:r>
      <w:r w:rsidR="005C4B6D" w:rsidRPr="00913ACD">
        <w:rPr>
          <w:color w:val="000000" w:themeColor="text1"/>
          <w:sz w:val="22"/>
          <w:szCs w:val="22"/>
          <w:lang w:val="pt-BR"/>
        </w:rPr>
        <w:t>a área.</w:t>
      </w:r>
    </w:p>
    <w:p w14:paraId="2285CF58" w14:textId="3CA39B23" w:rsidR="00A427C5" w:rsidRPr="00913ACD" w:rsidRDefault="00A427C5" w:rsidP="00CB030B">
      <w:pPr>
        <w:rPr>
          <w:rFonts w:ascii="Times New Roman" w:hAnsi="Times New Roman" w:cs="Times New Roman"/>
          <w:sz w:val="22"/>
          <w:szCs w:val="22"/>
          <w:lang w:val="pt-BR"/>
        </w:rPr>
      </w:pPr>
    </w:p>
    <w:p w14:paraId="6B83612F" w14:textId="77777777" w:rsidR="003631D7" w:rsidRPr="00913ACD" w:rsidRDefault="003631D7" w:rsidP="00CB030B">
      <w:pPr>
        <w:rPr>
          <w:rFonts w:ascii="Times New Roman" w:hAnsi="Times New Roman" w:cs="Times New Roman"/>
          <w:sz w:val="22"/>
          <w:szCs w:val="22"/>
          <w:lang w:val="pt-BR"/>
        </w:rPr>
      </w:pPr>
    </w:p>
    <w:p w14:paraId="78B87EA4" w14:textId="0317E7D0" w:rsidR="00BF4B76" w:rsidRPr="00913ACD" w:rsidRDefault="00BF4B76" w:rsidP="00CB030B">
      <w:pPr>
        <w:rPr>
          <w:rFonts w:ascii="Times New Roman" w:hAnsi="Times New Roman" w:cs="Times New Roman"/>
          <w:b/>
          <w:bCs/>
          <w:sz w:val="22"/>
          <w:szCs w:val="22"/>
          <w:lang w:val="pt-BR"/>
        </w:rPr>
      </w:pPr>
      <w:r w:rsidRPr="00913ACD">
        <w:rPr>
          <w:rFonts w:ascii="Times New Roman" w:hAnsi="Times New Roman" w:cs="Times New Roman"/>
          <w:b/>
          <w:sz w:val="22"/>
          <w:szCs w:val="22"/>
          <w:lang w:val="pt-BR"/>
        </w:rPr>
        <w:t>LINHA ESTRATÉGICA 5</w:t>
      </w:r>
    </w:p>
    <w:p w14:paraId="4724DA26" w14:textId="3A197125" w:rsidR="00A427C5" w:rsidRPr="00913ACD" w:rsidRDefault="00A427C5" w:rsidP="00CB030B">
      <w:pPr>
        <w:pBdr>
          <w:bottom w:val="single" w:sz="6" w:space="1" w:color="auto"/>
        </w:pBdr>
        <w:rPr>
          <w:rFonts w:ascii="Times New Roman" w:hAnsi="Times New Roman" w:cs="Times New Roman"/>
          <w:sz w:val="22"/>
          <w:szCs w:val="22"/>
          <w:lang w:val="pt-BR"/>
        </w:rPr>
      </w:pPr>
      <w:r w:rsidRPr="00913ACD">
        <w:rPr>
          <w:rFonts w:ascii="Times New Roman" w:hAnsi="Times New Roman" w:cs="Times New Roman"/>
          <w:sz w:val="22"/>
          <w:szCs w:val="22"/>
          <w:lang w:val="pt-BR"/>
        </w:rPr>
        <w:t xml:space="preserve">PROMOVER A COOPERAÇÃO PARA O DESENVOLVIMENTO E </w:t>
      </w:r>
      <w:r w:rsidR="00C20D7F" w:rsidRPr="00913ACD">
        <w:rPr>
          <w:rFonts w:ascii="Times New Roman" w:hAnsi="Times New Roman" w:cs="Times New Roman"/>
          <w:sz w:val="22"/>
          <w:szCs w:val="22"/>
          <w:lang w:val="pt-BR"/>
        </w:rPr>
        <w:t xml:space="preserve">A CRIAÇÃO DE </w:t>
      </w:r>
      <w:r w:rsidRPr="00913ACD">
        <w:rPr>
          <w:rFonts w:ascii="Times New Roman" w:hAnsi="Times New Roman" w:cs="Times New Roman"/>
          <w:sz w:val="22"/>
          <w:szCs w:val="22"/>
          <w:lang w:val="pt-BR"/>
        </w:rPr>
        <w:t>PARCERIAS</w:t>
      </w:r>
    </w:p>
    <w:p w14:paraId="3E491BB7" w14:textId="77777777" w:rsidR="00A427C5" w:rsidRPr="00913ACD" w:rsidRDefault="00A427C5" w:rsidP="00CB030B">
      <w:pPr>
        <w:rPr>
          <w:rFonts w:ascii="Times New Roman" w:hAnsi="Times New Roman" w:cs="Times New Roman"/>
          <w:sz w:val="22"/>
          <w:szCs w:val="22"/>
          <w:lang w:val="pt-BR"/>
        </w:rPr>
      </w:pPr>
    </w:p>
    <w:p w14:paraId="514F7C5E" w14:textId="4C4A7191" w:rsidR="001F022B" w:rsidRPr="00913ACD" w:rsidRDefault="00BF4B76" w:rsidP="00CB030B">
      <w:pPr>
        <w:ind w:firstLine="720"/>
        <w:jc w:val="both"/>
        <w:rPr>
          <w:rFonts w:ascii="Times New Roman" w:hAnsi="Times New Roman" w:cs="Times New Roman"/>
          <w:sz w:val="22"/>
          <w:szCs w:val="22"/>
          <w:lang w:val="pt-BR"/>
        </w:rPr>
      </w:pPr>
      <w:r w:rsidRPr="00913ACD">
        <w:rPr>
          <w:rFonts w:ascii="Times New Roman" w:hAnsi="Times New Roman" w:cs="Times New Roman"/>
          <w:sz w:val="22"/>
          <w:szCs w:val="22"/>
          <w:lang w:val="pt-BR"/>
        </w:rPr>
        <w:t>O Fundo de Cooperação para o Desenvolvimento da Organização dos Estados Americanos (</w:t>
      </w:r>
      <w:r w:rsidR="00115884" w:rsidRPr="00913ACD">
        <w:rPr>
          <w:rFonts w:ascii="Times New Roman" w:hAnsi="Times New Roman" w:cs="Times New Roman"/>
          <w:sz w:val="22"/>
          <w:szCs w:val="22"/>
          <w:lang w:val="pt-BR"/>
        </w:rPr>
        <w:t>FCD/OEA</w:t>
      </w:r>
      <w:r w:rsidRPr="00913ACD">
        <w:rPr>
          <w:rFonts w:ascii="Times New Roman" w:hAnsi="Times New Roman" w:cs="Times New Roman"/>
          <w:sz w:val="22"/>
          <w:szCs w:val="22"/>
          <w:lang w:val="pt-BR"/>
        </w:rPr>
        <w:t xml:space="preserve">) </w:t>
      </w:r>
      <w:r w:rsidR="00B072A8">
        <w:rPr>
          <w:rFonts w:ascii="Times New Roman" w:hAnsi="Times New Roman" w:cs="Times New Roman"/>
          <w:sz w:val="22"/>
          <w:szCs w:val="22"/>
          <w:lang w:val="pt-BR"/>
        </w:rPr>
        <w:t xml:space="preserve">alavanca </w:t>
      </w:r>
      <w:r w:rsidRPr="00913ACD">
        <w:rPr>
          <w:rFonts w:ascii="Times New Roman" w:hAnsi="Times New Roman" w:cs="Times New Roman"/>
          <w:sz w:val="22"/>
          <w:szCs w:val="22"/>
          <w:lang w:val="pt-BR"/>
        </w:rPr>
        <w:t>parcerias e alianças multissetoriais para fornecer iniciativas de cooperação técnica direcionadas que sejam baseadas na comunidade</w:t>
      </w:r>
      <w:r w:rsidR="006343BD" w:rsidRPr="00913ACD">
        <w:rPr>
          <w:rFonts w:ascii="Times New Roman" w:hAnsi="Times New Roman" w:cs="Times New Roman"/>
          <w:sz w:val="22"/>
          <w:szCs w:val="22"/>
          <w:lang w:val="pt-BR"/>
        </w:rPr>
        <w:t xml:space="preserve"> e</w:t>
      </w:r>
      <w:r w:rsidRPr="00913ACD">
        <w:rPr>
          <w:rFonts w:ascii="Times New Roman" w:hAnsi="Times New Roman" w:cs="Times New Roman"/>
          <w:sz w:val="22"/>
          <w:szCs w:val="22"/>
          <w:lang w:val="pt-BR"/>
        </w:rPr>
        <w:t xml:space="preserve"> entregues localmente e </w:t>
      </w:r>
      <w:r w:rsidR="006343BD" w:rsidRPr="00913ACD">
        <w:rPr>
          <w:rFonts w:ascii="Times New Roman" w:hAnsi="Times New Roman" w:cs="Times New Roman"/>
          <w:sz w:val="22"/>
          <w:szCs w:val="22"/>
          <w:lang w:val="pt-BR"/>
        </w:rPr>
        <w:t xml:space="preserve">atendam </w:t>
      </w:r>
      <w:r w:rsidRPr="00913ACD">
        <w:rPr>
          <w:rFonts w:ascii="Times New Roman" w:hAnsi="Times New Roman" w:cs="Times New Roman"/>
          <w:sz w:val="22"/>
          <w:szCs w:val="22"/>
          <w:lang w:val="pt-BR"/>
        </w:rPr>
        <w:t>às necessidades específicas de capacitação dos</w:t>
      </w:r>
      <w:r w:rsidR="00C51D8E" w:rsidRPr="00913ACD">
        <w:rPr>
          <w:rFonts w:ascii="Times New Roman" w:hAnsi="Times New Roman" w:cs="Times New Roman"/>
          <w:sz w:val="22"/>
          <w:szCs w:val="22"/>
          <w:lang w:val="pt-BR"/>
        </w:rPr>
        <w:t xml:space="preserve"> </w:t>
      </w:r>
      <w:r w:rsidR="005F30B1" w:rsidRPr="00913ACD">
        <w:rPr>
          <w:rFonts w:ascii="Times New Roman" w:hAnsi="Times New Roman" w:cs="Times New Roman"/>
          <w:sz w:val="22"/>
          <w:szCs w:val="22"/>
          <w:lang w:val="pt-BR"/>
        </w:rPr>
        <w:t>Estados membros</w:t>
      </w:r>
      <w:r w:rsidRPr="00913ACD">
        <w:rPr>
          <w:rFonts w:ascii="Times New Roman" w:hAnsi="Times New Roman" w:cs="Times New Roman"/>
          <w:sz w:val="22"/>
          <w:szCs w:val="22"/>
          <w:lang w:val="pt-BR"/>
        </w:rPr>
        <w:t xml:space="preserve">. No ciclo de programação 2017-2021 recentemente concluído, </w:t>
      </w:r>
      <w:r w:rsidR="00E11362" w:rsidRPr="00913ACD">
        <w:rPr>
          <w:rFonts w:ascii="Times New Roman" w:hAnsi="Times New Roman" w:cs="Times New Roman"/>
          <w:sz w:val="22"/>
          <w:szCs w:val="22"/>
          <w:lang w:val="pt-BR"/>
        </w:rPr>
        <w:t xml:space="preserve">foi alocado </w:t>
      </w:r>
      <w:r w:rsidRPr="00913ACD">
        <w:rPr>
          <w:rFonts w:ascii="Times New Roman" w:hAnsi="Times New Roman" w:cs="Times New Roman"/>
          <w:sz w:val="22"/>
          <w:szCs w:val="22"/>
          <w:lang w:val="pt-BR"/>
        </w:rPr>
        <w:t xml:space="preserve">US$ 1,5 milhão e </w:t>
      </w:r>
      <w:r w:rsidR="00E11362" w:rsidRPr="00913ACD">
        <w:rPr>
          <w:rFonts w:ascii="Times New Roman" w:hAnsi="Times New Roman" w:cs="Times New Roman"/>
          <w:sz w:val="22"/>
          <w:szCs w:val="22"/>
          <w:lang w:val="pt-BR"/>
        </w:rPr>
        <w:t>17</w:t>
      </w:r>
      <w:r w:rsidRPr="00913ACD">
        <w:rPr>
          <w:rFonts w:ascii="Times New Roman" w:hAnsi="Times New Roman" w:cs="Times New Roman"/>
          <w:sz w:val="22"/>
          <w:szCs w:val="22"/>
          <w:lang w:val="pt-BR"/>
        </w:rPr>
        <w:t xml:space="preserve"> projetos regionais foram implementados em três áreas temáticas priorizadas pela AIE: educação de qualidade, inclusiva e equitativa; fortalecimento da profissão docente; e aten</w:t>
      </w:r>
      <w:r w:rsidR="00DC7D7D">
        <w:rPr>
          <w:rFonts w:ascii="Times New Roman" w:hAnsi="Times New Roman" w:cs="Times New Roman"/>
          <w:sz w:val="22"/>
          <w:szCs w:val="22"/>
          <w:lang w:val="pt-BR"/>
        </w:rPr>
        <w:t xml:space="preserve">dimento </w:t>
      </w:r>
      <w:r w:rsidRPr="00913ACD">
        <w:rPr>
          <w:rFonts w:ascii="Times New Roman" w:hAnsi="Times New Roman" w:cs="Times New Roman"/>
          <w:sz w:val="22"/>
          <w:szCs w:val="22"/>
          <w:lang w:val="pt-BR"/>
        </w:rPr>
        <w:t xml:space="preserve">integral à primeira infância. </w:t>
      </w:r>
      <w:r w:rsidR="001F022B" w:rsidRPr="00913ACD">
        <w:rPr>
          <w:rFonts w:ascii="Times New Roman" w:hAnsi="Times New Roman" w:cs="Times New Roman"/>
          <w:sz w:val="22"/>
          <w:szCs w:val="22"/>
          <w:lang w:val="pt-BR"/>
        </w:rPr>
        <w:t xml:space="preserve">Os projetos foram projetados para fortalecer a qualidade da educação oferecida nos </w:t>
      </w:r>
      <w:r w:rsidR="00BB06EC" w:rsidRPr="00913ACD">
        <w:rPr>
          <w:rFonts w:ascii="Times New Roman" w:hAnsi="Times New Roman" w:cs="Times New Roman"/>
          <w:sz w:val="22"/>
          <w:szCs w:val="22"/>
          <w:lang w:val="pt-BR"/>
        </w:rPr>
        <w:t>Estados membros</w:t>
      </w:r>
      <w:r w:rsidR="004C0D68">
        <w:rPr>
          <w:rFonts w:ascii="Times New Roman" w:hAnsi="Times New Roman" w:cs="Times New Roman"/>
          <w:sz w:val="22"/>
          <w:szCs w:val="22"/>
          <w:lang w:val="pt-BR"/>
        </w:rPr>
        <w:t xml:space="preserve"> e</w:t>
      </w:r>
      <w:r w:rsidR="001F022B" w:rsidRPr="00913ACD">
        <w:rPr>
          <w:rFonts w:ascii="Times New Roman" w:hAnsi="Times New Roman" w:cs="Times New Roman"/>
          <w:sz w:val="22"/>
          <w:szCs w:val="22"/>
          <w:lang w:val="pt-BR"/>
        </w:rPr>
        <w:t xml:space="preserve"> expandir o acesso de grupos vulneráveis, como mulheres, jovens, povos indígenas e comunidades rurais.</w:t>
      </w:r>
    </w:p>
    <w:p w14:paraId="2316474D" w14:textId="28BA0A67" w:rsidR="001F022B" w:rsidRPr="00913ACD" w:rsidRDefault="001F022B" w:rsidP="00CB030B">
      <w:pPr>
        <w:jc w:val="both"/>
        <w:rPr>
          <w:rFonts w:ascii="Times New Roman" w:hAnsi="Times New Roman" w:cs="Times New Roman"/>
          <w:sz w:val="22"/>
          <w:szCs w:val="22"/>
          <w:lang w:val="pt-BR"/>
        </w:rPr>
      </w:pPr>
    </w:p>
    <w:p w14:paraId="73A0B06A" w14:textId="63EB1FF3" w:rsidR="00BF4B76" w:rsidRPr="00913ACD" w:rsidRDefault="001F022B" w:rsidP="00CB030B">
      <w:pPr>
        <w:ind w:firstLine="720"/>
        <w:jc w:val="both"/>
        <w:rPr>
          <w:rFonts w:ascii="Times New Roman" w:hAnsi="Times New Roman" w:cs="Times New Roman"/>
          <w:sz w:val="22"/>
          <w:szCs w:val="22"/>
          <w:lang w:val="pt-BR"/>
        </w:rPr>
      </w:pPr>
      <w:r w:rsidRPr="00913ACD">
        <w:rPr>
          <w:rFonts w:ascii="Times New Roman" w:hAnsi="Times New Roman" w:cs="Times New Roman"/>
          <w:sz w:val="22"/>
          <w:szCs w:val="22"/>
          <w:lang w:val="pt-BR"/>
        </w:rPr>
        <w:t xml:space="preserve">Em seu ciclo de programação 2021-2024, o </w:t>
      </w:r>
      <w:r w:rsidR="00A34C60" w:rsidRPr="00913ACD">
        <w:rPr>
          <w:rFonts w:ascii="Times New Roman" w:hAnsi="Times New Roman" w:cs="Times New Roman"/>
          <w:sz w:val="22"/>
          <w:szCs w:val="22"/>
          <w:lang w:val="pt-BR"/>
        </w:rPr>
        <w:t>FCD</w:t>
      </w:r>
      <w:r w:rsidRPr="00913ACD">
        <w:rPr>
          <w:rFonts w:ascii="Times New Roman" w:hAnsi="Times New Roman" w:cs="Times New Roman"/>
          <w:sz w:val="22"/>
          <w:szCs w:val="22"/>
          <w:lang w:val="pt-BR"/>
        </w:rPr>
        <w:t xml:space="preserve"> recebeu US$ 1,8 milhão (</w:t>
      </w:r>
      <w:hyperlink r:id="rId23" w:history="1">
        <w:r w:rsidR="00902AB5" w:rsidRPr="00913ACD">
          <w:rPr>
            <w:rFonts w:ascii="Times New Roman" w:hAnsi="Times New Roman" w:cs="Times New Roman"/>
            <w:color w:val="0563C1" w:themeColor="hyperlink"/>
            <w:sz w:val="22"/>
            <w:szCs w:val="22"/>
            <w:u w:val="single"/>
            <w:lang w:val="pt-BR"/>
          </w:rPr>
          <w:t>AICD/JD/DE-131/21</w:t>
        </w:r>
      </w:hyperlink>
      <w:r w:rsidR="00902AB5" w:rsidRPr="00913ACD">
        <w:rPr>
          <w:rFonts w:ascii="Times New Roman" w:hAnsi="Times New Roman" w:cs="Times New Roman"/>
          <w:sz w:val="22"/>
          <w:szCs w:val="22"/>
          <w:lang w:val="pt-BR"/>
        </w:rPr>
        <w:t xml:space="preserve">) para apoiar a implementação de </w:t>
      </w:r>
      <w:r w:rsidR="008E1DE8" w:rsidRPr="00913ACD">
        <w:rPr>
          <w:rFonts w:ascii="Times New Roman" w:hAnsi="Times New Roman" w:cs="Times New Roman"/>
          <w:sz w:val="22"/>
          <w:szCs w:val="22"/>
          <w:lang w:val="pt-BR"/>
        </w:rPr>
        <w:t xml:space="preserve">18 </w:t>
      </w:r>
      <w:r w:rsidR="00902AB5" w:rsidRPr="00913ACD">
        <w:rPr>
          <w:rFonts w:ascii="Times New Roman" w:hAnsi="Times New Roman" w:cs="Times New Roman"/>
          <w:sz w:val="22"/>
          <w:szCs w:val="22"/>
          <w:lang w:val="pt-BR"/>
        </w:rPr>
        <w:t>programas regionais, destacando</w:t>
      </w:r>
      <w:r w:rsidR="00E4258A">
        <w:rPr>
          <w:rFonts w:ascii="Times New Roman" w:hAnsi="Times New Roman" w:cs="Times New Roman"/>
          <w:sz w:val="22"/>
          <w:szCs w:val="22"/>
          <w:lang w:val="pt-BR"/>
        </w:rPr>
        <w:t>-se</w:t>
      </w:r>
      <w:r w:rsidR="00902AB5" w:rsidRPr="00913ACD">
        <w:rPr>
          <w:rFonts w:ascii="Times New Roman" w:hAnsi="Times New Roman" w:cs="Times New Roman"/>
          <w:sz w:val="22"/>
          <w:szCs w:val="22"/>
          <w:lang w:val="pt-BR"/>
        </w:rPr>
        <w:t xml:space="preserve"> educação, ciência e tecnologia como temas transversais que conectam quatro áreas temáticas: reequipa</w:t>
      </w:r>
      <w:r w:rsidR="00FF66E1">
        <w:rPr>
          <w:rFonts w:ascii="Times New Roman" w:hAnsi="Times New Roman" w:cs="Times New Roman"/>
          <w:sz w:val="22"/>
          <w:szCs w:val="22"/>
          <w:lang w:val="pt-BR"/>
        </w:rPr>
        <w:t>mento de</w:t>
      </w:r>
      <w:r w:rsidR="00902AB5" w:rsidRPr="00913ACD">
        <w:rPr>
          <w:rFonts w:ascii="Times New Roman" w:hAnsi="Times New Roman" w:cs="Times New Roman"/>
          <w:sz w:val="22"/>
          <w:szCs w:val="22"/>
          <w:lang w:val="pt-BR"/>
        </w:rPr>
        <w:t xml:space="preserve"> MPMEs por meio de inovação e tecnologia; requalificação inovadora para a recuperação do setor de </w:t>
      </w:r>
      <w:r w:rsidR="003164D7" w:rsidRPr="00913ACD">
        <w:rPr>
          <w:rFonts w:ascii="Times New Roman" w:hAnsi="Times New Roman" w:cs="Times New Roman"/>
          <w:sz w:val="22"/>
          <w:szCs w:val="22"/>
          <w:lang w:val="pt-BR"/>
        </w:rPr>
        <w:t>t</w:t>
      </w:r>
      <w:r w:rsidR="00902AB5" w:rsidRPr="00913ACD">
        <w:rPr>
          <w:rFonts w:ascii="Times New Roman" w:hAnsi="Times New Roman" w:cs="Times New Roman"/>
          <w:sz w:val="22"/>
          <w:szCs w:val="22"/>
          <w:lang w:val="pt-BR"/>
        </w:rPr>
        <w:t xml:space="preserve">urismo e economias regionais; inovação científica e tecnológica para a construção de resiliência; e ciência para </w:t>
      </w:r>
      <w:r w:rsidR="000167AB" w:rsidRPr="00913ACD">
        <w:rPr>
          <w:rFonts w:ascii="Times New Roman" w:hAnsi="Times New Roman" w:cs="Times New Roman"/>
          <w:sz w:val="22"/>
          <w:szCs w:val="22"/>
          <w:lang w:val="pt-BR"/>
        </w:rPr>
        <w:t xml:space="preserve">a tomada de </w:t>
      </w:r>
      <w:r w:rsidR="00902AB5" w:rsidRPr="00913ACD">
        <w:rPr>
          <w:rFonts w:ascii="Times New Roman" w:hAnsi="Times New Roman" w:cs="Times New Roman"/>
          <w:sz w:val="22"/>
          <w:szCs w:val="22"/>
          <w:lang w:val="pt-BR"/>
        </w:rPr>
        <w:t>decis</w:t>
      </w:r>
      <w:r w:rsidR="000167AB" w:rsidRPr="00913ACD">
        <w:rPr>
          <w:rFonts w:ascii="Times New Roman" w:hAnsi="Times New Roman" w:cs="Times New Roman"/>
          <w:sz w:val="22"/>
          <w:szCs w:val="22"/>
          <w:lang w:val="pt-BR"/>
        </w:rPr>
        <w:t xml:space="preserve">ões </w:t>
      </w:r>
      <w:r w:rsidR="00902AB5" w:rsidRPr="00913ACD">
        <w:rPr>
          <w:rFonts w:ascii="Times New Roman" w:hAnsi="Times New Roman" w:cs="Times New Roman"/>
          <w:sz w:val="22"/>
          <w:szCs w:val="22"/>
          <w:lang w:val="pt-BR"/>
        </w:rPr>
        <w:t xml:space="preserve">no planejamento de risco de desastres. Espera-se que os programas, </w:t>
      </w:r>
      <w:r w:rsidR="00161116" w:rsidRPr="00913ACD">
        <w:rPr>
          <w:rFonts w:ascii="Times New Roman" w:hAnsi="Times New Roman" w:cs="Times New Roman"/>
          <w:sz w:val="22"/>
          <w:szCs w:val="22"/>
          <w:lang w:val="pt-BR"/>
        </w:rPr>
        <w:t xml:space="preserve">todos eles </w:t>
      </w:r>
      <w:r w:rsidR="00902AB5" w:rsidRPr="00913ACD">
        <w:rPr>
          <w:rFonts w:ascii="Times New Roman" w:hAnsi="Times New Roman" w:cs="Times New Roman"/>
          <w:sz w:val="22"/>
          <w:szCs w:val="22"/>
          <w:lang w:val="pt-BR"/>
        </w:rPr>
        <w:t xml:space="preserve">nos estágios iniciais de implementação, </w:t>
      </w:r>
      <w:r w:rsidR="00F62967">
        <w:rPr>
          <w:rFonts w:ascii="Times New Roman" w:hAnsi="Times New Roman" w:cs="Times New Roman"/>
          <w:sz w:val="22"/>
          <w:szCs w:val="22"/>
          <w:lang w:val="pt-BR"/>
        </w:rPr>
        <w:t xml:space="preserve">ajudem </w:t>
      </w:r>
      <w:r w:rsidR="00902AB5" w:rsidRPr="00913ACD">
        <w:rPr>
          <w:rFonts w:ascii="Times New Roman" w:hAnsi="Times New Roman" w:cs="Times New Roman"/>
          <w:sz w:val="22"/>
          <w:szCs w:val="22"/>
          <w:lang w:val="pt-BR"/>
        </w:rPr>
        <w:t>os</w:t>
      </w:r>
      <w:r w:rsidR="00C51D8E" w:rsidRPr="00913ACD">
        <w:rPr>
          <w:rFonts w:ascii="Times New Roman" w:hAnsi="Times New Roman" w:cs="Times New Roman"/>
          <w:sz w:val="22"/>
          <w:szCs w:val="22"/>
          <w:lang w:val="pt-BR"/>
        </w:rPr>
        <w:t xml:space="preserve"> </w:t>
      </w:r>
      <w:r w:rsidR="00BB06EC" w:rsidRPr="00913ACD">
        <w:rPr>
          <w:rFonts w:ascii="Times New Roman" w:hAnsi="Times New Roman" w:cs="Times New Roman"/>
          <w:sz w:val="22"/>
          <w:szCs w:val="22"/>
          <w:lang w:val="pt-BR"/>
        </w:rPr>
        <w:t>Estados membros</w:t>
      </w:r>
      <w:r w:rsidR="00BF4B76" w:rsidRPr="00913ACD">
        <w:rPr>
          <w:rFonts w:ascii="Times New Roman" w:hAnsi="Times New Roman" w:cs="Times New Roman"/>
          <w:sz w:val="22"/>
          <w:szCs w:val="22"/>
          <w:lang w:val="pt-BR"/>
        </w:rPr>
        <w:t xml:space="preserve"> em seu processo de recuperação dos efeitos devastadores da pandemia de </w:t>
      </w:r>
      <w:r w:rsidR="006C602F" w:rsidRPr="00913ACD">
        <w:rPr>
          <w:rFonts w:ascii="Times New Roman" w:hAnsi="Times New Roman" w:cs="Times New Roman"/>
          <w:sz w:val="22"/>
          <w:szCs w:val="22"/>
          <w:lang w:val="pt-BR"/>
        </w:rPr>
        <w:t>covid</w:t>
      </w:r>
      <w:r w:rsidR="00BF4B76" w:rsidRPr="00913ACD">
        <w:rPr>
          <w:rFonts w:ascii="Times New Roman" w:hAnsi="Times New Roman" w:cs="Times New Roman"/>
          <w:sz w:val="22"/>
          <w:szCs w:val="22"/>
          <w:lang w:val="pt-BR"/>
        </w:rPr>
        <w:t xml:space="preserve">-19. </w:t>
      </w:r>
    </w:p>
    <w:p w14:paraId="39E9502B" w14:textId="46B552FE" w:rsidR="00902AB5" w:rsidRPr="00913ACD" w:rsidRDefault="00902AB5" w:rsidP="00CB030B">
      <w:pPr>
        <w:jc w:val="both"/>
        <w:rPr>
          <w:rFonts w:ascii="Times New Roman" w:hAnsi="Times New Roman" w:cs="Times New Roman"/>
          <w:sz w:val="22"/>
          <w:szCs w:val="22"/>
          <w:lang w:val="pt-BR"/>
        </w:rPr>
      </w:pPr>
    </w:p>
    <w:p w14:paraId="353DBE27" w14:textId="1D6321B4" w:rsidR="00902AB5" w:rsidRPr="00913ACD" w:rsidRDefault="00902AB5" w:rsidP="00CB030B">
      <w:pPr>
        <w:ind w:left="720"/>
        <w:jc w:val="both"/>
        <w:rPr>
          <w:rFonts w:ascii="Times New Roman" w:hAnsi="Times New Roman" w:cs="Times New Roman"/>
          <w:b/>
          <w:bCs/>
          <w:sz w:val="22"/>
          <w:szCs w:val="22"/>
          <w:u w:val="single"/>
          <w:lang w:val="pt-BR"/>
        </w:rPr>
      </w:pPr>
      <w:r w:rsidRPr="00913ACD">
        <w:rPr>
          <w:rFonts w:ascii="Times New Roman" w:hAnsi="Times New Roman" w:cs="Times New Roman"/>
          <w:b/>
          <w:bCs/>
          <w:sz w:val="22"/>
          <w:szCs w:val="22"/>
          <w:u w:val="single"/>
          <w:lang w:val="pt-BR"/>
        </w:rPr>
        <w:t xml:space="preserve">CICLO DO PROGRAMA </w:t>
      </w:r>
      <w:r w:rsidR="00115884" w:rsidRPr="00913ACD">
        <w:rPr>
          <w:rFonts w:ascii="Times New Roman" w:hAnsi="Times New Roman" w:cs="Times New Roman"/>
          <w:b/>
          <w:bCs/>
          <w:sz w:val="22"/>
          <w:szCs w:val="22"/>
          <w:u w:val="single"/>
          <w:lang w:val="pt-BR"/>
        </w:rPr>
        <w:t>FCD/OEA</w:t>
      </w:r>
      <w:r w:rsidRPr="00913ACD">
        <w:rPr>
          <w:rFonts w:ascii="Times New Roman" w:hAnsi="Times New Roman" w:cs="Times New Roman"/>
          <w:b/>
          <w:bCs/>
          <w:sz w:val="22"/>
          <w:szCs w:val="22"/>
          <w:u w:val="single"/>
          <w:lang w:val="pt-BR"/>
        </w:rPr>
        <w:t xml:space="preserve"> 2017-2021</w:t>
      </w:r>
    </w:p>
    <w:p w14:paraId="7AED48E5" w14:textId="7C127BA3" w:rsidR="00902AB5" w:rsidRPr="00913ACD" w:rsidRDefault="00902AB5" w:rsidP="00CB030B">
      <w:pPr>
        <w:ind w:left="720"/>
        <w:jc w:val="both"/>
        <w:rPr>
          <w:rFonts w:ascii="Times New Roman" w:hAnsi="Times New Roman" w:cs="Times New Roman"/>
          <w:b/>
          <w:bCs/>
          <w:sz w:val="22"/>
          <w:szCs w:val="22"/>
          <w:u w:val="single"/>
          <w:lang w:val="pt-BR"/>
        </w:rPr>
      </w:pPr>
    </w:p>
    <w:p w14:paraId="6CEA5DC7" w14:textId="04EE7A2F" w:rsidR="00902AB5" w:rsidRPr="00913ACD" w:rsidRDefault="007132D8" w:rsidP="00CB030B">
      <w:pPr>
        <w:ind w:left="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PROGRAMA I</w:t>
      </w:r>
    </w:p>
    <w:p w14:paraId="187DE239" w14:textId="761C9A38" w:rsidR="00902AB5" w:rsidRPr="00913ACD" w:rsidRDefault="00902AB5" w:rsidP="00CB030B">
      <w:pPr>
        <w:ind w:left="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Educação de Qualidade, Inclusiva e Equitativa: Costa Rica, Equador, El Salvador, Guiana, Nicarágua</w:t>
      </w:r>
    </w:p>
    <w:p w14:paraId="42554B28" w14:textId="5D311E43" w:rsidR="00902AB5" w:rsidRPr="00913ACD" w:rsidRDefault="00902AB5" w:rsidP="00CB030B">
      <w:pPr>
        <w:ind w:left="720"/>
        <w:rPr>
          <w:rFonts w:ascii="Times New Roman" w:hAnsi="Times New Roman" w:cs="Times New Roman"/>
          <w:i/>
          <w:iCs/>
          <w:sz w:val="22"/>
          <w:szCs w:val="22"/>
          <w:lang w:val="pt-BR"/>
        </w:rPr>
      </w:pPr>
    </w:p>
    <w:p w14:paraId="6299F75B" w14:textId="211C67BA" w:rsidR="00902AB5" w:rsidRPr="00913ACD" w:rsidRDefault="00902AB5" w:rsidP="00CB030B">
      <w:pPr>
        <w:tabs>
          <w:tab w:val="left" w:pos="3315"/>
        </w:tabs>
        <w:ind w:left="720"/>
        <w:contextualSpacing/>
        <w:jc w:val="both"/>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Costa Rica: Professores comunitários +</w:t>
      </w:r>
      <w:r w:rsidR="00C51D8E" w:rsidRPr="00913ACD">
        <w:rPr>
          <w:rFonts w:ascii="Times New Roman" w:hAnsi="Times New Roman" w:cs="Times New Roman"/>
          <w:b/>
          <w:bCs/>
          <w:sz w:val="22"/>
          <w:szCs w:val="22"/>
          <w:lang w:val="pt-BR"/>
        </w:rPr>
        <w:t xml:space="preserve"> </w:t>
      </w:r>
      <w:r w:rsidR="00304F3F" w:rsidRPr="00913ACD">
        <w:rPr>
          <w:rFonts w:ascii="Times New Roman" w:hAnsi="Times New Roman" w:cs="Times New Roman"/>
          <w:b/>
          <w:bCs/>
          <w:sz w:val="22"/>
          <w:szCs w:val="22"/>
          <w:lang w:val="pt-BR"/>
        </w:rPr>
        <w:t>E</w:t>
      </w:r>
      <w:r w:rsidR="00977197" w:rsidRPr="00913ACD">
        <w:rPr>
          <w:rFonts w:ascii="Times New Roman" w:hAnsi="Times New Roman" w:cs="Times New Roman"/>
          <w:b/>
          <w:bCs/>
          <w:sz w:val="22"/>
          <w:szCs w:val="22"/>
          <w:lang w:val="pt-BR"/>
        </w:rPr>
        <w:t>stratégia</w:t>
      </w:r>
      <w:r w:rsidRPr="00913ACD">
        <w:rPr>
          <w:rFonts w:ascii="Times New Roman" w:hAnsi="Times New Roman" w:cs="Times New Roman"/>
          <w:sz w:val="22"/>
          <w:szCs w:val="22"/>
          <w:lang w:val="pt-BR"/>
        </w:rPr>
        <w:t xml:space="preserve"> </w:t>
      </w:r>
      <w:r w:rsidR="007800A2" w:rsidRPr="00913ACD">
        <w:rPr>
          <w:rFonts w:ascii="Times New Roman" w:hAnsi="Times New Roman" w:cs="Times New Roman"/>
          <w:sz w:val="22"/>
          <w:szCs w:val="22"/>
          <w:lang w:val="pt-BR"/>
        </w:rPr>
        <w:t>“</w:t>
      </w:r>
      <w:r w:rsidRPr="00913ACD">
        <w:rPr>
          <w:rFonts w:ascii="Times New Roman" w:hAnsi="Times New Roman" w:cs="Times New Roman"/>
          <w:b/>
          <w:bCs/>
          <w:i/>
          <w:iCs/>
          <w:sz w:val="22"/>
          <w:szCs w:val="22"/>
          <w:lang w:val="pt-BR"/>
        </w:rPr>
        <w:t>Yo Me Apunto</w:t>
      </w:r>
      <w:r w:rsidR="007800A2" w:rsidRPr="00913ACD">
        <w:rPr>
          <w:rFonts w:ascii="Times New Roman" w:hAnsi="Times New Roman" w:cs="Times New Roman"/>
          <w:b/>
          <w:bCs/>
          <w:i/>
          <w:iCs/>
          <w:sz w:val="22"/>
          <w:szCs w:val="22"/>
          <w:lang w:val="pt-BR"/>
        </w:rPr>
        <w:t>”</w:t>
      </w:r>
    </w:p>
    <w:p w14:paraId="47B34E9A" w14:textId="5995989E" w:rsidR="00902AB5" w:rsidRPr="00913ACD" w:rsidRDefault="00902AB5" w:rsidP="00CB030B">
      <w:pPr>
        <w:pStyle w:val="ListParagraph"/>
        <w:numPr>
          <w:ilvl w:val="3"/>
          <w:numId w:val="26"/>
        </w:numPr>
        <w:tabs>
          <w:tab w:val="left" w:pos="1260"/>
          <w:tab w:val="left" w:pos="3315"/>
        </w:tabs>
        <w:ind w:left="1260" w:hanging="540"/>
        <w:contextualSpacing/>
        <w:jc w:val="both"/>
        <w:rPr>
          <w:rFonts w:eastAsiaTheme="minorHAnsi"/>
          <w:sz w:val="22"/>
          <w:szCs w:val="22"/>
          <w:lang w:val="pt-BR"/>
        </w:rPr>
      </w:pPr>
      <w:r w:rsidRPr="00913ACD">
        <w:rPr>
          <w:sz w:val="22"/>
          <w:szCs w:val="22"/>
          <w:lang w:val="pt-BR"/>
        </w:rPr>
        <w:t xml:space="preserve">243 beneficiários de </w:t>
      </w:r>
      <w:r w:rsidR="0048500C" w:rsidRPr="00913ACD">
        <w:rPr>
          <w:sz w:val="22"/>
          <w:szCs w:val="22"/>
          <w:lang w:val="pt-BR"/>
        </w:rPr>
        <w:t xml:space="preserve">18 </w:t>
      </w:r>
      <w:r w:rsidRPr="00913ACD">
        <w:rPr>
          <w:sz w:val="22"/>
          <w:szCs w:val="22"/>
          <w:lang w:val="pt-BR"/>
        </w:rPr>
        <w:t xml:space="preserve">centros educacionais em distritos prioritários </w:t>
      </w:r>
      <w:r w:rsidR="00977197" w:rsidRPr="00913ACD">
        <w:rPr>
          <w:sz w:val="22"/>
          <w:szCs w:val="22"/>
          <w:lang w:val="pt-BR"/>
        </w:rPr>
        <w:t>(aqueles impactados</w:t>
      </w:r>
      <w:r w:rsidRPr="00913ACD">
        <w:rPr>
          <w:sz w:val="22"/>
          <w:szCs w:val="22"/>
          <w:lang w:val="pt-BR"/>
        </w:rPr>
        <w:t xml:space="preserve"> por necessidades básicas insatisfeitas e baixos níveis de educação familiar</w:t>
      </w:r>
      <w:r w:rsidR="00977197" w:rsidRPr="00913ACD">
        <w:rPr>
          <w:sz w:val="22"/>
          <w:szCs w:val="22"/>
          <w:lang w:val="pt-BR"/>
        </w:rPr>
        <w:t xml:space="preserve">) </w:t>
      </w:r>
      <w:r w:rsidRPr="00913ACD">
        <w:rPr>
          <w:sz w:val="22"/>
          <w:szCs w:val="22"/>
          <w:lang w:val="pt-BR"/>
        </w:rPr>
        <w:t>foram reintegrados na educação formal</w:t>
      </w:r>
      <w:r w:rsidR="00977197" w:rsidRPr="00913ACD">
        <w:rPr>
          <w:sz w:val="22"/>
          <w:szCs w:val="22"/>
          <w:lang w:val="pt-BR"/>
        </w:rPr>
        <w:t xml:space="preserve">; a taxa de retenção para esses beneficiários foi de 95% </w:t>
      </w:r>
      <w:r w:rsidR="00FB43BD" w:rsidRPr="00913ACD">
        <w:rPr>
          <w:sz w:val="22"/>
          <w:szCs w:val="22"/>
          <w:lang w:val="pt-BR"/>
        </w:rPr>
        <w:t xml:space="preserve">graças </w:t>
      </w:r>
      <w:r w:rsidR="00977197" w:rsidRPr="00913ACD">
        <w:rPr>
          <w:sz w:val="22"/>
          <w:szCs w:val="22"/>
          <w:lang w:val="pt-BR"/>
        </w:rPr>
        <w:t xml:space="preserve">ao trabalho de </w:t>
      </w:r>
      <w:r w:rsidRPr="00913ACD">
        <w:rPr>
          <w:sz w:val="22"/>
          <w:szCs w:val="22"/>
          <w:lang w:val="pt-BR"/>
        </w:rPr>
        <w:t xml:space="preserve">professores comunitários. </w:t>
      </w:r>
    </w:p>
    <w:p w14:paraId="44DB3D0A" w14:textId="77777777" w:rsidR="00902AB5" w:rsidRPr="00913ACD" w:rsidRDefault="00902AB5" w:rsidP="00CB030B">
      <w:pPr>
        <w:tabs>
          <w:tab w:val="left" w:pos="3315"/>
        </w:tabs>
        <w:contextualSpacing/>
        <w:jc w:val="both"/>
        <w:rPr>
          <w:rFonts w:ascii="Times New Roman" w:eastAsia="MS PGothic" w:hAnsi="Times New Roman" w:cs="Times New Roman"/>
          <w:color w:val="000000"/>
          <w:kern w:val="24"/>
          <w:sz w:val="22"/>
          <w:szCs w:val="22"/>
          <w:lang w:val="pt-BR"/>
        </w:rPr>
      </w:pPr>
    </w:p>
    <w:p w14:paraId="29C19355" w14:textId="77777777" w:rsidR="00902AB5" w:rsidRPr="00913ACD" w:rsidRDefault="00902AB5" w:rsidP="00CB030B">
      <w:pPr>
        <w:tabs>
          <w:tab w:val="left" w:pos="3315"/>
        </w:tabs>
        <w:ind w:left="720"/>
        <w:contextualSpacing/>
        <w:jc w:val="both"/>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Equador: Programa de formação de professores e práticas educativas inclusivas para escolas equatorianas</w:t>
      </w:r>
    </w:p>
    <w:p w14:paraId="5B0E7CFF" w14:textId="1098C7E0" w:rsidR="00977197" w:rsidRPr="00913ACD" w:rsidRDefault="00977197" w:rsidP="00CB030B">
      <w:pPr>
        <w:pStyle w:val="ListParagraph"/>
        <w:numPr>
          <w:ilvl w:val="3"/>
          <w:numId w:val="26"/>
        </w:numPr>
        <w:tabs>
          <w:tab w:val="left" w:pos="1260"/>
          <w:tab w:val="left" w:pos="3315"/>
        </w:tabs>
        <w:ind w:left="1260" w:hanging="540"/>
        <w:contextualSpacing/>
        <w:jc w:val="both"/>
        <w:rPr>
          <w:rFonts w:eastAsia="MS PGothic"/>
          <w:color w:val="000000" w:themeColor="text1"/>
          <w:kern w:val="24"/>
          <w:sz w:val="22"/>
          <w:szCs w:val="22"/>
          <w:lang w:val="pt-BR"/>
        </w:rPr>
      </w:pPr>
      <w:r w:rsidRPr="00913ACD">
        <w:rPr>
          <w:color w:val="000000" w:themeColor="text1"/>
          <w:kern w:val="24"/>
          <w:sz w:val="22"/>
          <w:szCs w:val="22"/>
          <w:lang w:val="pt-BR"/>
        </w:rPr>
        <w:t>1.218 professores desenvolveram habilidades para implementar metodologias inovadoras de inclusão educacional em instituições públicas (ensino primário) nas províncias de Azuay, Cañar e Morona Santiago. Essas habilidades são replicáveis em todo o sistema educacional mais amplo, ajudando a promover uma educação mais inclusiva em outras instituições.</w:t>
      </w:r>
    </w:p>
    <w:p w14:paraId="1D416448" w14:textId="77777777" w:rsidR="00902AB5" w:rsidRPr="00913ACD" w:rsidRDefault="00902AB5" w:rsidP="00CB030B">
      <w:pPr>
        <w:tabs>
          <w:tab w:val="left" w:pos="3315"/>
        </w:tabs>
        <w:contextualSpacing/>
        <w:jc w:val="both"/>
        <w:rPr>
          <w:rFonts w:ascii="Times New Roman" w:eastAsia="MS PGothic" w:hAnsi="Times New Roman" w:cs="Times New Roman"/>
          <w:color w:val="000000"/>
          <w:kern w:val="24"/>
          <w:sz w:val="22"/>
          <w:szCs w:val="22"/>
          <w:lang w:val="pt-BR"/>
        </w:rPr>
      </w:pPr>
    </w:p>
    <w:p w14:paraId="70B0CD96" w14:textId="2560AAF4" w:rsidR="00902AB5" w:rsidRPr="00913ACD" w:rsidRDefault="00902AB5" w:rsidP="000F7F41">
      <w:pPr>
        <w:tabs>
          <w:tab w:val="left" w:pos="3315"/>
        </w:tabs>
        <w:ind w:left="720"/>
        <w:contextualSpacing/>
        <w:jc w:val="both"/>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El Salvador: Educação inclusiva – Construindo espaços de participação e aprendizagem para a vida</w:t>
      </w:r>
    </w:p>
    <w:p w14:paraId="21BA92D3" w14:textId="6DAF3491" w:rsidR="00774906" w:rsidRPr="00913ACD" w:rsidRDefault="00774906" w:rsidP="00CB030B">
      <w:pPr>
        <w:pStyle w:val="ListParagraph"/>
        <w:numPr>
          <w:ilvl w:val="0"/>
          <w:numId w:val="30"/>
        </w:numPr>
        <w:tabs>
          <w:tab w:val="left" w:pos="3315"/>
        </w:tabs>
        <w:ind w:left="1260" w:hanging="540"/>
        <w:contextualSpacing/>
        <w:jc w:val="both"/>
        <w:rPr>
          <w:rFonts w:eastAsia="MS PGothic"/>
          <w:color w:val="000000"/>
          <w:kern w:val="24"/>
          <w:sz w:val="22"/>
          <w:szCs w:val="22"/>
          <w:lang w:val="pt-BR"/>
        </w:rPr>
      </w:pPr>
      <w:r w:rsidRPr="00913ACD">
        <w:rPr>
          <w:color w:val="000000"/>
          <w:kern w:val="24"/>
          <w:sz w:val="22"/>
          <w:szCs w:val="22"/>
          <w:lang w:val="pt-BR"/>
        </w:rPr>
        <w:t>Perspectivas educacionais para o desenvolvimento da aprendizagem</w:t>
      </w:r>
      <w:r w:rsidR="00FC789C">
        <w:rPr>
          <w:color w:val="000000"/>
          <w:kern w:val="24"/>
          <w:sz w:val="22"/>
          <w:szCs w:val="22"/>
          <w:lang w:val="pt-BR"/>
        </w:rPr>
        <w:t xml:space="preserve"> e</w:t>
      </w:r>
      <w:r w:rsidRPr="00913ACD">
        <w:rPr>
          <w:color w:val="000000"/>
          <w:kern w:val="24"/>
          <w:sz w:val="22"/>
          <w:szCs w:val="22"/>
          <w:lang w:val="pt-BR"/>
        </w:rPr>
        <w:t xml:space="preserve"> habilidades </w:t>
      </w:r>
      <w:r w:rsidR="007A4739" w:rsidRPr="00913ACD">
        <w:rPr>
          <w:color w:val="000000"/>
          <w:kern w:val="24"/>
          <w:sz w:val="22"/>
          <w:szCs w:val="22"/>
          <w:lang w:val="pt-BR"/>
        </w:rPr>
        <w:t xml:space="preserve">gerais e de </w:t>
      </w:r>
      <w:r w:rsidRPr="00913ACD">
        <w:rPr>
          <w:color w:val="000000"/>
          <w:kern w:val="24"/>
          <w:sz w:val="22"/>
          <w:szCs w:val="22"/>
          <w:lang w:val="pt-BR"/>
        </w:rPr>
        <w:t>vida melhoradas para mais de 5</w:t>
      </w:r>
      <w:r w:rsidR="00377E68" w:rsidRPr="00913ACD">
        <w:rPr>
          <w:color w:val="000000"/>
          <w:kern w:val="24"/>
          <w:sz w:val="22"/>
          <w:szCs w:val="22"/>
          <w:lang w:val="pt-BR"/>
        </w:rPr>
        <w:t xml:space="preserve"> mil </w:t>
      </w:r>
      <w:r w:rsidRPr="00913ACD">
        <w:rPr>
          <w:color w:val="000000"/>
          <w:kern w:val="24"/>
          <w:sz w:val="22"/>
          <w:szCs w:val="22"/>
          <w:lang w:val="pt-BR"/>
        </w:rPr>
        <w:t>adolescentes com deficiência em risco de exclusão e vulnerabilidade social.</w:t>
      </w:r>
    </w:p>
    <w:p w14:paraId="3A04FCF7" w14:textId="418D44CE" w:rsidR="00774906" w:rsidRPr="00913ACD" w:rsidRDefault="00774906" w:rsidP="00CB030B">
      <w:pPr>
        <w:pStyle w:val="ListParagraph"/>
        <w:numPr>
          <w:ilvl w:val="0"/>
          <w:numId w:val="30"/>
        </w:numPr>
        <w:tabs>
          <w:tab w:val="left" w:pos="3315"/>
        </w:tabs>
        <w:ind w:left="1260" w:hanging="540"/>
        <w:contextualSpacing/>
        <w:jc w:val="both"/>
        <w:rPr>
          <w:rFonts w:eastAsia="MS PGothic"/>
          <w:color w:val="000000"/>
          <w:kern w:val="24"/>
          <w:sz w:val="22"/>
          <w:szCs w:val="22"/>
          <w:lang w:val="pt-BR"/>
        </w:rPr>
      </w:pPr>
      <w:r w:rsidRPr="00913ACD">
        <w:rPr>
          <w:color w:val="000000"/>
          <w:kern w:val="24"/>
          <w:sz w:val="22"/>
          <w:szCs w:val="22"/>
          <w:lang w:val="pt-BR"/>
        </w:rPr>
        <w:t xml:space="preserve">Treinou 618 profissionais nos </w:t>
      </w:r>
      <w:r w:rsidR="00377E68" w:rsidRPr="00913ACD">
        <w:rPr>
          <w:color w:val="000000"/>
          <w:kern w:val="24"/>
          <w:sz w:val="22"/>
          <w:szCs w:val="22"/>
          <w:lang w:val="pt-BR"/>
        </w:rPr>
        <w:t xml:space="preserve">14 </w:t>
      </w:r>
      <w:r w:rsidRPr="00913ACD">
        <w:rPr>
          <w:color w:val="000000"/>
          <w:kern w:val="24"/>
          <w:sz w:val="22"/>
          <w:szCs w:val="22"/>
          <w:lang w:val="pt-BR"/>
        </w:rPr>
        <w:t>departamentos de El Salvador em TIC</w:t>
      </w:r>
      <w:r w:rsidR="00377E68" w:rsidRPr="00913ACD">
        <w:rPr>
          <w:color w:val="000000"/>
          <w:kern w:val="24"/>
          <w:sz w:val="22"/>
          <w:szCs w:val="22"/>
          <w:lang w:val="pt-BR"/>
        </w:rPr>
        <w:t>s</w:t>
      </w:r>
      <w:r w:rsidRPr="00913ACD">
        <w:rPr>
          <w:color w:val="000000"/>
          <w:kern w:val="24"/>
          <w:sz w:val="22"/>
          <w:szCs w:val="22"/>
          <w:lang w:val="pt-BR"/>
        </w:rPr>
        <w:t xml:space="preserve"> e mais 270 professores de educação especial na criação e ge</w:t>
      </w:r>
      <w:r w:rsidR="00D55B2E" w:rsidRPr="00913ACD">
        <w:rPr>
          <w:color w:val="000000"/>
          <w:kern w:val="24"/>
          <w:sz w:val="22"/>
          <w:szCs w:val="22"/>
          <w:lang w:val="pt-BR"/>
        </w:rPr>
        <w:t xml:space="preserve">stão </w:t>
      </w:r>
      <w:r w:rsidRPr="00913ACD">
        <w:rPr>
          <w:color w:val="000000"/>
          <w:kern w:val="24"/>
          <w:sz w:val="22"/>
          <w:szCs w:val="22"/>
          <w:lang w:val="pt-BR"/>
        </w:rPr>
        <w:t>de salas de aula virtuais,</w:t>
      </w:r>
      <w:r w:rsidR="00D55B2E" w:rsidRPr="00913ACD">
        <w:rPr>
          <w:color w:val="000000"/>
          <w:kern w:val="24"/>
          <w:sz w:val="22"/>
          <w:szCs w:val="22"/>
          <w:lang w:val="pt-BR"/>
        </w:rPr>
        <w:t xml:space="preserve"> no </w:t>
      </w:r>
      <w:r w:rsidRPr="00913ACD">
        <w:rPr>
          <w:color w:val="000000"/>
          <w:kern w:val="24"/>
          <w:sz w:val="22"/>
          <w:szCs w:val="22"/>
          <w:lang w:val="pt-BR"/>
        </w:rPr>
        <w:t xml:space="preserve">esforço </w:t>
      </w:r>
      <w:r w:rsidR="00F21487">
        <w:rPr>
          <w:color w:val="000000"/>
          <w:kern w:val="24"/>
          <w:sz w:val="22"/>
          <w:szCs w:val="22"/>
          <w:lang w:val="pt-BR"/>
        </w:rPr>
        <w:t xml:space="preserve">de </w:t>
      </w:r>
      <w:r w:rsidRPr="00913ACD">
        <w:rPr>
          <w:color w:val="000000"/>
          <w:kern w:val="24"/>
          <w:sz w:val="22"/>
          <w:szCs w:val="22"/>
          <w:lang w:val="pt-BR"/>
        </w:rPr>
        <w:t xml:space="preserve">melhorar as taxas de </w:t>
      </w:r>
      <w:r w:rsidR="00B940B4">
        <w:rPr>
          <w:color w:val="000000"/>
          <w:kern w:val="24"/>
          <w:sz w:val="22"/>
          <w:szCs w:val="22"/>
          <w:lang w:val="pt-BR"/>
        </w:rPr>
        <w:t>re</w:t>
      </w:r>
      <w:r w:rsidRPr="00913ACD">
        <w:rPr>
          <w:color w:val="000000"/>
          <w:kern w:val="24"/>
          <w:sz w:val="22"/>
          <w:szCs w:val="22"/>
          <w:lang w:val="pt-BR"/>
        </w:rPr>
        <w:t xml:space="preserve">tenção dos alunos e destacar formas inovadoras de aprendizagem </w:t>
      </w:r>
      <w:r w:rsidR="001E3600" w:rsidRPr="00913ACD">
        <w:rPr>
          <w:color w:val="000000"/>
          <w:kern w:val="24"/>
          <w:sz w:val="22"/>
          <w:szCs w:val="22"/>
          <w:lang w:val="pt-BR"/>
        </w:rPr>
        <w:t xml:space="preserve">por meio </w:t>
      </w:r>
      <w:r w:rsidRPr="00913ACD">
        <w:rPr>
          <w:color w:val="000000"/>
          <w:kern w:val="24"/>
          <w:sz w:val="22"/>
          <w:szCs w:val="22"/>
          <w:lang w:val="pt-BR"/>
        </w:rPr>
        <w:t>de diferentes tipos de mídia.</w:t>
      </w:r>
    </w:p>
    <w:p w14:paraId="1A48D51F" w14:textId="77777777" w:rsidR="00902AB5" w:rsidRPr="00913ACD" w:rsidRDefault="00902AB5" w:rsidP="00CB030B">
      <w:pPr>
        <w:tabs>
          <w:tab w:val="left" w:pos="3315"/>
        </w:tabs>
        <w:contextualSpacing/>
        <w:jc w:val="both"/>
        <w:rPr>
          <w:rFonts w:ascii="Times New Roman" w:eastAsia="MS PGothic" w:hAnsi="Times New Roman" w:cs="Times New Roman"/>
          <w:color w:val="000000"/>
          <w:kern w:val="24"/>
          <w:sz w:val="22"/>
          <w:szCs w:val="22"/>
          <w:lang w:val="pt-BR"/>
        </w:rPr>
      </w:pPr>
    </w:p>
    <w:p w14:paraId="7724CC2B" w14:textId="77602303" w:rsidR="00902AB5" w:rsidRPr="00913ACD" w:rsidRDefault="00902AB5" w:rsidP="00CB030B">
      <w:pPr>
        <w:ind w:left="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Guiana: Melhor</w:t>
      </w:r>
      <w:r w:rsidR="00542602" w:rsidRPr="00913ACD">
        <w:rPr>
          <w:rFonts w:ascii="Times New Roman" w:hAnsi="Times New Roman" w:cs="Times New Roman"/>
          <w:b/>
          <w:bCs/>
          <w:sz w:val="22"/>
          <w:szCs w:val="22"/>
          <w:lang w:val="pt-BR"/>
        </w:rPr>
        <w:t>ia d</w:t>
      </w:r>
      <w:r w:rsidRPr="00913ACD">
        <w:rPr>
          <w:rFonts w:ascii="Times New Roman" w:hAnsi="Times New Roman" w:cs="Times New Roman"/>
          <w:b/>
          <w:bCs/>
          <w:sz w:val="22"/>
          <w:szCs w:val="22"/>
          <w:lang w:val="pt-BR"/>
        </w:rPr>
        <w:t>o ensino técnico/profissional nas instituições secundárias e pós-secundárias</w:t>
      </w:r>
    </w:p>
    <w:p w14:paraId="642CA9A0" w14:textId="693286C4" w:rsidR="002615BA" w:rsidRPr="00913ACD" w:rsidRDefault="002615BA" w:rsidP="00CB030B">
      <w:pPr>
        <w:pStyle w:val="ListParagraph"/>
        <w:numPr>
          <w:ilvl w:val="0"/>
          <w:numId w:val="30"/>
        </w:numPr>
        <w:tabs>
          <w:tab w:val="left" w:pos="3315"/>
        </w:tabs>
        <w:ind w:left="1260" w:hanging="540"/>
        <w:contextualSpacing/>
        <w:jc w:val="both"/>
        <w:rPr>
          <w:rFonts w:eastAsia="MS PGothic"/>
          <w:color w:val="000000"/>
          <w:kern w:val="24"/>
          <w:sz w:val="22"/>
          <w:szCs w:val="22"/>
          <w:lang w:val="pt-BR"/>
        </w:rPr>
      </w:pPr>
      <w:r w:rsidRPr="00913ACD">
        <w:rPr>
          <w:color w:val="000000"/>
          <w:kern w:val="24"/>
          <w:sz w:val="22"/>
          <w:szCs w:val="22"/>
          <w:lang w:val="pt-BR"/>
        </w:rPr>
        <w:t xml:space="preserve">Certificou 27 professores e funcionários de escolas pós-secundárias e funcionários do Ministério da Educação em </w:t>
      </w:r>
      <w:r w:rsidRPr="00913ACD">
        <w:rPr>
          <w:b/>
          <w:bCs/>
          <w:color w:val="000000"/>
          <w:kern w:val="24"/>
          <w:sz w:val="22"/>
          <w:szCs w:val="22"/>
          <w:lang w:val="pt-BR"/>
        </w:rPr>
        <w:t xml:space="preserve">Manutenção e </w:t>
      </w:r>
      <w:r w:rsidR="008837CB" w:rsidRPr="00913ACD">
        <w:rPr>
          <w:b/>
          <w:bCs/>
          <w:color w:val="000000"/>
          <w:kern w:val="24"/>
          <w:sz w:val="22"/>
          <w:szCs w:val="22"/>
          <w:lang w:val="pt-BR"/>
        </w:rPr>
        <w:t>r</w:t>
      </w:r>
      <w:r w:rsidRPr="00913ACD">
        <w:rPr>
          <w:b/>
          <w:bCs/>
          <w:color w:val="000000"/>
          <w:kern w:val="24"/>
          <w:sz w:val="22"/>
          <w:szCs w:val="22"/>
          <w:lang w:val="pt-BR"/>
        </w:rPr>
        <w:t xml:space="preserve">eparos de </w:t>
      </w:r>
      <w:r w:rsidR="008837CB" w:rsidRPr="00913ACD">
        <w:rPr>
          <w:b/>
          <w:bCs/>
          <w:color w:val="000000"/>
          <w:kern w:val="24"/>
          <w:sz w:val="22"/>
          <w:szCs w:val="22"/>
          <w:lang w:val="pt-BR"/>
        </w:rPr>
        <w:t>e</w:t>
      </w:r>
      <w:r w:rsidRPr="00913ACD">
        <w:rPr>
          <w:b/>
          <w:bCs/>
          <w:color w:val="000000"/>
          <w:kern w:val="24"/>
          <w:sz w:val="22"/>
          <w:szCs w:val="22"/>
          <w:lang w:val="pt-BR"/>
        </w:rPr>
        <w:t xml:space="preserve">quipamentos </w:t>
      </w:r>
      <w:r w:rsidR="008837CB" w:rsidRPr="00913ACD">
        <w:rPr>
          <w:b/>
          <w:bCs/>
          <w:color w:val="000000"/>
          <w:kern w:val="24"/>
          <w:sz w:val="22"/>
          <w:szCs w:val="22"/>
          <w:lang w:val="pt-BR"/>
        </w:rPr>
        <w:t>p</w:t>
      </w:r>
      <w:r w:rsidRPr="00913ACD">
        <w:rPr>
          <w:b/>
          <w:bCs/>
          <w:color w:val="000000"/>
          <w:kern w:val="24"/>
          <w:sz w:val="22"/>
          <w:szCs w:val="22"/>
          <w:lang w:val="pt-BR"/>
        </w:rPr>
        <w:t xml:space="preserve">esados e </w:t>
      </w:r>
      <w:r w:rsidR="00D42A1F" w:rsidRPr="00913ACD">
        <w:rPr>
          <w:b/>
          <w:bCs/>
          <w:color w:val="000000"/>
          <w:kern w:val="24"/>
          <w:sz w:val="22"/>
          <w:szCs w:val="22"/>
          <w:lang w:val="pt-BR"/>
        </w:rPr>
        <w:t>a</w:t>
      </w:r>
      <w:r w:rsidRPr="00913ACD">
        <w:rPr>
          <w:b/>
          <w:bCs/>
          <w:color w:val="000000"/>
          <w:kern w:val="24"/>
          <w:sz w:val="22"/>
          <w:szCs w:val="22"/>
          <w:lang w:val="pt-BR"/>
        </w:rPr>
        <w:t xml:space="preserve">dministração de </w:t>
      </w:r>
      <w:r w:rsidR="00D42A1F" w:rsidRPr="00913ACD">
        <w:rPr>
          <w:b/>
          <w:bCs/>
          <w:color w:val="000000"/>
          <w:kern w:val="24"/>
          <w:sz w:val="22"/>
          <w:szCs w:val="22"/>
          <w:lang w:val="pt-BR"/>
        </w:rPr>
        <w:t>s</w:t>
      </w:r>
      <w:r w:rsidRPr="00913ACD">
        <w:rPr>
          <w:b/>
          <w:bCs/>
          <w:color w:val="000000"/>
          <w:kern w:val="24"/>
          <w:sz w:val="22"/>
          <w:szCs w:val="22"/>
          <w:lang w:val="pt-BR"/>
        </w:rPr>
        <w:t xml:space="preserve">egurança e </w:t>
      </w:r>
      <w:r w:rsidR="00D42A1F" w:rsidRPr="00913ACD">
        <w:rPr>
          <w:b/>
          <w:bCs/>
          <w:color w:val="000000"/>
          <w:kern w:val="24"/>
          <w:sz w:val="22"/>
          <w:szCs w:val="22"/>
          <w:lang w:val="pt-BR"/>
        </w:rPr>
        <w:t>s</w:t>
      </w:r>
      <w:r w:rsidRPr="00913ACD">
        <w:rPr>
          <w:b/>
          <w:bCs/>
          <w:color w:val="000000"/>
          <w:kern w:val="24"/>
          <w:sz w:val="22"/>
          <w:szCs w:val="22"/>
          <w:lang w:val="pt-BR"/>
        </w:rPr>
        <w:t xml:space="preserve">aúde </w:t>
      </w:r>
      <w:r w:rsidR="00D42A1F" w:rsidRPr="00913ACD">
        <w:rPr>
          <w:b/>
          <w:bCs/>
          <w:color w:val="000000"/>
          <w:kern w:val="24"/>
          <w:sz w:val="22"/>
          <w:szCs w:val="22"/>
          <w:lang w:val="pt-BR"/>
        </w:rPr>
        <w:t>o</w:t>
      </w:r>
      <w:r w:rsidRPr="00913ACD">
        <w:rPr>
          <w:b/>
          <w:bCs/>
          <w:color w:val="000000"/>
          <w:kern w:val="24"/>
          <w:sz w:val="22"/>
          <w:szCs w:val="22"/>
          <w:lang w:val="pt-BR"/>
        </w:rPr>
        <w:t>cupacional</w:t>
      </w:r>
      <w:r w:rsidR="00A427C5" w:rsidRPr="00913ACD">
        <w:rPr>
          <w:color w:val="000000"/>
          <w:kern w:val="24"/>
          <w:sz w:val="22"/>
          <w:szCs w:val="22"/>
          <w:lang w:val="pt-BR"/>
        </w:rPr>
        <w:t xml:space="preserve">. Este exercício de capacitação permite que </w:t>
      </w:r>
      <w:r w:rsidR="00D42A1F" w:rsidRPr="00913ACD">
        <w:rPr>
          <w:color w:val="000000"/>
          <w:kern w:val="24"/>
          <w:sz w:val="22"/>
          <w:szCs w:val="22"/>
          <w:lang w:val="pt-BR"/>
        </w:rPr>
        <w:t>o</w:t>
      </w:r>
      <w:r w:rsidR="00A427C5" w:rsidRPr="00913ACD">
        <w:rPr>
          <w:color w:val="000000"/>
          <w:kern w:val="24"/>
          <w:sz w:val="22"/>
          <w:szCs w:val="22"/>
          <w:lang w:val="pt-BR"/>
        </w:rPr>
        <w:t>s professores e funcionários treinem outros profissionais, expandindo a educação técnica/profissional para atender aos requisitos necessários da força de trabalho.</w:t>
      </w:r>
    </w:p>
    <w:p w14:paraId="3B77AC5F" w14:textId="12AEDCC5" w:rsidR="00902AB5" w:rsidRPr="00913ACD" w:rsidRDefault="00902AB5" w:rsidP="00CB030B">
      <w:pPr>
        <w:rPr>
          <w:rFonts w:ascii="Times New Roman" w:hAnsi="Times New Roman" w:cs="Times New Roman"/>
          <w:sz w:val="22"/>
          <w:szCs w:val="22"/>
          <w:lang w:val="pt-BR"/>
        </w:rPr>
      </w:pPr>
    </w:p>
    <w:p w14:paraId="791C962B" w14:textId="6BE4D24F" w:rsidR="00902AB5" w:rsidRPr="00913ACD" w:rsidRDefault="00902AB5" w:rsidP="00CB030B">
      <w:pPr>
        <w:ind w:left="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Nicarágua: Fortalecimento das capacidades e habilidades tecnológicas de estudantes, professores e diretores do ensino secundário remoto nas áreas rurais</w:t>
      </w:r>
    </w:p>
    <w:p w14:paraId="57D0AF49" w14:textId="5B1776CC" w:rsidR="002615BA" w:rsidRPr="00913ACD" w:rsidRDefault="002615BA" w:rsidP="00CB030B">
      <w:pPr>
        <w:pStyle w:val="ListParagraph"/>
        <w:numPr>
          <w:ilvl w:val="0"/>
          <w:numId w:val="30"/>
        </w:numPr>
        <w:tabs>
          <w:tab w:val="left" w:pos="3315"/>
        </w:tabs>
        <w:ind w:left="1260" w:hanging="540"/>
        <w:contextualSpacing/>
        <w:jc w:val="both"/>
        <w:rPr>
          <w:rFonts w:eastAsia="MS PGothic"/>
          <w:color w:val="000000"/>
          <w:kern w:val="24"/>
          <w:sz w:val="22"/>
          <w:szCs w:val="22"/>
          <w:lang w:val="pt-BR"/>
        </w:rPr>
      </w:pPr>
      <w:r w:rsidRPr="00913ACD">
        <w:rPr>
          <w:color w:val="000000"/>
          <w:kern w:val="24"/>
          <w:sz w:val="22"/>
          <w:szCs w:val="22"/>
          <w:lang w:val="pt-BR"/>
        </w:rPr>
        <w:t>Fez melhorias de infraestrutura e atualizações tecnológicas em 21 escolas rurais (onde mais de 2.700 alunos estão matriculados no ensino remoto), fortalecendo a rede geral do sistema educacional de ensino remoto.</w:t>
      </w:r>
    </w:p>
    <w:p w14:paraId="4062DD49" w14:textId="52B2C5E6" w:rsidR="00902AB5" w:rsidRPr="00913ACD" w:rsidRDefault="002615BA" w:rsidP="00CB030B">
      <w:pPr>
        <w:pStyle w:val="ListParagraph"/>
        <w:numPr>
          <w:ilvl w:val="0"/>
          <w:numId w:val="30"/>
        </w:numPr>
        <w:tabs>
          <w:tab w:val="left" w:pos="3315"/>
        </w:tabs>
        <w:ind w:left="1260" w:hanging="540"/>
        <w:contextualSpacing/>
        <w:jc w:val="both"/>
        <w:rPr>
          <w:rFonts w:eastAsia="MS PGothic"/>
          <w:color w:val="000000"/>
          <w:kern w:val="24"/>
          <w:sz w:val="22"/>
          <w:szCs w:val="22"/>
          <w:lang w:val="pt-BR"/>
        </w:rPr>
      </w:pPr>
      <w:r w:rsidRPr="00913ACD">
        <w:rPr>
          <w:color w:val="000000"/>
          <w:kern w:val="24"/>
          <w:sz w:val="22"/>
          <w:szCs w:val="22"/>
          <w:lang w:val="pt-BR"/>
        </w:rPr>
        <w:t>No âmbito do ensino remoto, 21 diretores, 63 professores e 2.749 alunos estão aplicando as TIC</w:t>
      </w:r>
      <w:r w:rsidR="00A86BA8" w:rsidRPr="00913ACD">
        <w:rPr>
          <w:color w:val="000000"/>
          <w:kern w:val="24"/>
          <w:sz w:val="22"/>
          <w:szCs w:val="22"/>
          <w:lang w:val="pt-BR"/>
        </w:rPr>
        <w:t>s</w:t>
      </w:r>
      <w:r w:rsidRPr="00913ACD">
        <w:rPr>
          <w:color w:val="000000"/>
          <w:kern w:val="24"/>
          <w:sz w:val="22"/>
          <w:szCs w:val="22"/>
          <w:lang w:val="pt-BR"/>
        </w:rPr>
        <w:t xml:space="preserve"> ao ensino e </w:t>
      </w:r>
      <w:r w:rsidR="00345530" w:rsidRPr="00913ACD">
        <w:rPr>
          <w:color w:val="000000"/>
          <w:kern w:val="24"/>
          <w:sz w:val="22"/>
          <w:szCs w:val="22"/>
          <w:lang w:val="pt-BR"/>
        </w:rPr>
        <w:t xml:space="preserve">à </w:t>
      </w:r>
      <w:r w:rsidRPr="00913ACD">
        <w:rPr>
          <w:color w:val="000000"/>
          <w:kern w:val="24"/>
          <w:sz w:val="22"/>
          <w:szCs w:val="22"/>
          <w:lang w:val="pt-BR"/>
        </w:rPr>
        <w:t xml:space="preserve">aprendizagem de </w:t>
      </w:r>
      <w:r w:rsidR="00345530" w:rsidRPr="00913ACD">
        <w:rPr>
          <w:color w:val="000000"/>
          <w:kern w:val="24"/>
          <w:sz w:val="22"/>
          <w:szCs w:val="22"/>
          <w:lang w:val="pt-BR"/>
        </w:rPr>
        <w:t>m</w:t>
      </w:r>
      <w:r w:rsidRPr="00913ACD">
        <w:rPr>
          <w:color w:val="000000"/>
          <w:kern w:val="24"/>
          <w:sz w:val="22"/>
          <w:szCs w:val="22"/>
          <w:lang w:val="pt-BR"/>
        </w:rPr>
        <w:t xml:space="preserve">atemática, </w:t>
      </w:r>
      <w:r w:rsidR="00345530" w:rsidRPr="00913ACD">
        <w:rPr>
          <w:color w:val="000000"/>
          <w:kern w:val="24"/>
          <w:sz w:val="22"/>
          <w:szCs w:val="22"/>
          <w:lang w:val="pt-BR"/>
        </w:rPr>
        <w:t>i</w:t>
      </w:r>
      <w:r w:rsidRPr="00913ACD">
        <w:rPr>
          <w:color w:val="000000"/>
          <w:kern w:val="24"/>
          <w:sz w:val="22"/>
          <w:szCs w:val="22"/>
          <w:lang w:val="pt-BR"/>
        </w:rPr>
        <w:t xml:space="preserve">nglês, </w:t>
      </w:r>
      <w:r w:rsidR="00345530" w:rsidRPr="00913ACD">
        <w:rPr>
          <w:color w:val="000000"/>
          <w:kern w:val="24"/>
          <w:sz w:val="22"/>
          <w:szCs w:val="22"/>
          <w:lang w:val="pt-BR"/>
        </w:rPr>
        <w:t>l</w:t>
      </w:r>
      <w:r w:rsidRPr="00913ACD">
        <w:rPr>
          <w:color w:val="000000"/>
          <w:kern w:val="24"/>
          <w:sz w:val="22"/>
          <w:szCs w:val="22"/>
          <w:lang w:val="pt-BR"/>
        </w:rPr>
        <w:t xml:space="preserve">inguagem e </w:t>
      </w:r>
      <w:r w:rsidR="00345530" w:rsidRPr="00913ACD">
        <w:rPr>
          <w:color w:val="000000"/>
          <w:kern w:val="24"/>
          <w:sz w:val="22"/>
          <w:szCs w:val="22"/>
          <w:lang w:val="pt-BR"/>
        </w:rPr>
        <w:t>l</w:t>
      </w:r>
      <w:r w:rsidRPr="00913ACD">
        <w:rPr>
          <w:color w:val="000000"/>
          <w:kern w:val="24"/>
          <w:sz w:val="22"/>
          <w:szCs w:val="22"/>
          <w:lang w:val="pt-BR"/>
        </w:rPr>
        <w:t xml:space="preserve">iteratura, </w:t>
      </w:r>
      <w:r w:rsidR="00345530" w:rsidRPr="00913ACD">
        <w:rPr>
          <w:color w:val="000000"/>
          <w:kern w:val="24"/>
          <w:sz w:val="22"/>
          <w:szCs w:val="22"/>
          <w:lang w:val="pt-BR"/>
        </w:rPr>
        <w:t>c</w:t>
      </w:r>
      <w:r w:rsidRPr="00913ACD">
        <w:rPr>
          <w:color w:val="000000"/>
          <w:kern w:val="24"/>
          <w:sz w:val="22"/>
          <w:szCs w:val="22"/>
          <w:lang w:val="pt-BR"/>
        </w:rPr>
        <w:t xml:space="preserve">iências </w:t>
      </w:r>
      <w:r w:rsidR="00345530" w:rsidRPr="00913ACD">
        <w:rPr>
          <w:color w:val="000000"/>
          <w:kern w:val="24"/>
          <w:sz w:val="22"/>
          <w:szCs w:val="22"/>
          <w:lang w:val="pt-BR"/>
        </w:rPr>
        <w:t>n</w:t>
      </w:r>
      <w:r w:rsidRPr="00913ACD">
        <w:rPr>
          <w:color w:val="000000"/>
          <w:kern w:val="24"/>
          <w:sz w:val="22"/>
          <w:szCs w:val="22"/>
          <w:lang w:val="pt-BR"/>
        </w:rPr>
        <w:t xml:space="preserve">aturais e </w:t>
      </w:r>
      <w:r w:rsidR="00345530" w:rsidRPr="00913ACD">
        <w:rPr>
          <w:color w:val="000000"/>
          <w:kern w:val="24"/>
          <w:sz w:val="22"/>
          <w:szCs w:val="22"/>
          <w:lang w:val="pt-BR"/>
        </w:rPr>
        <w:t>c</w:t>
      </w:r>
      <w:r w:rsidRPr="00913ACD">
        <w:rPr>
          <w:color w:val="000000"/>
          <w:kern w:val="24"/>
          <w:sz w:val="22"/>
          <w:szCs w:val="22"/>
          <w:lang w:val="pt-BR"/>
        </w:rPr>
        <w:t xml:space="preserve">iências </w:t>
      </w:r>
      <w:r w:rsidR="00345530" w:rsidRPr="00913ACD">
        <w:rPr>
          <w:color w:val="000000"/>
          <w:kern w:val="24"/>
          <w:sz w:val="22"/>
          <w:szCs w:val="22"/>
          <w:lang w:val="pt-BR"/>
        </w:rPr>
        <w:t>s</w:t>
      </w:r>
      <w:r w:rsidRPr="00913ACD">
        <w:rPr>
          <w:color w:val="000000"/>
          <w:kern w:val="24"/>
          <w:sz w:val="22"/>
          <w:szCs w:val="22"/>
          <w:lang w:val="pt-BR"/>
        </w:rPr>
        <w:t>ociais.</w:t>
      </w:r>
    </w:p>
    <w:p w14:paraId="2067AC79" w14:textId="3689F2C1" w:rsidR="00B90A02" w:rsidRPr="00913ACD" w:rsidRDefault="00B90A02" w:rsidP="00CB030B">
      <w:pPr>
        <w:tabs>
          <w:tab w:val="left" w:pos="3315"/>
        </w:tabs>
        <w:contextualSpacing/>
        <w:jc w:val="both"/>
        <w:rPr>
          <w:rFonts w:ascii="Times New Roman" w:eastAsia="MS PGothic" w:hAnsi="Times New Roman" w:cs="Times New Roman"/>
          <w:color w:val="000000"/>
          <w:kern w:val="24"/>
          <w:sz w:val="22"/>
          <w:szCs w:val="22"/>
          <w:lang w:val="pt-BR"/>
        </w:rPr>
      </w:pPr>
    </w:p>
    <w:p w14:paraId="65329979" w14:textId="354DF337" w:rsidR="00B90A02" w:rsidRPr="00913ACD" w:rsidRDefault="00B90A02" w:rsidP="00CB030B">
      <w:pPr>
        <w:ind w:left="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PROGRAMA II</w:t>
      </w:r>
    </w:p>
    <w:p w14:paraId="4ECAF87A" w14:textId="2148BB47" w:rsidR="00B90A02" w:rsidRPr="00913ACD" w:rsidRDefault="00B90A02" w:rsidP="00CB030B">
      <w:pPr>
        <w:ind w:left="720"/>
        <w:rPr>
          <w:rFonts w:ascii="Times New Roman" w:eastAsia="MS PGothic" w:hAnsi="Times New Roman" w:cs="Times New Roman"/>
          <w:b/>
          <w:bCs/>
          <w:color w:val="000000"/>
          <w:kern w:val="24"/>
          <w:sz w:val="22"/>
          <w:szCs w:val="22"/>
          <w:lang w:val="pt-BR"/>
        </w:rPr>
      </w:pPr>
      <w:r w:rsidRPr="00913ACD">
        <w:rPr>
          <w:rFonts w:ascii="Times New Roman" w:hAnsi="Times New Roman" w:cs="Times New Roman"/>
          <w:b/>
          <w:color w:val="000000"/>
          <w:kern w:val="24"/>
          <w:sz w:val="22"/>
          <w:szCs w:val="22"/>
          <w:lang w:val="pt-BR"/>
        </w:rPr>
        <w:t xml:space="preserve">Fortalecimento da </w:t>
      </w:r>
      <w:r w:rsidR="0075307E">
        <w:rPr>
          <w:rFonts w:ascii="Times New Roman" w:hAnsi="Times New Roman" w:cs="Times New Roman"/>
          <w:b/>
          <w:color w:val="000000"/>
          <w:kern w:val="24"/>
          <w:sz w:val="22"/>
          <w:szCs w:val="22"/>
          <w:lang w:val="pt-BR"/>
        </w:rPr>
        <w:t>P</w:t>
      </w:r>
      <w:r w:rsidRPr="00913ACD">
        <w:rPr>
          <w:rFonts w:ascii="Times New Roman" w:hAnsi="Times New Roman" w:cs="Times New Roman"/>
          <w:b/>
          <w:color w:val="000000"/>
          <w:kern w:val="24"/>
          <w:sz w:val="22"/>
          <w:szCs w:val="22"/>
          <w:lang w:val="pt-BR"/>
        </w:rPr>
        <w:t xml:space="preserve">rofissão </w:t>
      </w:r>
      <w:r w:rsidR="0075307E">
        <w:rPr>
          <w:rFonts w:ascii="Times New Roman" w:hAnsi="Times New Roman" w:cs="Times New Roman"/>
          <w:b/>
          <w:color w:val="000000"/>
          <w:kern w:val="24"/>
          <w:sz w:val="22"/>
          <w:szCs w:val="22"/>
          <w:lang w:val="pt-BR"/>
        </w:rPr>
        <w:t>D</w:t>
      </w:r>
      <w:r w:rsidRPr="00913ACD">
        <w:rPr>
          <w:rFonts w:ascii="Times New Roman" w:hAnsi="Times New Roman" w:cs="Times New Roman"/>
          <w:b/>
          <w:color w:val="000000"/>
          <w:kern w:val="24"/>
          <w:sz w:val="22"/>
          <w:szCs w:val="22"/>
          <w:lang w:val="pt-BR"/>
        </w:rPr>
        <w:t>ocente: Antígua e Barbuda, Argentina, Barbados, Peru, S</w:t>
      </w:r>
      <w:r w:rsidR="00B52F84" w:rsidRPr="00913ACD">
        <w:rPr>
          <w:rFonts w:ascii="Times New Roman" w:hAnsi="Times New Roman" w:cs="Times New Roman"/>
          <w:b/>
          <w:color w:val="000000"/>
          <w:kern w:val="24"/>
          <w:sz w:val="22"/>
          <w:szCs w:val="22"/>
          <w:lang w:val="pt-BR"/>
        </w:rPr>
        <w:t xml:space="preserve">aint Kitts e </w:t>
      </w:r>
      <w:r w:rsidRPr="00913ACD">
        <w:rPr>
          <w:rFonts w:ascii="Times New Roman" w:hAnsi="Times New Roman" w:cs="Times New Roman"/>
          <w:b/>
          <w:color w:val="000000"/>
          <w:kern w:val="24"/>
          <w:sz w:val="22"/>
          <w:szCs w:val="22"/>
          <w:lang w:val="pt-BR"/>
        </w:rPr>
        <w:t>N</w:t>
      </w:r>
      <w:r w:rsidR="00E91A17">
        <w:rPr>
          <w:rFonts w:ascii="Times New Roman" w:hAnsi="Times New Roman" w:cs="Times New Roman"/>
          <w:b/>
          <w:color w:val="000000"/>
          <w:kern w:val="24"/>
          <w:sz w:val="22"/>
          <w:szCs w:val="22"/>
          <w:lang w:val="pt-BR"/>
        </w:rPr>
        <w:t>é</w:t>
      </w:r>
      <w:r w:rsidRPr="00913ACD">
        <w:rPr>
          <w:rFonts w:ascii="Times New Roman" w:hAnsi="Times New Roman" w:cs="Times New Roman"/>
          <w:b/>
          <w:color w:val="000000"/>
          <w:kern w:val="24"/>
          <w:sz w:val="22"/>
          <w:szCs w:val="22"/>
          <w:lang w:val="pt-BR"/>
        </w:rPr>
        <w:t>vis</w:t>
      </w:r>
    </w:p>
    <w:p w14:paraId="53A67FC5" w14:textId="77777777" w:rsidR="00B90A02" w:rsidRPr="00913ACD" w:rsidRDefault="00B90A02" w:rsidP="00CB030B">
      <w:pPr>
        <w:rPr>
          <w:rFonts w:ascii="Times New Roman" w:hAnsi="Times New Roman" w:cs="Times New Roman"/>
          <w:sz w:val="22"/>
          <w:szCs w:val="22"/>
          <w:lang w:val="pt-BR"/>
        </w:rPr>
      </w:pPr>
    </w:p>
    <w:p w14:paraId="35809CA2" w14:textId="711FC6AF" w:rsidR="00B90A02" w:rsidRPr="00913ACD" w:rsidRDefault="00B90A02" w:rsidP="00CB030B">
      <w:pPr>
        <w:ind w:left="1260" w:hanging="54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Antígua e Barbuda: Empoderamento dos professores para a construção da nação</w:t>
      </w:r>
    </w:p>
    <w:p w14:paraId="6DBDC24A" w14:textId="5FDFD889" w:rsidR="00B90A02" w:rsidRPr="00913ACD" w:rsidRDefault="00B90A02" w:rsidP="00CB030B">
      <w:pPr>
        <w:pStyle w:val="ListParagraph"/>
        <w:numPr>
          <w:ilvl w:val="3"/>
          <w:numId w:val="26"/>
        </w:numPr>
        <w:ind w:left="1260" w:hanging="540"/>
        <w:jc w:val="both"/>
        <w:rPr>
          <w:sz w:val="22"/>
          <w:szCs w:val="22"/>
          <w:lang w:val="pt-BR"/>
        </w:rPr>
      </w:pPr>
      <w:r w:rsidRPr="00913ACD">
        <w:rPr>
          <w:sz w:val="22"/>
          <w:szCs w:val="22"/>
          <w:lang w:val="pt-BR"/>
        </w:rPr>
        <w:t>Familiarizou 360 professores e 2.480 alunos em todos os níveis de ensino com questões sociais modernas, identificando seus sinais de alerta e estratégias para conter os comportamentos disruptivos resultantes.</w:t>
      </w:r>
    </w:p>
    <w:p w14:paraId="1F6C72D1" w14:textId="1FC511F5" w:rsidR="00B90A02" w:rsidRPr="00913ACD" w:rsidRDefault="00B90A02" w:rsidP="00CB030B">
      <w:pPr>
        <w:pStyle w:val="ListParagraph"/>
        <w:numPr>
          <w:ilvl w:val="3"/>
          <w:numId w:val="26"/>
        </w:numPr>
        <w:ind w:left="1260" w:hanging="540"/>
        <w:jc w:val="both"/>
        <w:rPr>
          <w:sz w:val="22"/>
          <w:szCs w:val="22"/>
          <w:lang w:val="pt-BR"/>
        </w:rPr>
      </w:pPr>
      <w:r w:rsidRPr="00913ACD">
        <w:rPr>
          <w:sz w:val="22"/>
          <w:szCs w:val="22"/>
          <w:lang w:val="pt-BR"/>
        </w:rPr>
        <w:t xml:space="preserve">Três escolas-piloto começaram a implementar estratégias de intervenção psicossocial seguindo o currículo Fortificação de Aprendizagem Socioemocional para </w:t>
      </w:r>
      <w:r w:rsidR="003045E6" w:rsidRPr="00913ACD">
        <w:rPr>
          <w:sz w:val="22"/>
          <w:szCs w:val="22"/>
          <w:lang w:val="pt-BR"/>
        </w:rPr>
        <w:t>Alunos</w:t>
      </w:r>
      <w:r w:rsidRPr="00913ACD">
        <w:rPr>
          <w:sz w:val="22"/>
          <w:szCs w:val="22"/>
          <w:lang w:val="pt-BR"/>
        </w:rPr>
        <w:t>.</w:t>
      </w:r>
    </w:p>
    <w:p w14:paraId="259EAE9A" w14:textId="391B205C" w:rsidR="00B90A02" w:rsidRPr="00913ACD" w:rsidRDefault="00B90A02" w:rsidP="00CB030B">
      <w:pPr>
        <w:pStyle w:val="ListParagraph"/>
        <w:numPr>
          <w:ilvl w:val="3"/>
          <w:numId w:val="26"/>
        </w:numPr>
        <w:ind w:left="1260" w:hanging="540"/>
        <w:jc w:val="both"/>
        <w:rPr>
          <w:sz w:val="22"/>
          <w:szCs w:val="22"/>
          <w:lang w:val="pt-BR"/>
        </w:rPr>
      </w:pPr>
      <w:r w:rsidRPr="00913ACD">
        <w:rPr>
          <w:sz w:val="22"/>
          <w:szCs w:val="22"/>
          <w:lang w:val="pt-BR"/>
        </w:rPr>
        <w:t xml:space="preserve">55 professores, </w:t>
      </w:r>
      <w:r w:rsidR="003045E6" w:rsidRPr="00913ACD">
        <w:rPr>
          <w:sz w:val="22"/>
          <w:szCs w:val="22"/>
          <w:lang w:val="pt-BR"/>
        </w:rPr>
        <w:t xml:space="preserve">que receberam </w:t>
      </w:r>
      <w:r w:rsidRPr="00913ACD">
        <w:rPr>
          <w:sz w:val="22"/>
          <w:szCs w:val="22"/>
          <w:lang w:val="pt-BR"/>
        </w:rPr>
        <w:t xml:space="preserve">a </w:t>
      </w:r>
      <w:r w:rsidRPr="00913ACD">
        <w:rPr>
          <w:b/>
          <w:bCs/>
          <w:color w:val="000000"/>
          <w:kern w:val="24"/>
          <w:sz w:val="22"/>
          <w:szCs w:val="22"/>
          <w:lang w:val="pt-BR"/>
        </w:rPr>
        <w:t>Certificação em Educação Inclusiva Internacional,</w:t>
      </w:r>
      <w:r w:rsidRPr="00913ACD">
        <w:rPr>
          <w:sz w:val="22"/>
          <w:szCs w:val="22"/>
          <w:lang w:val="pt-BR"/>
        </w:rPr>
        <w:t xml:space="preserve"> desenvolveram habilidades para identificar e implementar uma série de estratégias para diferenciar a instrução e adaptar as lições ensinadas </w:t>
      </w:r>
      <w:r w:rsidR="00A348B0">
        <w:rPr>
          <w:sz w:val="22"/>
          <w:szCs w:val="22"/>
          <w:lang w:val="pt-BR"/>
        </w:rPr>
        <w:t>a fim de</w:t>
      </w:r>
      <w:r w:rsidR="00945E05" w:rsidRPr="00913ACD">
        <w:rPr>
          <w:sz w:val="22"/>
          <w:szCs w:val="22"/>
          <w:lang w:val="pt-BR"/>
        </w:rPr>
        <w:t xml:space="preserve"> </w:t>
      </w:r>
      <w:r w:rsidRPr="00913ACD">
        <w:rPr>
          <w:sz w:val="22"/>
          <w:szCs w:val="22"/>
          <w:lang w:val="pt-BR"/>
        </w:rPr>
        <w:t>alcançar cada aluno individualmente.</w:t>
      </w:r>
    </w:p>
    <w:p w14:paraId="1C46B48E" w14:textId="6C77E130" w:rsidR="00B90A02" w:rsidRDefault="00B90A02" w:rsidP="00CB030B">
      <w:pPr>
        <w:jc w:val="both"/>
        <w:rPr>
          <w:rFonts w:ascii="Times New Roman" w:hAnsi="Times New Roman" w:cs="Times New Roman"/>
          <w:sz w:val="22"/>
          <w:szCs w:val="22"/>
          <w:lang w:val="pt-BR"/>
        </w:rPr>
      </w:pPr>
    </w:p>
    <w:p w14:paraId="4E06E08E" w14:textId="77777777" w:rsidR="007A6E7B" w:rsidRPr="00913ACD" w:rsidRDefault="007A6E7B" w:rsidP="00CB030B">
      <w:pPr>
        <w:jc w:val="both"/>
        <w:rPr>
          <w:rFonts w:ascii="Times New Roman" w:hAnsi="Times New Roman" w:cs="Times New Roman"/>
          <w:sz w:val="22"/>
          <w:szCs w:val="22"/>
          <w:lang w:val="pt-BR"/>
        </w:rPr>
      </w:pPr>
    </w:p>
    <w:p w14:paraId="539D10C0" w14:textId="4B79B50B" w:rsidR="00B90A02" w:rsidRPr="00913ACD" w:rsidRDefault="00B90A02" w:rsidP="00CB030B">
      <w:pPr>
        <w:ind w:firstLine="720"/>
        <w:jc w:val="both"/>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Argentina: Treinadores de treinadores</w:t>
      </w:r>
    </w:p>
    <w:p w14:paraId="6CE5FBC0" w14:textId="3D7F1DEC" w:rsidR="00B90A02" w:rsidRPr="00913ACD" w:rsidRDefault="00B90A02" w:rsidP="00CB030B">
      <w:pPr>
        <w:pStyle w:val="ListParagraph"/>
        <w:numPr>
          <w:ilvl w:val="3"/>
          <w:numId w:val="26"/>
        </w:numPr>
        <w:ind w:left="1260" w:hanging="540"/>
        <w:jc w:val="both"/>
        <w:rPr>
          <w:sz w:val="22"/>
          <w:szCs w:val="22"/>
          <w:lang w:val="pt-BR"/>
        </w:rPr>
      </w:pPr>
      <w:r w:rsidRPr="00913ACD">
        <w:rPr>
          <w:sz w:val="22"/>
          <w:szCs w:val="22"/>
          <w:lang w:val="pt-BR"/>
        </w:rPr>
        <w:t xml:space="preserve">Treinou 200 equipes de ensino (925 professores) dos </w:t>
      </w:r>
      <w:r w:rsidR="004C6574" w:rsidRPr="00913ACD">
        <w:rPr>
          <w:sz w:val="22"/>
          <w:szCs w:val="22"/>
          <w:lang w:val="pt-BR"/>
        </w:rPr>
        <w:t>i</w:t>
      </w:r>
      <w:r w:rsidRPr="00913ACD">
        <w:rPr>
          <w:sz w:val="22"/>
          <w:szCs w:val="22"/>
          <w:lang w:val="pt-BR"/>
        </w:rPr>
        <w:t xml:space="preserve">nstitutos </w:t>
      </w:r>
      <w:r w:rsidR="004C6574" w:rsidRPr="00913ACD">
        <w:rPr>
          <w:sz w:val="22"/>
          <w:szCs w:val="22"/>
          <w:lang w:val="pt-BR"/>
        </w:rPr>
        <w:t>s</w:t>
      </w:r>
      <w:r w:rsidRPr="00913ACD">
        <w:rPr>
          <w:sz w:val="22"/>
          <w:szCs w:val="22"/>
          <w:lang w:val="pt-BR"/>
        </w:rPr>
        <w:t xml:space="preserve">uperiores de </w:t>
      </w:r>
      <w:r w:rsidR="004C6574" w:rsidRPr="00913ACD">
        <w:rPr>
          <w:sz w:val="22"/>
          <w:szCs w:val="22"/>
          <w:lang w:val="pt-BR"/>
        </w:rPr>
        <w:t>f</w:t>
      </w:r>
      <w:r w:rsidRPr="00913ACD">
        <w:rPr>
          <w:sz w:val="22"/>
          <w:szCs w:val="22"/>
          <w:lang w:val="pt-BR"/>
        </w:rPr>
        <w:t xml:space="preserve">ormação de </w:t>
      </w:r>
      <w:r w:rsidR="004C6574" w:rsidRPr="00913ACD">
        <w:rPr>
          <w:sz w:val="22"/>
          <w:szCs w:val="22"/>
          <w:lang w:val="pt-BR"/>
        </w:rPr>
        <w:t>p</w:t>
      </w:r>
      <w:r w:rsidRPr="00913ACD">
        <w:rPr>
          <w:sz w:val="22"/>
          <w:szCs w:val="22"/>
          <w:lang w:val="pt-BR"/>
        </w:rPr>
        <w:t xml:space="preserve">rofessores </w:t>
      </w:r>
      <w:r w:rsidR="00897AA4">
        <w:rPr>
          <w:sz w:val="22"/>
          <w:szCs w:val="22"/>
          <w:lang w:val="pt-BR"/>
        </w:rPr>
        <w:t xml:space="preserve">em </w:t>
      </w:r>
      <w:r w:rsidRPr="00913ACD">
        <w:rPr>
          <w:sz w:val="22"/>
          <w:szCs w:val="22"/>
          <w:lang w:val="pt-BR"/>
        </w:rPr>
        <w:t xml:space="preserve">compreensão, desenvolvimento de habilidades de ensino profissional e criação de comunidades de aprendizagem profissional. </w:t>
      </w:r>
      <w:r w:rsidR="003A5AFB" w:rsidRPr="00913ACD">
        <w:rPr>
          <w:sz w:val="22"/>
          <w:szCs w:val="22"/>
          <w:lang w:val="pt-BR"/>
        </w:rPr>
        <w:t>F</w:t>
      </w:r>
      <w:r w:rsidRPr="00913ACD">
        <w:rPr>
          <w:sz w:val="22"/>
          <w:szCs w:val="22"/>
          <w:lang w:val="pt-BR"/>
        </w:rPr>
        <w:t xml:space="preserve">oram utilizadas </w:t>
      </w:r>
      <w:r w:rsidR="00D63591" w:rsidRPr="00913ACD">
        <w:rPr>
          <w:sz w:val="22"/>
          <w:szCs w:val="22"/>
          <w:lang w:val="pt-BR"/>
        </w:rPr>
        <w:t xml:space="preserve">pesquisas virtuais </w:t>
      </w:r>
      <w:r w:rsidRPr="00913ACD">
        <w:rPr>
          <w:sz w:val="22"/>
          <w:szCs w:val="22"/>
          <w:lang w:val="pt-BR"/>
        </w:rPr>
        <w:t xml:space="preserve">para </w:t>
      </w:r>
      <w:r w:rsidR="00DB0F60">
        <w:rPr>
          <w:sz w:val="22"/>
          <w:szCs w:val="22"/>
          <w:lang w:val="pt-BR"/>
        </w:rPr>
        <w:t xml:space="preserve">a </w:t>
      </w:r>
      <w:r w:rsidRPr="00913ACD">
        <w:rPr>
          <w:sz w:val="22"/>
          <w:szCs w:val="22"/>
          <w:lang w:val="pt-BR"/>
        </w:rPr>
        <w:t>determina</w:t>
      </w:r>
      <w:r w:rsidR="00DB0F60">
        <w:rPr>
          <w:sz w:val="22"/>
          <w:szCs w:val="22"/>
          <w:lang w:val="pt-BR"/>
        </w:rPr>
        <w:t>ção d</w:t>
      </w:r>
      <w:r w:rsidRPr="00913ACD">
        <w:rPr>
          <w:sz w:val="22"/>
          <w:szCs w:val="22"/>
          <w:lang w:val="pt-BR"/>
        </w:rPr>
        <w:t xml:space="preserve">as diferentes </w:t>
      </w:r>
      <w:r w:rsidR="00D873D8">
        <w:rPr>
          <w:sz w:val="22"/>
          <w:szCs w:val="22"/>
          <w:lang w:val="pt-BR"/>
        </w:rPr>
        <w:t xml:space="preserve">formas </w:t>
      </w:r>
      <w:r w:rsidR="00C315CF" w:rsidRPr="00913ACD">
        <w:rPr>
          <w:sz w:val="22"/>
          <w:szCs w:val="22"/>
          <w:lang w:val="pt-BR"/>
        </w:rPr>
        <w:t xml:space="preserve">de impacto do </w:t>
      </w:r>
      <w:r w:rsidRPr="00913ACD">
        <w:rPr>
          <w:sz w:val="22"/>
          <w:szCs w:val="22"/>
          <w:lang w:val="pt-BR"/>
        </w:rPr>
        <w:t xml:space="preserve">treinamento </w:t>
      </w:r>
      <w:r w:rsidR="00C315CF" w:rsidRPr="00913ACD">
        <w:rPr>
          <w:sz w:val="22"/>
          <w:szCs w:val="22"/>
          <w:lang w:val="pt-BR"/>
        </w:rPr>
        <w:t xml:space="preserve">nas </w:t>
      </w:r>
      <w:r w:rsidRPr="00913ACD">
        <w:rPr>
          <w:sz w:val="22"/>
          <w:szCs w:val="22"/>
          <w:lang w:val="pt-BR"/>
        </w:rPr>
        <w:t xml:space="preserve">suas práticas de ensino; mais de 90% dos participantes </w:t>
      </w:r>
      <w:r w:rsidR="00C315CF" w:rsidRPr="00913ACD">
        <w:rPr>
          <w:sz w:val="22"/>
          <w:szCs w:val="22"/>
          <w:lang w:val="pt-BR"/>
        </w:rPr>
        <w:t xml:space="preserve">ficaram </w:t>
      </w:r>
      <w:r w:rsidRPr="00913ACD">
        <w:rPr>
          <w:sz w:val="22"/>
          <w:szCs w:val="22"/>
          <w:lang w:val="pt-BR"/>
        </w:rPr>
        <w:t>satisfeitos com o programa.</w:t>
      </w:r>
    </w:p>
    <w:p w14:paraId="27C32E76" w14:textId="77777777" w:rsidR="00F603A7" w:rsidRPr="00913ACD" w:rsidRDefault="00F603A7" w:rsidP="00F603A7">
      <w:pPr>
        <w:pStyle w:val="ListParagraph"/>
        <w:ind w:left="1260"/>
        <w:jc w:val="both"/>
        <w:rPr>
          <w:sz w:val="22"/>
          <w:szCs w:val="22"/>
          <w:lang w:val="pt-BR"/>
        </w:rPr>
      </w:pPr>
    </w:p>
    <w:p w14:paraId="6FC97A51" w14:textId="5FDB7E91" w:rsidR="00B90A02" w:rsidRPr="00913ACD" w:rsidRDefault="00B90A02" w:rsidP="00CB030B">
      <w:pPr>
        <w:pStyle w:val="ListParagraph"/>
        <w:numPr>
          <w:ilvl w:val="1"/>
          <w:numId w:val="26"/>
        </w:numPr>
        <w:ind w:left="1980" w:hanging="540"/>
        <w:jc w:val="both"/>
        <w:rPr>
          <w:sz w:val="22"/>
          <w:szCs w:val="22"/>
          <w:lang w:val="pt-BR"/>
        </w:rPr>
      </w:pPr>
      <w:r w:rsidRPr="00913ACD">
        <w:rPr>
          <w:sz w:val="22"/>
          <w:szCs w:val="22"/>
          <w:lang w:val="pt-BR"/>
        </w:rPr>
        <w:t xml:space="preserve">Desenhou e implementou estratégias para transferir esse conhecimento para uma rede mais ampla de educadores; </w:t>
      </w:r>
      <w:r w:rsidR="00EA6463" w:rsidRPr="00913ACD">
        <w:rPr>
          <w:sz w:val="22"/>
          <w:szCs w:val="22"/>
          <w:lang w:val="pt-BR"/>
        </w:rPr>
        <w:t>f</w:t>
      </w:r>
      <w:r w:rsidRPr="00913ACD">
        <w:rPr>
          <w:sz w:val="22"/>
          <w:szCs w:val="22"/>
          <w:lang w:val="pt-BR"/>
        </w:rPr>
        <w:t xml:space="preserve">oram alcançados 5.950 professores e </w:t>
      </w:r>
      <w:r w:rsidR="00173F11">
        <w:rPr>
          <w:sz w:val="22"/>
          <w:szCs w:val="22"/>
          <w:lang w:val="pt-BR"/>
        </w:rPr>
        <w:t xml:space="preserve">desenvolvidos </w:t>
      </w:r>
      <w:r w:rsidRPr="00913ACD">
        <w:rPr>
          <w:sz w:val="22"/>
          <w:szCs w:val="22"/>
          <w:lang w:val="pt-BR"/>
        </w:rPr>
        <w:t xml:space="preserve">238 projetos de inovação no âmbito da </w:t>
      </w:r>
      <w:r w:rsidRPr="00913ACD">
        <w:rPr>
          <w:b/>
          <w:bCs/>
          <w:sz w:val="22"/>
          <w:szCs w:val="22"/>
          <w:lang w:val="pt-BR"/>
        </w:rPr>
        <w:t>Atualização Acad</w:t>
      </w:r>
      <w:r w:rsidR="00EA6463" w:rsidRPr="00913ACD">
        <w:rPr>
          <w:b/>
          <w:bCs/>
          <w:sz w:val="22"/>
          <w:szCs w:val="22"/>
          <w:lang w:val="pt-BR"/>
        </w:rPr>
        <w:t>ê</w:t>
      </w:r>
      <w:r w:rsidRPr="00913ACD">
        <w:rPr>
          <w:b/>
          <w:bCs/>
          <w:sz w:val="22"/>
          <w:szCs w:val="22"/>
          <w:lang w:val="pt-BR"/>
        </w:rPr>
        <w:t>mica</w:t>
      </w:r>
      <w:r w:rsidRPr="00913ACD">
        <w:rPr>
          <w:sz w:val="22"/>
          <w:szCs w:val="22"/>
          <w:lang w:val="pt-BR"/>
        </w:rPr>
        <w:t>.</w:t>
      </w:r>
    </w:p>
    <w:p w14:paraId="6117AF93" w14:textId="77777777" w:rsidR="00EA6463" w:rsidRPr="00913ACD" w:rsidRDefault="00EA6463" w:rsidP="00EA6463">
      <w:pPr>
        <w:pStyle w:val="ListParagraph"/>
        <w:ind w:left="1980"/>
        <w:jc w:val="both"/>
        <w:rPr>
          <w:sz w:val="22"/>
          <w:szCs w:val="22"/>
          <w:lang w:val="pt-BR"/>
        </w:rPr>
      </w:pPr>
    </w:p>
    <w:p w14:paraId="61276306" w14:textId="5414764D" w:rsidR="00B90A02" w:rsidRPr="00913ACD" w:rsidRDefault="00B90A02" w:rsidP="00CB030B">
      <w:pPr>
        <w:pStyle w:val="ListParagraph"/>
        <w:numPr>
          <w:ilvl w:val="3"/>
          <w:numId w:val="26"/>
        </w:numPr>
        <w:ind w:left="1260" w:hanging="540"/>
        <w:jc w:val="both"/>
        <w:rPr>
          <w:sz w:val="22"/>
          <w:szCs w:val="22"/>
          <w:lang w:val="pt-BR"/>
        </w:rPr>
      </w:pPr>
      <w:r w:rsidRPr="00913ACD">
        <w:rPr>
          <w:sz w:val="22"/>
          <w:szCs w:val="22"/>
          <w:lang w:val="pt-BR"/>
        </w:rPr>
        <w:t xml:space="preserve">Avaliou dispositivos de formação de professores para o desenvolvimento de inovações pedagógicas e comunidades de aprendizagem profissional </w:t>
      </w:r>
      <w:r w:rsidR="005C2703" w:rsidRPr="00913ACD">
        <w:rPr>
          <w:sz w:val="22"/>
          <w:szCs w:val="22"/>
          <w:lang w:val="pt-BR"/>
        </w:rPr>
        <w:t xml:space="preserve">a serem </w:t>
      </w:r>
      <w:r w:rsidRPr="00913ACD">
        <w:rPr>
          <w:sz w:val="22"/>
          <w:szCs w:val="22"/>
          <w:lang w:val="pt-BR"/>
        </w:rPr>
        <w:t>implementa</w:t>
      </w:r>
      <w:r w:rsidR="005C2703" w:rsidRPr="00913ACD">
        <w:rPr>
          <w:sz w:val="22"/>
          <w:szCs w:val="22"/>
          <w:lang w:val="pt-BR"/>
        </w:rPr>
        <w:t>das</w:t>
      </w:r>
      <w:r w:rsidRPr="00913ACD">
        <w:rPr>
          <w:sz w:val="22"/>
          <w:szCs w:val="22"/>
          <w:lang w:val="pt-BR"/>
        </w:rPr>
        <w:t xml:space="preserve"> em todo o país. Foram concluídos quatro estudos, um dos quais realizado por uma equipe de consultoria externa.</w:t>
      </w:r>
    </w:p>
    <w:p w14:paraId="5C74B389" w14:textId="77777777" w:rsidR="00EE3694" w:rsidRPr="00913ACD" w:rsidRDefault="00EE3694" w:rsidP="00CB030B">
      <w:pPr>
        <w:ind w:left="720"/>
        <w:rPr>
          <w:rFonts w:ascii="Times New Roman" w:hAnsi="Times New Roman" w:cs="Times New Roman"/>
          <w:b/>
          <w:bCs/>
          <w:sz w:val="22"/>
          <w:szCs w:val="22"/>
          <w:lang w:val="pt-BR"/>
        </w:rPr>
      </w:pPr>
    </w:p>
    <w:p w14:paraId="3EDC6CB6" w14:textId="77777777" w:rsidR="005C2703" w:rsidRDefault="005C2703" w:rsidP="00CB030B">
      <w:pPr>
        <w:ind w:left="720"/>
        <w:rPr>
          <w:rFonts w:ascii="Times New Roman" w:hAnsi="Times New Roman" w:cs="Times New Roman"/>
          <w:b/>
          <w:bCs/>
          <w:sz w:val="22"/>
          <w:szCs w:val="22"/>
          <w:lang w:val="pt-BR"/>
        </w:rPr>
      </w:pPr>
    </w:p>
    <w:p w14:paraId="73A1F033" w14:textId="77777777" w:rsidR="0044389E" w:rsidRPr="00913ACD" w:rsidRDefault="0044389E" w:rsidP="00CB030B">
      <w:pPr>
        <w:ind w:left="720"/>
        <w:rPr>
          <w:rFonts w:ascii="Times New Roman" w:hAnsi="Times New Roman" w:cs="Times New Roman"/>
          <w:b/>
          <w:bCs/>
          <w:sz w:val="22"/>
          <w:szCs w:val="22"/>
          <w:lang w:val="pt-BR"/>
        </w:rPr>
      </w:pPr>
    </w:p>
    <w:p w14:paraId="28152FA5" w14:textId="4E271D37" w:rsidR="00B90A02" w:rsidRPr="00913ACD" w:rsidRDefault="00B90A02" w:rsidP="00CB030B">
      <w:pPr>
        <w:ind w:left="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Barbados: Fortalec</w:t>
      </w:r>
      <w:r w:rsidR="00AF5AA9" w:rsidRPr="00913ACD">
        <w:rPr>
          <w:rFonts w:ascii="Times New Roman" w:hAnsi="Times New Roman" w:cs="Times New Roman"/>
          <w:b/>
          <w:bCs/>
          <w:sz w:val="22"/>
          <w:szCs w:val="22"/>
          <w:lang w:val="pt-BR"/>
        </w:rPr>
        <w:t>imento d</w:t>
      </w:r>
      <w:r w:rsidRPr="00913ACD">
        <w:rPr>
          <w:rFonts w:ascii="Times New Roman" w:hAnsi="Times New Roman" w:cs="Times New Roman"/>
          <w:b/>
          <w:bCs/>
          <w:sz w:val="22"/>
          <w:szCs w:val="22"/>
          <w:lang w:val="pt-BR"/>
        </w:rPr>
        <w:t xml:space="preserve">o desenvolvimento profissional dos professores </w:t>
      </w:r>
      <w:r w:rsidR="00AF5AA9" w:rsidRPr="00913ACD">
        <w:rPr>
          <w:rFonts w:ascii="Times New Roman" w:hAnsi="Times New Roman" w:cs="Times New Roman"/>
          <w:b/>
          <w:bCs/>
          <w:sz w:val="22"/>
          <w:szCs w:val="22"/>
          <w:lang w:val="pt-BR"/>
        </w:rPr>
        <w:t>com vistas a</w:t>
      </w:r>
      <w:r w:rsidRPr="00913ACD">
        <w:rPr>
          <w:rFonts w:ascii="Times New Roman" w:hAnsi="Times New Roman" w:cs="Times New Roman"/>
          <w:b/>
          <w:bCs/>
          <w:sz w:val="22"/>
          <w:szCs w:val="22"/>
          <w:lang w:val="pt-BR"/>
        </w:rPr>
        <w:t xml:space="preserve"> melhorar a qualidade da educação</w:t>
      </w:r>
    </w:p>
    <w:p w14:paraId="4FD1916D" w14:textId="23870E6D" w:rsidR="00B90A02" w:rsidRPr="00913ACD" w:rsidRDefault="005216D1" w:rsidP="00CB030B">
      <w:pPr>
        <w:pStyle w:val="ListParagraph"/>
        <w:numPr>
          <w:ilvl w:val="0"/>
          <w:numId w:val="25"/>
        </w:numPr>
        <w:ind w:left="1260" w:hanging="540"/>
        <w:jc w:val="both"/>
        <w:rPr>
          <w:b/>
          <w:bCs/>
          <w:sz w:val="22"/>
          <w:szCs w:val="22"/>
          <w:lang w:val="pt-BR"/>
        </w:rPr>
      </w:pPr>
      <w:r w:rsidRPr="00913ACD">
        <w:rPr>
          <w:sz w:val="22"/>
          <w:szCs w:val="22"/>
          <w:lang w:val="pt-BR"/>
        </w:rPr>
        <w:t>Estabeleceu um centro de desenvolvimento profissional com foco exclusivo na implementação de programas de desenvolvimento contínuo em áreas de necessidade para melhorar a qualidade da educação. Em dezembro de 2021, o centro beneficiou 1</w:t>
      </w:r>
      <w:r w:rsidR="00586449">
        <w:rPr>
          <w:sz w:val="22"/>
          <w:szCs w:val="22"/>
          <w:lang w:val="pt-BR"/>
        </w:rPr>
        <w:t>.</w:t>
      </w:r>
      <w:r w:rsidRPr="00913ACD">
        <w:rPr>
          <w:sz w:val="22"/>
          <w:szCs w:val="22"/>
          <w:lang w:val="pt-BR"/>
        </w:rPr>
        <w:t>060 professores e 195 administradores por meio de cursos on-line/mistos com o objetivo de expandir as oportunidades de desenvolvimento profissional para professores em Barbados.</w:t>
      </w:r>
    </w:p>
    <w:p w14:paraId="35C4DD30" w14:textId="77777777" w:rsidR="00B90A02" w:rsidRPr="00913ACD" w:rsidRDefault="00B90A02" w:rsidP="00CB030B">
      <w:pPr>
        <w:rPr>
          <w:rFonts w:ascii="Times New Roman" w:hAnsi="Times New Roman" w:cs="Times New Roman"/>
          <w:b/>
          <w:bCs/>
          <w:sz w:val="22"/>
          <w:szCs w:val="22"/>
          <w:lang w:val="pt-BR"/>
        </w:rPr>
      </w:pPr>
    </w:p>
    <w:p w14:paraId="5C664511" w14:textId="417AF882" w:rsidR="00B90A02" w:rsidRPr="00913ACD" w:rsidRDefault="00B90A02" w:rsidP="00CB030B">
      <w:pPr>
        <w:ind w:firstLine="720"/>
        <w:rPr>
          <w:rFonts w:ascii="Times New Roman" w:hAnsi="Times New Roman" w:cs="Times New Roman"/>
          <w:sz w:val="22"/>
          <w:szCs w:val="22"/>
          <w:lang w:val="pt-BR"/>
        </w:rPr>
      </w:pPr>
      <w:r w:rsidRPr="00913ACD">
        <w:rPr>
          <w:rFonts w:ascii="Times New Roman" w:hAnsi="Times New Roman" w:cs="Times New Roman"/>
          <w:b/>
          <w:bCs/>
          <w:sz w:val="22"/>
          <w:szCs w:val="22"/>
          <w:lang w:val="pt-BR"/>
        </w:rPr>
        <w:t>Peru: Constru</w:t>
      </w:r>
      <w:r w:rsidR="006E5AFB" w:rsidRPr="00913ACD">
        <w:rPr>
          <w:rFonts w:ascii="Times New Roman" w:hAnsi="Times New Roman" w:cs="Times New Roman"/>
          <w:b/>
          <w:bCs/>
          <w:sz w:val="22"/>
          <w:szCs w:val="22"/>
          <w:lang w:val="pt-BR"/>
        </w:rPr>
        <w:t xml:space="preserve">ção de </w:t>
      </w:r>
      <w:r w:rsidRPr="00913ACD">
        <w:rPr>
          <w:rFonts w:ascii="Times New Roman" w:hAnsi="Times New Roman" w:cs="Times New Roman"/>
          <w:b/>
          <w:bCs/>
          <w:sz w:val="22"/>
          <w:szCs w:val="22"/>
          <w:lang w:val="pt-BR"/>
        </w:rPr>
        <w:t>práticas sustentáveis para professores</w:t>
      </w:r>
    </w:p>
    <w:p w14:paraId="3CD22F06" w14:textId="23656740" w:rsidR="001E563F" w:rsidRPr="00913ACD" w:rsidRDefault="001E563F" w:rsidP="00CB030B">
      <w:pPr>
        <w:pStyle w:val="ListParagraph"/>
        <w:numPr>
          <w:ilvl w:val="0"/>
          <w:numId w:val="25"/>
        </w:numPr>
        <w:ind w:left="1260" w:hanging="540"/>
        <w:jc w:val="both"/>
        <w:rPr>
          <w:sz w:val="22"/>
          <w:szCs w:val="22"/>
          <w:lang w:val="pt-BR"/>
        </w:rPr>
      </w:pPr>
      <w:r w:rsidRPr="00913ACD">
        <w:rPr>
          <w:sz w:val="22"/>
          <w:szCs w:val="22"/>
          <w:lang w:val="pt-BR"/>
        </w:rPr>
        <w:t xml:space="preserve">Consolidou, organizou e </w:t>
      </w:r>
      <w:r w:rsidR="009B28C6" w:rsidRPr="00913ACD">
        <w:rPr>
          <w:sz w:val="22"/>
          <w:szCs w:val="22"/>
          <w:lang w:val="pt-BR"/>
        </w:rPr>
        <w:t>com</w:t>
      </w:r>
      <w:r w:rsidRPr="00913ACD">
        <w:rPr>
          <w:sz w:val="22"/>
          <w:szCs w:val="22"/>
          <w:lang w:val="pt-BR"/>
        </w:rPr>
        <w:t>partilhou (</w:t>
      </w:r>
      <w:r w:rsidR="009B28C6" w:rsidRPr="00913ACD">
        <w:rPr>
          <w:sz w:val="22"/>
          <w:szCs w:val="22"/>
          <w:lang w:val="pt-BR"/>
        </w:rPr>
        <w:t>por meio d</w:t>
      </w:r>
      <w:r w:rsidRPr="00913ACD">
        <w:rPr>
          <w:sz w:val="22"/>
          <w:szCs w:val="22"/>
          <w:lang w:val="pt-BR"/>
        </w:rPr>
        <w:t xml:space="preserve">o Observatório Nacional de Boas Práticas e Inovação Educativa) exemplos de práticas de ensino sustentáveis </w:t>
      </w:r>
      <w:r w:rsidR="006402A3" w:rsidRPr="00913ACD">
        <w:rPr>
          <w:sz w:val="22"/>
          <w:szCs w:val="22"/>
          <w:lang w:val="pt-BR"/>
        </w:rPr>
        <w:t>no</w:t>
      </w:r>
      <w:r w:rsidRPr="00913ACD">
        <w:rPr>
          <w:sz w:val="22"/>
          <w:szCs w:val="22"/>
          <w:lang w:val="pt-BR"/>
        </w:rPr>
        <w:t xml:space="preserve"> nível nacional.</w:t>
      </w:r>
    </w:p>
    <w:p w14:paraId="1D767223" w14:textId="3F82831C" w:rsidR="001E563F" w:rsidRPr="00913ACD" w:rsidRDefault="006402A3" w:rsidP="00CB030B">
      <w:pPr>
        <w:pStyle w:val="ListParagraph"/>
        <w:numPr>
          <w:ilvl w:val="0"/>
          <w:numId w:val="25"/>
        </w:numPr>
        <w:ind w:left="1260" w:hanging="540"/>
        <w:jc w:val="both"/>
        <w:rPr>
          <w:sz w:val="22"/>
          <w:szCs w:val="22"/>
          <w:lang w:val="pt-BR"/>
        </w:rPr>
      </w:pPr>
      <w:r w:rsidRPr="00913ACD">
        <w:rPr>
          <w:sz w:val="22"/>
          <w:szCs w:val="22"/>
          <w:lang w:val="pt-BR"/>
        </w:rPr>
        <w:t xml:space="preserve">Fortaleceu </w:t>
      </w:r>
      <w:r w:rsidR="001E563F" w:rsidRPr="00913ACD">
        <w:rPr>
          <w:sz w:val="22"/>
          <w:szCs w:val="22"/>
          <w:lang w:val="pt-BR"/>
        </w:rPr>
        <w:t xml:space="preserve">as capacidades dos professores para a implementação e </w:t>
      </w:r>
      <w:r w:rsidR="00253CD1" w:rsidRPr="00913ACD">
        <w:rPr>
          <w:sz w:val="22"/>
          <w:szCs w:val="22"/>
          <w:lang w:val="pt-BR"/>
        </w:rPr>
        <w:t xml:space="preserve">o </w:t>
      </w:r>
      <w:r w:rsidR="001E563F" w:rsidRPr="00913ACD">
        <w:rPr>
          <w:sz w:val="22"/>
          <w:szCs w:val="22"/>
          <w:lang w:val="pt-BR"/>
        </w:rPr>
        <w:t xml:space="preserve">subsequente </w:t>
      </w:r>
      <w:r w:rsidR="00253CD1" w:rsidRPr="00913ACD">
        <w:rPr>
          <w:sz w:val="22"/>
          <w:szCs w:val="22"/>
          <w:lang w:val="pt-BR"/>
        </w:rPr>
        <w:t>com</w:t>
      </w:r>
      <w:r w:rsidR="001E563F" w:rsidRPr="00913ACD">
        <w:rPr>
          <w:sz w:val="22"/>
          <w:szCs w:val="22"/>
          <w:lang w:val="pt-BR"/>
        </w:rPr>
        <w:t>partilha</w:t>
      </w:r>
      <w:r w:rsidR="00253CD1" w:rsidRPr="00913ACD">
        <w:rPr>
          <w:sz w:val="22"/>
          <w:szCs w:val="22"/>
          <w:lang w:val="pt-BR"/>
        </w:rPr>
        <w:t>mento</w:t>
      </w:r>
      <w:r w:rsidR="001E563F" w:rsidRPr="00913ACD">
        <w:rPr>
          <w:sz w:val="22"/>
          <w:szCs w:val="22"/>
          <w:lang w:val="pt-BR"/>
        </w:rPr>
        <w:t xml:space="preserve"> de práticas sustentáveis.</w:t>
      </w:r>
    </w:p>
    <w:p w14:paraId="1CD51A66" w14:textId="77777777" w:rsidR="001E563F" w:rsidRPr="00913ACD" w:rsidRDefault="001E563F" w:rsidP="00CB030B">
      <w:pPr>
        <w:jc w:val="both"/>
        <w:rPr>
          <w:rFonts w:ascii="Times New Roman" w:hAnsi="Times New Roman" w:cs="Times New Roman"/>
          <w:b/>
          <w:bCs/>
          <w:sz w:val="22"/>
          <w:szCs w:val="22"/>
          <w:lang w:val="pt-BR"/>
        </w:rPr>
      </w:pPr>
    </w:p>
    <w:p w14:paraId="742710BA" w14:textId="2B746EBC" w:rsidR="00B90A02" w:rsidRPr="00913ACD" w:rsidRDefault="00B90A02" w:rsidP="00CB030B">
      <w:pPr>
        <w:ind w:firstLine="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S</w:t>
      </w:r>
      <w:r w:rsidR="00B52F84" w:rsidRPr="00913ACD">
        <w:rPr>
          <w:rFonts w:ascii="Times New Roman" w:hAnsi="Times New Roman" w:cs="Times New Roman"/>
          <w:b/>
          <w:bCs/>
          <w:sz w:val="22"/>
          <w:szCs w:val="22"/>
          <w:lang w:val="pt-BR"/>
        </w:rPr>
        <w:t xml:space="preserve">aint Kitts e </w:t>
      </w:r>
      <w:r w:rsidRPr="00913ACD">
        <w:rPr>
          <w:rFonts w:ascii="Times New Roman" w:hAnsi="Times New Roman" w:cs="Times New Roman"/>
          <w:b/>
          <w:bCs/>
          <w:sz w:val="22"/>
          <w:szCs w:val="22"/>
          <w:lang w:val="pt-BR"/>
        </w:rPr>
        <w:t>Névis: Profissionaliza</w:t>
      </w:r>
      <w:r w:rsidR="00253CD1" w:rsidRPr="00913ACD">
        <w:rPr>
          <w:rFonts w:ascii="Times New Roman" w:hAnsi="Times New Roman" w:cs="Times New Roman"/>
          <w:b/>
          <w:bCs/>
          <w:sz w:val="22"/>
          <w:szCs w:val="22"/>
          <w:lang w:val="pt-BR"/>
        </w:rPr>
        <w:t>ção d</w:t>
      </w:r>
      <w:r w:rsidRPr="00913ACD">
        <w:rPr>
          <w:rFonts w:ascii="Times New Roman" w:hAnsi="Times New Roman" w:cs="Times New Roman"/>
          <w:b/>
          <w:bCs/>
          <w:sz w:val="22"/>
          <w:szCs w:val="22"/>
          <w:lang w:val="pt-BR"/>
        </w:rPr>
        <w:t>a força docente</w:t>
      </w:r>
    </w:p>
    <w:p w14:paraId="57845DAE" w14:textId="3F0ADC6E" w:rsidR="00704809" w:rsidRPr="00913ACD" w:rsidRDefault="00CE54F8" w:rsidP="00CB030B">
      <w:pPr>
        <w:pStyle w:val="ListParagraph"/>
        <w:numPr>
          <w:ilvl w:val="0"/>
          <w:numId w:val="32"/>
        </w:numPr>
        <w:ind w:left="1260" w:hanging="540"/>
        <w:contextualSpacing/>
        <w:jc w:val="both"/>
        <w:rPr>
          <w:sz w:val="22"/>
          <w:szCs w:val="22"/>
          <w:lang w:val="pt-BR"/>
        </w:rPr>
      </w:pPr>
      <w:r w:rsidRPr="00913ACD">
        <w:rPr>
          <w:sz w:val="22"/>
          <w:szCs w:val="22"/>
          <w:lang w:val="pt-BR"/>
        </w:rPr>
        <w:t xml:space="preserve">Criou </w:t>
      </w:r>
      <w:r w:rsidR="00704809" w:rsidRPr="00913ACD">
        <w:rPr>
          <w:sz w:val="22"/>
          <w:szCs w:val="22"/>
          <w:lang w:val="pt-BR"/>
        </w:rPr>
        <w:t xml:space="preserve">um quadro de desenvolvimento profissional contínuo para educadores; uma trajetória de carreira para o setor da educação, </w:t>
      </w:r>
      <w:r w:rsidR="00E90B08">
        <w:rPr>
          <w:sz w:val="22"/>
          <w:szCs w:val="22"/>
          <w:lang w:val="pt-BR"/>
        </w:rPr>
        <w:t xml:space="preserve">que </w:t>
      </w:r>
      <w:r w:rsidR="00704809" w:rsidRPr="00913ACD">
        <w:rPr>
          <w:sz w:val="22"/>
          <w:szCs w:val="22"/>
          <w:lang w:val="pt-BR"/>
        </w:rPr>
        <w:t>inclui</w:t>
      </w:r>
      <w:r w:rsidR="00E90B08">
        <w:rPr>
          <w:sz w:val="22"/>
          <w:szCs w:val="22"/>
          <w:lang w:val="pt-BR"/>
        </w:rPr>
        <w:t xml:space="preserve"> </w:t>
      </w:r>
      <w:r w:rsidR="00704809" w:rsidRPr="00913ACD">
        <w:rPr>
          <w:sz w:val="22"/>
          <w:szCs w:val="22"/>
          <w:lang w:val="pt-BR"/>
        </w:rPr>
        <w:t xml:space="preserve">os custos </w:t>
      </w:r>
      <w:r w:rsidR="00C95137" w:rsidRPr="00913ACD">
        <w:rPr>
          <w:sz w:val="22"/>
          <w:szCs w:val="22"/>
          <w:lang w:val="pt-BR"/>
        </w:rPr>
        <w:t>projet</w:t>
      </w:r>
      <w:r w:rsidR="00704809" w:rsidRPr="00913ACD">
        <w:rPr>
          <w:sz w:val="22"/>
          <w:szCs w:val="22"/>
          <w:lang w:val="pt-BR"/>
        </w:rPr>
        <w:t>ados da reforma da tabela salarial d</w:t>
      </w:r>
      <w:r w:rsidR="0099340E" w:rsidRPr="00913ACD">
        <w:rPr>
          <w:sz w:val="22"/>
          <w:szCs w:val="22"/>
          <w:lang w:val="pt-BR"/>
        </w:rPr>
        <w:t xml:space="preserve">o serviço </w:t>
      </w:r>
      <w:r w:rsidR="00704809" w:rsidRPr="00913ACD">
        <w:rPr>
          <w:sz w:val="22"/>
          <w:szCs w:val="22"/>
          <w:lang w:val="pt-BR"/>
        </w:rPr>
        <w:t>públic</w:t>
      </w:r>
      <w:r w:rsidR="0099340E" w:rsidRPr="00913ACD">
        <w:rPr>
          <w:sz w:val="22"/>
          <w:szCs w:val="22"/>
          <w:lang w:val="pt-BR"/>
        </w:rPr>
        <w:t>o</w:t>
      </w:r>
      <w:r w:rsidR="00704809" w:rsidRPr="00913ACD">
        <w:rPr>
          <w:sz w:val="22"/>
          <w:szCs w:val="22"/>
          <w:lang w:val="pt-BR"/>
        </w:rPr>
        <w:t>; um sistema de avaliação para educadores; e novas normas profissionais, inclu</w:t>
      </w:r>
      <w:r w:rsidR="00E846D6" w:rsidRPr="00913ACD">
        <w:rPr>
          <w:sz w:val="22"/>
          <w:szCs w:val="22"/>
          <w:lang w:val="pt-BR"/>
        </w:rPr>
        <w:t xml:space="preserve">sive </w:t>
      </w:r>
      <w:r w:rsidR="00704809" w:rsidRPr="00913ACD">
        <w:rPr>
          <w:sz w:val="22"/>
          <w:szCs w:val="22"/>
          <w:lang w:val="pt-BR"/>
        </w:rPr>
        <w:t xml:space="preserve">um código de conduta para professores e educadores. Essas medidas incentivarão a profissionalização da força docente – levando </w:t>
      </w:r>
      <w:r w:rsidR="00282842">
        <w:rPr>
          <w:sz w:val="22"/>
          <w:szCs w:val="22"/>
          <w:lang w:val="pt-BR"/>
        </w:rPr>
        <w:t>à</w:t>
      </w:r>
      <w:r w:rsidR="00704809" w:rsidRPr="00913ACD">
        <w:rPr>
          <w:sz w:val="22"/>
          <w:szCs w:val="22"/>
          <w:lang w:val="pt-BR"/>
        </w:rPr>
        <w:t xml:space="preserve"> melhor</w:t>
      </w:r>
      <w:r w:rsidR="00282842">
        <w:rPr>
          <w:sz w:val="22"/>
          <w:szCs w:val="22"/>
          <w:lang w:val="pt-BR"/>
        </w:rPr>
        <w:t>ia</w:t>
      </w:r>
      <w:r w:rsidR="00704809" w:rsidRPr="00913ACD">
        <w:rPr>
          <w:sz w:val="22"/>
          <w:szCs w:val="22"/>
          <w:lang w:val="pt-BR"/>
        </w:rPr>
        <w:t xml:space="preserve"> </w:t>
      </w:r>
      <w:r w:rsidR="00282842">
        <w:rPr>
          <w:sz w:val="22"/>
          <w:szCs w:val="22"/>
          <w:lang w:val="pt-BR"/>
        </w:rPr>
        <w:t xml:space="preserve">da </w:t>
      </w:r>
      <w:r w:rsidR="00704809" w:rsidRPr="00913ACD">
        <w:rPr>
          <w:sz w:val="22"/>
          <w:szCs w:val="22"/>
          <w:lang w:val="pt-BR"/>
        </w:rPr>
        <w:t xml:space="preserve">educação, </w:t>
      </w:r>
      <w:r w:rsidR="00282842">
        <w:rPr>
          <w:sz w:val="22"/>
          <w:szCs w:val="22"/>
          <w:lang w:val="pt-BR"/>
        </w:rPr>
        <w:t xml:space="preserve">do </w:t>
      </w:r>
      <w:r w:rsidR="00704809" w:rsidRPr="00913ACD">
        <w:rPr>
          <w:sz w:val="22"/>
          <w:szCs w:val="22"/>
          <w:lang w:val="pt-BR"/>
        </w:rPr>
        <w:t xml:space="preserve">desenvolvimento e </w:t>
      </w:r>
      <w:r w:rsidR="00282842">
        <w:rPr>
          <w:sz w:val="22"/>
          <w:szCs w:val="22"/>
          <w:lang w:val="pt-BR"/>
        </w:rPr>
        <w:t xml:space="preserve">da </w:t>
      </w:r>
      <w:r w:rsidR="00704809" w:rsidRPr="00913ACD">
        <w:rPr>
          <w:sz w:val="22"/>
          <w:szCs w:val="22"/>
          <w:lang w:val="pt-BR"/>
        </w:rPr>
        <w:t>gestão educacional.</w:t>
      </w:r>
    </w:p>
    <w:p w14:paraId="1FA48EA8" w14:textId="1DB6C260" w:rsidR="00FA4EDE" w:rsidRPr="00913ACD" w:rsidRDefault="00704809" w:rsidP="00CB030B">
      <w:pPr>
        <w:pStyle w:val="ListParagraph"/>
        <w:numPr>
          <w:ilvl w:val="0"/>
          <w:numId w:val="32"/>
        </w:numPr>
        <w:ind w:left="1260" w:hanging="540"/>
        <w:contextualSpacing/>
        <w:rPr>
          <w:sz w:val="22"/>
          <w:szCs w:val="22"/>
          <w:lang w:val="pt-BR"/>
        </w:rPr>
      </w:pPr>
      <w:r w:rsidRPr="00913ACD">
        <w:rPr>
          <w:sz w:val="22"/>
          <w:szCs w:val="22"/>
          <w:lang w:val="pt-BR"/>
        </w:rPr>
        <w:t xml:space="preserve">Certificou 80 professores </w:t>
      </w:r>
      <w:r w:rsidR="000631BA" w:rsidRPr="00913ACD">
        <w:rPr>
          <w:sz w:val="22"/>
          <w:szCs w:val="22"/>
          <w:lang w:val="pt-BR"/>
        </w:rPr>
        <w:t>no ensino do i</w:t>
      </w:r>
      <w:r w:rsidRPr="00913ACD">
        <w:rPr>
          <w:sz w:val="22"/>
          <w:szCs w:val="22"/>
          <w:lang w:val="pt-BR"/>
        </w:rPr>
        <w:t xml:space="preserve">nglês como </w:t>
      </w:r>
      <w:r w:rsidR="000631BA" w:rsidRPr="00913ACD">
        <w:rPr>
          <w:sz w:val="22"/>
          <w:szCs w:val="22"/>
          <w:lang w:val="pt-BR"/>
        </w:rPr>
        <w:t>s</w:t>
      </w:r>
      <w:r w:rsidRPr="00913ACD">
        <w:rPr>
          <w:sz w:val="22"/>
          <w:szCs w:val="22"/>
          <w:lang w:val="pt-BR"/>
        </w:rPr>
        <w:t xml:space="preserve">egunda </w:t>
      </w:r>
      <w:r w:rsidR="000631BA" w:rsidRPr="00913ACD">
        <w:rPr>
          <w:sz w:val="22"/>
          <w:szCs w:val="22"/>
          <w:lang w:val="pt-BR"/>
        </w:rPr>
        <w:t>l</w:t>
      </w:r>
      <w:r w:rsidRPr="00913ACD">
        <w:rPr>
          <w:sz w:val="22"/>
          <w:szCs w:val="22"/>
          <w:lang w:val="pt-BR"/>
        </w:rPr>
        <w:t xml:space="preserve">íngua </w:t>
      </w:r>
      <w:r w:rsidR="00673A92" w:rsidRPr="00913ACD">
        <w:rPr>
          <w:sz w:val="22"/>
          <w:szCs w:val="22"/>
          <w:lang w:val="pt-BR"/>
        </w:rPr>
        <w:t>n</w:t>
      </w:r>
      <w:r w:rsidRPr="00913ACD">
        <w:rPr>
          <w:sz w:val="22"/>
          <w:szCs w:val="22"/>
          <w:lang w:val="pt-BR"/>
        </w:rPr>
        <w:t>as escolas.</w:t>
      </w:r>
    </w:p>
    <w:p w14:paraId="3EA99434" w14:textId="77777777" w:rsidR="003631D7" w:rsidRPr="00913ACD" w:rsidRDefault="003631D7" w:rsidP="00CB030B">
      <w:pPr>
        <w:contextualSpacing/>
        <w:rPr>
          <w:rFonts w:ascii="Times New Roman" w:hAnsi="Times New Roman" w:cs="Times New Roman"/>
          <w:b/>
          <w:bCs/>
          <w:sz w:val="22"/>
          <w:szCs w:val="22"/>
          <w:lang w:val="pt-BR"/>
        </w:rPr>
      </w:pPr>
    </w:p>
    <w:p w14:paraId="0BBB4F59" w14:textId="0919C27F" w:rsidR="00915887" w:rsidRPr="00913ACD" w:rsidRDefault="00915887" w:rsidP="00CB030B">
      <w:pPr>
        <w:ind w:left="720"/>
        <w:contextualSpacing/>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PROGRAMA III</w:t>
      </w:r>
    </w:p>
    <w:p w14:paraId="484205F1" w14:textId="6483DBE7" w:rsidR="00915887" w:rsidRPr="00913ACD" w:rsidRDefault="00915887" w:rsidP="00CB030B">
      <w:pPr>
        <w:ind w:left="720"/>
        <w:jc w:val="both"/>
        <w:rPr>
          <w:rFonts w:ascii="Times New Roman" w:eastAsia="MS PGothic" w:hAnsi="Times New Roman" w:cs="Times New Roman"/>
          <w:b/>
          <w:bCs/>
          <w:color w:val="000000"/>
          <w:kern w:val="24"/>
          <w:sz w:val="22"/>
          <w:szCs w:val="22"/>
          <w:lang w:val="pt-BR"/>
        </w:rPr>
      </w:pPr>
      <w:r w:rsidRPr="00913ACD">
        <w:rPr>
          <w:rFonts w:ascii="Times New Roman" w:hAnsi="Times New Roman" w:cs="Times New Roman"/>
          <w:b/>
          <w:color w:val="000000"/>
          <w:kern w:val="24"/>
          <w:sz w:val="22"/>
          <w:szCs w:val="22"/>
          <w:lang w:val="pt-BR"/>
        </w:rPr>
        <w:t xml:space="preserve">Cuidados </w:t>
      </w:r>
      <w:r w:rsidR="006C63EC">
        <w:rPr>
          <w:rFonts w:ascii="Times New Roman" w:hAnsi="Times New Roman" w:cs="Times New Roman"/>
          <w:b/>
          <w:color w:val="000000"/>
          <w:kern w:val="24"/>
          <w:sz w:val="22"/>
          <w:szCs w:val="22"/>
          <w:lang w:val="pt-BR"/>
        </w:rPr>
        <w:t>A</w:t>
      </w:r>
      <w:r w:rsidRPr="00913ACD">
        <w:rPr>
          <w:rFonts w:ascii="Times New Roman" w:hAnsi="Times New Roman" w:cs="Times New Roman"/>
          <w:b/>
          <w:color w:val="000000"/>
          <w:kern w:val="24"/>
          <w:sz w:val="22"/>
          <w:szCs w:val="22"/>
          <w:lang w:val="pt-BR"/>
        </w:rPr>
        <w:t xml:space="preserve">brangentes na </w:t>
      </w:r>
      <w:r w:rsidR="006C63EC">
        <w:rPr>
          <w:rFonts w:ascii="Times New Roman" w:hAnsi="Times New Roman" w:cs="Times New Roman"/>
          <w:b/>
          <w:color w:val="000000"/>
          <w:kern w:val="24"/>
          <w:sz w:val="22"/>
          <w:szCs w:val="22"/>
          <w:lang w:val="pt-BR"/>
        </w:rPr>
        <w:t>P</w:t>
      </w:r>
      <w:r w:rsidRPr="00913ACD">
        <w:rPr>
          <w:rFonts w:ascii="Times New Roman" w:hAnsi="Times New Roman" w:cs="Times New Roman"/>
          <w:b/>
          <w:color w:val="000000"/>
          <w:kern w:val="24"/>
          <w:sz w:val="22"/>
          <w:szCs w:val="22"/>
          <w:lang w:val="pt-BR"/>
        </w:rPr>
        <w:t xml:space="preserve">rimeira </w:t>
      </w:r>
      <w:r w:rsidR="006C63EC">
        <w:rPr>
          <w:rFonts w:ascii="Times New Roman" w:hAnsi="Times New Roman" w:cs="Times New Roman"/>
          <w:b/>
          <w:color w:val="000000"/>
          <w:kern w:val="24"/>
          <w:sz w:val="22"/>
          <w:szCs w:val="22"/>
          <w:lang w:val="pt-BR"/>
        </w:rPr>
        <w:t>I</w:t>
      </w:r>
      <w:r w:rsidRPr="00913ACD">
        <w:rPr>
          <w:rFonts w:ascii="Times New Roman" w:hAnsi="Times New Roman" w:cs="Times New Roman"/>
          <w:b/>
          <w:color w:val="000000"/>
          <w:kern w:val="24"/>
          <w:sz w:val="22"/>
          <w:szCs w:val="22"/>
          <w:lang w:val="pt-BR"/>
        </w:rPr>
        <w:t>nfância: Bahamas, Honduras, Panamá, Santa Lúcia, São Vicente e Granadinas, Uruguai</w:t>
      </w:r>
    </w:p>
    <w:p w14:paraId="0CB00A58" w14:textId="58898C7D" w:rsidR="00543D52" w:rsidRPr="00913ACD" w:rsidRDefault="00543D52" w:rsidP="00CB030B">
      <w:pPr>
        <w:jc w:val="both"/>
        <w:rPr>
          <w:rFonts w:ascii="Times New Roman" w:eastAsia="MS PGothic" w:hAnsi="Times New Roman" w:cs="Times New Roman"/>
          <w:i/>
          <w:iCs/>
          <w:color w:val="000000"/>
          <w:kern w:val="24"/>
          <w:sz w:val="22"/>
          <w:szCs w:val="22"/>
          <w:lang w:val="pt-BR"/>
        </w:rPr>
      </w:pPr>
    </w:p>
    <w:p w14:paraId="11DAFCAC" w14:textId="31980FAD" w:rsidR="00543D52" w:rsidRPr="005E789B" w:rsidRDefault="00543D52" w:rsidP="00CB030B">
      <w:pPr>
        <w:ind w:firstLine="720"/>
        <w:rPr>
          <w:rFonts w:ascii="Times New Roman" w:hAnsi="Times New Roman" w:cs="Times New Roman"/>
          <w:b/>
          <w:bCs/>
          <w:sz w:val="22"/>
          <w:szCs w:val="22"/>
          <w:lang w:val="en-US"/>
        </w:rPr>
      </w:pPr>
      <w:r w:rsidRPr="005E789B">
        <w:rPr>
          <w:rFonts w:ascii="Times New Roman" w:hAnsi="Times New Roman" w:cs="Times New Roman"/>
          <w:b/>
          <w:bCs/>
          <w:sz w:val="22"/>
          <w:szCs w:val="22"/>
          <w:lang w:val="en-US"/>
        </w:rPr>
        <w:t xml:space="preserve">Bahamas: 'Early Start </w:t>
      </w:r>
      <w:r w:rsidR="00C95137" w:rsidRPr="005E789B">
        <w:rPr>
          <w:rFonts w:ascii="Times New Roman" w:hAnsi="Times New Roman" w:cs="Times New Roman"/>
          <w:b/>
          <w:bCs/>
          <w:sz w:val="22"/>
          <w:szCs w:val="22"/>
          <w:lang w:val="en-US"/>
        </w:rPr>
        <w:t>Proje</w:t>
      </w:r>
      <w:r w:rsidR="003C2459" w:rsidRPr="005E789B">
        <w:rPr>
          <w:rFonts w:ascii="Times New Roman" w:hAnsi="Times New Roman" w:cs="Times New Roman"/>
          <w:b/>
          <w:bCs/>
          <w:sz w:val="22"/>
          <w:szCs w:val="22"/>
          <w:lang w:val="en-US"/>
        </w:rPr>
        <w:t>c</w:t>
      </w:r>
      <w:r w:rsidR="00C95137" w:rsidRPr="005E789B">
        <w:rPr>
          <w:rFonts w:ascii="Times New Roman" w:hAnsi="Times New Roman" w:cs="Times New Roman"/>
          <w:b/>
          <w:bCs/>
          <w:sz w:val="22"/>
          <w:szCs w:val="22"/>
          <w:lang w:val="en-US"/>
        </w:rPr>
        <w:t>t</w:t>
      </w:r>
      <w:r w:rsidRPr="005E789B">
        <w:rPr>
          <w:rFonts w:ascii="Times New Roman" w:hAnsi="Times New Roman" w:cs="Times New Roman"/>
          <w:b/>
          <w:bCs/>
          <w:sz w:val="22"/>
          <w:szCs w:val="22"/>
          <w:lang w:val="en-US"/>
        </w:rPr>
        <w:t>'</w:t>
      </w:r>
    </w:p>
    <w:p w14:paraId="191C1F24" w14:textId="2925C832" w:rsidR="00543D52" w:rsidRPr="00913ACD" w:rsidRDefault="00543D52" w:rsidP="00CB030B">
      <w:pPr>
        <w:pStyle w:val="ListParagraph"/>
        <w:numPr>
          <w:ilvl w:val="0"/>
          <w:numId w:val="35"/>
        </w:numPr>
        <w:ind w:left="1260" w:hanging="540"/>
        <w:contextualSpacing/>
        <w:jc w:val="both"/>
        <w:rPr>
          <w:sz w:val="22"/>
          <w:szCs w:val="22"/>
          <w:lang w:val="pt-BR"/>
        </w:rPr>
      </w:pPr>
      <w:r w:rsidRPr="00913ACD">
        <w:rPr>
          <w:sz w:val="22"/>
          <w:szCs w:val="22"/>
          <w:lang w:val="pt-BR"/>
        </w:rPr>
        <w:t>Desenvolveu um currículo pré-escolar revisado com a contribuição de mais de 245 cuidadores, professores e auxiliares de professores de pré-escolas públicas e privadas.</w:t>
      </w:r>
    </w:p>
    <w:p w14:paraId="66E35495" w14:textId="537250E3" w:rsidR="00543D52" w:rsidRPr="00913ACD" w:rsidRDefault="00BB659A" w:rsidP="00CB030B">
      <w:pPr>
        <w:pStyle w:val="ListParagraph"/>
        <w:numPr>
          <w:ilvl w:val="0"/>
          <w:numId w:val="35"/>
        </w:numPr>
        <w:ind w:left="1260" w:hanging="540"/>
        <w:contextualSpacing/>
        <w:jc w:val="both"/>
        <w:rPr>
          <w:sz w:val="22"/>
          <w:szCs w:val="22"/>
          <w:lang w:val="pt-BR"/>
        </w:rPr>
      </w:pPr>
      <w:r w:rsidRPr="00913ACD">
        <w:rPr>
          <w:sz w:val="22"/>
          <w:szCs w:val="22"/>
          <w:lang w:val="pt-BR"/>
        </w:rPr>
        <w:t xml:space="preserve">Familiarizou e treinou as partes interessadas da primeira infância, diretores, cuidadores, professores, auxiliares de professores e pais em práticas apropriadas para </w:t>
      </w:r>
      <w:r w:rsidR="008D2225" w:rsidRPr="00913ACD">
        <w:rPr>
          <w:sz w:val="22"/>
          <w:szCs w:val="22"/>
          <w:lang w:val="pt-BR"/>
        </w:rPr>
        <w:t xml:space="preserve">o </w:t>
      </w:r>
      <w:r w:rsidRPr="00913ACD">
        <w:rPr>
          <w:sz w:val="22"/>
          <w:szCs w:val="22"/>
          <w:lang w:val="pt-BR"/>
        </w:rPr>
        <w:t>ensin</w:t>
      </w:r>
      <w:r w:rsidR="008D2225" w:rsidRPr="00913ACD">
        <w:rPr>
          <w:sz w:val="22"/>
          <w:szCs w:val="22"/>
          <w:lang w:val="pt-BR"/>
        </w:rPr>
        <w:t>o</w:t>
      </w:r>
      <w:r w:rsidRPr="00913ACD">
        <w:rPr>
          <w:sz w:val="22"/>
          <w:szCs w:val="22"/>
          <w:lang w:val="pt-BR"/>
        </w:rPr>
        <w:t xml:space="preserve"> e</w:t>
      </w:r>
      <w:r w:rsidR="008D2225" w:rsidRPr="00913ACD">
        <w:rPr>
          <w:sz w:val="22"/>
          <w:szCs w:val="22"/>
          <w:lang w:val="pt-BR"/>
        </w:rPr>
        <w:t xml:space="preserve"> o</w:t>
      </w:r>
      <w:r w:rsidRPr="00913ACD">
        <w:rPr>
          <w:sz w:val="22"/>
          <w:szCs w:val="22"/>
          <w:lang w:val="pt-BR"/>
        </w:rPr>
        <w:t xml:space="preserve"> cuida</w:t>
      </w:r>
      <w:r w:rsidR="008D2225" w:rsidRPr="00913ACD">
        <w:rPr>
          <w:sz w:val="22"/>
          <w:szCs w:val="22"/>
          <w:lang w:val="pt-BR"/>
        </w:rPr>
        <w:t>do</w:t>
      </w:r>
      <w:r w:rsidRPr="00913ACD">
        <w:rPr>
          <w:sz w:val="22"/>
          <w:szCs w:val="22"/>
          <w:lang w:val="pt-BR"/>
        </w:rPr>
        <w:t xml:space="preserve"> de crianças pequenas. Para garantir a sustentabilidade, </w:t>
      </w:r>
      <w:r w:rsidR="00077A29" w:rsidRPr="00913ACD">
        <w:rPr>
          <w:sz w:val="22"/>
          <w:szCs w:val="22"/>
          <w:lang w:val="pt-BR"/>
        </w:rPr>
        <w:t xml:space="preserve">foi instituído </w:t>
      </w:r>
      <w:r w:rsidRPr="00913ACD">
        <w:rPr>
          <w:sz w:val="22"/>
          <w:szCs w:val="22"/>
          <w:lang w:val="pt-BR"/>
        </w:rPr>
        <w:t xml:space="preserve">o Ciclo de Desenvolvimento Curricular do Departamento de Educação </w:t>
      </w:r>
      <w:r w:rsidR="00077A29" w:rsidRPr="00913ACD">
        <w:rPr>
          <w:sz w:val="22"/>
          <w:szCs w:val="22"/>
          <w:lang w:val="pt-BR"/>
        </w:rPr>
        <w:t xml:space="preserve">a fim de </w:t>
      </w:r>
      <w:r w:rsidRPr="00913ACD">
        <w:rPr>
          <w:sz w:val="22"/>
          <w:szCs w:val="22"/>
          <w:lang w:val="pt-BR"/>
        </w:rPr>
        <w:t xml:space="preserve">garantir que todos os documentos curriculares sejam revisados </w:t>
      </w:r>
      <w:r w:rsidR="00C82DB7">
        <w:rPr>
          <w:sz w:val="22"/>
          <w:szCs w:val="22"/>
          <w:lang w:val="pt-BR"/>
        </w:rPr>
        <w:t xml:space="preserve">ao longo de cinco </w:t>
      </w:r>
      <w:r w:rsidRPr="00913ACD">
        <w:rPr>
          <w:sz w:val="22"/>
          <w:szCs w:val="22"/>
          <w:lang w:val="pt-BR"/>
        </w:rPr>
        <w:t>anos.</w:t>
      </w:r>
    </w:p>
    <w:p w14:paraId="3A30D449" w14:textId="77777777" w:rsidR="00543D52" w:rsidRPr="00913ACD" w:rsidRDefault="00543D52" w:rsidP="00CB030B">
      <w:pPr>
        <w:rPr>
          <w:rFonts w:ascii="Times New Roman" w:hAnsi="Times New Roman" w:cs="Times New Roman"/>
          <w:b/>
          <w:bCs/>
          <w:sz w:val="22"/>
          <w:szCs w:val="22"/>
          <w:lang w:val="pt-BR"/>
        </w:rPr>
      </w:pPr>
    </w:p>
    <w:p w14:paraId="7E4CCD88" w14:textId="4397D4CC" w:rsidR="00543D52" w:rsidRPr="00913ACD" w:rsidRDefault="00543D52" w:rsidP="00CB030B">
      <w:pPr>
        <w:ind w:firstLine="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Honduras: Pais e mães cria</w:t>
      </w:r>
      <w:r w:rsidR="00855EF9" w:rsidRPr="00913ACD">
        <w:rPr>
          <w:rFonts w:ascii="Times New Roman" w:hAnsi="Times New Roman" w:cs="Times New Roman"/>
          <w:b/>
          <w:bCs/>
          <w:sz w:val="22"/>
          <w:szCs w:val="22"/>
          <w:lang w:val="pt-BR"/>
        </w:rPr>
        <w:t>ndo</w:t>
      </w:r>
      <w:r w:rsidRPr="00913ACD">
        <w:rPr>
          <w:rFonts w:ascii="Times New Roman" w:hAnsi="Times New Roman" w:cs="Times New Roman"/>
          <w:b/>
          <w:bCs/>
          <w:sz w:val="22"/>
          <w:szCs w:val="22"/>
          <w:lang w:val="pt-BR"/>
        </w:rPr>
        <w:t xml:space="preserve"> seus filhos com amor</w:t>
      </w:r>
    </w:p>
    <w:p w14:paraId="763CE516" w14:textId="2C00087E" w:rsidR="00F357C2" w:rsidRPr="00913ACD" w:rsidRDefault="003979B1" w:rsidP="00CB030B">
      <w:pPr>
        <w:pStyle w:val="ListParagraph"/>
        <w:numPr>
          <w:ilvl w:val="0"/>
          <w:numId w:val="35"/>
        </w:numPr>
        <w:ind w:left="1260" w:hanging="540"/>
        <w:contextualSpacing/>
        <w:jc w:val="both"/>
        <w:rPr>
          <w:sz w:val="22"/>
          <w:szCs w:val="22"/>
          <w:lang w:val="pt-BR"/>
        </w:rPr>
      </w:pPr>
      <w:r w:rsidRPr="00913ACD">
        <w:rPr>
          <w:sz w:val="22"/>
          <w:szCs w:val="22"/>
          <w:lang w:val="pt-BR"/>
        </w:rPr>
        <w:t>Foi refinada a</w:t>
      </w:r>
      <w:r w:rsidR="00B709B3" w:rsidRPr="00913ACD">
        <w:rPr>
          <w:sz w:val="22"/>
          <w:szCs w:val="22"/>
          <w:lang w:val="pt-BR"/>
        </w:rPr>
        <w:t xml:space="preserve"> </w:t>
      </w:r>
      <w:r w:rsidR="00F357C2" w:rsidRPr="00913ACD">
        <w:rPr>
          <w:sz w:val="22"/>
          <w:szCs w:val="22"/>
          <w:lang w:val="pt-BR"/>
        </w:rPr>
        <w:t xml:space="preserve">estratégia comunitária </w:t>
      </w:r>
      <w:r w:rsidRPr="00913ACD">
        <w:rPr>
          <w:i/>
          <w:iCs/>
          <w:sz w:val="22"/>
          <w:szCs w:val="22"/>
          <w:lang w:val="pt-BR"/>
        </w:rPr>
        <w:t>“Criando con Amor”,</w:t>
      </w:r>
      <w:r w:rsidRPr="00913ACD">
        <w:rPr>
          <w:sz w:val="22"/>
          <w:szCs w:val="22"/>
          <w:lang w:val="pt-BR"/>
        </w:rPr>
        <w:t xml:space="preserve"> </w:t>
      </w:r>
      <w:r w:rsidR="00F357C2" w:rsidRPr="00913ACD">
        <w:rPr>
          <w:sz w:val="22"/>
          <w:szCs w:val="22"/>
          <w:lang w:val="pt-BR"/>
        </w:rPr>
        <w:t xml:space="preserve">atualmente ensinada a 1.353 facilitadores, pais e atores comunitários para promover a conscientização e a implementação de estratégias </w:t>
      </w:r>
      <w:r w:rsidR="00FD2324" w:rsidRPr="00913ACD">
        <w:rPr>
          <w:sz w:val="22"/>
          <w:szCs w:val="22"/>
          <w:lang w:val="pt-BR"/>
        </w:rPr>
        <w:t xml:space="preserve">em </w:t>
      </w:r>
      <w:r w:rsidR="00BE0C44" w:rsidRPr="00913ACD">
        <w:rPr>
          <w:sz w:val="22"/>
          <w:szCs w:val="22"/>
          <w:lang w:val="pt-BR"/>
        </w:rPr>
        <w:t xml:space="preserve">14 </w:t>
      </w:r>
      <w:r w:rsidR="00F357C2" w:rsidRPr="00913ACD">
        <w:rPr>
          <w:sz w:val="22"/>
          <w:szCs w:val="22"/>
          <w:lang w:val="pt-BR"/>
        </w:rPr>
        <w:t>mudanças comportamentais projetadas para otimizar o desenvolvimento social e físico da criança.</w:t>
      </w:r>
    </w:p>
    <w:p w14:paraId="32F8EC56" w14:textId="77777777" w:rsidR="00EE3694" w:rsidRPr="00913ACD" w:rsidRDefault="00EE3694" w:rsidP="00EE3694">
      <w:pPr>
        <w:pStyle w:val="ListParagraph"/>
        <w:ind w:left="1260"/>
        <w:contextualSpacing/>
        <w:jc w:val="both"/>
        <w:rPr>
          <w:sz w:val="22"/>
          <w:szCs w:val="22"/>
          <w:lang w:val="pt-BR"/>
        </w:rPr>
      </w:pPr>
    </w:p>
    <w:p w14:paraId="1074910A" w14:textId="48B37190" w:rsidR="00543D52" w:rsidRPr="00913ACD" w:rsidRDefault="00543D52" w:rsidP="00CB030B">
      <w:pPr>
        <w:ind w:left="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 xml:space="preserve">Panamá: </w:t>
      </w:r>
      <w:r w:rsidR="00FD2324" w:rsidRPr="00913ACD">
        <w:rPr>
          <w:rFonts w:ascii="Times New Roman" w:hAnsi="Times New Roman" w:cs="Times New Roman"/>
          <w:b/>
          <w:bCs/>
          <w:sz w:val="22"/>
          <w:szCs w:val="22"/>
          <w:lang w:val="pt-BR"/>
        </w:rPr>
        <w:t>A e</w:t>
      </w:r>
      <w:r w:rsidRPr="00913ACD">
        <w:rPr>
          <w:rFonts w:ascii="Times New Roman" w:hAnsi="Times New Roman" w:cs="Times New Roman"/>
          <w:b/>
          <w:bCs/>
          <w:sz w:val="22"/>
          <w:szCs w:val="22"/>
          <w:lang w:val="pt-BR"/>
        </w:rPr>
        <w:t xml:space="preserve">ducação para a primeira infância é importante porque </w:t>
      </w:r>
      <w:r w:rsidR="007800A2" w:rsidRPr="00913ACD">
        <w:rPr>
          <w:rFonts w:ascii="Times New Roman" w:hAnsi="Times New Roman" w:cs="Times New Roman"/>
          <w:b/>
          <w:bCs/>
          <w:sz w:val="22"/>
          <w:szCs w:val="22"/>
          <w:lang w:val="pt-BR"/>
        </w:rPr>
        <w:t>“</w:t>
      </w:r>
      <w:r w:rsidR="00C74E36" w:rsidRPr="00913ACD">
        <w:rPr>
          <w:rFonts w:ascii="Times New Roman" w:hAnsi="Times New Roman" w:cs="Times New Roman"/>
          <w:b/>
          <w:bCs/>
          <w:sz w:val="22"/>
          <w:szCs w:val="22"/>
          <w:lang w:val="pt-BR"/>
        </w:rPr>
        <w:t>O p</w:t>
      </w:r>
      <w:r w:rsidRPr="00913ACD">
        <w:rPr>
          <w:rFonts w:ascii="Times New Roman" w:hAnsi="Times New Roman" w:cs="Times New Roman"/>
          <w:b/>
          <w:bCs/>
          <w:sz w:val="22"/>
          <w:szCs w:val="22"/>
          <w:lang w:val="pt-BR"/>
        </w:rPr>
        <w:t xml:space="preserve">rimeiro vem </w:t>
      </w:r>
      <w:r w:rsidR="00C74E36" w:rsidRPr="00913ACD">
        <w:rPr>
          <w:rFonts w:ascii="Times New Roman" w:hAnsi="Times New Roman" w:cs="Times New Roman"/>
          <w:b/>
          <w:bCs/>
          <w:sz w:val="22"/>
          <w:szCs w:val="22"/>
          <w:lang w:val="pt-BR"/>
        </w:rPr>
        <w:t>p</w:t>
      </w:r>
      <w:r w:rsidRPr="00913ACD">
        <w:rPr>
          <w:rFonts w:ascii="Times New Roman" w:hAnsi="Times New Roman" w:cs="Times New Roman"/>
          <w:b/>
          <w:bCs/>
          <w:sz w:val="22"/>
          <w:szCs w:val="22"/>
          <w:lang w:val="pt-BR"/>
        </w:rPr>
        <w:t>rimeiro</w:t>
      </w:r>
      <w:r w:rsidR="007800A2" w:rsidRPr="00913ACD">
        <w:rPr>
          <w:rFonts w:ascii="Times New Roman" w:hAnsi="Times New Roman" w:cs="Times New Roman"/>
          <w:b/>
          <w:bCs/>
          <w:sz w:val="22"/>
          <w:szCs w:val="22"/>
          <w:lang w:val="pt-BR"/>
        </w:rPr>
        <w:t>”</w:t>
      </w:r>
    </w:p>
    <w:p w14:paraId="62ECF4A3" w14:textId="300E200F" w:rsidR="00543D52" w:rsidRPr="00913ACD" w:rsidRDefault="005141C6" w:rsidP="00CB030B">
      <w:pPr>
        <w:pStyle w:val="ListParagraph"/>
        <w:numPr>
          <w:ilvl w:val="0"/>
          <w:numId w:val="35"/>
        </w:numPr>
        <w:ind w:left="1260" w:hanging="540"/>
        <w:jc w:val="both"/>
        <w:rPr>
          <w:sz w:val="22"/>
          <w:szCs w:val="22"/>
          <w:lang w:val="pt-BR"/>
        </w:rPr>
      </w:pPr>
      <w:r w:rsidRPr="00913ACD">
        <w:rPr>
          <w:sz w:val="22"/>
          <w:szCs w:val="22"/>
          <w:lang w:val="pt-BR"/>
        </w:rPr>
        <w:t>Desenvolv</w:t>
      </w:r>
      <w:r w:rsidR="003A21E3" w:rsidRPr="00913ACD">
        <w:rPr>
          <w:sz w:val="22"/>
          <w:szCs w:val="22"/>
          <w:lang w:val="pt-BR"/>
        </w:rPr>
        <w:t>eu</w:t>
      </w:r>
      <w:r w:rsidRPr="00913ACD">
        <w:rPr>
          <w:sz w:val="22"/>
          <w:szCs w:val="22"/>
          <w:lang w:val="pt-BR"/>
        </w:rPr>
        <w:t xml:space="preserve"> </w:t>
      </w:r>
      <w:r w:rsidR="003A21E3" w:rsidRPr="00913ACD">
        <w:rPr>
          <w:sz w:val="22"/>
          <w:szCs w:val="22"/>
          <w:lang w:val="pt-BR"/>
        </w:rPr>
        <w:t>o</w:t>
      </w:r>
      <w:r w:rsidRPr="00913ACD">
        <w:rPr>
          <w:sz w:val="22"/>
          <w:szCs w:val="22"/>
          <w:lang w:val="pt-BR"/>
        </w:rPr>
        <w:t xml:space="preserve"> Plano Intersetorial de Assistência Técnica e Suporte.</w:t>
      </w:r>
    </w:p>
    <w:p w14:paraId="1D3E4F00" w14:textId="3B15C53E" w:rsidR="00074265" w:rsidRPr="00913ACD" w:rsidRDefault="00074265" w:rsidP="00CB030B">
      <w:pPr>
        <w:pStyle w:val="ListParagraph"/>
        <w:numPr>
          <w:ilvl w:val="0"/>
          <w:numId w:val="35"/>
        </w:numPr>
        <w:ind w:left="1260" w:hanging="540"/>
        <w:jc w:val="both"/>
        <w:rPr>
          <w:sz w:val="22"/>
          <w:szCs w:val="22"/>
          <w:lang w:val="pt-BR"/>
        </w:rPr>
      </w:pPr>
      <w:r w:rsidRPr="00913ACD">
        <w:rPr>
          <w:sz w:val="22"/>
          <w:szCs w:val="22"/>
          <w:lang w:val="pt-BR"/>
        </w:rPr>
        <w:t xml:space="preserve">Realizou mais de 30 </w:t>
      </w:r>
      <w:r w:rsidR="003A21E3" w:rsidRPr="00913ACD">
        <w:rPr>
          <w:sz w:val="22"/>
          <w:szCs w:val="22"/>
          <w:lang w:val="pt-BR"/>
        </w:rPr>
        <w:t xml:space="preserve">seminários </w:t>
      </w:r>
      <w:r w:rsidRPr="00913ACD">
        <w:rPr>
          <w:sz w:val="22"/>
          <w:szCs w:val="22"/>
          <w:lang w:val="pt-BR"/>
        </w:rPr>
        <w:t>de orientação familiar nos centros de educação do Instituto Panamenho de Treinamento Especial, Retorno e San Juan Bosco.</w:t>
      </w:r>
    </w:p>
    <w:p w14:paraId="7B890CA9" w14:textId="5A10A266" w:rsidR="00543D52" w:rsidRPr="00913ACD" w:rsidRDefault="00074265" w:rsidP="00CB030B">
      <w:pPr>
        <w:pStyle w:val="ListParagraph"/>
        <w:numPr>
          <w:ilvl w:val="0"/>
          <w:numId w:val="35"/>
        </w:numPr>
        <w:ind w:left="1260" w:hanging="540"/>
        <w:jc w:val="both"/>
        <w:rPr>
          <w:sz w:val="22"/>
          <w:szCs w:val="22"/>
          <w:lang w:val="pt-BR"/>
        </w:rPr>
      </w:pPr>
      <w:r w:rsidRPr="00913ACD">
        <w:rPr>
          <w:sz w:val="22"/>
          <w:szCs w:val="22"/>
          <w:lang w:val="pt-BR"/>
        </w:rPr>
        <w:t>Atualmente</w:t>
      </w:r>
      <w:r w:rsidR="00E07778" w:rsidRPr="00913ACD">
        <w:rPr>
          <w:sz w:val="22"/>
          <w:szCs w:val="22"/>
          <w:lang w:val="pt-BR"/>
        </w:rPr>
        <w:t>,</w:t>
      </w:r>
      <w:r w:rsidRPr="00913ACD">
        <w:rPr>
          <w:sz w:val="22"/>
          <w:szCs w:val="22"/>
          <w:lang w:val="pt-BR"/>
        </w:rPr>
        <w:t xml:space="preserve"> deline</w:t>
      </w:r>
      <w:r w:rsidR="00E07778" w:rsidRPr="00913ACD">
        <w:rPr>
          <w:sz w:val="22"/>
          <w:szCs w:val="22"/>
          <w:lang w:val="pt-BR"/>
        </w:rPr>
        <w:t>i</w:t>
      </w:r>
      <w:r w:rsidRPr="00913ACD">
        <w:rPr>
          <w:sz w:val="22"/>
          <w:szCs w:val="22"/>
          <w:lang w:val="pt-BR"/>
        </w:rPr>
        <w:t>a</w:t>
      </w:r>
      <w:r w:rsidR="00E07778" w:rsidRPr="00913ACD">
        <w:rPr>
          <w:sz w:val="22"/>
          <w:szCs w:val="22"/>
          <w:lang w:val="pt-BR"/>
        </w:rPr>
        <w:t xml:space="preserve"> </w:t>
      </w:r>
      <w:r w:rsidRPr="00913ACD">
        <w:rPr>
          <w:sz w:val="22"/>
          <w:szCs w:val="22"/>
          <w:lang w:val="pt-BR"/>
        </w:rPr>
        <w:t>uma estratégia para transformar abordagens educacionais em escolas de educação especial.</w:t>
      </w:r>
    </w:p>
    <w:p w14:paraId="53B79B4A" w14:textId="4B330AD4" w:rsidR="00EE3694" w:rsidRPr="00913ACD" w:rsidRDefault="00EE3694" w:rsidP="00CB030B">
      <w:pPr>
        <w:ind w:left="720"/>
        <w:rPr>
          <w:rFonts w:ascii="Times New Roman" w:hAnsi="Times New Roman" w:cs="Times New Roman"/>
          <w:sz w:val="22"/>
          <w:szCs w:val="22"/>
          <w:lang w:val="pt-BR"/>
        </w:rPr>
      </w:pPr>
    </w:p>
    <w:p w14:paraId="45CD554D" w14:textId="6E696230" w:rsidR="00543D52" w:rsidRPr="00913ACD" w:rsidRDefault="00543D52" w:rsidP="00CB030B">
      <w:pPr>
        <w:ind w:left="720"/>
        <w:rPr>
          <w:rFonts w:ascii="Times New Roman" w:hAnsi="Times New Roman" w:cs="Times New Roman"/>
          <w:b/>
          <w:bCs/>
          <w:sz w:val="22"/>
          <w:szCs w:val="22"/>
          <w:lang w:val="pt-BR"/>
        </w:rPr>
      </w:pPr>
      <w:r w:rsidRPr="00913ACD">
        <w:rPr>
          <w:rFonts w:ascii="Times New Roman" w:hAnsi="Times New Roman" w:cs="Times New Roman"/>
          <w:b/>
          <w:bCs/>
          <w:sz w:val="22"/>
          <w:szCs w:val="22"/>
          <w:lang w:val="pt-BR"/>
        </w:rPr>
        <w:t xml:space="preserve">Santa Lúcia: </w:t>
      </w:r>
      <w:r w:rsidR="00A37C73" w:rsidRPr="00913ACD">
        <w:rPr>
          <w:rFonts w:ascii="Times New Roman" w:hAnsi="Times New Roman" w:cs="Times New Roman"/>
          <w:b/>
          <w:bCs/>
          <w:sz w:val="22"/>
          <w:szCs w:val="22"/>
          <w:lang w:val="pt-BR"/>
        </w:rPr>
        <w:t>Para</w:t>
      </w:r>
      <w:r w:rsidRPr="00913ACD">
        <w:rPr>
          <w:rFonts w:ascii="Times New Roman" w:hAnsi="Times New Roman" w:cs="Times New Roman"/>
          <w:b/>
          <w:bCs/>
          <w:sz w:val="22"/>
          <w:szCs w:val="22"/>
          <w:lang w:val="pt-BR"/>
        </w:rPr>
        <w:t xml:space="preserve"> um setor de </w:t>
      </w:r>
      <w:r w:rsidR="009C2140" w:rsidRPr="00913ACD">
        <w:rPr>
          <w:rFonts w:ascii="Times New Roman" w:hAnsi="Times New Roman" w:cs="Times New Roman"/>
          <w:b/>
          <w:bCs/>
          <w:sz w:val="22"/>
          <w:szCs w:val="22"/>
          <w:lang w:val="pt-BR"/>
        </w:rPr>
        <w:t>d</w:t>
      </w:r>
      <w:r w:rsidRPr="00913ACD">
        <w:rPr>
          <w:rFonts w:ascii="Times New Roman" w:hAnsi="Times New Roman" w:cs="Times New Roman"/>
          <w:b/>
          <w:bCs/>
          <w:sz w:val="22"/>
          <w:szCs w:val="22"/>
          <w:lang w:val="pt-BR"/>
        </w:rPr>
        <w:t xml:space="preserve">esenvolvimento da </w:t>
      </w:r>
      <w:r w:rsidR="009C2140" w:rsidRPr="00913ACD">
        <w:rPr>
          <w:rFonts w:ascii="Times New Roman" w:hAnsi="Times New Roman" w:cs="Times New Roman"/>
          <w:b/>
          <w:bCs/>
          <w:sz w:val="22"/>
          <w:szCs w:val="22"/>
          <w:lang w:val="pt-BR"/>
        </w:rPr>
        <w:t>p</w:t>
      </w:r>
      <w:r w:rsidRPr="00913ACD">
        <w:rPr>
          <w:rFonts w:ascii="Times New Roman" w:hAnsi="Times New Roman" w:cs="Times New Roman"/>
          <w:b/>
          <w:bCs/>
          <w:sz w:val="22"/>
          <w:szCs w:val="22"/>
          <w:lang w:val="pt-BR"/>
        </w:rPr>
        <w:t xml:space="preserve">rimeira </w:t>
      </w:r>
      <w:r w:rsidR="009C2140" w:rsidRPr="00913ACD">
        <w:rPr>
          <w:rFonts w:ascii="Times New Roman" w:hAnsi="Times New Roman" w:cs="Times New Roman"/>
          <w:b/>
          <w:bCs/>
          <w:sz w:val="22"/>
          <w:szCs w:val="22"/>
          <w:lang w:val="pt-BR"/>
        </w:rPr>
        <w:t>i</w:t>
      </w:r>
      <w:r w:rsidRPr="00913ACD">
        <w:rPr>
          <w:rFonts w:ascii="Times New Roman" w:hAnsi="Times New Roman" w:cs="Times New Roman"/>
          <w:b/>
          <w:bCs/>
          <w:sz w:val="22"/>
          <w:szCs w:val="22"/>
          <w:lang w:val="pt-BR"/>
        </w:rPr>
        <w:t>nfância mais seguro e de qualidade</w:t>
      </w:r>
    </w:p>
    <w:p w14:paraId="6C18B38D" w14:textId="380965D9" w:rsidR="00BD78E0" w:rsidRPr="00913ACD" w:rsidRDefault="009C2140" w:rsidP="00CB030B">
      <w:pPr>
        <w:pStyle w:val="ListParagraph"/>
        <w:numPr>
          <w:ilvl w:val="0"/>
          <w:numId w:val="36"/>
        </w:numPr>
        <w:ind w:left="1260" w:hanging="540"/>
        <w:contextualSpacing/>
        <w:jc w:val="both"/>
        <w:rPr>
          <w:sz w:val="22"/>
          <w:szCs w:val="22"/>
          <w:lang w:val="pt-BR"/>
        </w:rPr>
      </w:pPr>
      <w:r w:rsidRPr="00913ACD">
        <w:rPr>
          <w:sz w:val="22"/>
          <w:szCs w:val="22"/>
          <w:lang w:val="pt-BR"/>
        </w:rPr>
        <w:t>Apresentou o projeto preliminar</w:t>
      </w:r>
      <w:r w:rsidR="00BD78E0" w:rsidRPr="00913ACD">
        <w:rPr>
          <w:sz w:val="22"/>
          <w:szCs w:val="22"/>
          <w:lang w:val="pt-BR"/>
        </w:rPr>
        <w:t xml:space="preserve"> do </w:t>
      </w:r>
      <w:r w:rsidR="00BD78E0" w:rsidRPr="00913ACD">
        <w:rPr>
          <w:b/>
          <w:bCs/>
          <w:sz w:val="22"/>
          <w:szCs w:val="22"/>
          <w:lang w:val="pt-BR"/>
        </w:rPr>
        <w:t xml:space="preserve">Regulamento de </w:t>
      </w:r>
      <w:r w:rsidR="00A25D52" w:rsidRPr="00913ACD">
        <w:rPr>
          <w:b/>
          <w:bCs/>
          <w:sz w:val="22"/>
          <w:szCs w:val="22"/>
          <w:lang w:val="pt-BR"/>
        </w:rPr>
        <w:t>e</w:t>
      </w:r>
      <w:r w:rsidR="00BD78E0" w:rsidRPr="00913ACD">
        <w:rPr>
          <w:b/>
          <w:bCs/>
          <w:sz w:val="22"/>
          <w:szCs w:val="22"/>
          <w:lang w:val="pt-BR"/>
        </w:rPr>
        <w:t xml:space="preserve">ducação do </w:t>
      </w:r>
      <w:r w:rsidR="00A25D52" w:rsidRPr="00913ACD">
        <w:rPr>
          <w:b/>
          <w:bCs/>
          <w:sz w:val="22"/>
          <w:szCs w:val="22"/>
          <w:lang w:val="pt-BR"/>
        </w:rPr>
        <w:t>i</w:t>
      </w:r>
      <w:r w:rsidR="00BD78E0" w:rsidRPr="00913ACD">
        <w:rPr>
          <w:b/>
          <w:bCs/>
          <w:sz w:val="22"/>
          <w:szCs w:val="22"/>
          <w:lang w:val="pt-BR"/>
        </w:rPr>
        <w:t xml:space="preserve">nstrumento </w:t>
      </w:r>
      <w:r w:rsidR="00A25D52" w:rsidRPr="00913ACD">
        <w:rPr>
          <w:b/>
          <w:bCs/>
          <w:sz w:val="22"/>
          <w:szCs w:val="22"/>
          <w:lang w:val="pt-BR"/>
        </w:rPr>
        <w:t>e</w:t>
      </w:r>
      <w:r w:rsidR="00BD78E0" w:rsidRPr="00913ACD">
        <w:rPr>
          <w:b/>
          <w:bCs/>
          <w:sz w:val="22"/>
          <w:szCs w:val="22"/>
          <w:lang w:val="pt-BR"/>
        </w:rPr>
        <w:t>statutário de Santa Lúcia</w:t>
      </w:r>
      <w:r w:rsidR="00BD78E0" w:rsidRPr="00913ACD">
        <w:rPr>
          <w:sz w:val="22"/>
          <w:szCs w:val="22"/>
          <w:lang w:val="pt-BR"/>
        </w:rPr>
        <w:t xml:space="preserve"> à Procuradoria-Geral para aprovação.</w:t>
      </w:r>
    </w:p>
    <w:p w14:paraId="516AEA38" w14:textId="180E189F" w:rsidR="00BD78E0" w:rsidRPr="00913ACD" w:rsidRDefault="00A25D52" w:rsidP="00CB030B">
      <w:pPr>
        <w:pStyle w:val="ListParagraph"/>
        <w:numPr>
          <w:ilvl w:val="0"/>
          <w:numId w:val="36"/>
        </w:numPr>
        <w:ind w:left="1260" w:hanging="540"/>
        <w:contextualSpacing/>
        <w:jc w:val="both"/>
        <w:rPr>
          <w:sz w:val="22"/>
          <w:szCs w:val="22"/>
          <w:lang w:val="pt-BR"/>
        </w:rPr>
      </w:pPr>
      <w:r w:rsidRPr="00913ACD">
        <w:rPr>
          <w:sz w:val="22"/>
          <w:szCs w:val="22"/>
          <w:lang w:val="pt-BR"/>
        </w:rPr>
        <w:t>A</w:t>
      </w:r>
      <w:r w:rsidR="00BD78E0" w:rsidRPr="00913ACD">
        <w:rPr>
          <w:sz w:val="22"/>
          <w:szCs w:val="22"/>
          <w:lang w:val="pt-BR"/>
        </w:rPr>
        <w:t>valiou 116 centros de primeira infância</w:t>
      </w:r>
      <w:r w:rsidR="000E6FEC" w:rsidRPr="00913ACD">
        <w:rPr>
          <w:sz w:val="22"/>
          <w:szCs w:val="22"/>
          <w:lang w:val="pt-BR"/>
        </w:rPr>
        <w:t>,</w:t>
      </w:r>
      <w:r w:rsidR="00BD78E0" w:rsidRPr="00913ACD">
        <w:rPr>
          <w:sz w:val="22"/>
          <w:szCs w:val="22"/>
          <w:lang w:val="pt-BR"/>
        </w:rPr>
        <w:t xml:space="preserve"> </w:t>
      </w:r>
      <w:r w:rsidR="00CB0F45" w:rsidRPr="00913ACD">
        <w:rPr>
          <w:sz w:val="22"/>
          <w:szCs w:val="22"/>
          <w:lang w:val="pt-BR"/>
        </w:rPr>
        <w:t xml:space="preserve">dos quais 63 </w:t>
      </w:r>
      <w:r w:rsidR="00BD78E0" w:rsidRPr="00913ACD">
        <w:rPr>
          <w:sz w:val="22"/>
          <w:szCs w:val="22"/>
          <w:lang w:val="pt-BR"/>
        </w:rPr>
        <w:t xml:space="preserve">receberam certificação </w:t>
      </w:r>
      <w:r w:rsidR="00E67834" w:rsidRPr="00913ACD">
        <w:rPr>
          <w:sz w:val="22"/>
          <w:szCs w:val="22"/>
          <w:lang w:val="pt-BR"/>
        </w:rPr>
        <w:t>pel</w:t>
      </w:r>
      <w:r w:rsidR="00BD78E0" w:rsidRPr="00913ACD">
        <w:rPr>
          <w:sz w:val="22"/>
          <w:szCs w:val="22"/>
          <w:lang w:val="pt-BR"/>
        </w:rPr>
        <w:t xml:space="preserve">a lista de verificação de monitoramento </w:t>
      </w:r>
      <w:r w:rsidR="00E67834" w:rsidRPr="00913ACD">
        <w:rPr>
          <w:sz w:val="22"/>
          <w:szCs w:val="22"/>
          <w:lang w:val="pt-BR"/>
        </w:rPr>
        <w:t xml:space="preserve">da </w:t>
      </w:r>
      <w:r w:rsidR="00BD78E0" w:rsidRPr="00913ACD">
        <w:rPr>
          <w:sz w:val="22"/>
          <w:szCs w:val="22"/>
          <w:lang w:val="pt-BR"/>
        </w:rPr>
        <w:t>OECS. 35 pr</w:t>
      </w:r>
      <w:r w:rsidR="000D7FB6">
        <w:rPr>
          <w:sz w:val="22"/>
          <w:szCs w:val="22"/>
          <w:lang w:val="pt-BR"/>
        </w:rPr>
        <w:t xml:space="preserve">ofissionais </w:t>
      </w:r>
      <w:r w:rsidR="00BD78E0" w:rsidRPr="00913ACD">
        <w:rPr>
          <w:sz w:val="22"/>
          <w:szCs w:val="22"/>
          <w:lang w:val="pt-BR"/>
        </w:rPr>
        <w:t>adquiriram experiência prática observando crianças e planejando aulas de acordo. Isso ajudará a padronizar as operações dos centros existentes e a melhorar seu funcionamento.</w:t>
      </w:r>
    </w:p>
    <w:p w14:paraId="521DEDE0" w14:textId="7302D88C" w:rsidR="00543D52" w:rsidRPr="00913ACD" w:rsidRDefault="00BD78E0" w:rsidP="00CB030B">
      <w:pPr>
        <w:pStyle w:val="ListParagraph"/>
        <w:numPr>
          <w:ilvl w:val="0"/>
          <w:numId w:val="36"/>
        </w:numPr>
        <w:ind w:left="1260" w:hanging="540"/>
        <w:contextualSpacing/>
        <w:jc w:val="both"/>
        <w:rPr>
          <w:b/>
          <w:bCs/>
          <w:sz w:val="22"/>
          <w:szCs w:val="22"/>
          <w:lang w:val="pt-BR"/>
        </w:rPr>
      </w:pPr>
      <w:r w:rsidRPr="00913ACD">
        <w:rPr>
          <w:sz w:val="22"/>
          <w:szCs w:val="22"/>
          <w:lang w:val="pt-BR"/>
        </w:rPr>
        <w:t xml:space="preserve">Formou </w:t>
      </w:r>
      <w:r w:rsidR="008218AA" w:rsidRPr="00913ACD">
        <w:rPr>
          <w:sz w:val="22"/>
          <w:szCs w:val="22"/>
          <w:lang w:val="pt-BR"/>
        </w:rPr>
        <w:t xml:space="preserve">12 </w:t>
      </w:r>
      <w:r w:rsidRPr="00913ACD">
        <w:rPr>
          <w:sz w:val="22"/>
          <w:szCs w:val="22"/>
          <w:lang w:val="pt-BR"/>
        </w:rPr>
        <w:t xml:space="preserve">professores no uso técnico de equipamentos (no </w:t>
      </w:r>
      <w:r w:rsidR="009026B6" w:rsidRPr="00913ACD">
        <w:rPr>
          <w:sz w:val="22"/>
          <w:szCs w:val="22"/>
          <w:lang w:val="pt-BR"/>
        </w:rPr>
        <w:t>tocante</w:t>
      </w:r>
      <w:r w:rsidRPr="00913ACD">
        <w:rPr>
          <w:sz w:val="22"/>
          <w:szCs w:val="22"/>
          <w:lang w:val="pt-BR"/>
        </w:rPr>
        <w:t xml:space="preserve"> a projetos em andamento em suas respectivas escolas) como parte do Projeto </w:t>
      </w:r>
      <w:r w:rsidR="00543D52" w:rsidRPr="00913ACD">
        <w:rPr>
          <w:b/>
          <w:bCs/>
          <w:sz w:val="22"/>
          <w:szCs w:val="22"/>
          <w:lang w:val="pt-BR"/>
        </w:rPr>
        <w:t>Educação Digital ProFuturo.</w:t>
      </w:r>
    </w:p>
    <w:p w14:paraId="613B7E38" w14:textId="77777777" w:rsidR="00543D52" w:rsidRPr="00913ACD" w:rsidRDefault="00543D52" w:rsidP="00CB030B">
      <w:pPr>
        <w:ind w:left="720"/>
        <w:rPr>
          <w:rFonts w:ascii="Times New Roman" w:hAnsi="Times New Roman" w:cs="Times New Roman"/>
          <w:b/>
          <w:bCs/>
          <w:sz w:val="22"/>
          <w:szCs w:val="22"/>
          <w:lang w:val="pt-BR"/>
        </w:rPr>
      </w:pPr>
    </w:p>
    <w:p w14:paraId="42660E00" w14:textId="4293F034" w:rsidR="00543D52" w:rsidRPr="00913ACD" w:rsidRDefault="00543D52" w:rsidP="00CB030B">
      <w:pPr>
        <w:ind w:left="720"/>
        <w:rPr>
          <w:rFonts w:ascii="Times New Roman" w:hAnsi="Times New Roman" w:cs="Times New Roman"/>
          <w:sz w:val="22"/>
          <w:szCs w:val="22"/>
          <w:lang w:val="pt-BR"/>
        </w:rPr>
      </w:pPr>
      <w:r w:rsidRPr="00913ACD">
        <w:rPr>
          <w:rFonts w:ascii="Times New Roman" w:hAnsi="Times New Roman" w:cs="Times New Roman"/>
          <w:b/>
          <w:bCs/>
          <w:sz w:val="22"/>
          <w:szCs w:val="22"/>
          <w:lang w:val="pt-BR"/>
        </w:rPr>
        <w:t xml:space="preserve">São Vicente e Granadinas: Reestruturação do </w:t>
      </w:r>
      <w:r w:rsidR="007800A2" w:rsidRPr="00913ACD">
        <w:rPr>
          <w:rFonts w:ascii="Times New Roman" w:hAnsi="Times New Roman" w:cs="Times New Roman"/>
          <w:b/>
          <w:bCs/>
          <w:sz w:val="22"/>
          <w:szCs w:val="22"/>
          <w:lang w:val="pt-BR"/>
        </w:rPr>
        <w:t>“</w:t>
      </w:r>
      <w:r w:rsidRPr="00913ACD">
        <w:rPr>
          <w:rFonts w:ascii="Times New Roman" w:hAnsi="Times New Roman" w:cs="Times New Roman"/>
          <w:b/>
          <w:bCs/>
          <w:sz w:val="22"/>
          <w:szCs w:val="22"/>
          <w:lang w:val="pt-BR"/>
        </w:rPr>
        <w:t>Currículo da Primeira Infância</w:t>
      </w:r>
      <w:r w:rsidR="007800A2" w:rsidRPr="00913ACD">
        <w:rPr>
          <w:rFonts w:ascii="Times New Roman" w:hAnsi="Times New Roman" w:cs="Times New Roman"/>
          <w:b/>
          <w:bCs/>
          <w:sz w:val="22"/>
          <w:szCs w:val="22"/>
          <w:lang w:val="pt-BR"/>
        </w:rPr>
        <w:t>”</w:t>
      </w:r>
    </w:p>
    <w:p w14:paraId="6033DFCD" w14:textId="53A507F7" w:rsidR="00543D52" w:rsidRPr="00913ACD" w:rsidRDefault="00032D45" w:rsidP="00CB030B">
      <w:pPr>
        <w:pStyle w:val="ListParagraph"/>
        <w:numPr>
          <w:ilvl w:val="0"/>
          <w:numId w:val="36"/>
        </w:numPr>
        <w:ind w:left="1260" w:hanging="540"/>
        <w:jc w:val="both"/>
        <w:rPr>
          <w:sz w:val="22"/>
          <w:szCs w:val="22"/>
          <w:lang w:val="pt-BR"/>
        </w:rPr>
      </w:pPr>
      <w:r w:rsidRPr="00913ACD">
        <w:rPr>
          <w:sz w:val="22"/>
          <w:szCs w:val="22"/>
          <w:lang w:val="pt-BR"/>
        </w:rPr>
        <w:t xml:space="preserve">Desenvolveu um </w:t>
      </w:r>
      <w:r w:rsidR="00BF47A2" w:rsidRPr="00913ACD">
        <w:rPr>
          <w:sz w:val="22"/>
          <w:szCs w:val="22"/>
          <w:lang w:val="pt-BR"/>
        </w:rPr>
        <w:t>c</w:t>
      </w:r>
      <w:r w:rsidRPr="00913ACD">
        <w:rPr>
          <w:sz w:val="22"/>
          <w:szCs w:val="22"/>
          <w:lang w:val="pt-BR"/>
        </w:rPr>
        <w:t xml:space="preserve">urrículo da </w:t>
      </w:r>
      <w:r w:rsidR="00BF47A2" w:rsidRPr="00913ACD">
        <w:rPr>
          <w:sz w:val="22"/>
          <w:szCs w:val="22"/>
          <w:lang w:val="pt-BR"/>
        </w:rPr>
        <w:t>p</w:t>
      </w:r>
      <w:r w:rsidRPr="00913ACD">
        <w:rPr>
          <w:sz w:val="22"/>
          <w:szCs w:val="22"/>
          <w:lang w:val="pt-BR"/>
        </w:rPr>
        <w:t xml:space="preserve">rimeira </w:t>
      </w:r>
      <w:r w:rsidR="00BF47A2" w:rsidRPr="00913ACD">
        <w:rPr>
          <w:sz w:val="22"/>
          <w:szCs w:val="22"/>
          <w:lang w:val="pt-BR"/>
        </w:rPr>
        <w:t>i</w:t>
      </w:r>
      <w:r w:rsidRPr="00913ACD">
        <w:rPr>
          <w:sz w:val="22"/>
          <w:szCs w:val="22"/>
          <w:lang w:val="pt-BR"/>
        </w:rPr>
        <w:t xml:space="preserve">nfância reestruturado, centrado no aluno e baseado em projetos, com uma abordagem mais integrada ao planejamento de aulas. O exercício aumentou a conscientização sobre a importância da </w:t>
      </w:r>
      <w:r w:rsidR="009C1738" w:rsidRPr="00913ACD">
        <w:rPr>
          <w:sz w:val="22"/>
          <w:szCs w:val="22"/>
          <w:lang w:val="pt-BR"/>
        </w:rPr>
        <w:t>e</w:t>
      </w:r>
      <w:r w:rsidRPr="00913ACD">
        <w:rPr>
          <w:sz w:val="22"/>
          <w:szCs w:val="22"/>
          <w:lang w:val="pt-BR"/>
        </w:rPr>
        <w:t xml:space="preserve">ducação </w:t>
      </w:r>
      <w:r w:rsidR="009C1738" w:rsidRPr="00913ACD">
        <w:rPr>
          <w:sz w:val="22"/>
          <w:szCs w:val="22"/>
          <w:lang w:val="pt-BR"/>
        </w:rPr>
        <w:t>i</w:t>
      </w:r>
      <w:r w:rsidRPr="00913ACD">
        <w:rPr>
          <w:sz w:val="22"/>
          <w:szCs w:val="22"/>
          <w:lang w:val="pt-BR"/>
        </w:rPr>
        <w:t>nfantil e destacou os benefícios da exposição a um currículo centrado no aluno.</w:t>
      </w:r>
    </w:p>
    <w:p w14:paraId="411DB874" w14:textId="77777777" w:rsidR="00543D52" w:rsidRPr="00913ACD" w:rsidRDefault="00543D52" w:rsidP="00CB030B">
      <w:pPr>
        <w:ind w:left="720"/>
        <w:rPr>
          <w:rFonts w:ascii="Times New Roman" w:hAnsi="Times New Roman" w:cs="Times New Roman"/>
          <w:sz w:val="22"/>
          <w:szCs w:val="22"/>
          <w:lang w:val="pt-BR"/>
        </w:rPr>
      </w:pPr>
    </w:p>
    <w:p w14:paraId="2C3A1315" w14:textId="49A7A54F" w:rsidR="00543D52" w:rsidRPr="00913ACD" w:rsidRDefault="00543D52" w:rsidP="00CB030B">
      <w:pPr>
        <w:ind w:left="720"/>
        <w:rPr>
          <w:rFonts w:ascii="Times New Roman" w:hAnsi="Times New Roman" w:cs="Times New Roman"/>
          <w:sz w:val="22"/>
          <w:szCs w:val="22"/>
          <w:lang w:val="pt-BR"/>
        </w:rPr>
      </w:pPr>
      <w:r w:rsidRPr="00913ACD">
        <w:rPr>
          <w:rFonts w:ascii="Times New Roman" w:hAnsi="Times New Roman" w:cs="Times New Roman"/>
          <w:b/>
          <w:bCs/>
          <w:sz w:val="22"/>
          <w:szCs w:val="22"/>
          <w:lang w:val="pt-BR"/>
        </w:rPr>
        <w:t xml:space="preserve">Uruguai: Integração interinstitucional dos sistemas de informação para o cuidado e a educação da </w:t>
      </w:r>
      <w:r w:rsidR="009C1738" w:rsidRPr="00913ACD">
        <w:rPr>
          <w:rFonts w:ascii="Times New Roman" w:hAnsi="Times New Roman" w:cs="Times New Roman"/>
          <w:b/>
          <w:bCs/>
          <w:sz w:val="22"/>
          <w:szCs w:val="22"/>
          <w:lang w:val="pt-BR"/>
        </w:rPr>
        <w:t>p</w:t>
      </w:r>
      <w:r w:rsidRPr="00913ACD">
        <w:rPr>
          <w:rFonts w:ascii="Times New Roman" w:hAnsi="Times New Roman" w:cs="Times New Roman"/>
          <w:b/>
          <w:bCs/>
          <w:sz w:val="22"/>
          <w:szCs w:val="22"/>
          <w:lang w:val="pt-BR"/>
        </w:rPr>
        <w:t xml:space="preserve">rimeira </w:t>
      </w:r>
      <w:r w:rsidR="009C1738" w:rsidRPr="00913ACD">
        <w:rPr>
          <w:rFonts w:ascii="Times New Roman" w:hAnsi="Times New Roman" w:cs="Times New Roman"/>
          <w:b/>
          <w:bCs/>
          <w:sz w:val="22"/>
          <w:szCs w:val="22"/>
          <w:lang w:val="pt-BR"/>
        </w:rPr>
        <w:t>i</w:t>
      </w:r>
      <w:r w:rsidRPr="00913ACD">
        <w:rPr>
          <w:rFonts w:ascii="Times New Roman" w:hAnsi="Times New Roman" w:cs="Times New Roman"/>
          <w:b/>
          <w:bCs/>
          <w:sz w:val="22"/>
          <w:szCs w:val="22"/>
          <w:lang w:val="pt-BR"/>
        </w:rPr>
        <w:t>nfância no Uruguai</w:t>
      </w:r>
    </w:p>
    <w:p w14:paraId="2FDF6BEE" w14:textId="2908E616" w:rsidR="00543D52" w:rsidRPr="00913ACD" w:rsidRDefault="00F46F2B" w:rsidP="00CB030B">
      <w:pPr>
        <w:pStyle w:val="ListParagraph"/>
        <w:numPr>
          <w:ilvl w:val="0"/>
          <w:numId w:val="36"/>
        </w:numPr>
        <w:ind w:left="1260" w:hanging="540"/>
        <w:jc w:val="both"/>
        <w:rPr>
          <w:rFonts w:eastAsia="MS PGothic"/>
          <w:color w:val="000000"/>
          <w:kern w:val="24"/>
          <w:sz w:val="22"/>
          <w:szCs w:val="22"/>
          <w:lang w:val="pt-BR"/>
        </w:rPr>
      </w:pPr>
      <w:r w:rsidRPr="00913ACD">
        <w:rPr>
          <w:sz w:val="22"/>
          <w:szCs w:val="22"/>
          <w:lang w:val="pt-BR"/>
        </w:rPr>
        <w:t xml:space="preserve">Desenvolveu indicadores de qualidade para a educação infantil e </w:t>
      </w:r>
      <w:r w:rsidR="001F0B12">
        <w:rPr>
          <w:sz w:val="22"/>
          <w:szCs w:val="22"/>
          <w:lang w:val="pt-BR"/>
        </w:rPr>
        <w:t xml:space="preserve">o atendimento </w:t>
      </w:r>
      <w:r w:rsidRPr="00913ACD">
        <w:rPr>
          <w:sz w:val="22"/>
          <w:szCs w:val="22"/>
          <w:lang w:val="pt-BR"/>
        </w:rPr>
        <w:t xml:space="preserve">integral, juntamente com o conteúdo educacional para distribuição, </w:t>
      </w:r>
      <w:r w:rsidR="00FC7D0B" w:rsidRPr="00913ACD">
        <w:rPr>
          <w:sz w:val="22"/>
          <w:szCs w:val="22"/>
          <w:lang w:val="pt-BR"/>
        </w:rPr>
        <w:t xml:space="preserve">em conformidade </w:t>
      </w:r>
      <w:r w:rsidRPr="00913ACD">
        <w:rPr>
          <w:sz w:val="22"/>
          <w:szCs w:val="22"/>
          <w:lang w:val="pt-BR"/>
        </w:rPr>
        <w:t xml:space="preserve">com o acordo interinstitucional e intersetorial estabelecido entre seis instituições nacionais –Ministério da Educação e Cultura, Instituto Uruguaio da Criança e do Adolescente, Conselho de Educação Inicial e Primária, Ministério da Saúde Pública, </w:t>
      </w:r>
      <w:r w:rsidR="005114D9" w:rsidRPr="00913ACD">
        <w:rPr>
          <w:i/>
          <w:iCs/>
          <w:sz w:val="22"/>
          <w:szCs w:val="22"/>
          <w:lang w:val="pt-BR"/>
        </w:rPr>
        <w:t>Uruguay Crece Contigo</w:t>
      </w:r>
      <w:r w:rsidRPr="00913ACD">
        <w:rPr>
          <w:sz w:val="22"/>
          <w:szCs w:val="22"/>
          <w:lang w:val="pt-BR"/>
        </w:rPr>
        <w:t xml:space="preserve"> </w:t>
      </w:r>
      <w:r w:rsidR="00543D52" w:rsidRPr="00913ACD">
        <w:rPr>
          <w:sz w:val="22"/>
          <w:szCs w:val="22"/>
          <w:lang w:val="pt-BR"/>
        </w:rPr>
        <w:t>e Sistema Nacional Integrado de Atenção.</w:t>
      </w:r>
    </w:p>
    <w:p w14:paraId="6C80854C" w14:textId="77777777" w:rsidR="005114D9" w:rsidRPr="00913ACD" w:rsidRDefault="005114D9" w:rsidP="00CB030B">
      <w:pPr>
        <w:contextualSpacing/>
        <w:rPr>
          <w:rFonts w:ascii="Times New Roman" w:eastAsia="MS PGothic" w:hAnsi="Times New Roman" w:cs="Times New Roman"/>
          <w:b/>
          <w:bCs/>
          <w:kern w:val="24"/>
          <w:sz w:val="22"/>
          <w:szCs w:val="22"/>
          <w:lang w:val="pt-BR"/>
        </w:rPr>
      </w:pPr>
    </w:p>
    <w:p w14:paraId="2D4EFBAA" w14:textId="402B9A79" w:rsidR="00543D52" w:rsidRPr="00913ACD" w:rsidRDefault="00543D52" w:rsidP="00CB030B">
      <w:pPr>
        <w:ind w:left="720"/>
        <w:contextualSpacing/>
        <w:rPr>
          <w:rFonts w:ascii="Times New Roman" w:eastAsia="MS PGothic" w:hAnsi="Times New Roman" w:cs="Times New Roman"/>
          <w:b/>
          <w:bCs/>
          <w:kern w:val="24"/>
          <w:sz w:val="22"/>
          <w:szCs w:val="22"/>
          <w:u w:val="single"/>
          <w:lang w:val="pt-BR"/>
        </w:rPr>
      </w:pPr>
      <w:r w:rsidRPr="00913ACD">
        <w:rPr>
          <w:rFonts w:ascii="Times New Roman" w:hAnsi="Times New Roman" w:cs="Times New Roman"/>
          <w:b/>
          <w:bCs/>
          <w:kern w:val="24"/>
          <w:sz w:val="22"/>
          <w:szCs w:val="22"/>
          <w:u w:val="single"/>
          <w:lang w:val="pt-BR"/>
        </w:rPr>
        <w:t xml:space="preserve">Ciclo do Programa </w:t>
      </w:r>
      <w:r w:rsidR="00115884" w:rsidRPr="00913ACD">
        <w:rPr>
          <w:rFonts w:ascii="Times New Roman" w:hAnsi="Times New Roman" w:cs="Times New Roman"/>
          <w:b/>
          <w:bCs/>
          <w:kern w:val="24"/>
          <w:sz w:val="22"/>
          <w:szCs w:val="22"/>
          <w:u w:val="single"/>
          <w:lang w:val="pt-BR"/>
        </w:rPr>
        <w:t>FCD/OEA</w:t>
      </w:r>
      <w:r w:rsidRPr="00913ACD">
        <w:rPr>
          <w:rFonts w:ascii="Times New Roman" w:hAnsi="Times New Roman" w:cs="Times New Roman"/>
          <w:b/>
          <w:bCs/>
          <w:kern w:val="24"/>
          <w:sz w:val="22"/>
          <w:szCs w:val="22"/>
          <w:u w:val="single"/>
          <w:lang w:val="pt-BR"/>
        </w:rPr>
        <w:t xml:space="preserve"> 2021-2024</w:t>
      </w:r>
    </w:p>
    <w:p w14:paraId="29B6B57E" w14:textId="77777777" w:rsidR="005114D9" w:rsidRPr="00913ACD" w:rsidRDefault="005114D9" w:rsidP="00CB030B">
      <w:pPr>
        <w:contextualSpacing/>
        <w:rPr>
          <w:rFonts w:ascii="Times New Roman" w:eastAsia="MS PGothic" w:hAnsi="Times New Roman" w:cs="Times New Roman"/>
          <w:b/>
          <w:bCs/>
          <w:kern w:val="24"/>
          <w:sz w:val="22"/>
          <w:szCs w:val="22"/>
          <w:lang w:val="pt-BR"/>
        </w:rPr>
      </w:pPr>
    </w:p>
    <w:p w14:paraId="4A19831F" w14:textId="3810D289" w:rsidR="00543D52" w:rsidRPr="00913ACD" w:rsidRDefault="00543D52" w:rsidP="00CB030B">
      <w:pPr>
        <w:pStyle w:val="ListParagraph"/>
        <w:numPr>
          <w:ilvl w:val="0"/>
          <w:numId w:val="40"/>
        </w:numPr>
        <w:ind w:left="1440" w:hanging="720"/>
        <w:contextualSpacing/>
        <w:jc w:val="both"/>
        <w:rPr>
          <w:sz w:val="22"/>
          <w:szCs w:val="22"/>
          <w:lang w:val="pt-BR"/>
        </w:rPr>
      </w:pPr>
      <w:bookmarkStart w:id="7" w:name="_Hlk94741489"/>
      <w:r w:rsidRPr="00913ACD">
        <w:rPr>
          <w:sz w:val="22"/>
          <w:szCs w:val="22"/>
          <w:lang w:val="pt-BR"/>
        </w:rPr>
        <w:t xml:space="preserve">A </w:t>
      </w:r>
      <w:r w:rsidR="00C414F1" w:rsidRPr="00913ACD">
        <w:rPr>
          <w:sz w:val="22"/>
          <w:szCs w:val="22"/>
          <w:lang w:val="pt-BR"/>
        </w:rPr>
        <w:t>Junta D</w:t>
      </w:r>
      <w:r w:rsidR="00EC0C17" w:rsidRPr="00913ACD">
        <w:rPr>
          <w:sz w:val="22"/>
          <w:szCs w:val="22"/>
          <w:lang w:val="pt-BR"/>
        </w:rPr>
        <w:t xml:space="preserve">iretora </w:t>
      </w:r>
      <w:r w:rsidRPr="00913ACD">
        <w:rPr>
          <w:sz w:val="22"/>
          <w:szCs w:val="22"/>
          <w:lang w:val="pt-BR"/>
        </w:rPr>
        <w:t>da Agência Interamericana de Cooperação e Desenvolvimento (</w:t>
      </w:r>
      <w:r w:rsidR="00C414F1" w:rsidRPr="00913ACD">
        <w:rPr>
          <w:sz w:val="22"/>
          <w:szCs w:val="22"/>
          <w:lang w:val="pt-BR"/>
        </w:rPr>
        <w:t>JD/AICD</w:t>
      </w:r>
      <w:r w:rsidRPr="00913ACD">
        <w:rPr>
          <w:sz w:val="22"/>
          <w:szCs w:val="22"/>
          <w:lang w:val="pt-BR"/>
        </w:rPr>
        <w:t xml:space="preserve">) aprovou </w:t>
      </w:r>
      <w:r w:rsidR="00303FAA">
        <w:rPr>
          <w:sz w:val="22"/>
          <w:szCs w:val="22"/>
          <w:lang w:val="pt-BR"/>
        </w:rPr>
        <w:t xml:space="preserve">o </w:t>
      </w:r>
      <w:r w:rsidR="007800A2" w:rsidRPr="00913ACD">
        <w:rPr>
          <w:sz w:val="22"/>
          <w:szCs w:val="22"/>
          <w:lang w:val="pt-BR"/>
        </w:rPr>
        <w:t>“</w:t>
      </w:r>
      <w:r w:rsidRPr="00913ACD">
        <w:rPr>
          <w:b/>
          <w:bCs/>
          <w:iCs/>
          <w:sz w:val="22"/>
          <w:szCs w:val="22"/>
          <w:lang w:val="pt-BR"/>
        </w:rPr>
        <w:t xml:space="preserve">Resiliência </w:t>
      </w:r>
      <w:r w:rsidR="00E721BE" w:rsidRPr="00913ACD">
        <w:rPr>
          <w:b/>
          <w:bCs/>
          <w:iCs/>
          <w:sz w:val="22"/>
          <w:szCs w:val="22"/>
          <w:lang w:val="pt-BR"/>
        </w:rPr>
        <w:t>i</w:t>
      </w:r>
      <w:r w:rsidRPr="00913ACD">
        <w:rPr>
          <w:b/>
          <w:bCs/>
          <w:iCs/>
          <w:sz w:val="22"/>
          <w:szCs w:val="22"/>
          <w:lang w:val="pt-BR"/>
        </w:rPr>
        <w:t xml:space="preserve">nclusiva para uma </w:t>
      </w:r>
      <w:r w:rsidR="00E721BE" w:rsidRPr="00913ACD">
        <w:rPr>
          <w:b/>
          <w:bCs/>
          <w:iCs/>
          <w:sz w:val="22"/>
          <w:szCs w:val="22"/>
          <w:lang w:val="pt-BR"/>
        </w:rPr>
        <w:t>r</w:t>
      </w:r>
      <w:r w:rsidRPr="00913ACD">
        <w:rPr>
          <w:b/>
          <w:bCs/>
          <w:iCs/>
          <w:sz w:val="22"/>
          <w:szCs w:val="22"/>
          <w:lang w:val="pt-BR"/>
        </w:rPr>
        <w:t xml:space="preserve">ecuperação </w:t>
      </w:r>
      <w:r w:rsidR="00E721BE" w:rsidRPr="00913ACD">
        <w:rPr>
          <w:b/>
          <w:bCs/>
          <w:iCs/>
          <w:sz w:val="22"/>
          <w:szCs w:val="22"/>
          <w:lang w:val="pt-BR"/>
        </w:rPr>
        <w:t>e</w:t>
      </w:r>
      <w:r w:rsidRPr="00913ACD">
        <w:rPr>
          <w:b/>
          <w:bCs/>
          <w:iCs/>
          <w:sz w:val="22"/>
          <w:szCs w:val="22"/>
          <w:lang w:val="pt-BR"/>
        </w:rPr>
        <w:t xml:space="preserve">fetiva, com </w:t>
      </w:r>
      <w:r w:rsidR="00E721BE" w:rsidRPr="00913ACD">
        <w:rPr>
          <w:b/>
          <w:bCs/>
          <w:iCs/>
          <w:sz w:val="22"/>
          <w:szCs w:val="22"/>
          <w:lang w:val="pt-BR"/>
        </w:rPr>
        <w:t>f</w:t>
      </w:r>
      <w:r w:rsidRPr="00913ACD">
        <w:rPr>
          <w:b/>
          <w:bCs/>
          <w:iCs/>
          <w:sz w:val="22"/>
          <w:szCs w:val="22"/>
          <w:lang w:val="pt-BR"/>
        </w:rPr>
        <w:t xml:space="preserve">oco em </w:t>
      </w:r>
      <w:r w:rsidR="00E60F65" w:rsidRPr="00913ACD">
        <w:rPr>
          <w:b/>
          <w:bCs/>
          <w:iCs/>
          <w:sz w:val="22"/>
          <w:szCs w:val="22"/>
          <w:lang w:val="pt-BR"/>
        </w:rPr>
        <w:t>c</w:t>
      </w:r>
      <w:r w:rsidRPr="00913ACD">
        <w:rPr>
          <w:b/>
          <w:bCs/>
          <w:iCs/>
          <w:sz w:val="22"/>
          <w:szCs w:val="22"/>
          <w:lang w:val="pt-BR"/>
        </w:rPr>
        <w:t xml:space="preserve">iência e </w:t>
      </w:r>
      <w:r w:rsidR="00E60F65" w:rsidRPr="00913ACD">
        <w:rPr>
          <w:b/>
          <w:bCs/>
          <w:iCs/>
          <w:sz w:val="22"/>
          <w:szCs w:val="22"/>
          <w:lang w:val="pt-BR"/>
        </w:rPr>
        <w:t>t</w:t>
      </w:r>
      <w:r w:rsidRPr="00913ACD">
        <w:rPr>
          <w:b/>
          <w:bCs/>
          <w:iCs/>
          <w:sz w:val="22"/>
          <w:szCs w:val="22"/>
          <w:lang w:val="pt-BR"/>
        </w:rPr>
        <w:t>ecnologia</w:t>
      </w:r>
      <w:r w:rsidR="007800A2" w:rsidRPr="00913ACD">
        <w:rPr>
          <w:b/>
          <w:bCs/>
          <w:iCs/>
          <w:sz w:val="22"/>
          <w:szCs w:val="22"/>
          <w:lang w:val="pt-BR"/>
        </w:rPr>
        <w:t>”</w:t>
      </w:r>
      <w:r w:rsidR="005114D9" w:rsidRPr="00913ACD">
        <w:rPr>
          <w:sz w:val="22"/>
          <w:szCs w:val="22"/>
          <w:lang w:val="pt-BR"/>
        </w:rPr>
        <w:t xml:space="preserve"> (</w:t>
      </w:r>
      <w:hyperlink r:id="rId24" w:history="1">
        <w:r w:rsidR="005114D9" w:rsidRPr="00913ACD">
          <w:rPr>
            <w:color w:val="0563C1" w:themeColor="hyperlink"/>
            <w:sz w:val="22"/>
            <w:szCs w:val="22"/>
            <w:u w:val="single"/>
            <w:lang w:val="pt-BR"/>
          </w:rPr>
          <w:t>AICD/JD/DE-126/20</w:t>
        </w:r>
      </w:hyperlink>
      <w:r w:rsidR="005114D9" w:rsidRPr="00913ACD">
        <w:rPr>
          <w:sz w:val="22"/>
          <w:szCs w:val="22"/>
          <w:lang w:val="pt-BR"/>
        </w:rPr>
        <w:t xml:space="preserve">) como área temática estratégica para o ciclo de programação 2021-2024 </w:t>
      </w:r>
      <w:r w:rsidR="003F5666" w:rsidRPr="00913ACD">
        <w:rPr>
          <w:sz w:val="22"/>
          <w:szCs w:val="22"/>
          <w:lang w:val="pt-BR"/>
        </w:rPr>
        <w:t>do FCD/OEA</w:t>
      </w:r>
      <w:r w:rsidR="005114D9" w:rsidRPr="00913ACD">
        <w:rPr>
          <w:sz w:val="22"/>
          <w:szCs w:val="22"/>
          <w:lang w:val="pt-BR"/>
        </w:rPr>
        <w:t xml:space="preserve">, </w:t>
      </w:r>
      <w:r w:rsidR="00221695" w:rsidRPr="00913ACD">
        <w:rPr>
          <w:sz w:val="22"/>
          <w:szCs w:val="22"/>
          <w:lang w:val="pt-BR"/>
        </w:rPr>
        <w:t xml:space="preserve">com destaque para </w:t>
      </w:r>
      <w:r w:rsidR="005114D9" w:rsidRPr="00913ACD">
        <w:rPr>
          <w:sz w:val="22"/>
          <w:szCs w:val="22"/>
          <w:lang w:val="pt-BR"/>
        </w:rPr>
        <w:t>quatro temas adicionais do programa:</w:t>
      </w:r>
    </w:p>
    <w:p w14:paraId="54BA7718" w14:textId="77777777" w:rsidR="005114D9" w:rsidRPr="00913ACD" w:rsidRDefault="005114D9" w:rsidP="00CB030B">
      <w:pPr>
        <w:contextualSpacing/>
        <w:jc w:val="both"/>
        <w:rPr>
          <w:rFonts w:ascii="Times New Roman" w:eastAsia="MS PGothic" w:hAnsi="Times New Roman" w:cs="Times New Roman"/>
          <w:kern w:val="24"/>
          <w:sz w:val="22"/>
          <w:szCs w:val="22"/>
          <w:lang w:val="pt-BR"/>
        </w:rPr>
      </w:pPr>
    </w:p>
    <w:p w14:paraId="48328064" w14:textId="6587571E" w:rsidR="005114D9" w:rsidRPr="00913ACD" w:rsidRDefault="0058747C" w:rsidP="00CB030B">
      <w:pPr>
        <w:pStyle w:val="ListParagraph"/>
        <w:numPr>
          <w:ilvl w:val="0"/>
          <w:numId w:val="39"/>
        </w:numPr>
        <w:ind w:left="2160" w:hanging="720"/>
        <w:contextualSpacing/>
        <w:jc w:val="both"/>
        <w:rPr>
          <w:rFonts w:eastAsia="MS PGothic"/>
          <w:kern w:val="24"/>
          <w:sz w:val="22"/>
          <w:szCs w:val="22"/>
          <w:lang w:val="pt-BR"/>
        </w:rPr>
      </w:pPr>
      <w:r>
        <w:rPr>
          <w:kern w:val="24"/>
          <w:sz w:val="22"/>
          <w:szCs w:val="22"/>
          <w:lang w:val="pt-BR"/>
        </w:rPr>
        <w:t>r</w:t>
      </w:r>
      <w:r w:rsidR="00543D52" w:rsidRPr="00913ACD">
        <w:rPr>
          <w:kern w:val="24"/>
          <w:sz w:val="22"/>
          <w:szCs w:val="22"/>
          <w:lang w:val="pt-BR"/>
        </w:rPr>
        <w:t>eequipa</w:t>
      </w:r>
      <w:r w:rsidR="00221695" w:rsidRPr="00913ACD">
        <w:rPr>
          <w:kern w:val="24"/>
          <w:sz w:val="22"/>
          <w:szCs w:val="22"/>
          <w:lang w:val="pt-BR"/>
        </w:rPr>
        <w:t>mento d</w:t>
      </w:r>
      <w:r w:rsidR="00543D52" w:rsidRPr="00913ACD">
        <w:rPr>
          <w:kern w:val="24"/>
          <w:sz w:val="22"/>
          <w:szCs w:val="22"/>
          <w:lang w:val="pt-BR"/>
        </w:rPr>
        <w:t xml:space="preserve">as MPMEs </w:t>
      </w:r>
      <w:r w:rsidR="00E13AF8" w:rsidRPr="00913ACD">
        <w:rPr>
          <w:kern w:val="24"/>
          <w:sz w:val="22"/>
          <w:szCs w:val="22"/>
          <w:lang w:val="pt-BR"/>
        </w:rPr>
        <w:t xml:space="preserve">por meio </w:t>
      </w:r>
      <w:r w:rsidR="00543D52" w:rsidRPr="00913ACD">
        <w:rPr>
          <w:kern w:val="24"/>
          <w:sz w:val="22"/>
          <w:szCs w:val="22"/>
          <w:lang w:val="pt-BR"/>
        </w:rPr>
        <w:t>da inovação e da tecnologia</w:t>
      </w:r>
      <w:r>
        <w:rPr>
          <w:kern w:val="24"/>
          <w:sz w:val="22"/>
          <w:szCs w:val="22"/>
          <w:lang w:val="pt-BR"/>
        </w:rPr>
        <w:t>;</w:t>
      </w:r>
    </w:p>
    <w:p w14:paraId="75EBDE20" w14:textId="49F6F9F4" w:rsidR="005114D9" w:rsidRPr="00913ACD" w:rsidRDefault="0058747C" w:rsidP="00CB030B">
      <w:pPr>
        <w:pStyle w:val="ListParagraph"/>
        <w:numPr>
          <w:ilvl w:val="0"/>
          <w:numId w:val="39"/>
        </w:numPr>
        <w:ind w:left="2160" w:hanging="720"/>
        <w:contextualSpacing/>
        <w:jc w:val="both"/>
        <w:rPr>
          <w:rFonts w:eastAsia="MS PGothic"/>
          <w:kern w:val="24"/>
          <w:sz w:val="22"/>
          <w:szCs w:val="22"/>
          <w:lang w:val="pt-BR"/>
        </w:rPr>
      </w:pPr>
      <w:r>
        <w:rPr>
          <w:kern w:val="24"/>
          <w:sz w:val="22"/>
          <w:szCs w:val="22"/>
          <w:lang w:val="pt-BR"/>
        </w:rPr>
        <w:t>r</w:t>
      </w:r>
      <w:r w:rsidR="00543D52" w:rsidRPr="00913ACD">
        <w:rPr>
          <w:kern w:val="24"/>
          <w:sz w:val="22"/>
          <w:szCs w:val="22"/>
          <w:lang w:val="pt-BR"/>
        </w:rPr>
        <w:t>equalificação inovadora para a recuperação do setor d</w:t>
      </w:r>
      <w:r w:rsidR="00E13AF8" w:rsidRPr="00913ACD">
        <w:rPr>
          <w:kern w:val="24"/>
          <w:sz w:val="22"/>
          <w:szCs w:val="22"/>
          <w:lang w:val="pt-BR"/>
        </w:rPr>
        <w:t>e</w:t>
      </w:r>
      <w:r w:rsidR="00543D52" w:rsidRPr="00913ACD">
        <w:rPr>
          <w:kern w:val="24"/>
          <w:sz w:val="22"/>
          <w:szCs w:val="22"/>
          <w:lang w:val="pt-BR"/>
        </w:rPr>
        <w:t xml:space="preserve"> </w:t>
      </w:r>
      <w:r w:rsidR="00E13AF8" w:rsidRPr="00913ACD">
        <w:rPr>
          <w:kern w:val="24"/>
          <w:sz w:val="22"/>
          <w:szCs w:val="22"/>
          <w:lang w:val="pt-BR"/>
        </w:rPr>
        <w:t>t</w:t>
      </w:r>
      <w:r w:rsidR="00543D52" w:rsidRPr="00913ACD">
        <w:rPr>
          <w:kern w:val="24"/>
          <w:sz w:val="22"/>
          <w:szCs w:val="22"/>
          <w:lang w:val="pt-BR"/>
        </w:rPr>
        <w:t xml:space="preserve">urismo e </w:t>
      </w:r>
      <w:r w:rsidR="00E13AF8" w:rsidRPr="00913ACD">
        <w:rPr>
          <w:kern w:val="24"/>
          <w:sz w:val="22"/>
          <w:szCs w:val="22"/>
          <w:lang w:val="pt-BR"/>
        </w:rPr>
        <w:t xml:space="preserve">das </w:t>
      </w:r>
      <w:r w:rsidR="00543D52" w:rsidRPr="00913ACD">
        <w:rPr>
          <w:kern w:val="24"/>
          <w:sz w:val="22"/>
          <w:szCs w:val="22"/>
          <w:lang w:val="pt-BR"/>
        </w:rPr>
        <w:t>economias regionais</w:t>
      </w:r>
      <w:r w:rsidR="00604F76">
        <w:rPr>
          <w:kern w:val="24"/>
          <w:sz w:val="22"/>
          <w:szCs w:val="22"/>
          <w:lang w:val="pt-BR"/>
        </w:rPr>
        <w:t>;</w:t>
      </w:r>
    </w:p>
    <w:p w14:paraId="64185C51" w14:textId="1EB3DA24" w:rsidR="005114D9" w:rsidRPr="00913ACD" w:rsidRDefault="00604F76" w:rsidP="00CB030B">
      <w:pPr>
        <w:pStyle w:val="ListParagraph"/>
        <w:numPr>
          <w:ilvl w:val="0"/>
          <w:numId w:val="39"/>
        </w:numPr>
        <w:ind w:left="2160" w:hanging="720"/>
        <w:contextualSpacing/>
        <w:jc w:val="both"/>
        <w:rPr>
          <w:rFonts w:eastAsia="MS PGothic"/>
          <w:kern w:val="24"/>
          <w:sz w:val="22"/>
          <w:szCs w:val="22"/>
          <w:lang w:val="pt-BR"/>
        </w:rPr>
      </w:pPr>
      <w:r>
        <w:rPr>
          <w:kern w:val="24"/>
          <w:sz w:val="22"/>
          <w:szCs w:val="22"/>
          <w:lang w:val="pt-BR"/>
        </w:rPr>
        <w:t>i</w:t>
      </w:r>
      <w:r w:rsidR="00543D52" w:rsidRPr="00913ACD">
        <w:rPr>
          <w:kern w:val="24"/>
          <w:sz w:val="22"/>
          <w:szCs w:val="22"/>
          <w:lang w:val="pt-BR"/>
        </w:rPr>
        <w:t>novação científica e tecnológica para a construção de resiliência</w:t>
      </w:r>
      <w:r>
        <w:rPr>
          <w:kern w:val="24"/>
          <w:sz w:val="22"/>
          <w:szCs w:val="22"/>
          <w:lang w:val="pt-BR"/>
        </w:rPr>
        <w:t>; e</w:t>
      </w:r>
    </w:p>
    <w:p w14:paraId="08B96032" w14:textId="2C77F836" w:rsidR="00543D52" w:rsidRPr="00913ACD" w:rsidRDefault="00604F76" w:rsidP="00CB030B">
      <w:pPr>
        <w:pStyle w:val="ListParagraph"/>
        <w:numPr>
          <w:ilvl w:val="0"/>
          <w:numId w:val="39"/>
        </w:numPr>
        <w:ind w:left="2160" w:hanging="720"/>
        <w:contextualSpacing/>
        <w:jc w:val="both"/>
        <w:rPr>
          <w:rFonts w:eastAsia="MS PGothic"/>
          <w:kern w:val="24"/>
          <w:sz w:val="22"/>
          <w:szCs w:val="22"/>
          <w:lang w:val="pt-BR"/>
        </w:rPr>
      </w:pPr>
      <w:r>
        <w:rPr>
          <w:kern w:val="24"/>
          <w:sz w:val="22"/>
          <w:szCs w:val="22"/>
          <w:lang w:val="pt-BR"/>
        </w:rPr>
        <w:t>c</w:t>
      </w:r>
      <w:r w:rsidR="00543D52" w:rsidRPr="00913ACD">
        <w:rPr>
          <w:kern w:val="24"/>
          <w:sz w:val="22"/>
          <w:szCs w:val="22"/>
          <w:lang w:val="pt-BR"/>
        </w:rPr>
        <w:t xml:space="preserve">iência para </w:t>
      </w:r>
      <w:r w:rsidR="00E855ED" w:rsidRPr="00913ACD">
        <w:rPr>
          <w:kern w:val="24"/>
          <w:sz w:val="22"/>
          <w:szCs w:val="22"/>
          <w:lang w:val="pt-BR"/>
        </w:rPr>
        <w:t xml:space="preserve">a </w:t>
      </w:r>
      <w:r w:rsidR="00543D52" w:rsidRPr="00913ACD">
        <w:rPr>
          <w:kern w:val="24"/>
          <w:sz w:val="22"/>
          <w:szCs w:val="22"/>
          <w:lang w:val="pt-BR"/>
        </w:rPr>
        <w:t xml:space="preserve">tomada de decisão </w:t>
      </w:r>
      <w:r w:rsidR="00E855ED" w:rsidRPr="00913ACD">
        <w:rPr>
          <w:kern w:val="24"/>
          <w:sz w:val="22"/>
          <w:szCs w:val="22"/>
          <w:lang w:val="pt-BR"/>
        </w:rPr>
        <w:t>no</w:t>
      </w:r>
      <w:r w:rsidR="00543D52" w:rsidRPr="00913ACD">
        <w:rPr>
          <w:kern w:val="24"/>
          <w:sz w:val="22"/>
          <w:szCs w:val="22"/>
          <w:lang w:val="pt-BR"/>
        </w:rPr>
        <w:t xml:space="preserve"> planejamento de risco de desastres.</w:t>
      </w:r>
    </w:p>
    <w:p w14:paraId="6196D26C" w14:textId="77777777" w:rsidR="005114D9" w:rsidRPr="00913ACD" w:rsidRDefault="005114D9" w:rsidP="00CB030B">
      <w:pPr>
        <w:contextualSpacing/>
        <w:jc w:val="both"/>
        <w:rPr>
          <w:rFonts w:ascii="Times New Roman" w:hAnsi="Times New Roman" w:cs="Times New Roman"/>
          <w:color w:val="000000"/>
          <w:sz w:val="22"/>
          <w:szCs w:val="22"/>
          <w:lang w:val="pt-BR"/>
        </w:rPr>
      </w:pPr>
    </w:p>
    <w:p w14:paraId="4AAC0CFE" w14:textId="0C516C5E" w:rsidR="00543D52" w:rsidRPr="00913ACD" w:rsidRDefault="00543D52" w:rsidP="00CB030B">
      <w:pPr>
        <w:pStyle w:val="ListParagraph"/>
        <w:numPr>
          <w:ilvl w:val="0"/>
          <w:numId w:val="40"/>
        </w:numPr>
        <w:ind w:left="1440" w:hanging="720"/>
        <w:contextualSpacing/>
        <w:jc w:val="both"/>
        <w:rPr>
          <w:color w:val="0563C1" w:themeColor="hyperlink"/>
          <w:sz w:val="22"/>
          <w:szCs w:val="22"/>
          <w:u w:val="single"/>
          <w:lang w:val="pt-BR"/>
        </w:rPr>
      </w:pPr>
      <w:r w:rsidRPr="00913ACD">
        <w:rPr>
          <w:color w:val="000000"/>
          <w:sz w:val="22"/>
          <w:szCs w:val="22"/>
          <w:lang w:val="pt-BR"/>
        </w:rPr>
        <w:t>A área de atuação e os temas correspondentes foram aprovados pelo CIDI em sua reunião ordinária</w:t>
      </w:r>
      <w:r w:rsidR="00F9290F" w:rsidRPr="00913ACD">
        <w:rPr>
          <w:color w:val="000000"/>
          <w:sz w:val="22"/>
          <w:szCs w:val="22"/>
          <w:lang w:val="pt-BR"/>
        </w:rPr>
        <w:t xml:space="preserve"> de </w:t>
      </w:r>
      <w:r w:rsidRPr="00913ACD">
        <w:rPr>
          <w:color w:val="000000"/>
          <w:sz w:val="22"/>
          <w:szCs w:val="22"/>
          <w:lang w:val="pt-BR"/>
        </w:rPr>
        <w:t>8 de dezembro de 2020 (</w:t>
      </w:r>
      <w:hyperlink r:id="rId25" w:tgtFrame="_blank" w:history="1">
        <w:r w:rsidRPr="00913ACD">
          <w:rPr>
            <w:color w:val="0563C1" w:themeColor="hyperlink"/>
            <w:sz w:val="22"/>
            <w:szCs w:val="22"/>
            <w:u w:val="single"/>
            <w:lang w:val="pt-BR"/>
          </w:rPr>
          <w:t>CIDI/doc.304/20 rev.1</w:t>
        </w:r>
      </w:hyperlink>
      <w:r w:rsidRPr="00913ACD">
        <w:rPr>
          <w:color w:val="000000" w:themeColor="text1"/>
          <w:sz w:val="22"/>
          <w:szCs w:val="22"/>
          <w:lang w:val="pt-BR"/>
        </w:rPr>
        <w:t>).</w:t>
      </w:r>
    </w:p>
    <w:p w14:paraId="457B5A45" w14:textId="77777777" w:rsidR="00543D52" w:rsidRPr="00913ACD" w:rsidRDefault="00543D52" w:rsidP="00CB030B">
      <w:pPr>
        <w:ind w:left="1440" w:hanging="720"/>
        <w:contextualSpacing/>
        <w:jc w:val="both"/>
        <w:rPr>
          <w:rFonts w:ascii="Times New Roman" w:eastAsia="MS PGothic" w:hAnsi="Times New Roman" w:cs="Times New Roman"/>
          <w:kern w:val="24"/>
          <w:sz w:val="22"/>
          <w:szCs w:val="22"/>
          <w:lang w:val="pt-BR"/>
        </w:rPr>
      </w:pPr>
    </w:p>
    <w:p w14:paraId="2702473C" w14:textId="6C5C1D22" w:rsidR="00543D52" w:rsidRPr="00913ACD" w:rsidRDefault="005114D9" w:rsidP="00CB030B">
      <w:pPr>
        <w:pStyle w:val="ListParagraph"/>
        <w:numPr>
          <w:ilvl w:val="0"/>
          <w:numId w:val="40"/>
        </w:numPr>
        <w:ind w:left="1440" w:hanging="720"/>
        <w:contextualSpacing/>
        <w:jc w:val="both"/>
        <w:rPr>
          <w:spacing w:val="-2"/>
          <w:sz w:val="22"/>
          <w:szCs w:val="22"/>
          <w:lang w:val="pt-BR"/>
        </w:rPr>
      </w:pPr>
      <w:r w:rsidRPr="00913ACD">
        <w:rPr>
          <w:spacing w:val="-2"/>
          <w:sz w:val="22"/>
          <w:szCs w:val="22"/>
          <w:lang w:val="pt-BR"/>
        </w:rPr>
        <w:t xml:space="preserve">Em 24 de agosto de 2021, </w:t>
      </w:r>
      <w:r w:rsidR="00CC0D61" w:rsidRPr="00913ACD">
        <w:rPr>
          <w:spacing w:val="-2"/>
          <w:sz w:val="22"/>
          <w:szCs w:val="22"/>
          <w:lang w:val="pt-BR"/>
        </w:rPr>
        <w:t>a</w:t>
      </w:r>
      <w:r w:rsidRPr="00913ACD">
        <w:rPr>
          <w:spacing w:val="-2"/>
          <w:sz w:val="22"/>
          <w:szCs w:val="22"/>
          <w:lang w:val="pt-BR"/>
        </w:rPr>
        <w:t xml:space="preserve"> </w:t>
      </w:r>
      <w:r w:rsidR="00C414F1" w:rsidRPr="00913ACD">
        <w:rPr>
          <w:spacing w:val="-2"/>
          <w:sz w:val="22"/>
          <w:szCs w:val="22"/>
          <w:lang w:val="pt-BR"/>
        </w:rPr>
        <w:t>JD/AICD</w:t>
      </w:r>
      <w:r w:rsidRPr="00913ACD">
        <w:rPr>
          <w:spacing w:val="-2"/>
          <w:sz w:val="22"/>
          <w:szCs w:val="22"/>
          <w:lang w:val="pt-BR"/>
        </w:rPr>
        <w:t xml:space="preserve"> aprovou US$ 1,7 milhão em financiamento inicial (AICD/JD/DE-130/21) e, em 2 de novembro de 2021, adicionou US$ 100</w:t>
      </w:r>
      <w:r w:rsidR="00CC0D61" w:rsidRPr="00913ACD">
        <w:rPr>
          <w:spacing w:val="-2"/>
          <w:sz w:val="22"/>
          <w:szCs w:val="22"/>
          <w:lang w:val="pt-BR"/>
        </w:rPr>
        <w:t xml:space="preserve"> mil </w:t>
      </w:r>
      <w:r w:rsidRPr="00913ACD">
        <w:rPr>
          <w:spacing w:val="-2"/>
          <w:sz w:val="22"/>
          <w:szCs w:val="22"/>
          <w:lang w:val="pt-BR"/>
        </w:rPr>
        <w:t>(</w:t>
      </w:r>
      <w:hyperlink r:id="rId26" w:history="1">
        <w:r w:rsidR="00543D52" w:rsidRPr="00913ACD">
          <w:rPr>
            <w:color w:val="0563C1" w:themeColor="hyperlink"/>
            <w:spacing w:val="-2"/>
            <w:sz w:val="22"/>
            <w:szCs w:val="22"/>
            <w:u w:val="single"/>
            <w:lang w:val="pt-BR"/>
          </w:rPr>
          <w:t>AICD/JD/DE-131/</w:t>
        </w:r>
      </w:hyperlink>
      <w:r w:rsidRPr="00913ACD">
        <w:rPr>
          <w:sz w:val="22"/>
          <w:szCs w:val="22"/>
          <w:lang w:val="pt-BR"/>
        </w:rPr>
        <w:t>21</w:t>
      </w:r>
      <w:r w:rsidR="00543D52" w:rsidRPr="00913ACD">
        <w:rPr>
          <w:spacing w:val="-2"/>
          <w:sz w:val="22"/>
          <w:szCs w:val="22"/>
          <w:lang w:val="pt-BR"/>
        </w:rPr>
        <w:t>)</w:t>
      </w:r>
      <w:r w:rsidR="005563D1" w:rsidRPr="00913ACD">
        <w:rPr>
          <w:spacing w:val="-2"/>
          <w:sz w:val="22"/>
          <w:szCs w:val="22"/>
          <w:lang w:val="pt-BR"/>
        </w:rPr>
        <w:t xml:space="preserve">, chegando-se ao </w:t>
      </w:r>
      <w:r w:rsidRPr="00913ACD">
        <w:rPr>
          <w:sz w:val="22"/>
          <w:szCs w:val="22"/>
          <w:lang w:val="pt-BR"/>
        </w:rPr>
        <w:t xml:space="preserve">total de US$ 1,8 milhão para o ciclo de programação </w:t>
      </w:r>
      <w:r w:rsidR="00543D52" w:rsidRPr="00913ACD">
        <w:rPr>
          <w:sz w:val="22"/>
          <w:szCs w:val="22"/>
          <w:lang w:val="pt-BR"/>
        </w:rPr>
        <w:t>2021-2024.</w:t>
      </w:r>
      <w:hyperlink r:id="rId27" w:history="1"/>
      <w:r w:rsidRPr="00913ACD">
        <w:rPr>
          <w:sz w:val="22"/>
          <w:szCs w:val="22"/>
          <w:lang w:val="pt-BR"/>
        </w:rPr>
        <w:t xml:space="preserve"> (A adição veio </w:t>
      </w:r>
      <w:r w:rsidR="003F0564">
        <w:rPr>
          <w:sz w:val="22"/>
          <w:szCs w:val="22"/>
          <w:lang w:val="pt-BR"/>
        </w:rPr>
        <w:t xml:space="preserve">em </w:t>
      </w:r>
      <w:r w:rsidRPr="00913ACD">
        <w:rPr>
          <w:sz w:val="22"/>
          <w:szCs w:val="22"/>
          <w:lang w:val="pt-BR"/>
        </w:rPr>
        <w:t xml:space="preserve">resposta </w:t>
      </w:r>
      <w:r w:rsidR="006D06B7" w:rsidRPr="00913ACD">
        <w:rPr>
          <w:sz w:val="22"/>
          <w:szCs w:val="22"/>
          <w:lang w:val="pt-BR"/>
        </w:rPr>
        <w:t>à</w:t>
      </w:r>
      <w:r w:rsidR="00C51D8E" w:rsidRPr="00913ACD">
        <w:rPr>
          <w:sz w:val="22"/>
          <w:szCs w:val="22"/>
          <w:lang w:val="pt-BR"/>
        </w:rPr>
        <w:t xml:space="preserve"> </w:t>
      </w:r>
      <w:r w:rsidR="00543D52" w:rsidRPr="00913ACD">
        <w:rPr>
          <w:kern w:val="24"/>
          <w:sz w:val="22"/>
          <w:szCs w:val="22"/>
          <w:lang w:val="pt-BR"/>
        </w:rPr>
        <w:t>inclusão de São Vicente e Granadinas como beneficiário.)</w:t>
      </w:r>
      <w:bookmarkEnd w:id="7"/>
    </w:p>
    <w:p w14:paraId="6BC19C1F" w14:textId="77777777" w:rsidR="00A05458" w:rsidRPr="00913ACD" w:rsidRDefault="00A05458" w:rsidP="00CB030B">
      <w:pPr>
        <w:pStyle w:val="ListParagraph"/>
        <w:contextualSpacing/>
        <w:jc w:val="both"/>
        <w:rPr>
          <w:spacing w:val="-2"/>
          <w:sz w:val="22"/>
          <w:szCs w:val="22"/>
          <w:lang w:val="pt-BR"/>
        </w:rPr>
      </w:pPr>
    </w:p>
    <w:p w14:paraId="7E129587" w14:textId="040FA0D7" w:rsidR="00A05458" w:rsidRPr="00913ACD" w:rsidRDefault="006D06B7" w:rsidP="00CB030B">
      <w:pPr>
        <w:pStyle w:val="ListParagraph"/>
        <w:numPr>
          <w:ilvl w:val="0"/>
          <w:numId w:val="40"/>
        </w:numPr>
        <w:ind w:left="1440" w:hanging="720"/>
        <w:jc w:val="both"/>
        <w:rPr>
          <w:spacing w:val="-2"/>
          <w:sz w:val="22"/>
          <w:szCs w:val="22"/>
          <w:lang w:val="pt-BR"/>
        </w:rPr>
      </w:pPr>
      <w:r w:rsidRPr="00913ACD">
        <w:rPr>
          <w:spacing w:val="-2"/>
          <w:sz w:val="22"/>
          <w:szCs w:val="22"/>
          <w:lang w:val="pt-BR"/>
        </w:rPr>
        <w:t xml:space="preserve">18 </w:t>
      </w:r>
      <w:r w:rsidR="00A05458" w:rsidRPr="00913ACD">
        <w:rPr>
          <w:spacing w:val="-2"/>
          <w:sz w:val="22"/>
          <w:szCs w:val="22"/>
          <w:lang w:val="pt-BR"/>
        </w:rPr>
        <w:t xml:space="preserve">países são </w:t>
      </w:r>
      <w:r w:rsidR="00CE2E50">
        <w:rPr>
          <w:spacing w:val="-2"/>
          <w:sz w:val="22"/>
          <w:szCs w:val="22"/>
          <w:lang w:val="pt-BR"/>
        </w:rPr>
        <w:t xml:space="preserve">qualificáveis </w:t>
      </w:r>
      <w:r w:rsidR="00A05458" w:rsidRPr="00913ACD">
        <w:rPr>
          <w:spacing w:val="-2"/>
          <w:sz w:val="22"/>
          <w:szCs w:val="22"/>
          <w:lang w:val="pt-BR"/>
        </w:rPr>
        <w:t xml:space="preserve">para participar do ciclo de programação 2021-2024 </w:t>
      </w:r>
      <w:r w:rsidR="003F5666" w:rsidRPr="00913ACD">
        <w:rPr>
          <w:spacing w:val="-2"/>
          <w:sz w:val="22"/>
          <w:szCs w:val="22"/>
          <w:lang w:val="pt-BR"/>
        </w:rPr>
        <w:t>do FCD/OEA</w:t>
      </w:r>
      <w:r w:rsidR="00A05458" w:rsidRPr="00913ACD">
        <w:rPr>
          <w:spacing w:val="-2"/>
          <w:sz w:val="22"/>
          <w:szCs w:val="22"/>
          <w:lang w:val="pt-BR"/>
        </w:rPr>
        <w:t xml:space="preserve"> e implementar um projeto </w:t>
      </w:r>
      <w:r w:rsidR="003F5666" w:rsidRPr="00913ACD">
        <w:rPr>
          <w:spacing w:val="-2"/>
          <w:sz w:val="22"/>
          <w:szCs w:val="22"/>
          <w:lang w:val="pt-BR"/>
        </w:rPr>
        <w:t xml:space="preserve">em </w:t>
      </w:r>
      <w:r w:rsidR="00A05458" w:rsidRPr="00913ACD">
        <w:rPr>
          <w:spacing w:val="-2"/>
          <w:sz w:val="22"/>
          <w:szCs w:val="22"/>
          <w:lang w:val="pt-BR"/>
        </w:rPr>
        <w:t>um dos quatro temas acima. Nes</w:t>
      </w:r>
      <w:r w:rsidR="006B0233">
        <w:rPr>
          <w:spacing w:val="-2"/>
          <w:sz w:val="22"/>
          <w:szCs w:val="22"/>
          <w:lang w:val="pt-BR"/>
        </w:rPr>
        <w:t>t</w:t>
      </w:r>
      <w:r w:rsidR="00A05458" w:rsidRPr="00913ACD">
        <w:rPr>
          <w:spacing w:val="-2"/>
          <w:sz w:val="22"/>
          <w:szCs w:val="22"/>
          <w:lang w:val="pt-BR"/>
        </w:rPr>
        <w:t xml:space="preserve">e ano, </w:t>
      </w:r>
      <w:r w:rsidR="003F5666" w:rsidRPr="00913ACD">
        <w:rPr>
          <w:spacing w:val="-2"/>
          <w:sz w:val="22"/>
          <w:szCs w:val="22"/>
          <w:lang w:val="pt-BR"/>
        </w:rPr>
        <w:t xml:space="preserve">15 </w:t>
      </w:r>
      <w:r w:rsidR="00A05458" w:rsidRPr="00913ACD">
        <w:rPr>
          <w:spacing w:val="-2"/>
          <w:sz w:val="22"/>
          <w:szCs w:val="22"/>
          <w:lang w:val="pt-BR"/>
        </w:rPr>
        <w:t xml:space="preserve">projetos tiveram seus planos de execução aprovados e já começaram a ser implementados. A partir do último trimestre de 2022, quatro programas estão enfrentando atrasos na implementação devido a processos administrativos internos ou iniciaram um exercício de reestruturação para atender </w:t>
      </w:r>
      <w:r w:rsidR="006B4AAE" w:rsidRPr="00913ACD">
        <w:rPr>
          <w:spacing w:val="-2"/>
          <w:sz w:val="22"/>
          <w:szCs w:val="22"/>
          <w:lang w:val="pt-BR"/>
        </w:rPr>
        <w:t xml:space="preserve">melhor </w:t>
      </w:r>
      <w:r w:rsidR="00A05458" w:rsidRPr="00913ACD">
        <w:rPr>
          <w:spacing w:val="-2"/>
          <w:sz w:val="22"/>
          <w:szCs w:val="22"/>
          <w:lang w:val="pt-BR"/>
        </w:rPr>
        <w:t xml:space="preserve">às necessidades de seu país. </w:t>
      </w:r>
    </w:p>
    <w:p w14:paraId="0AB23734" w14:textId="19F20E0B" w:rsidR="00A05458" w:rsidRPr="00913ACD" w:rsidRDefault="00A05458" w:rsidP="00CB030B">
      <w:pPr>
        <w:rPr>
          <w:rFonts w:ascii="Times New Roman" w:hAnsi="Times New Roman" w:cs="Times New Roman"/>
          <w:spacing w:val="-2"/>
          <w:sz w:val="22"/>
          <w:szCs w:val="22"/>
          <w:lang w:val="pt-BR"/>
        </w:rPr>
      </w:pPr>
    </w:p>
    <w:p w14:paraId="0A91206A" w14:textId="5C5ED6AE" w:rsidR="00F86E25" w:rsidRPr="00913ACD" w:rsidRDefault="007427DB" w:rsidP="00CB030B">
      <w:pPr>
        <w:jc w:val="both"/>
        <w:rPr>
          <w:rFonts w:ascii="Times New Roman" w:hAnsi="Times New Roman" w:cs="Times New Roman"/>
          <w:b/>
          <w:bCs/>
          <w:color w:val="000000" w:themeColor="text1"/>
          <w:sz w:val="22"/>
          <w:szCs w:val="22"/>
          <w:u w:val="single"/>
          <w:lang w:val="pt-BR"/>
        </w:rPr>
      </w:pPr>
      <w:r w:rsidRPr="00913ACD">
        <w:rPr>
          <w:rFonts w:ascii="Times New Roman" w:hAnsi="Times New Roman" w:cs="Times New Roman"/>
          <w:b/>
          <w:bCs/>
          <w:color w:val="000000" w:themeColor="text1"/>
          <w:sz w:val="22"/>
          <w:szCs w:val="22"/>
          <w:u w:val="single"/>
          <w:lang w:val="pt-BR"/>
        </w:rPr>
        <w:t>OBJETIVO</w:t>
      </w:r>
      <w:r w:rsidR="007818BC" w:rsidRPr="00913ACD">
        <w:rPr>
          <w:rFonts w:ascii="Times New Roman" w:hAnsi="Times New Roman" w:cs="Times New Roman"/>
          <w:b/>
          <w:bCs/>
          <w:color w:val="000000" w:themeColor="text1"/>
          <w:sz w:val="22"/>
          <w:szCs w:val="22"/>
          <w:u w:val="single"/>
          <w:lang w:val="pt-BR"/>
        </w:rPr>
        <w:t xml:space="preserve"> 5.1</w:t>
      </w:r>
    </w:p>
    <w:p w14:paraId="11551228" w14:textId="77777777" w:rsidR="00F86E25" w:rsidRPr="00913ACD" w:rsidRDefault="00F86E25" w:rsidP="00CB030B">
      <w:pPr>
        <w:ind w:firstLine="720"/>
        <w:jc w:val="both"/>
        <w:rPr>
          <w:rFonts w:ascii="Times New Roman" w:hAnsi="Times New Roman" w:cs="Times New Roman"/>
          <w:bCs/>
          <w:sz w:val="22"/>
          <w:szCs w:val="22"/>
          <w:lang w:val="pt-BR"/>
        </w:rPr>
      </w:pPr>
    </w:p>
    <w:p w14:paraId="1D79FD20" w14:textId="46C527DD" w:rsidR="007818BC" w:rsidRPr="00913ACD" w:rsidRDefault="00553ACA" w:rsidP="00CB030B">
      <w:pPr>
        <w:ind w:firstLine="720"/>
        <w:jc w:val="both"/>
        <w:rPr>
          <w:rFonts w:ascii="Times New Roman" w:hAnsi="Times New Roman" w:cs="Times New Roman"/>
          <w:sz w:val="22"/>
          <w:szCs w:val="22"/>
          <w:lang w:val="pt-BR"/>
        </w:rPr>
      </w:pPr>
      <w:r w:rsidRPr="00913ACD">
        <w:rPr>
          <w:rFonts w:ascii="Times New Roman" w:hAnsi="Times New Roman" w:cs="Times New Roman"/>
          <w:sz w:val="22"/>
          <w:szCs w:val="22"/>
          <w:lang w:val="pt-BR"/>
        </w:rPr>
        <w:t>Estimular a cooperação bilateral, sul-sul, triangular e internacional no Hemisfério</w:t>
      </w:r>
    </w:p>
    <w:p w14:paraId="745085A1" w14:textId="601C430D" w:rsidR="00543D52" w:rsidRPr="00913ACD" w:rsidRDefault="00543D52" w:rsidP="00CB030B">
      <w:pPr>
        <w:contextualSpacing/>
        <w:jc w:val="both"/>
        <w:rPr>
          <w:rFonts w:ascii="Times New Roman" w:hAnsi="Times New Roman" w:cs="Times New Roman"/>
          <w:spacing w:val="-2"/>
          <w:sz w:val="22"/>
          <w:szCs w:val="22"/>
          <w:lang w:val="pt-BR"/>
        </w:rPr>
      </w:pPr>
    </w:p>
    <w:p w14:paraId="59CF5490" w14:textId="1B871BE6" w:rsidR="007818BC" w:rsidRPr="00913ACD" w:rsidRDefault="007818BC" w:rsidP="00CB030B">
      <w:pPr>
        <w:ind w:firstLine="720"/>
        <w:jc w:val="both"/>
        <w:rPr>
          <w:rFonts w:ascii="Times New Roman" w:hAnsi="Times New Roman" w:cs="Times New Roman"/>
          <w:b/>
          <w:bCs/>
          <w:color w:val="000000" w:themeColor="text1"/>
          <w:sz w:val="22"/>
          <w:szCs w:val="22"/>
          <w:lang w:val="pt-BR"/>
        </w:rPr>
      </w:pPr>
      <w:r w:rsidRPr="00913ACD">
        <w:rPr>
          <w:rFonts w:ascii="Times New Roman" w:hAnsi="Times New Roman" w:cs="Times New Roman"/>
          <w:b/>
          <w:bCs/>
          <w:color w:val="000000" w:themeColor="text1"/>
          <w:sz w:val="22"/>
          <w:szCs w:val="22"/>
          <w:lang w:val="pt-BR"/>
        </w:rPr>
        <w:t>Secretaria da Comissão Interamericana de Portos (CIP)</w:t>
      </w:r>
    </w:p>
    <w:p w14:paraId="3745268F" w14:textId="77777777" w:rsidR="007818BC" w:rsidRPr="00913ACD" w:rsidRDefault="007818BC" w:rsidP="00CB030B">
      <w:pPr>
        <w:contextualSpacing/>
        <w:jc w:val="both"/>
        <w:rPr>
          <w:rFonts w:ascii="Times New Roman" w:hAnsi="Times New Roman" w:cs="Times New Roman"/>
          <w:spacing w:val="-2"/>
          <w:sz w:val="22"/>
          <w:szCs w:val="22"/>
          <w:lang w:val="pt-BR"/>
        </w:rPr>
      </w:pPr>
    </w:p>
    <w:p w14:paraId="4D97CC8E" w14:textId="625824DA" w:rsidR="00802F7C" w:rsidRPr="00913ACD" w:rsidRDefault="007818BC" w:rsidP="00CB030B">
      <w:pPr>
        <w:pStyle w:val="ListParagraph"/>
        <w:numPr>
          <w:ilvl w:val="0"/>
          <w:numId w:val="41"/>
        </w:numPr>
        <w:ind w:left="1440" w:hanging="720"/>
        <w:contextualSpacing/>
        <w:jc w:val="both"/>
        <w:rPr>
          <w:color w:val="000000"/>
          <w:sz w:val="22"/>
          <w:szCs w:val="22"/>
          <w:lang w:val="pt-BR"/>
        </w:rPr>
      </w:pPr>
      <w:r w:rsidRPr="00913ACD">
        <w:rPr>
          <w:color w:val="000000"/>
          <w:sz w:val="22"/>
          <w:szCs w:val="22"/>
          <w:lang w:val="pt-BR"/>
        </w:rPr>
        <w:t>Conduzi</w:t>
      </w:r>
      <w:r w:rsidR="00D96A23" w:rsidRPr="00913ACD">
        <w:rPr>
          <w:color w:val="000000"/>
          <w:sz w:val="22"/>
          <w:szCs w:val="22"/>
          <w:lang w:val="pt-BR"/>
        </w:rPr>
        <w:t>u</w:t>
      </w:r>
      <w:r w:rsidRPr="00913ACD">
        <w:rPr>
          <w:color w:val="000000"/>
          <w:sz w:val="22"/>
          <w:szCs w:val="22"/>
          <w:lang w:val="pt-BR"/>
        </w:rPr>
        <w:t xml:space="preserve"> uma avaliação logística e da cadeia de suprimentos internacional e elabor</w:t>
      </w:r>
      <w:r w:rsidR="00D96A23" w:rsidRPr="00913ACD">
        <w:rPr>
          <w:color w:val="000000"/>
          <w:sz w:val="22"/>
          <w:szCs w:val="22"/>
          <w:lang w:val="pt-BR"/>
        </w:rPr>
        <w:t xml:space="preserve">ou </w:t>
      </w:r>
      <w:r w:rsidRPr="00913ACD">
        <w:rPr>
          <w:color w:val="000000"/>
          <w:sz w:val="22"/>
          <w:szCs w:val="22"/>
          <w:lang w:val="pt-BR"/>
        </w:rPr>
        <w:t xml:space="preserve">um roteiro de implementação com um conjunto de recomendações </w:t>
      </w:r>
      <w:r w:rsidR="00AA2E18" w:rsidRPr="00913ACD">
        <w:rPr>
          <w:color w:val="000000"/>
          <w:sz w:val="22"/>
          <w:szCs w:val="22"/>
          <w:lang w:val="pt-BR"/>
        </w:rPr>
        <w:t>jurídicas</w:t>
      </w:r>
      <w:r w:rsidRPr="00913ACD">
        <w:rPr>
          <w:color w:val="000000"/>
          <w:sz w:val="22"/>
          <w:szCs w:val="22"/>
          <w:lang w:val="pt-BR"/>
        </w:rPr>
        <w:t xml:space="preserve">, operacionais e financeiras para o desenvolvimento e </w:t>
      </w:r>
      <w:r w:rsidR="00AA2E18" w:rsidRPr="00913ACD">
        <w:rPr>
          <w:color w:val="000000"/>
          <w:sz w:val="22"/>
          <w:szCs w:val="22"/>
          <w:lang w:val="pt-BR"/>
        </w:rPr>
        <w:t xml:space="preserve">a </w:t>
      </w:r>
      <w:r w:rsidRPr="00913ACD">
        <w:rPr>
          <w:color w:val="000000"/>
          <w:sz w:val="22"/>
          <w:szCs w:val="22"/>
          <w:lang w:val="pt-BR"/>
        </w:rPr>
        <w:t xml:space="preserve">implementação do Sistema Comunitário Portuário Nacional como parte do </w:t>
      </w:r>
      <w:r w:rsidR="00AA2E18" w:rsidRPr="00913ACD">
        <w:rPr>
          <w:color w:val="000000"/>
          <w:sz w:val="22"/>
          <w:szCs w:val="22"/>
          <w:lang w:val="pt-BR"/>
        </w:rPr>
        <w:t>p</w:t>
      </w:r>
      <w:r w:rsidRPr="00913ACD">
        <w:rPr>
          <w:color w:val="000000"/>
          <w:sz w:val="22"/>
          <w:szCs w:val="22"/>
          <w:lang w:val="pt-BR"/>
        </w:rPr>
        <w:t xml:space="preserve">rojeto </w:t>
      </w:r>
      <w:r w:rsidRPr="00913ACD">
        <w:rPr>
          <w:b/>
          <w:bCs/>
          <w:color w:val="000000"/>
          <w:sz w:val="22"/>
          <w:szCs w:val="22"/>
          <w:lang w:val="pt-BR"/>
        </w:rPr>
        <w:t>Sistema Comunitário Portuário de Barbados</w:t>
      </w:r>
      <w:r w:rsidRPr="00913ACD">
        <w:rPr>
          <w:color w:val="000000"/>
          <w:sz w:val="22"/>
          <w:szCs w:val="22"/>
          <w:lang w:val="pt-BR"/>
        </w:rPr>
        <w:t>.</w:t>
      </w:r>
    </w:p>
    <w:p w14:paraId="781DE08A" w14:textId="4B386AD6" w:rsidR="007818BC" w:rsidRPr="00913ACD" w:rsidRDefault="007818BC" w:rsidP="00CB030B">
      <w:pPr>
        <w:pStyle w:val="ListParagraph"/>
        <w:ind w:left="1440" w:hanging="720"/>
        <w:contextualSpacing/>
        <w:jc w:val="both"/>
        <w:rPr>
          <w:color w:val="000000"/>
          <w:sz w:val="22"/>
          <w:szCs w:val="22"/>
          <w:lang w:val="pt-BR"/>
        </w:rPr>
      </w:pPr>
    </w:p>
    <w:p w14:paraId="0B1EC9E4" w14:textId="6675269F" w:rsidR="007818BC" w:rsidRPr="00913ACD" w:rsidRDefault="007818BC" w:rsidP="00CB030B">
      <w:pPr>
        <w:pStyle w:val="ListParagraph"/>
        <w:numPr>
          <w:ilvl w:val="0"/>
          <w:numId w:val="41"/>
        </w:numPr>
        <w:ind w:left="1440" w:hanging="720"/>
        <w:contextualSpacing/>
        <w:jc w:val="both"/>
        <w:rPr>
          <w:b/>
          <w:bCs/>
          <w:color w:val="000000"/>
          <w:sz w:val="22"/>
          <w:szCs w:val="22"/>
          <w:lang w:val="pt-BR"/>
        </w:rPr>
      </w:pPr>
      <w:r w:rsidRPr="00913ACD">
        <w:rPr>
          <w:color w:val="000000"/>
          <w:sz w:val="22"/>
          <w:szCs w:val="22"/>
          <w:lang w:val="pt-BR"/>
        </w:rPr>
        <w:t xml:space="preserve">Assinou um contrato de compromisso de nove meses entre a </w:t>
      </w:r>
      <w:r w:rsidR="00BE1759" w:rsidRPr="00913ACD">
        <w:rPr>
          <w:color w:val="000000"/>
          <w:sz w:val="22"/>
          <w:szCs w:val="22"/>
          <w:lang w:val="pt-BR"/>
        </w:rPr>
        <w:t>SG/</w:t>
      </w:r>
      <w:r w:rsidRPr="00913ACD">
        <w:rPr>
          <w:color w:val="000000"/>
          <w:sz w:val="22"/>
          <w:szCs w:val="22"/>
          <w:lang w:val="pt-BR"/>
        </w:rPr>
        <w:t>OEA e o Governo de Belize para</w:t>
      </w:r>
      <w:r w:rsidR="00160046" w:rsidRPr="00913ACD">
        <w:rPr>
          <w:color w:val="000000"/>
          <w:sz w:val="22"/>
          <w:szCs w:val="22"/>
          <w:lang w:val="pt-BR"/>
        </w:rPr>
        <w:t xml:space="preserve"> o </w:t>
      </w:r>
      <w:r w:rsidRPr="00913ACD">
        <w:rPr>
          <w:color w:val="000000"/>
          <w:sz w:val="22"/>
          <w:szCs w:val="22"/>
          <w:lang w:val="pt-BR"/>
        </w:rPr>
        <w:t>estud</w:t>
      </w:r>
      <w:r w:rsidR="00160046" w:rsidRPr="00913ACD">
        <w:rPr>
          <w:color w:val="000000"/>
          <w:sz w:val="22"/>
          <w:szCs w:val="22"/>
          <w:lang w:val="pt-BR"/>
        </w:rPr>
        <w:t>o d</w:t>
      </w:r>
      <w:r w:rsidRPr="00913ACD">
        <w:rPr>
          <w:color w:val="000000" w:themeColor="text1"/>
          <w:sz w:val="22"/>
          <w:szCs w:val="22"/>
          <w:lang w:val="pt-BR"/>
        </w:rPr>
        <w:t xml:space="preserve">os requisitos técnicos, </w:t>
      </w:r>
      <w:r w:rsidR="00160046" w:rsidRPr="00913ACD">
        <w:rPr>
          <w:color w:val="000000" w:themeColor="text1"/>
          <w:sz w:val="22"/>
          <w:szCs w:val="22"/>
          <w:lang w:val="pt-BR"/>
        </w:rPr>
        <w:t xml:space="preserve">jurídicos </w:t>
      </w:r>
      <w:r w:rsidRPr="00913ACD">
        <w:rPr>
          <w:color w:val="000000" w:themeColor="text1"/>
          <w:sz w:val="22"/>
          <w:szCs w:val="22"/>
          <w:lang w:val="pt-BR"/>
        </w:rPr>
        <w:t xml:space="preserve">e financeiros </w:t>
      </w:r>
      <w:r w:rsidR="00D15A4D" w:rsidRPr="00913ACD">
        <w:rPr>
          <w:color w:val="000000" w:themeColor="text1"/>
          <w:sz w:val="22"/>
          <w:szCs w:val="22"/>
          <w:lang w:val="pt-BR"/>
        </w:rPr>
        <w:t>d</w:t>
      </w:r>
      <w:r w:rsidRPr="00913ACD">
        <w:rPr>
          <w:color w:val="000000" w:themeColor="text1"/>
          <w:sz w:val="22"/>
          <w:szCs w:val="22"/>
          <w:lang w:val="pt-BR"/>
        </w:rPr>
        <w:t xml:space="preserve">o estabelecimento e </w:t>
      </w:r>
      <w:r w:rsidR="00D15A4D" w:rsidRPr="00913ACD">
        <w:rPr>
          <w:color w:val="000000" w:themeColor="text1"/>
          <w:sz w:val="22"/>
          <w:szCs w:val="22"/>
          <w:lang w:val="pt-BR"/>
        </w:rPr>
        <w:t xml:space="preserve">da </w:t>
      </w:r>
      <w:r w:rsidRPr="00913ACD">
        <w:rPr>
          <w:color w:val="000000" w:themeColor="text1"/>
          <w:sz w:val="22"/>
          <w:szCs w:val="22"/>
          <w:lang w:val="pt-BR"/>
        </w:rPr>
        <w:t xml:space="preserve">operação da Janela Eletrônica </w:t>
      </w:r>
      <w:r w:rsidR="000D0BC6" w:rsidRPr="00913ACD">
        <w:rPr>
          <w:color w:val="000000" w:themeColor="text1"/>
          <w:sz w:val="22"/>
          <w:szCs w:val="22"/>
          <w:lang w:val="pt-BR"/>
        </w:rPr>
        <w:t xml:space="preserve">Única </w:t>
      </w:r>
      <w:r w:rsidRPr="00913ACD">
        <w:rPr>
          <w:color w:val="000000" w:themeColor="text1"/>
          <w:sz w:val="22"/>
          <w:szCs w:val="22"/>
          <w:lang w:val="pt-BR"/>
        </w:rPr>
        <w:t>(ESW)</w:t>
      </w:r>
      <w:r w:rsidR="00FC312F" w:rsidRPr="00913ACD">
        <w:rPr>
          <w:color w:val="000000" w:themeColor="text1"/>
          <w:sz w:val="22"/>
          <w:szCs w:val="22"/>
          <w:lang w:val="pt-BR"/>
        </w:rPr>
        <w:t xml:space="preserve"> e para a elaboração de </w:t>
      </w:r>
      <w:r w:rsidRPr="00913ACD">
        <w:rPr>
          <w:color w:val="000000" w:themeColor="text1"/>
          <w:sz w:val="22"/>
          <w:szCs w:val="22"/>
          <w:lang w:val="pt-BR"/>
        </w:rPr>
        <w:t xml:space="preserve">recomendações sobre </w:t>
      </w:r>
      <w:r w:rsidR="00350CF2" w:rsidRPr="00913ACD">
        <w:rPr>
          <w:color w:val="000000" w:themeColor="text1"/>
          <w:sz w:val="22"/>
          <w:szCs w:val="22"/>
          <w:lang w:val="pt-BR"/>
        </w:rPr>
        <w:t>boas práticas</w:t>
      </w:r>
      <w:r w:rsidRPr="00913ACD">
        <w:rPr>
          <w:color w:val="000000" w:themeColor="text1"/>
          <w:sz w:val="22"/>
          <w:szCs w:val="22"/>
          <w:lang w:val="pt-BR"/>
        </w:rPr>
        <w:t xml:space="preserve"> </w:t>
      </w:r>
      <w:r w:rsidR="00936925" w:rsidRPr="00913ACD">
        <w:rPr>
          <w:color w:val="000000" w:themeColor="text1"/>
          <w:sz w:val="22"/>
          <w:szCs w:val="22"/>
          <w:lang w:val="pt-BR"/>
        </w:rPr>
        <w:t>n</w:t>
      </w:r>
      <w:r w:rsidRPr="00913ACD">
        <w:rPr>
          <w:color w:val="000000" w:themeColor="text1"/>
          <w:sz w:val="22"/>
          <w:szCs w:val="22"/>
          <w:lang w:val="pt-BR"/>
        </w:rPr>
        <w:t>a implementação do projeto</w:t>
      </w:r>
      <w:r w:rsidR="00802F7C" w:rsidRPr="00913ACD">
        <w:rPr>
          <w:color w:val="000000"/>
          <w:sz w:val="22"/>
          <w:szCs w:val="22"/>
          <w:lang w:val="pt-BR"/>
        </w:rPr>
        <w:t xml:space="preserve">. O estudo, parte do </w:t>
      </w:r>
      <w:r w:rsidR="00802F7C" w:rsidRPr="00913ACD">
        <w:rPr>
          <w:b/>
          <w:color w:val="000000"/>
          <w:sz w:val="22"/>
          <w:szCs w:val="22"/>
          <w:lang w:val="pt-BR"/>
        </w:rPr>
        <w:t xml:space="preserve">Estudo de </w:t>
      </w:r>
      <w:r w:rsidR="00A330D5" w:rsidRPr="00913ACD">
        <w:rPr>
          <w:b/>
          <w:color w:val="000000"/>
          <w:sz w:val="22"/>
          <w:szCs w:val="22"/>
          <w:lang w:val="pt-BR"/>
        </w:rPr>
        <w:t>v</w:t>
      </w:r>
      <w:r w:rsidR="00802F7C" w:rsidRPr="00913ACD">
        <w:rPr>
          <w:b/>
          <w:color w:val="000000"/>
          <w:sz w:val="22"/>
          <w:szCs w:val="22"/>
          <w:lang w:val="pt-BR"/>
        </w:rPr>
        <w:t xml:space="preserve">iabilidade para o </w:t>
      </w:r>
      <w:r w:rsidR="00A330D5" w:rsidRPr="00913ACD">
        <w:rPr>
          <w:b/>
          <w:color w:val="000000"/>
          <w:sz w:val="22"/>
          <w:szCs w:val="22"/>
          <w:lang w:val="pt-BR"/>
        </w:rPr>
        <w:t>e</w:t>
      </w:r>
      <w:r w:rsidR="00802F7C" w:rsidRPr="00913ACD">
        <w:rPr>
          <w:b/>
          <w:color w:val="000000"/>
          <w:sz w:val="22"/>
          <w:szCs w:val="22"/>
          <w:lang w:val="pt-BR"/>
        </w:rPr>
        <w:t>stabelecimento de um</w:t>
      </w:r>
      <w:r w:rsidR="00B03F09" w:rsidRPr="00913ACD">
        <w:rPr>
          <w:b/>
          <w:color w:val="000000"/>
          <w:sz w:val="22"/>
          <w:szCs w:val="22"/>
          <w:lang w:val="pt-BR"/>
        </w:rPr>
        <w:t>a</w:t>
      </w:r>
      <w:r w:rsidR="00802F7C" w:rsidRPr="00913ACD">
        <w:rPr>
          <w:b/>
          <w:color w:val="000000"/>
          <w:sz w:val="22"/>
          <w:szCs w:val="22"/>
          <w:lang w:val="pt-BR"/>
        </w:rPr>
        <w:t xml:space="preserve"> ESW </w:t>
      </w:r>
      <w:r w:rsidR="00B03F09" w:rsidRPr="00913ACD">
        <w:rPr>
          <w:b/>
          <w:color w:val="000000"/>
          <w:sz w:val="22"/>
          <w:szCs w:val="22"/>
          <w:lang w:val="pt-BR"/>
        </w:rPr>
        <w:t>para o comércio</w:t>
      </w:r>
      <w:r w:rsidR="00802F7C" w:rsidRPr="00913ACD">
        <w:rPr>
          <w:bCs/>
          <w:color w:val="000000"/>
          <w:sz w:val="22"/>
          <w:szCs w:val="22"/>
          <w:lang w:val="pt-BR"/>
        </w:rPr>
        <w:t xml:space="preserve"> da</w:t>
      </w:r>
      <w:r w:rsidRPr="00913ACD">
        <w:rPr>
          <w:sz w:val="22"/>
          <w:szCs w:val="22"/>
          <w:lang w:val="pt-BR"/>
        </w:rPr>
        <w:t xml:space="preserve"> CIP</w:t>
      </w:r>
      <w:r w:rsidR="00802F7C" w:rsidRPr="00913ACD">
        <w:rPr>
          <w:color w:val="000000"/>
          <w:sz w:val="22"/>
          <w:szCs w:val="22"/>
          <w:lang w:val="pt-BR"/>
        </w:rPr>
        <w:t xml:space="preserve">, também analisará o sistema </w:t>
      </w:r>
      <w:r w:rsidR="002E0255" w:rsidRPr="00913ACD">
        <w:rPr>
          <w:color w:val="000000"/>
          <w:sz w:val="22"/>
          <w:szCs w:val="22"/>
          <w:lang w:val="pt-BR"/>
        </w:rPr>
        <w:t xml:space="preserve">atual </w:t>
      </w:r>
      <w:r w:rsidR="00802F7C" w:rsidRPr="00913ACD">
        <w:rPr>
          <w:color w:val="000000"/>
          <w:sz w:val="22"/>
          <w:szCs w:val="22"/>
          <w:lang w:val="pt-BR"/>
        </w:rPr>
        <w:t xml:space="preserve">de Belize </w:t>
      </w:r>
      <w:r w:rsidR="006143ED" w:rsidRPr="00913ACD">
        <w:rPr>
          <w:color w:val="000000"/>
          <w:sz w:val="22"/>
          <w:szCs w:val="22"/>
          <w:lang w:val="pt-BR"/>
        </w:rPr>
        <w:t>na condução</w:t>
      </w:r>
      <w:r w:rsidR="00802F7C" w:rsidRPr="00913ACD">
        <w:rPr>
          <w:color w:val="000000"/>
          <w:sz w:val="22"/>
          <w:szCs w:val="22"/>
          <w:lang w:val="pt-BR"/>
        </w:rPr>
        <w:t xml:space="preserve"> d</w:t>
      </w:r>
      <w:r w:rsidR="006143ED" w:rsidRPr="00913ACD">
        <w:rPr>
          <w:color w:val="000000"/>
          <w:sz w:val="22"/>
          <w:szCs w:val="22"/>
          <w:lang w:val="pt-BR"/>
        </w:rPr>
        <w:t>o</w:t>
      </w:r>
      <w:r w:rsidR="00802F7C" w:rsidRPr="00913ACD">
        <w:rPr>
          <w:color w:val="000000"/>
          <w:sz w:val="22"/>
          <w:szCs w:val="22"/>
          <w:lang w:val="pt-BR"/>
        </w:rPr>
        <w:t xml:space="preserve"> comércio exterior.</w:t>
      </w:r>
    </w:p>
    <w:p w14:paraId="40DF3D04" w14:textId="77777777" w:rsidR="00EE3694" w:rsidRPr="00913ACD" w:rsidRDefault="00EE3694" w:rsidP="00EE3694">
      <w:pPr>
        <w:pStyle w:val="ListParagraph"/>
        <w:rPr>
          <w:b/>
          <w:bCs/>
          <w:color w:val="000000"/>
          <w:sz w:val="22"/>
          <w:szCs w:val="22"/>
          <w:lang w:val="pt-BR"/>
        </w:rPr>
      </w:pPr>
    </w:p>
    <w:p w14:paraId="01FB354F" w14:textId="6B6A2E5A" w:rsidR="00802F7C" w:rsidRPr="00913ACD" w:rsidRDefault="007818BC" w:rsidP="00CB030B">
      <w:pPr>
        <w:pStyle w:val="NoSpacing"/>
        <w:numPr>
          <w:ilvl w:val="0"/>
          <w:numId w:val="41"/>
        </w:numPr>
        <w:ind w:left="1440" w:hanging="720"/>
        <w:jc w:val="both"/>
        <w:rPr>
          <w:rFonts w:ascii="Times New Roman" w:hAnsi="Times New Roman"/>
          <w:iCs/>
          <w:color w:val="000000" w:themeColor="text1"/>
          <w:lang w:val="pt-BR"/>
        </w:rPr>
      </w:pPr>
      <w:r w:rsidRPr="00913ACD">
        <w:rPr>
          <w:rFonts w:ascii="Times New Roman" w:hAnsi="Times New Roman"/>
          <w:color w:val="000000" w:themeColor="text1"/>
          <w:lang w:val="pt-BR"/>
        </w:rPr>
        <w:t>Gerenci</w:t>
      </w:r>
      <w:r w:rsidR="006143ED" w:rsidRPr="00913ACD">
        <w:rPr>
          <w:rFonts w:ascii="Times New Roman" w:hAnsi="Times New Roman"/>
          <w:color w:val="000000" w:themeColor="text1"/>
          <w:lang w:val="pt-BR"/>
        </w:rPr>
        <w:t xml:space="preserve">ou </w:t>
      </w:r>
      <w:r w:rsidRPr="00913ACD">
        <w:rPr>
          <w:rFonts w:ascii="Times New Roman" w:hAnsi="Times New Roman"/>
          <w:color w:val="000000" w:themeColor="text1"/>
          <w:lang w:val="pt-BR"/>
        </w:rPr>
        <w:t xml:space="preserve">a atualização do Portal </w:t>
      </w:r>
      <w:r w:rsidR="00BD055E" w:rsidRPr="00913ACD">
        <w:rPr>
          <w:rFonts w:ascii="Times New Roman" w:hAnsi="Times New Roman"/>
          <w:color w:val="000000" w:themeColor="text1"/>
          <w:lang w:val="pt-BR"/>
        </w:rPr>
        <w:t xml:space="preserve">da </w:t>
      </w:r>
      <w:r w:rsidRPr="00913ACD">
        <w:rPr>
          <w:rFonts w:ascii="Times New Roman" w:hAnsi="Times New Roman"/>
          <w:color w:val="000000" w:themeColor="text1"/>
          <w:lang w:val="pt-BR"/>
        </w:rPr>
        <w:t>CIP. O portal, uma ferramenta útil para as 34 Autoridades Portuárias Nacionais e para o setor privado (</w:t>
      </w:r>
      <w:r w:rsidR="00C67D84" w:rsidRPr="00913ACD">
        <w:rPr>
          <w:rFonts w:ascii="Times New Roman" w:hAnsi="Times New Roman"/>
          <w:color w:val="000000" w:themeColor="text1"/>
          <w:lang w:val="pt-BR"/>
        </w:rPr>
        <w:t>associados</w:t>
      </w:r>
      <w:r w:rsidR="00BD055E" w:rsidRPr="00913ACD">
        <w:rPr>
          <w:rFonts w:ascii="Times New Roman" w:hAnsi="Times New Roman"/>
          <w:color w:val="000000" w:themeColor="text1"/>
          <w:lang w:val="pt-BR"/>
        </w:rPr>
        <w:t xml:space="preserve"> </w:t>
      </w:r>
      <w:r w:rsidRPr="00913ACD">
        <w:rPr>
          <w:rFonts w:ascii="Times New Roman" w:hAnsi="Times New Roman"/>
          <w:color w:val="000000" w:themeColor="text1"/>
          <w:lang w:val="pt-BR"/>
        </w:rPr>
        <w:t>e parceiros estratégicos), teve mais de 14</w:t>
      </w:r>
      <w:r w:rsidR="00091F95" w:rsidRPr="00913ACD">
        <w:rPr>
          <w:rFonts w:ascii="Times New Roman" w:hAnsi="Times New Roman"/>
          <w:color w:val="000000" w:themeColor="text1"/>
          <w:lang w:val="pt-BR"/>
        </w:rPr>
        <w:t xml:space="preserve"> mil usuários n</w:t>
      </w:r>
      <w:r w:rsidRPr="00913ACD">
        <w:rPr>
          <w:rFonts w:ascii="Times New Roman" w:hAnsi="Times New Roman"/>
          <w:color w:val="000000" w:themeColor="text1"/>
          <w:lang w:val="pt-BR"/>
        </w:rPr>
        <w:t>este ano – um aumento de quase 22% no tráfego em comparação com os números de 2021.</w:t>
      </w:r>
    </w:p>
    <w:p w14:paraId="2687205D" w14:textId="77777777" w:rsidR="00B46A1B" w:rsidRPr="00913ACD" w:rsidRDefault="00B46A1B" w:rsidP="00CB030B">
      <w:pPr>
        <w:jc w:val="both"/>
        <w:rPr>
          <w:rFonts w:ascii="Times New Roman" w:hAnsi="Times New Roman" w:cs="Times New Roman"/>
          <w:b/>
          <w:bCs/>
          <w:color w:val="000000" w:themeColor="text1"/>
          <w:sz w:val="22"/>
          <w:szCs w:val="22"/>
          <w:lang w:val="pt-BR"/>
        </w:rPr>
      </w:pPr>
    </w:p>
    <w:p w14:paraId="2C82F2FB" w14:textId="775B7AC8" w:rsidR="00B46A1B" w:rsidRPr="00913ACD" w:rsidRDefault="007427DB" w:rsidP="00CB030B">
      <w:pPr>
        <w:jc w:val="both"/>
        <w:rPr>
          <w:rFonts w:ascii="Times New Roman" w:hAnsi="Times New Roman" w:cs="Times New Roman"/>
          <w:b/>
          <w:bCs/>
          <w:color w:val="000000" w:themeColor="text1"/>
          <w:sz w:val="22"/>
          <w:szCs w:val="22"/>
          <w:u w:val="single"/>
          <w:lang w:val="pt-BR"/>
        </w:rPr>
      </w:pPr>
      <w:r w:rsidRPr="00913ACD">
        <w:rPr>
          <w:rFonts w:ascii="Times New Roman" w:hAnsi="Times New Roman" w:cs="Times New Roman"/>
          <w:b/>
          <w:bCs/>
          <w:color w:val="000000" w:themeColor="text1"/>
          <w:sz w:val="22"/>
          <w:szCs w:val="22"/>
          <w:u w:val="single"/>
          <w:lang w:val="pt-BR"/>
        </w:rPr>
        <w:t>OBJETIVO</w:t>
      </w:r>
      <w:r w:rsidR="00B46A1B" w:rsidRPr="00913ACD">
        <w:rPr>
          <w:rFonts w:ascii="Times New Roman" w:hAnsi="Times New Roman" w:cs="Times New Roman"/>
          <w:b/>
          <w:bCs/>
          <w:color w:val="000000" w:themeColor="text1"/>
          <w:sz w:val="22"/>
          <w:szCs w:val="22"/>
          <w:u w:val="single"/>
          <w:lang w:val="pt-BR"/>
        </w:rPr>
        <w:t xml:space="preserve"> 5.2</w:t>
      </w:r>
    </w:p>
    <w:p w14:paraId="2C03C658" w14:textId="77777777" w:rsidR="00F86E25" w:rsidRPr="00913ACD" w:rsidRDefault="00F86E25" w:rsidP="00CB030B">
      <w:pPr>
        <w:jc w:val="both"/>
        <w:rPr>
          <w:rFonts w:ascii="Times New Roman" w:hAnsi="Times New Roman" w:cs="Times New Roman"/>
          <w:color w:val="000000" w:themeColor="text1"/>
          <w:sz w:val="22"/>
          <w:szCs w:val="22"/>
          <w:lang w:val="pt-BR"/>
        </w:rPr>
      </w:pPr>
    </w:p>
    <w:p w14:paraId="6ADD2018" w14:textId="64736965" w:rsidR="00B46A1B" w:rsidRPr="00913ACD" w:rsidRDefault="00B46A1B" w:rsidP="00CB030B">
      <w:pPr>
        <w:ind w:firstLine="720"/>
        <w:jc w:val="both"/>
        <w:rPr>
          <w:rFonts w:ascii="Times New Roman" w:hAnsi="Times New Roman" w:cs="Times New Roman"/>
          <w:color w:val="000000" w:themeColor="text1"/>
          <w:sz w:val="22"/>
          <w:szCs w:val="22"/>
          <w:lang w:val="pt-BR"/>
        </w:rPr>
      </w:pPr>
      <w:r w:rsidRPr="00913ACD">
        <w:rPr>
          <w:rFonts w:ascii="Times New Roman" w:hAnsi="Times New Roman" w:cs="Times New Roman"/>
          <w:color w:val="000000" w:themeColor="text1"/>
          <w:sz w:val="22"/>
          <w:szCs w:val="22"/>
          <w:lang w:val="pt-BR"/>
        </w:rPr>
        <w:t xml:space="preserve">Promover parcerias multissetoriais eficazes para ajudar </w:t>
      </w:r>
      <w:r w:rsidR="00E05025" w:rsidRPr="00913ACD">
        <w:rPr>
          <w:rFonts w:ascii="Times New Roman" w:hAnsi="Times New Roman" w:cs="Times New Roman"/>
          <w:color w:val="000000" w:themeColor="text1"/>
          <w:sz w:val="22"/>
          <w:szCs w:val="22"/>
          <w:lang w:val="pt-BR"/>
        </w:rPr>
        <w:t>os</w:t>
      </w:r>
      <w:r w:rsidR="00CD1F38" w:rsidRPr="00913ACD">
        <w:rPr>
          <w:rFonts w:ascii="Times New Roman" w:hAnsi="Times New Roman" w:cs="Times New Roman"/>
          <w:color w:val="000000" w:themeColor="text1"/>
          <w:sz w:val="22"/>
          <w:szCs w:val="22"/>
          <w:lang w:val="pt-BR"/>
        </w:rPr>
        <w:t xml:space="preserve"> </w:t>
      </w:r>
      <w:r w:rsidR="00C67D84" w:rsidRPr="00913ACD">
        <w:rPr>
          <w:rFonts w:ascii="Times New Roman" w:hAnsi="Times New Roman" w:cs="Times New Roman"/>
          <w:color w:val="000000" w:themeColor="text1"/>
          <w:sz w:val="22"/>
          <w:szCs w:val="22"/>
          <w:lang w:val="pt-BR"/>
        </w:rPr>
        <w:t xml:space="preserve">Estados </w:t>
      </w:r>
      <w:r w:rsidR="00CD1F38" w:rsidRPr="00913ACD">
        <w:rPr>
          <w:rFonts w:ascii="Times New Roman" w:hAnsi="Times New Roman" w:cs="Times New Roman"/>
          <w:color w:val="000000" w:themeColor="text1"/>
          <w:sz w:val="22"/>
          <w:szCs w:val="22"/>
          <w:lang w:val="pt-BR"/>
        </w:rPr>
        <w:t>membros</w:t>
      </w:r>
      <w:r w:rsidR="00C67D84" w:rsidRPr="00913ACD">
        <w:rPr>
          <w:rFonts w:ascii="Times New Roman" w:hAnsi="Times New Roman" w:cs="Times New Roman"/>
          <w:color w:val="000000" w:themeColor="text1"/>
          <w:sz w:val="22"/>
          <w:szCs w:val="22"/>
          <w:lang w:val="pt-BR"/>
        </w:rPr>
        <w:t xml:space="preserve"> a</w:t>
      </w:r>
      <w:r w:rsidRPr="00913ACD">
        <w:rPr>
          <w:rFonts w:ascii="Times New Roman" w:hAnsi="Times New Roman" w:cs="Times New Roman"/>
          <w:sz w:val="22"/>
          <w:szCs w:val="22"/>
          <w:lang w:val="pt-BR"/>
        </w:rPr>
        <w:t xml:space="preserve"> cumprir</w:t>
      </w:r>
      <w:r w:rsidR="00C51D8E" w:rsidRPr="00913ACD">
        <w:rPr>
          <w:rFonts w:ascii="Times New Roman" w:hAnsi="Times New Roman" w:cs="Times New Roman"/>
          <w:sz w:val="22"/>
          <w:szCs w:val="22"/>
          <w:lang w:val="pt-BR"/>
        </w:rPr>
        <w:t xml:space="preserve"> </w:t>
      </w:r>
      <w:r w:rsidR="005F30B1" w:rsidRPr="00913ACD">
        <w:rPr>
          <w:rFonts w:ascii="Times New Roman" w:hAnsi="Times New Roman" w:cs="Times New Roman"/>
          <w:color w:val="000000" w:themeColor="text1"/>
          <w:sz w:val="22"/>
          <w:szCs w:val="22"/>
          <w:lang w:val="pt-BR"/>
        </w:rPr>
        <w:t>os</w:t>
      </w:r>
      <w:r w:rsidRPr="00913ACD">
        <w:rPr>
          <w:rFonts w:ascii="Times New Roman" w:hAnsi="Times New Roman" w:cs="Times New Roman"/>
          <w:color w:val="000000" w:themeColor="text1"/>
          <w:sz w:val="22"/>
          <w:szCs w:val="22"/>
          <w:lang w:val="pt-BR"/>
        </w:rPr>
        <w:t xml:space="preserve"> Objetivos de Desenvolvimento Sustentável.</w:t>
      </w:r>
    </w:p>
    <w:p w14:paraId="3091C6A6" w14:textId="77777777" w:rsidR="00B46A1B" w:rsidRPr="00913ACD" w:rsidRDefault="00B46A1B" w:rsidP="00CB030B">
      <w:pPr>
        <w:jc w:val="both"/>
        <w:rPr>
          <w:rFonts w:ascii="Times New Roman" w:hAnsi="Times New Roman" w:cs="Times New Roman"/>
          <w:color w:val="000000" w:themeColor="text1"/>
          <w:sz w:val="22"/>
          <w:szCs w:val="22"/>
          <w:lang w:val="pt-BR"/>
        </w:rPr>
      </w:pPr>
    </w:p>
    <w:p w14:paraId="40251B53" w14:textId="475E66E1" w:rsidR="00B46A1B" w:rsidRPr="00913ACD" w:rsidRDefault="00B46A1B" w:rsidP="00CB030B">
      <w:pPr>
        <w:pStyle w:val="ListParagraph"/>
        <w:numPr>
          <w:ilvl w:val="0"/>
          <w:numId w:val="41"/>
        </w:numPr>
        <w:ind w:left="1440" w:hanging="720"/>
        <w:contextualSpacing/>
        <w:jc w:val="both"/>
        <w:rPr>
          <w:color w:val="000000" w:themeColor="text1"/>
          <w:sz w:val="22"/>
          <w:szCs w:val="22"/>
          <w:lang w:val="pt-BR"/>
        </w:rPr>
      </w:pPr>
      <w:r w:rsidRPr="00913ACD">
        <w:rPr>
          <w:color w:val="000000" w:themeColor="text1"/>
          <w:sz w:val="22"/>
          <w:szCs w:val="22"/>
          <w:lang w:val="pt-BR"/>
        </w:rPr>
        <w:t xml:space="preserve">Assinou um </w:t>
      </w:r>
      <w:r w:rsidR="00F25A1B" w:rsidRPr="00913ACD">
        <w:rPr>
          <w:color w:val="000000" w:themeColor="text1"/>
          <w:sz w:val="22"/>
          <w:szCs w:val="22"/>
          <w:lang w:val="pt-BR"/>
        </w:rPr>
        <w:t>m</w:t>
      </w:r>
      <w:r w:rsidRPr="00913ACD">
        <w:rPr>
          <w:color w:val="000000" w:themeColor="text1"/>
          <w:sz w:val="22"/>
          <w:szCs w:val="22"/>
          <w:lang w:val="pt-BR"/>
        </w:rPr>
        <w:t xml:space="preserve">emorando de </w:t>
      </w:r>
      <w:r w:rsidR="006C623B" w:rsidRPr="00913ACD">
        <w:rPr>
          <w:color w:val="000000" w:themeColor="text1"/>
          <w:sz w:val="22"/>
          <w:szCs w:val="22"/>
          <w:lang w:val="pt-BR"/>
        </w:rPr>
        <w:t>e</w:t>
      </w:r>
      <w:r w:rsidRPr="00913ACD">
        <w:rPr>
          <w:color w:val="000000" w:themeColor="text1"/>
          <w:sz w:val="22"/>
          <w:szCs w:val="22"/>
          <w:lang w:val="pt-BR"/>
        </w:rPr>
        <w:t xml:space="preserve">ntendimento entre a Universidade do Chile e a </w:t>
      </w:r>
      <w:r w:rsidR="00BE1759" w:rsidRPr="00913ACD">
        <w:rPr>
          <w:color w:val="000000" w:themeColor="text1"/>
          <w:sz w:val="22"/>
          <w:szCs w:val="22"/>
          <w:lang w:val="pt-BR"/>
        </w:rPr>
        <w:t>SG/</w:t>
      </w:r>
      <w:r w:rsidRPr="00913ACD">
        <w:rPr>
          <w:color w:val="000000" w:themeColor="text1"/>
          <w:sz w:val="22"/>
          <w:szCs w:val="22"/>
          <w:lang w:val="pt-BR"/>
        </w:rPr>
        <w:t xml:space="preserve">OEA, que </w:t>
      </w:r>
      <w:r w:rsidR="004D0F22" w:rsidRPr="00913ACD">
        <w:rPr>
          <w:color w:val="000000" w:themeColor="text1"/>
          <w:sz w:val="22"/>
          <w:szCs w:val="22"/>
          <w:lang w:val="pt-BR"/>
        </w:rPr>
        <w:t xml:space="preserve">levará a </w:t>
      </w:r>
      <w:r w:rsidRPr="00913ACD">
        <w:rPr>
          <w:color w:val="000000" w:themeColor="text1"/>
          <w:sz w:val="22"/>
          <w:szCs w:val="22"/>
          <w:lang w:val="pt-BR"/>
        </w:rPr>
        <w:t xml:space="preserve">uma colaboração </w:t>
      </w:r>
      <w:r w:rsidR="004D0F22" w:rsidRPr="00913ACD">
        <w:rPr>
          <w:color w:val="000000" w:themeColor="text1"/>
          <w:sz w:val="22"/>
          <w:szCs w:val="22"/>
          <w:lang w:val="pt-BR"/>
        </w:rPr>
        <w:t xml:space="preserve">maior </w:t>
      </w:r>
      <w:r w:rsidRPr="00913ACD">
        <w:rPr>
          <w:color w:val="000000" w:themeColor="text1"/>
          <w:sz w:val="22"/>
          <w:szCs w:val="22"/>
          <w:lang w:val="pt-BR"/>
        </w:rPr>
        <w:t xml:space="preserve">com a Secretaria </w:t>
      </w:r>
      <w:r w:rsidR="00AD15A1" w:rsidRPr="00913ACD">
        <w:rPr>
          <w:color w:val="000000" w:themeColor="text1"/>
          <w:sz w:val="22"/>
          <w:szCs w:val="22"/>
          <w:lang w:val="pt-BR"/>
        </w:rPr>
        <w:t>da CIP</w:t>
      </w:r>
      <w:r w:rsidRPr="00913ACD">
        <w:rPr>
          <w:color w:val="000000" w:themeColor="text1"/>
          <w:sz w:val="22"/>
          <w:szCs w:val="22"/>
          <w:lang w:val="pt-BR"/>
        </w:rPr>
        <w:t xml:space="preserve"> </w:t>
      </w:r>
      <w:r w:rsidR="00E62B0F">
        <w:rPr>
          <w:color w:val="000000" w:themeColor="text1"/>
          <w:sz w:val="22"/>
          <w:szCs w:val="22"/>
          <w:lang w:val="pt-BR"/>
        </w:rPr>
        <w:t>n</w:t>
      </w:r>
      <w:r w:rsidRPr="00913ACD">
        <w:rPr>
          <w:color w:val="000000" w:themeColor="text1"/>
          <w:sz w:val="22"/>
          <w:szCs w:val="22"/>
          <w:lang w:val="pt-BR"/>
        </w:rPr>
        <w:t xml:space="preserve">a </w:t>
      </w:r>
      <w:r w:rsidR="00AD15A1" w:rsidRPr="00913ACD">
        <w:rPr>
          <w:color w:val="000000" w:themeColor="text1"/>
          <w:sz w:val="22"/>
          <w:szCs w:val="22"/>
          <w:lang w:val="pt-BR"/>
        </w:rPr>
        <w:t>formulação</w:t>
      </w:r>
      <w:r w:rsidRPr="00913ACD">
        <w:rPr>
          <w:color w:val="000000" w:themeColor="text1"/>
          <w:sz w:val="22"/>
          <w:szCs w:val="22"/>
          <w:lang w:val="pt-BR"/>
        </w:rPr>
        <w:t xml:space="preserve"> de um novo currículo para </w:t>
      </w:r>
      <w:r w:rsidR="00C43C88" w:rsidRPr="00913ACD">
        <w:rPr>
          <w:color w:val="000000" w:themeColor="text1"/>
          <w:sz w:val="22"/>
          <w:szCs w:val="22"/>
          <w:lang w:val="pt-BR"/>
        </w:rPr>
        <w:t>o</w:t>
      </w:r>
      <w:r w:rsidRPr="00913ACD">
        <w:rPr>
          <w:color w:val="000000" w:themeColor="text1"/>
          <w:sz w:val="22"/>
          <w:szCs w:val="22"/>
          <w:lang w:val="pt-BR"/>
        </w:rPr>
        <w:t xml:space="preserve"> novo Programa Interamericano de Mestrado em Gestão Portuária. Além disso, a Universidade do Chile generosamente ofereceu bolsas de estudo às Autoridades Portuárias Nacionais </w:t>
      </w:r>
      <w:r w:rsidR="00AD15A1" w:rsidRPr="00913ACD">
        <w:rPr>
          <w:color w:val="000000" w:themeColor="text1"/>
          <w:sz w:val="22"/>
          <w:szCs w:val="22"/>
          <w:lang w:val="pt-BR"/>
        </w:rPr>
        <w:t>da CIP</w:t>
      </w:r>
      <w:r w:rsidRPr="00913ACD">
        <w:rPr>
          <w:color w:val="000000" w:themeColor="text1"/>
          <w:sz w:val="22"/>
          <w:szCs w:val="22"/>
          <w:lang w:val="pt-BR"/>
        </w:rPr>
        <w:t>.</w:t>
      </w:r>
    </w:p>
    <w:p w14:paraId="171E9EF0" w14:textId="77777777" w:rsidR="009F6016" w:rsidRPr="00913ACD" w:rsidRDefault="009F6016" w:rsidP="00CB030B">
      <w:pPr>
        <w:pStyle w:val="ListParagraph"/>
        <w:ind w:left="1440" w:hanging="720"/>
        <w:contextualSpacing/>
        <w:jc w:val="both"/>
        <w:rPr>
          <w:color w:val="000000" w:themeColor="text1"/>
          <w:sz w:val="22"/>
          <w:szCs w:val="22"/>
          <w:lang w:val="pt-BR"/>
        </w:rPr>
      </w:pPr>
    </w:p>
    <w:p w14:paraId="19E62998" w14:textId="59CB80D5" w:rsidR="009F6016" w:rsidRPr="00913ACD" w:rsidRDefault="009F6016" w:rsidP="00CB030B">
      <w:pPr>
        <w:pStyle w:val="ListParagraph"/>
        <w:numPr>
          <w:ilvl w:val="0"/>
          <w:numId w:val="41"/>
        </w:numPr>
        <w:ind w:left="1440" w:hanging="720"/>
        <w:contextualSpacing/>
        <w:jc w:val="both"/>
        <w:rPr>
          <w:color w:val="000000" w:themeColor="text1"/>
          <w:sz w:val="22"/>
          <w:szCs w:val="22"/>
          <w:lang w:val="pt-BR"/>
        </w:rPr>
      </w:pPr>
      <w:r w:rsidRPr="00913ACD">
        <w:rPr>
          <w:iCs/>
          <w:color w:val="000000" w:themeColor="text1"/>
          <w:sz w:val="22"/>
          <w:szCs w:val="22"/>
          <w:lang w:val="pt-BR"/>
        </w:rPr>
        <w:t xml:space="preserve">Organizou a </w:t>
      </w:r>
      <w:r w:rsidR="00C06998" w:rsidRPr="00913ACD">
        <w:rPr>
          <w:iCs/>
          <w:color w:val="000000" w:themeColor="text1"/>
          <w:sz w:val="22"/>
          <w:szCs w:val="22"/>
          <w:lang w:val="pt-BR"/>
        </w:rPr>
        <w:t xml:space="preserve">Décima </w:t>
      </w:r>
      <w:r w:rsidR="00C43C88" w:rsidRPr="00913ACD">
        <w:rPr>
          <w:iCs/>
          <w:color w:val="000000" w:themeColor="text1"/>
          <w:sz w:val="22"/>
          <w:szCs w:val="22"/>
          <w:lang w:val="pt-BR"/>
        </w:rPr>
        <w:t xml:space="preserve">Segunda </w:t>
      </w:r>
      <w:r w:rsidRPr="00913ACD">
        <w:rPr>
          <w:iCs/>
          <w:color w:val="000000" w:themeColor="text1"/>
          <w:sz w:val="22"/>
          <w:szCs w:val="22"/>
          <w:lang w:val="pt-BR"/>
        </w:rPr>
        <w:t>Reunião d</w:t>
      </w:r>
      <w:r w:rsidR="00B83831" w:rsidRPr="00913ACD">
        <w:rPr>
          <w:iCs/>
          <w:color w:val="000000" w:themeColor="text1"/>
          <w:sz w:val="22"/>
          <w:szCs w:val="22"/>
          <w:lang w:val="pt-BR"/>
        </w:rPr>
        <w:t xml:space="preserve">o Comitê </w:t>
      </w:r>
      <w:r w:rsidRPr="00913ACD">
        <w:rPr>
          <w:iCs/>
          <w:color w:val="000000" w:themeColor="text1"/>
          <w:sz w:val="22"/>
          <w:szCs w:val="22"/>
          <w:lang w:val="pt-BR"/>
        </w:rPr>
        <w:t>Executiv</w:t>
      </w:r>
      <w:r w:rsidR="00B83831" w:rsidRPr="00913ACD">
        <w:rPr>
          <w:iCs/>
          <w:color w:val="000000" w:themeColor="text1"/>
          <w:sz w:val="22"/>
          <w:szCs w:val="22"/>
          <w:lang w:val="pt-BR"/>
        </w:rPr>
        <w:t>o</w:t>
      </w:r>
      <w:r w:rsidRPr="00913ACD">
        <w:rPr>
          <w:iCs/>
          <w:color w:val="000000" w:themeColor="text1"/>
          <w:sz w:val="22"/>
          <w:szCs w:val="22"/>
          <w:lang w:val="pt-BR"/>
        </w:rPr>
        <w:t xml:space="preserve"> </w:t>
      </w:r>
      <w:r w:rsidR="00AD15A1" w:rsidRPr="00913ACD">
        <w:rPr>
          <w:iCs/>
          <w:color w:val="000000" w:themeColor="text1"/>
          <w:sz w:val="22"/>
          <w:szCs w:val="22"/>
          <w:lang w:val="pt-BR"/>
        </w:rPr>
        <w:t>da CIP</w:t>
      </w:r>
      <w:r w:rsidRPr="00913ACD">
        <w:rPr>
          <w:iCs/>
          <w:color w:val="000000" w:themeColor="text1"/>
          <w:sz w:val="22"/>
          <w:szCs w:val="22"/>
          <w:lang w:val="pt-BR"/>
        </w:rPr>
        <w:t xml:space="preserve"> (CECIP), realizada virtualmente </w:t>
      </w:r>
      <w:r w:rsidR="00CB6176" w:rsidRPr="00913ACD">
        <w:rPr>
          <w:iCs/>
          <w:color w:val="000000" w:themeColor="text1"/>
          <w:sz w:val="22"/>
          <w:szCs w:val="22"/>
          <w:lang w:val="pt-BR"/>
        </w:rPr>
        <w:t>em</w:t>
      </w:r>
      <w:r w:rsidRPr="00913ACD">
        <w:rPr>
          <w:iCs/>
          <w:color w:val="000000" w:themeColor="text1"/>
          <w:sz w:val="22"/>
          <w:szCs w:val="22"/>
          <w:lang w:val="pt-BR"/>
        </w:rPr>
        <w:t xml:space="preserve"> 15 de março de 2022. Na reunião, foram aprovadas a Resolução d</w:t>
      </w:r>
      <w:r w:rsidR="00150D80">
        <w:rPr>
          <w:iCs/>
          <w:color w:val="000000" w:themeColor="text1"/>
          <w:sz w:val="22"/>
          <w:szCs w:val="22"/>
          <w:lang w:val="pt-BR"/>
        </w:rPr>
        <w:t>e</w:t>
      </w:r>
      <w:r w:rsidRPr="00913ACD">
        <w:rPr>
          <w:iCs/>
          <w:color w:val="000000" w:themeColor="text1"/>
          <w:sz w:val="22"/>
          <w:szCs w:val="22"/>
          <w:lang w:val="pt-BR"/>
        </w:rPr>
        <w:t xml:space="preserve"> Col</w:t>
      </w:r>
      <w:r w:rsidR="00CB6176" w:rsidRPr="00913ACD">
        <w:rPr>
          <w:iCs/>
          <w:color w:val="000000" w:themeColor="text1"/>
          <w:sz w:val="22"/>
          <w:szCs w:val="22"/>
          <w:lang w:val="pt-BR"/>
        </w:rPr>
        <w:t>ô</w:t>
      </w:r>
      <w:r w:rsidRPr="00913ACD">
        <w:rPr>
          <w:iCs/>
          <w:color w:val="000000" w:themeColor="text1"/>
          <w:sz w:val="22"/>
          <w:szCs w:val="22"/>
          <w:lang w:val="pt-BR"/>
        </w:rPr>
        <w:t>nia, o orçamento operacional 2022-2023 e os relatórios intercalares de atividade d</w:t>
      </w:r>
      <w:r w:rsidR="00F047A5" w:rsidRPr="00913ACD">
        <w:rPr>
          <w:iCs/>
          <w:color w:val="000000" w:themeColor="text1"/>
          <w:sz w:val="22"/>
          <w:szCs w:val="22"/>
          <w:lang w:val="pt-BR"/>
        </w:rPr>
        <w:t>os</w:t>
      </w:r>
      <w:r w:rsidRPr="00913ACD">
        <w:rPr>
          <w:iCs/>
          <w:color w:val="000000" w:themeColor="text1"/>
          <w:sz w:val="22"/>
          <w:szCs w:val="22"/>
          <w:lang w:val="pt-BR"/>
        </w:rPr>
        <w:t xml:space="preserve"> seis Grupos Técnicos Consultivos e d</w:t>
      </w:r>
      <w:r w:rsidR="00F047A5" w:rsidRPr="00913ACD">
        <w:rPr>
          <w:iCs/>
          <w:color w:val="000000" w:themeColor="text1"/>
          <w:sz w:val="22"/>
          <w:szCs w:val="22"/>
          <w:lang w:val="pt-BR"/>
        </w:rPr>
        <w:t>a</w:t>
      </w:r>
      <w:r w:rsidRPr="00913ACD">
        <w:rPr>
          <w:iCs/>
          <w:color w:val="000000" w:themeColor="text1"/>
          <w:sz w:val="22"/>
          <w:szCs w:val="22"/>
          <w:lang w:val="pt-BR"/>
        </w:rPr>
        <w:t xml:space="preserve"> </w:t>
      </w:r>
      <w:r w:rsidR="00274652" w:rsidRPr="00913ACD">
        <w:rPr>
          <w:iCs/>
          <w:color w:val="000000" w:themeColor="text1"/>
          <w:sz w:val="22"/>
          <w:szCs w:val="22"/>
          <w:lang w:val="pt-BR"/>
        </w:rPr>
        <w:t>Secretaria</w:t>
      </w:r>
      <w:r w:rsidRPr="00913ACD">
        <w:rPr>
          <w:iCs/>
          <w:color w:val="000000" w:themeColor="text1"/>
          <w:sz w:val="22"/>
          <w:szCs w:val="22"/>
          <w:lang w:val="pt-BR"/>
        </w:rPr>
        <w:t xml:space="preserve"> </w:t>
      </w:r>
      <w:r w:rsidR="00AD15A1" w:rsidRPr="00913ACD">
        <w:rPr>
          <w:iCs/>
          <w:color w:val="000000" w:themeColor="text1"/>
          <w:sz w:val="22"/>
          <w:szCs w:val="22"/>
          <w:lang w:val="pt-BR"/>
        </w:rPr>
        <w:t>da CIP</w:t>
      </w:r>
      <w:r w:rsidRPr="00913ACD">
        <w:rPr>
          <w:iCs/>
          <w:color w:val="000000" w:themeColor="text1"/>
          <w:sz w:val="22"/>
          <w:szCs w:val="22"/>
          <w:lang w:val="pt-BR"/>
        </w:rPr>
        <w:t xml:space="preserve">. Significativamente, o CECIP aprovou alterações ao Regulamento Interno </w:t>
      </w:r>
      <w:r w:rsidR="00AD15A1" w:rsidRPr="00913ACD">
        <w:rPr>
          <w:iCs/>
          <w:color w:val="000000" w:themeColor="text1"/>
          <w:sz w:val="22"/>
          <w:szCs w:val="22"/>
          <w:lang w:val="pt-BR"/>
        </w:rPr>
        <w:t>da CIP</w:t>
      </w:r>
      <w:r w:rsidRPr="00913ACD">
        <w:rPr>
          <w:iCs/>
          <w:color w:val="000000" w:themeColor="text1"/>
          <w:sz w:val="22"/>
          <w:szCs w:val="22"/>
          <w:lang w:val="pt-BR"/>
        </w:rPr>
        <w:t xml:space="preserve">, que </w:t>
      </w:r>
      <w:r w:rsidR="00B6793A" w:rsidRPr="00913ACD">
        <w:rPr>
          <w:iCs/>
          <w:color w:val="000000" w:themeColor="text1"/>
          <w:sz w:val="22"/>
          <w:szCs w:val="22"/>
          <w:lang w:val="pt-BR"/>
        </w:rPr>
        <w:t xml:space="preserve">o Comitê </w:t>
      </w:r>
      <w:r w:rsidRPr="00913ACD">
        <w:rPr>
          <w:iCs/>
          <w:color w:val="000000" w:themeColor="text1"/>
          <w:sz w:val="22"/>
          <w:szCs w:val="22"/>
          <w:lang w:val="pt-BR"/>
        </w:rPr>
        <w:t>apresenta</w:t>
      </w:r>
      <w:r w:rsidR="00B6793A" w:rsidRPr="00913ACD">
        <w:rPr>
          <w:iCs/>
          <w:color w:val="000000" w:themeColor="text1"/>
          <w:sz w:val="22"/>
          <w:szCs w:val="22"/>
          <w:lang w:val="pt-BR"/>
        </w:rPr>
        <w:t>rá</w:t>
      </w:r>
      <w:r w:rsidRPr="00913ACD">
        <w:rPr>
          <w:iCs/>
          <w:color w:val="000000" w:themeColor="text1"/>
          <w:sz w:val="22"/>
          <w:szCs w:val="22"/>
          <w:lang w:val="pt-BR"/>
        </w:rPr>
        <w:t xml:space="preserve"> para aprovação em </w:t>
      </w:r>
      <w:r w:rsidR="00B6793A" w:rsidRPr="00913ACD">
        <w:rPr>
          <w:iCs/>
          <w:color w:val="000000" w:themeColor="text1"/>
          <w:sz w:val="22"/>
          <w:szCs w:val="22"/>
          <w:lang w:val="pt-BR"/>
        </w:rPr>
        <w:t>p</w:t>
      </w:r>
      <w:r w:rsidRPr="00913ACD">
        <w:rPr>
          <w:iCs/>
          <w:color w:val="000000" w:themeColor="text1"/>
          <w:sz w:val="22"/>
          <w:szCs w:val="22"/>
          <w:lang w:val="pt-BR"/>
        </w:rPr>
        <w:t xml:space="preserve">lenário </w:t>
      </w:r>
      <w:r w:rsidR="00D204DB">
        <w:rPr>
          <w:iCs/>
          <w:color w:val="000000" w:themeColor="text1"/>
          <w:sz w:val="22"/>
          <w:szCs w:val="22"/>
          <w:lang w:val="pt-BR"/>
        </w:rPr>
        <w:t>d</w:t>
      </w:r>
      <w:r w:rsidRPr="00913ACD">
        <w:rPr>
          <w:iCs/>
          <w:color w:val="000000" w:themeColor="text1"/>
          <w:sz w:val="22"/>
          <w:szCs w:val="22"/>
          <w:lang w:val="pt-BR"/>
        </w:rPr>
        <w:t xml:space="preserve">a </w:t>
      </w:r>
      <w:r w:rsidR="00C06998" w:rsidRPr="00913ACD">
        <w:rPr>
          <w:iCs/>
          <w:color w:val="000000" w:themeColor="text1"/>
          <w:sz w:val="22"/>
          <w:szCs w:val="22"/>
          <w:lang w:val="pt-BR"/>
        </w:rPr>
        <w:t>D</w:t>
      </w:r>
      <w:r w:rsidR="005059BA" w:rsidRPr="00913ACD">
        <w:rPr>
          <w:iCs/>
          <w:color w:val="000000" w:themeColor="text1"/>
          <w:sz w:val="22"/>
          <w:szCs w:val="22"/>
          <w:lang w:val="pt-BR"/>
        </w:rPr>
        <w:t>é</w:t>
      </w:r>
      <w:r w:rsidR="00C06998" w:rsidRPr="00913ACD">
        <w:rPr>
          <w:iCs/>
          <w:color w:val="000000" w:themeColor="text1"/>
          <w:sz w:val="22"/>
          <w:szCs w:val="22"/>
          <w:lang w:val="pt-BR"/>
        </w:rPr>
        <w:t>c</w:t>
      </w:r>
      <w:r w:rsidR="005059BA" w:rsidRPr="00913ACD">
        <w:rPr>
          <w:iCs/>
          <w:color w:val="000000" w:themeColor="text1"/>
          <w:sz w:val="22"/>
          <w:szCs w:val="22"/>
          <w:lang w:val="pt-BR"/>
        </w:rPr>
        <w:t xml:space="preserve">ima Terceira </w:t>
      </w:r>
      <w:r w:rsidRPr="00913ACD">
        <w:rPr>
          <w:iCs/>
          <w:color w:val="000000" w:themeColor="text1"/>
          <w:sz w:val="22"/>
          <w:szCs w:val="22"/>
          <w:lang w:val="pt-BR"/>
        </w:rPr>
        <w:t xml:space="preserve">Reunião Ordinária </w:t>
      </w:r>
      <w:r w:rsidR="00AD15A1" w:rsidRPr="00913ACD">
        <w:rPr>
          <w:iCs/>
          <w:color w:val="000000" w:themeColor="text1"/>
          <w:sz w:val="22"/>
          <w:szCs w:val="22"/>
          <w:lang w:val="pt-BR"/>
        </w:rPr>
        <w:t>da CIP</w:t>
      </w:r>
      <w:r w:rsidRPr="00913ACD">
        <w:rPr>
          <w:iCs/>
          <w:color w:val="000000" w:themeColor="text1"/>
          <w:sz w:val="22"/>
          <w:szCs w:val="22"/>
          <w:lang w:val="pt-BR"/>
        </w:rPr>
        <w:t xml:space="preserve"> em 2023 e, em seguida, para posterior submissão ao CIDI para aprovação final.</w:t>
      </w:r>
    </w:p>
    <w:p w14:paraId="6351D02D" w14:textId="77777777" w:rsidR="00F15A1B" w:rsidRPr="00913ACD" w:rsidRDefault="00F15A1B" w:rsidP="00CB030B">
      <w:pPr>
        <w:pStyle w:val="ListParagraph"/>
        <w:contextualSpacing/>
        <w:jc w:val="both"/>
        <w:rPr>
          <w:color w:val="000000" w:themeColor="text1"/>
          <w:sz w:val="22"/>
          <w:szCs w:val="22"/>
          <w:lang w:val="pt-BR"/>
        </w:rPr>
      </w:pPr>
    </w:p>
    <w:p w14:paraId="4A74702F" w14:textId="2E587307" w:rsidR="00F15A1B" w:rsidRPr="00913ACD" w:rsidRDefault="00D87390" w:rsidP="00CB030B">
      <w:pPr>
        <w:pStyle w:val="ListParagraph"/>
        <w:numPr>
          <w:ilvl w:val="0"/>
          <w:numId w:val="41"/>
        </w:numPr>
        <w:ind w:left="1440" w:hanging="720"/>
        <w:contextualSpacing/>
        <w:jc w:val="both"/>
        <w:rPr>
          <w:color w:val="000000" w:themeColor="text1"/>
          <w:sz w:val="22"/>
          <w:szCs w:val="22"/>
          <w:lang w:val="pt-BR"/>
        </w:rPr>
      </w:pPr>
      <w:r>
        <w:rPr>
          <w:color w:val="000000" w:themeColor="text1"/>
          <w:sz w:val="22"/>
          <w:szCs w:val="22"/>
          <w:lang w:val="pt-BR"/>
        </w:rPr>
        <w:t>Concedeu</w:t>
      </w:r>
      <w:r w:rsidR="00F15A1B" w:rsidRPr="00913ACD">
        <w:rPr>
          <w:color w:val="000000" w:themeColor="text1"/>
          <w:sz w:val="22"/>
          <w:szCs w:val="22"/>
          <w:lang w:val="pt-BR"/>
        </w:rPr>
        <w:t xml:space="preserve"> quatro Prêmios Marítimos das Américas e três menções honrosas </w:t>
      </w:r>
      <w:r w:rsidR="00132714">
        <w:rPr>
          <w:color w:val="000000" w:themeColor="text1"/>
          <w:sz w:val="22"/>
          <w:szCs w:val="22"/>
          <w:lang w:val="pt-BR"/>
        </w:rPr>
        <w:t xml:space="preserve">a </w:t>
      </w:r>
      <w:r w:rsidR="00F15A1B" w:rsidRPr="00913ACD">
        <w:rPr>
          <w:color w:val="000000" w:themeColor="text1"/>
          <w:sz w:val="22"/>
          <w:szCs w:val="22"/>
          <w:lang w:val="pt-BR"/>
        </w:rPr>
        <w:t>instituições públicas e privadas d</w:t>
      </w:r>
      <w:r w:rsidR="008E6FDA" w:rsidRPr="00913ACD">
        <w:rPr>
          <w:color w:val="000000" w:themeColor="text1"/>
          <w:sz w:val="22"/>
          <w:szCs w:val="22"/>
          <w:lang w:val="pt-BR"/>
        </w:rPr>
        <w:t>e</w:t>
      </w:r>
      <w:r w:rsidR="00F15A1B" w:rsidRPr="00913ACD">
        <w:rPr>
          <w:color w:val="000000" w:themeColor="text1"/>
          <w:sz w:val="22"/>
          <w:szCs w:val="22"/>
          <w:lang w:val="pt-BR"/>
        </w:rPr>
        <w:t xml:space="preserve"> Brasil, Jamaica, México, Panamá e Peru por suas práticas </w:t>
      </w:r>
      <w:r w:rsidR="003D6A2A">
        <w:rPr>
          <w:color w:val="000000" w:themeColor="text1"/>
          <w:sz w:val="22"/>
          <w:szCs w:val="22"/>
          <w:lang w:val="pt-BR"/>
        </w:rPr>
        <w:t>notáves</w:t>
      </w:r>
      <w:r w:rsidR="00F15A1B" w:rsidRPr="00913ACD">
        <w:rPr>
          <w:color w:val="000000" w:themeColor="text1"/>
          <w:sz w:val="22"/>
          <w:szCs w:val="22"/>
          <w:lang w:val="pt-BR"/>
        </w:rPr>
        <w:t xml:space="preserve"> em </w:t>
      </w:r>
      <w:r w:rsidR="007D7EAD" w:rsidRPr="00913ACD">
        <w:rPr>
          <w:color w:val="000000" w:themeColor="text1"/>
          <w:sz w:val="22"/>
          <w:szCs w:val="22"/>
          <w:lang w:val="pt-BR"/>
        </w:rPr>
        <w:t>d</w:t>
      </w:r>
      <w:r w:rsidR="00F15A1B" w:rsidRPr="00913ACD">
        <w:rPr>
          <w:color w:val="000000" w:themeColor="text1"/>
          <w:sz w:val="22"/>
          <w:szCs w:val="22"/>
          <w:lang w:val="pt-BR"/>
        </w:rPr>
        <w:t xml:space="preserve">igitalização </w:t>
      </w:r>
      <w:r w:rsidR="007D7EAD" w:rsidRPr="00913ACD">
        <w:rPr>
          <w:color w:val="000000" w:themeColor="text1"/>
          <w:sz w:val="22"/>
          <w:szCs w:val="22"/>
          <w:lang w:val="pt-BR"/>
        </w:rPr>
        <w:t>c</w:t>
      </w:r>
      <w:r w:rsidR="00F15A1B" w:rsidRPr="00913ACD">
        <w:rPr>
          <w:color w:val="000000" w:themeColor="text1"/>
          <w:sz w:val="22"/>
          <w:szCs w:val="22"/>
          <w:lang w:val="pt-BR"/>
        </w:rPr>
        <w:t xml:space="preserve">ompetitiva, </w:t>
      </w:r>
      <w:r w:rsidR="007D7EAD" w:rsidRPr="00913ACD">
        <w:rPr>
          <w:color w:val="000000" w:themeColor="text1"/>
          <w:sz w:val="22"/>
          <w:szCs w:val="22"/>
          <w:lang w:val="pt-BR"/>
        </w:rPr>
        <w:t>s</w:t>
      </w:r>
      <w:r w:rsidR="00F15A1B" w:rsidRPr="00913ACD">
        <w:rPr>
          <w:color w:val="000000" w:themeColor="text1"/>
          <w:sz w:val="22"/>
          <w:szCs w:val="22"/>
          <w:lang w:val="pt-BR"/>
        </w:rPr>
        <w:t xml:space="preserve">egurança </w:t>
      </w:r>
      <w:r w:rsidR="007D7EAD" w:rsidRPr="00913ACD">
        <w:rPr>
          <w:color w:val="000000" w:themeColor="text1"/>
          <w:sz w:val="22"/>
          <w:szCs w:val="22"/>
          <w:lang w:val="pt-BR"/>
        </w:rPr>
        <w:t>c</w:t>
      </w:r>
      <w:r w:rsidR="00F15A1B" w:rsidRPr="00913ACD">
        <w:rPr>
          <w:color w:val="000000" w:themeColor="text1"/>
          <w:sz w:val="22"/>
          <w:szCs w:val="22"/>
          <w:lang w:val="pt-BR"/>
        </w:rPr>
        <w:t xml:space="preserve">ibernética em </w:t>
      </w:r>
      <w:r w:rsidR="007D7EAD" w:rsidRPr="00913ACD">
        <w:rPr>
          <w:color w:val="000000" w:themeColor="text1"/>
          <w:sz w:val="22"/>
          <w:szCs w:val="22"/>
          <w:lang w:val="pt-BR"/>
        </w:rPr>
        <w:t>p</w:t>
      </w:r>
      <w:r w:rsidR="00F15A1B" w:rsidRPr="00913ACD">
        <w:rPr>
          <w:color w:val="000000" w:themeColor="text1"/>
          <w:sz w:val="22"/>
          <w:szCs w:val="22"/>
          <w:lang w:val="pt-BR"/>
        </w:rPr>
        <w:t xml:space="preserve">ortos e/ou </w:t>
      </w:r>
      <w:r w:rsidR="00B97A61" w:rsidRPr="00913ACD">
        <w:rPr>
          <w:color w:val="000000" w:themeColor="text1"/>
          <w:sz w:val="22"/>
          <w:szCs w:val="22"/>
          <w:lang w:val="pt-BR"/>
        </w:rPr>
        <w:t>t</w:t>
      </w:r>
      <w:r w:rsidR="00F15A1B" w:rsidRPr="00913ACD">
        <w:rPr>
          <w:color w:val="000000" w:themeColor="text1"/>
          <w:sz w:val="22"/>
          <w:szCs w:val="22"/>
          <w:lang w:val="pt-BR"/>
        </w:rPr>
        <w:t xml:space="preserve">erminais, </w:t>
      </w:r>
      <w:r w:rsidR="00B97A61" w:rsidRPr="00913ACD">
        <w:rPr>
          <w:color w:val="000000" w:themeColor="text1"/>
          <w:sz w:val="22"/>
          <w:szCs w:val="22"/>
          <w:lang w:val="pt-BR"/>
        </w:rPr>
        <w:t>o</w:t>
      </w:r>
      <w:r w:rsidR="00F15A1B" w:rsidRPr="00913ACD">
        <w:rPr>
          <w:color w:val="000000" w:themeColor="text1"/>
          <w:sz w:val="22"/>
          <w:szCs w:val="22"/>
          <w:lang w:val="pt-BR"/>
        </w:rPr>
        <w:t xml:space="preserve">perações </w:t>
      </w:r>
      <w:r w:rsidR="00B97A61" w:rsidRPr="00913ACD">
        <w:rPr>
          <w:color w:val="000000" w:themeColor="text1"/>
          <w:sz w:val="22"/>
          <w:szCs w:val="22"/>
          <w:lang w:val="pt-BR"/>
        </w:rPr>
        <w:t>p</w:t>
      </w:r>
      <w:r w:rsidR="00F15A1B" w:rsidRPr="00913ACD">
        <w:rPr>
          <w:color w:val="000000" w:themeColor="text1"/>
          <w:sz w:val="22"/>
          <w:szCs w:val="22"/>
          <w:lang w:val="pt-BR"/>
        </w:rPr>
        <w:t xml:space="preserve">ortuárias </w:t>
      </w:r>
      <w:r w:rsidR="00B97A61" w:rsidRPr="00913ACD">
        <w:rPr>
          <w:color w:val="000000" w:themeColor="text1"/>
          <w:sz w:val="22"/>
          <w:szCs w:val="22"/>
          <w:lang w:val="pt-BR"/>
        </w:rPr>
        <w:t>v</w:t>
      </w:r>
      <w:r w:rsidR="00F15A1B" w:rsidRPr="00913ACD">
        <w:rPr>
          <w:color w:val="000000" w:themeColor="text1"/>
          <w:sz w:val="22"/>
          <w:szCs w:val="22"/>
          <w:lang w:val="pt-BR"/>
        </w:rPr>
        <w:t xml:space="preserve">erdes e </w:t>
      </w:r>
      <w:r w:rsidR="00B97A61" w:rsidRPr="00913ACD">
        <w:rPr>
          <w:color w:val="000000" w:themeColor="text1"/>
          <w:sz w:val="22"/>
          <w:szCs w:val="22"/>
          <w:lang w:val="pt-BR"/>
        </w:rPr>
        <w:t>g</w:t>
      </w:r>
      <w:r w:rsidR="00F15A1B" w:rsidRPr="00913ACD">
        <w:rPr>
          <w:color w:val="000000" w:themeColor="text1"/>
          <w:sz w:val="22"/>
          <w:szCs w:val="22"/>
          <w:lang w:val="pt-BR"/>
        </w:rPr>
        <w:t xml:space="preserve">estão </w:t>
      </w:r>
      <w:r w:rsidR="00B97A61" w:rsidRPr="00913ACD">
        <w:rPr>
          <w:color w:val="000000" w:themeColor="text1"/>
          <w:sz w:val="22"/>
          <w:szCs w:val="22"/>
          <w:lang w:val="pt-BR"/>
        </w:rPr>
        <w:t>s</w:t>
      </w:r>
      <w:r w:rsidR="00F15A1B" w:rsidRPr="00913ACD">
        <w:rPr>
          <w:color w:val="000000" w:themeColor="text1"/>
          <w:sz w:val="22"/>
          <w:szCs w:val="22"/>
          <w:lang w:val="pt-BR"/>
        </w:rPr>
        <w:t xml:space="preserve">ustentável, </w:t>
      </w:r>
      <w:r w:rsidR="00B97A61" w:rsidRPr="00913ACD">
        <w:rPr>
          <w:color w:val="000000" w:themeColor="text1"/>
          <w:sz w:val="22"/>
          <w:szCs w:val="22"/>
          <w:lang w:val="pt-BR"/>
        </w:rPr>
        <w:t>e</w:t>
      </w:r>
      <w:r w:rsidR="00F15A1B" w:rsidRPr="00913ACD">
        <w:rPr>
          <w:color w:val="000000" w:themeColor="text1"/>
          <w:sz w:val="22"/>
          <w:szCs w:val="22"/>
          <w:lang w:val="pt-BR"/>
        </w:rPr>
        <w:t xml:space="preserve">mpoderamento e </w:t>
      </w:r>
      <w:r w:rsidR="00B97A61" w:rsidRPr="00913ACD">
        <w:rPr>
          <w:color w:val="000000" w:themeColor="text1"/>
          <w:sz w:val="22"/>
          <w:szCs w:val="22"/>
          <w:lang w:val="pt-BR"/>
        </w:rPr>
        <w:t>i</w:t>
      </w:r>
      <w:r w:rsidR="00F15A1B" w:rsidRPr="00913ACD">
        <w:rPr>
          <w:color w:val="000000" w:themeColor="text1"/>
          <w:sz w:val="22"/>
          <w:szCs w:val="22"/>
          <w:lang w:val="pt-BR"/>
        </w:rPr>
        <w:t xml:space="preserve">gualdade e </w:t>
      </w:r>
      <w:r w:rsidR="00B97A61" w:rsidRPr="00913ACD">
        <w:rPr>
          <w:color w:val="000000" w:themeColor="text1"/>
          <w:sz w:val="22"/>
          <w:szCs w:val="22"/>
          <w:lang w:val="pt-BR"/>
        </w:rPr>
        <w:t>m</w:t>
      </w:r>
      <w:r w:rsidR="00F15A1B" w:rsidRPr="00913ACD">
        <w:rPr>
          <w:color w:val="000000" w:themeColor="text1"/>
          <w:sz w:val="22"/>
          <w:szCs w:val="22"/>
          <w:lang w:val="pt-BR"/>
        </w:rPr>
        <w:t xml:space="preserve">ulheres de </w:t>
      </w:r>
      <w:r w:rsidR="00B97A61" w:rsidRPr="00913ACD">
        <w:rPr>
          <w:color w:val="000000" w:themeColor="text1"/>
          <w:sz w:val="22"/>
          <w:szCs w:val="22"/>
          <w:lang w:val="pt-BR"/>
        </w:rPr>
        <w:t>d</w:t>
      </w:r>
      <w:r w:rsidR="00F15A1B" w:rsidRPr="00913ACD">
        <w:rPr>
          <w:color w:val="000000" w:themeColor="text1"/>
          <w:sz w:val="22"/>
          <w:szCs w:val="22"/>
          <w:lang w:val="pt-BR"/>
        </w:rPr>
        <w:t xml:space="preserve">estaque no </w:t>
      </w:r>
      <w:r w:rsidR="00B97A61" w:rsidRPr="00913ACD">
        <w:rPr>
          <w:color w:val="000000" w:themeColor="text1"/>
          <w:sz w:val="22"/>
          <w:szCs w:val="22"/>
          <w:lang w:val="pt-BR"/>
        </w:rPr>
        <w:t>s</w:t>
      </w:r>
      <w:r w:rsidR="00F15A1B" w:rsidRPr="00913ACD">
        <w:rPr>
          <w:color w:val="000000" w:themeColor="text1"/>
          <w:sz w:val="22"/>
          <w:szCs w:val="22"/>
          <w:lang w:val="pt-BR"/>
        </w:rPr>
        <w:t xml:space="preserve">etor </w:t>
      </w:r>
      <w:r w:rsidR="00B97A61" w:rsidRPr="00913ACD">
        <w:rPr>
          <w:color w:val="000000" w:themeColor="text1"/>
          <w:sz w:val="22"/>
          <w:szCs w:val="22"/>
          <w:lang w:val="pt-BR"/>
        </w:rPr>
        <w:t>p</w:t>
      </w:r>
      <w:r w:rsidR="00F15A1B" w:rsidRPr="00913ACD">
        <w:rPr>
          <w:color w:val="000000" w:themeColor="text1"/>
          <w:sz w:val="22"/>
          <w:szCs w:val="22"/>
          <w:lang w:val="pt-BR"/>
        </w:rPr>
        <w:t>ortuário.</w:t>
      </w:r>
    </w:p>
    <w:p w14:paraId="32591164" w14:textId="77777777" w:rsidR="00F15A1B" w:rsidRPr="00913ACD" w:rsidRDefault="00F15A1B" w:rsidP="00CB030B">
      <w:pPr>
        <w:pStyle w:val="ListParagraph"/>
        <w:ind w:left="1440" w:hanging="720"/>
        <w:contextualSpacing/>
        <w:jc w:val="both"/>
        <w:rPr>
          <w:color w:val="000000" w:themeColor="text1"/>
          <w:sz w:val="22"/>
          <w:szCs w:val="22"/>
          <w:lang w:val="pt-BR"/>
        </w:rPr>
      </w:pPr>
    </w:p>
    <w:p w14:paraId="79621014" w14:textId="2A4A9132" w:rsidR="00F15A1B" w:rsidRPr="00913ACD" w:rsidRDefault="00F15A1B" w:rsidP="00CB030B">
      <w:pPr>
        <w:pStyle w:val="ListParagraph"/>
        <w:numPr>
          <w:ilvl w:val="0"/>
          <w:numId w:val="41"/>
        </w:numPr>
        <w:ind w:left="1440" w:hanging="720"/>
        <w:contextualSpacing/>
        <w:jc w:val="both"/>
        <w:rPr>
          <w:color w:val="000000" w:themeColor="text1"/>
          <w:sz w:val="22"/>
          <w:szCs w:val="22"/>
          <w:lang w:val="pt-BR"/>
        </w:rPr>
      </w:pPr>
      <w:r w:rsidRPr="00913ACD">
        <w:rPr>
          <w:color w:val="000000" w:themeColor="text1"/>
          <w:sz w:val="22"/>
          <w:szCs w:val="22"/>
          <w:lang w:val="pt-BR"/>
        </w:rPr>
        <w:t xml:space="preserve">Concedeu, em colaboração com a Associação Americana de Autoridades Portuárias, três Prêmios de Excelência da Indústria Portuária a instituições públicas e privadas do Brasil e do Peru por suas práticas bem-sucedidas em </w:t>
      </w:r>
      <w:r w:rsidR="00DB7CB8" w:rsidRPr="00913ACD">
        <w:rPr>
          <w:color w:val="000000" w:themeColor="text1"/>
          <w:sz w:val="22"/>
          <w:szCs w:val="22"/>
          <w:lang w:val="pt-BR"/>
        </w:rPr>
        <w:t>t</w:t>
      </w:r>
      <w:r w:rsidRPr="00913ACD">
        <w:rPr>
          <w:color w:val="000000" w:themeColor="text1"/>
          <w:sz w:val="22"/>
          <w:szCs w:val="22"/>
          <w:lang w:val="pt-BR"/>
        </w:rPr>
        <w:t xml:space="preserve">ecnologia e </w:t>
      </w:r>
      <w:r w:rsidR="00DB7CB8" w:rsidRPr="00913ACD">
        <w:rPr>
          <w:color w:val="000000" w:themeColor="text1"/>
          <w:sz w:val="22"/>
          <w:szCs w:val="22"/>
          <w:lang w:val="pt-BR"/>
        </w:rPr>
        <w:t>i</w:t>
      </w:r>
      <w:r w:rsidRPr="00913ACD">
        <w:rPr>
          <w:color w:val="000000" w:themeColor="text1"/>
          <w:sz w:val="22"/>
          <w:szCs w:val="22"/>
          <w:lang w:val="pt-BR"/>
        </w:rPr>
        <w:t xml:space="preserve">novação, </w:t>
      </w:r>
      <w:r w:rsidR="00DB7CB8" w:rsidRPr="00913ACD">
        <w:rPr>
          <w:color w:val="000000" w:themeColor="text1"/>
          <w:sz w:val="22"/>
          <w:szCs w:val="22"/>
          <w:lang w:val="pt-BR"/>
        </w:rPr>
        <w:t>d</w:t>
      </w:r>
      <w:r w:rsidRPr="00913ACD">
        <w:rPr>
          <w:color w:val="000000" w:themeColor="text1"/>
          <w:sz w:val="22"/>
          <w:szCs w:val="22"/>
          <w:lang w:val="pt-BR"/>
        </w:rPr>
        <w:t xml:space="preserve">esenvolvimento de </w:t>
      </w:r>
      <w:r w:rsidR="00DB7CB8" w:rsidRPr="00913ACD">
        <w:rPr>
          <w:color w:val="000000" w:themeColor="text1"/>
          <w:sz w:val="22"/>
          <w:szCs w:val="22"/>
          <w:lang w:val="pt-BR"/>
        </w:rPr>
        <w:t>i</w:t>
      </w:r>
      <w:r w:rsidRPr="00913ACD">
        <w:rPr>
          <w:color w:val="000000" w:themeColor="text1"/>
          <w:sz w:val="22"/>
          <w:szCs w:val="22"/>
          <w:lang w:val="pt-BR"/>
        </w:rPr>
        <w:t xml:space="preserve">nfraestrutura </w:t>
      </w:r>
      <w:r w:rsidR="00DB7CB8" w:rsidRPr="00913ACD">
        <w:rPr>
          <w:color w:val="000000" w:themeColor="text1"/>
          <w:sz w:val="22"/>
          <w:szCs w:val="22"/>
          <w:lang w:val="pt-BR"/>
        </w:rPr>
        <w:t>p</w:t>
      </w:r>
      <w:r w:rsidRPr="00913ACD">
        <w:rPr>
          <w:color w:val="000000" w:themeColor="text1"/>
          <w:sz w:val="22"/>
          <w:szCs w:val="22"/>
          <w:lang w:val="pt-BR"/>
        </w:rPr>
        <w:t xml:space="preserve">ortuária e </w:t>
      </w:r>
      <w:r w:rsidR="00DB7CB8" w:rsidRPr="00913ACD">
        <w:rPr>
          <w:color w:val="000000" w:themeColor="text1"/>
          <w:sz w:val="22"/>
          <w:szCs w:val="22"/>
          <w:lang w:val="pt-BR"/>
        </w:rPr>
        <w:t>p</w:t>
      </w:r>
      <w:r w:rsidRPr="00913ACD">
        <w:rPr>
          <w:color w:val="000000" w:themeColor="text1"/>
          <w:sz w:val="22"/>
          <w:szCs w:val="22"/>
          <w:lang w:val="pt-BR"/>
        </w:rPr>
        <w:t xml:space="preserve">arcerias </w:t>
      </w:r>
      <w:r w:rsidR="00DB7CB8" w:rsidRPr="00913ACD">
        <w:rPr>
          <w:color w:val="000000" w:themeColor="text1"/>
          <w:sz w:val="22"/>
          <w:szCs w:val="22"/>
          <w:lang w:val="pt-BR"/>
        </w:rPr>
        <w:t>p</w:t>
      </w:r>
      <w:r w:rsidRPr="00913ACD">
        <w:rPr>
          <w:color w:val="000000" w:themeColor="text1"/>
          <w:sz w:val="22"/>
          <w:szCs w:val="22"/>
          <w:lang w:val="pt-BR"/>
        </w:rPr>
        <w:t>úblico-</w:t>
      </w:r>
      <w:r w:rsidR="00DB7CB8" w:rsidRPr="00913ACD">
        <w:rPr>
          <w:color w:val="000000" w:themeColor="text1"/>
          <w:sz w:val="22"/>
          <w:szCs w:val="22"/>
          <w:lang w:val="pt-BR"/>
        </w:rPr>
        <w:t>p</w:t>
      </w:r>
      <w:r w:rsidRPr="00913ACD">
        <w:rPr>
          <w:color w:val="000000" w:themeColor="text1"/>
          <w:sz w:val="22"/>
          <w:szCs w:val="22"/>
          <w:lang w:val="pt-BR"/>
        </w:rPr>
        <w:t>rivadas.</w:t>
      </w:r>
    </w:p>
    <w:p w14:paraId="551EEEEE" w14:textId="77777777" w:rsidR="00F15A1B" w:rsidRPr="00913ACD" w:rsidRDefault="00F15A1B" w:rsidP="00CB030B">
      <w:pPr>
        <w:pStyle w:val="ListParagraph"/>
        <w:ind w:left="1440" w:hanging="720"/>
        <w:contextualSpacing/>
        <w:jc w:val="both"/>
        <w:rPr>
          <w:color w:val="000000" w:themeColor="text1"/>
          <w:sz w:val="22"/>
          <w:szCs w:val="22"/>
          <w:lang w:val="pt-BR"/>
        </w:rPr>
      </w:pPr>
    </w:p>
    <w:p w14:paraId="42DB3A54" w14:textId="621BF4EA" w:rsidR="00F15A1B" w:rsidRPr="00913ACD" w:rsidRDefault="00F15A1B" w:rsidP="00CB030B">
      <w:pPr>
        <w:pStyle w:val="ListParagraph"/>
        <w:numPr>
          <w:ilvl w:val="0"/>
          <w:numId w:val="41"/>
        </w:numPr>
        <w:ind w:left="1440" w:hanging="720"/>
        <w:contextualSpacing/>
        <w:jc w:val="both"/>
        <w:rPr>
          <w:sz w:val="22"/>
          <w:szCs w:val="22"/>
          <w:lang w:val="pt-BR"/>
        </w:rPr>
      </w:pPr>
      <w:r w:rsidRPr="00913ACD">
        <w:rPr>
          <w:color w:val="000000" w:themeColor="text1"/>
          <w:sz w:val="22"/>
          <w:szCs w:val="22"/>
          <w:lang w:val="pt-BR"/>
        </w:rPr>
        <w:t xml:space="preserve">Participou de quatro eventos virtuais na América Latina e no Caribe organizados por </w:t>
      </w:r>
      <w:r w:rsidR="001957D6" w:rsidRPr="00913ACD">
        <w:rPr>
          <w:color w:val="000000" w:themeColor="text1"/>
          <w:sz w:val="22"/>
          <w:szCs w:val="22"/>
          <w:lang w:val="pt-BR"/>
        </w:rPr>
        <w:t>p</w:t>
      </w:r>
      <w:r w:rsidRPr="00913ACD">
        <w:rPr>
          <w:color w:val="000000" w:themeColor="text1"/>
          <w:sz w:val="22"/>
          <w:szCs w:val="22"/>
          <w:lang w:val="pt-BR"/>
        </w:rPr>
        <w:t xml:space="preserve">arceiros </w:t>
      </w:r>
      <w:r w:rsidR="001957D6" w:rsidRPr="00913ACD">
        <w:rPr>
          <w:color w:val="000000" w:themeColor="text1"/>
          <w:sz w:val="22"/>
          <w:szCs w:val="22"/>
          <w:lang w:val="pt-BR"/>
        </w:rPr>
        <w:t>e</w:t>
      </w:r>
      <w:r w:rsidRPr="00913ACD">
        <w:rPr>
          <w:color w:val="000000" w:themeColor="text1"/>
          <w:sz w:val="22"/>
          <w:szCs w:val="22"/>
          <w:lang w:val="pt-BR"/>
        </w:rPr>
        <w:t xml:space="preserve">stratégicos ou </w:t>
      </w:r>
      <w:r w:rsidR="001957D6" w:rsidRPr="00913ACD">
        <w:rPr>
          <w:color w:val="000000" w:themeColor="text1"/>
          <w:sz w:val="22"/>
          <w:szCs w:val="22"/>
          <w:lang w:val="pt-BR"/>
        </w:rPr>
        <w:t>m</w:t>
      </w:r>
      <w:r w:rsidR="00C67D84" w:rsidRPr="00913ACD">
        <w:rPr>
          <w:color w:val="000000" w:themeColor="text1"/>
          <w:sz w:val="22"/>
          <w:szCs w:val="22"/>
          <w:lang w:val="pt-BR"/>
        </w:rPr>
        <w:t>embros</w:t>
      </w:r>
      <w:r w:rsidRPr="00913ACD">
        <w:rPr>
          <w:sz w:val="22"/>
          <w:szCs w:val="22"/>
          <w:lang w:val="pt-BR"/>
        </w:rPr>
        <w:t xml:space="preserve"> </w:t>
      </w:r>
      <w:r w:rsidR="001957D6" w:rsidRPr="00913ACD">
        <w:rPr>
          <w:sz w:val="22"/>
          <w:szCs w:val="22"/>
          <w:lang w:val="pt-BR"/>
        </w:rPr>
        <w:t>a</w:t>
      </w:r>
      <w:r w:rsidRPr="00913ACD">
        <w:rPr>
          <w:sz w:val="22"/>
          <w:szCs w:val="22"/>
          <w:lang w:val="pt-BR"/>
        </w:rPr>
        <w:t>ssociados da CIP</w:t>
      </w:r>
      <w:r w:rsidRPr="00913ACD">
        <w:rPr>
          <w:color w:val="000000" w:themeColor="text1"/>
          <w:sz w:val="22"/>
          <w:szCs w:val="22"/>
          <w:lang w:val="pt-BR"/>
        </w:rPr>
        <w:t>, discutindo tendências atuais e desafios contínuos do setor portuário.</w:t>
      </w:r>
    </w:p>
    <w:p w14:paraId="0F7A5DFA" w14:textId="77777777" w:rsidR="00F15A1B" w:rsidRPr="00913ACD" w:rsidRDefault="00F15A1B" w:rsidP="00CB030B">
      <w:pPr>
        <w:pStyle w:val="ListParagraph"/>
        <w:ind w:left="1440" w:hanging="720"/>
        <w:contextualSpacing/>
        <w:jc w:val="both"/>
        <w:rPr>
          <w:sz w:val="22"/>
          <w:szCs w:val="22"/>
          <w:lang w:val="pt-BR"/>
        </w:rPr>
      </w:pPr>
    </w:p>
    <w:p w14:paraId="4F8FC332" w14:textId="725F4ABE" w:rsidR="00F15A1B" w:rsidRPr="00913ACD" w:rsidRDefault="00F15A1B" w:rsidP="00CB030B">
      <w:pPr>
        <w:pStyle w:val="ListParagraph"/>
        <w:numPr>
          <w:ilvl w:val="0"/>
          <w:numId w:val="41"/>
        </w:numPr>
        <w:ind w:left="1440" w:hanging="720"/>
        <w:contextualSpacing/>
        <w:jc w:val="both"/>
        <w:rPr>
          <w:color w:val="000000" w:themeColor="text1"/>
          <w:sz w:val="22"/>
          <w:szCs w:val="22"/>
          <w:lang w:val="pt-BR"/>
        </w:rPr>
      </w:pPr>
      <w:r w:rsidRPr="00913ACD">
        <w:rPr>
          <w:color w:val="000000" w:themeColor="text1"/>
          <w:sz w:val="22"/>
          <w:szCs w:val="22"/>
          <w:lang w:val="pt-BR"/>
        </w:rPr>
        <w:t xml:space="preserve">Incorporou um novo </w:t>
      </w:r>
      <w:r w:rsidR="00B666A6" w:rsidRPr="00913ACD">
        <w:rPr>
          <w:color w:val="000000" w:themeColor="text1"/>
          <w:sz w:val="22"/>
          <w:szCs w:val="22"/>
          <w:lang w:val="pt-BR"/>
        </w:rPr>
        <w:t>m</w:t>
      </w:r>
      <w:r w:rsidR="00C67D84" w:rsidRPr="00913ACD">
        <w:rPr>
          <w:color w:val="000000" w:themeColor="text1"/>
          <w:sz w:val="22"/>
          <w:szCs w:val="22"/>
          <w:lang w:val="pt-BR"/>
        </w:rPr>
        <w:t>embro</w:t>
      </w:r>
      <w:r w:rsidRPr="00913ACD">
        <w:rPr>
          <w:sz w:val="22"/>
          <w:szCs w:val="22"/>
          <w:lang w:val="pt-BR"/>
        </w:rPr>
        <w:t xml:space="preserve"> </w:t>
      </w:r>
      <w:r w:rsidR="00B666A6" w:rsidRPr="00913ACD">
        <w:rPr>
          <w:sz w:val="22"/>
          <w:szCs w:val="22"/>
          <w:lang w:val="pt-BR"/>
        </w:rPr>
        <w:t>a</w:t>
      </w:r>
      <w:r w:rsidRPr="00913ACD">
        <w:rPr>
          <w:sz w:val="22"/>
          <w:szCs w:val="22"/>
          <w:lang w:val="pt-BR"/>
        </w:rPr>
        <w:t>ssociado</w:t>
      </w:r>
      <w:r w:rsidR="00C51D8E" w:rsidRPr="00913ACD">
        <w:rPr>
          <w:sz w:val="22"/>
          <w:szCs w:val="22"/>
          <w:lang w:val="pt-BR"/>
        </w:rPr>
        <w:t xml:space="preserve"> </w:t>
      </w:r>
      <w:r w:rsidRPr="00913ACD">
        <w:rPr>
          <w:color w:val="000000" w:themeColor="text1"/>
          <w:sz w:val="22"/>
          <w:szCs w:val="22"/>
          <w:lang w:val="pt-BR"/>
        </w:rPr>
        <w:t xml:space="preserve">da Argentina. Puerto Dock Sud </w:t>
      </w:r>
      <w:r w:rsidR="00477759" w:rsidRPr="00913ACD">
        <w:rPr>
          <w:color w:val="000000" w:themeColor="text1"/>
          <w:sz w:val="22"/>
          <w:szCs w:val="22"/>
          <w:lang w:val="pt-BR"/>
        </w:rPr>
        <w:t>associou</w:t>
      </w:r>
      <w:r w:rsidRPr="00913ACD">
        <w:rPr>
          <w:color w:val="000000" w:themeColor="text1"/>
          <w:sz w:val="22"/>
          <w:szCs w:val="22"/>
          <w:lang w:val="pt-BR"/>
        </w:rPr>
        <w:t xml:space="preserve">-se </w:t>
      </w:r>
      <w:r w:rsidR="003907ED">
        <w:rPr>
          <w:color w:val="000000" w:themeColor="text1"/>
          <w:sz w:val="22"/>
          <w:szCs w:val="22"/>
          <w:lang w:val="pt-BR"/>
        </w:rPr>
        <w:t>à</w:t>
      </w:r>
      <w:r w:rsidRPr="00913ACD">
        <w:rPr>
          <w:color w:val="000000" w:themeColor="text1"/>
          <w:sz w:val="22"/>
          <w:szCs w:val="22"/>
          <w:lang w:val="pt-BR"/>
        </w:rPr>
        <w:t xml:space="preserve"> CIP em novembro.</w:t>
      </w:r>
    </w:p>
    <w:p w14:paraId="1E21B6D6" w14:textId="77777777" w:rsidR="00F86E25" w:rsidRPr="00913ACD" w:rsidRDefault="00F86E25" w:rsidP="00CB030B">
      <w:pPr>
        <w:pStyle w:val="NoSpacing"/>
        <w:jc w:val="both"/>
        <w:rPr>
          <w:rFonts w:ascii="Times New Roman" w:hAnsi="Times New Roman"/>
          <w:b/>
          <w:bCs/>
          <w:iCs/>
          <w:color w:val="000000" w:themeColor="text1"/>
          <w:lang w:val="pt-BR"/>
        </w:rPr>
      </w:pPr>
    </w:p>
    <w:p w14:paraId="76F0BB8E" w14:textId="77777777" w:rsidR="00F86E25" w:rsidRPr="00913ACD" w:rsidRDefault="00F86E25" w:rsidP="00CB030B">
      <w:pPr>
        <w:pStyle w:val="NoSpacing"/>
        <w:jc w:val="both"/>
        <w:rPr>
          <w:rFonts w:ascii="Times New Roman" w:hAnsi="Times New Roman"/>
          <w:b/>
          <w:bCs/>
          <w:iCs/>
          <w:color w:val="000000" w:themeColor="text1"/>
          <w:lang w:val="pt-BR"/>
        </w:rPr>
      </w:pPr>
    </w:p>
    <w:p w14:paraId="1011703D" w14:textId="0E6FED56" w:rsidR="00213DFE" w:rsidRPr="00913ACD" w:rsidRDefault="00F15A1B" w:rsidP="00CB030B">
      <w:pPr>
        <w:pStyle w:val="NoSpacing"/>
        <w:jc w:val="both"/>
        <w:rPr>
          <w:rFonts w:ascii="Times New Roman" w:hAnsi="Times New Roman"/>
          <w:b/>
          <w:bCs/>
          <w:iCs/>
          <w:color w:val="000000" w:themeColor="text1"/>
          <w:lang w:val="pt-BR"/>
        </w:rPr>
      </w:pPr>
      <w:r w:rsidRPr="00913ACD">
        <w:rPr>
          <w:rFonts w:ascii="Times New Roman" w:hAnsi="Times New Roman"/>
          <w:b/>
          <w:color w:val="000000" w:themeColor="text1"/>
          <w:lang w:val="pt-BR"/>
        </w:rPr>
        <w:t>CONCLUSÃO</w:t>
      </w:r>
    </w:p>
    <w:p w14:paraId="168A7C62" w14:textId="5CEDA838" w:rsidR="004D5E2A" w:rsidRPr="00913ACD" w:rsidRDefault="00213DFE" w:rsidP="00CB030B">
      <w:pPr>
        <w:pStyle w:val="NoSpacing"/>
        <w:pBdr>
          <w:bottom w:val="single" w:sz="6" w:space="1" w:color="auto"/>
        </w:pBdr>
        <w:jc w:val="both"/>
        <w:rPr>
          <w:rFonts w:ascii="Times New Roman" w:hAnsi="Times New Roman"/>
          <w:iCs/>
          <w:color w:val="000000" w:themeColor="text1"/>
          <w:lang w:val="pt-BR"/>
        </w:rPr>
      </w:pPr>
      <w:r w:rsidRPr="00913ACD">
        <w:rPr>
          <w:rFonts w:ascii="Times New Roman" w:hAnsi="Times New Roman"/>
          <w:color w:val="000000" w:themeColor="text1"/>
          <w:lang w:val="pt-BR"/>
        </w:rPr>
        <w:t>O</w:t>
      </w:r>
      <w:r w:rsidR="003F5542">
        <w:rPr>
          <w:rFonts w:ascii="Times New Roman" w:hAnsi="Times New Roman"/>
          <w:color w:val="000000" w:themeColor="text1"/>
          <w:lang w:val="pt-BR"/>
        </w:rPr>
        <w:t xml:space="preserve"> TRABALHO </w:t>
      </w:r>
      <w:r w:rsidRPr="00913ACD">
        <w:rPr>
          <w:rFonts w:ascii="Times New Roman" w:hAnsi="Times New Roman"/>
          <w:color w:val="000000" w:themeColor="text1"/>
          <w:lang w:val="pt-BR"/>
        </w:rPr>
        <w:t>DA SED</w:t>
      </w:r>
      <w:r w:rsidR="000A5E1A">
        <w:rPr>
          <w:rFonts w:ascii="Times New Roman" w:hAnsi="Times New Roman"/>
          <w:color w:val="000000" w:themeColor="text1"/>
          <w:lang w:val="pt-BR"/>
        </w:rPr>
        <w:t>I</w:t>
      </w:r>
      <w:r w:rsidRPr="00913ACD">
        <w:rPr>
          <w:rFonts w:ascii="Times New Roman" w:hAnsi="Times New Roman"/>
          <w:color w:val="000000" w:themeColor="text1"/>
          <w:lang w:val="pt-BR"/>
        </w:rPr>
        <w:t xml:space="preserve"> EM 2023 E </w:t>
      </w:r>
      <w:r w:rsidR="00A14AB3">
        <w:rPr>
          <w:rFonts w:ascii="Times New Roman" w:hAnsi="Times New Roman"/>
          <w:color w:val="000000" w:themeColor="text1"/>
          <w:lang w:val="pt-BR"/>
        </w:rPr>
        <w:t xml:space="preserve">PARA </w:t>
      </w:r>
      <w:r w:rsidRPr="00913ACD">
        <w:rPr>
          <w:rFonts w:ascii="Times New Roman" w:hAnsi="Times New Roman"/>
          <w:color w:val="000000" w:themeColor="text1"/>
          <w:lang w:val="pt-BR"/>
        </w:rPr>
        <w:t>ALÉM</w:t>
      </w:r>
    </w:p>
    <w:p w14:paraId="79D3BA3C" w14:textId="77777777" w:rsidR="004D5E2A" w:rsidRPr="00913ACD" w:rsidRDefault="004D5E2A" w:rsidP="00CB030B">
      <w:pPr>
        <w:jc w:val="both"/>
        <w:rPr>
          <w:rFonts w:ascii="Times New Roman" w:hAnsi="Times New Roman" w:cs="Times New Roman"/>
          <w:bCs/>
          <w:sz w:val="22"/>
          <w:szCs w:val="22"/>
          <w:lang w:val="pt-BR"/>
        </w:rPr>
      </w:pPr>
    </w:p>
    <w:p w14:paraId="6E8E105B" w14:textId="58F60F0F" w:rsidR="00BE059A" w:rsidRPr="00913ACD" w:rsidRDefault="00315913" w:rsidP="00CB030B">
      <w:pPr>
        <w:ind w:firstLine="720"/>
        <w:jc w:val="both"/>
        <w:rPr>
          <w:rFonts w:ascii="Times New Roman" w:hAnsi="Times New Roman" w:cs="Times New Roman"/>
          <w:bCs/>
          <w:sz w:val="22"/>
          <w:szCs w:val="22"/>
          <w:lang w:val="pt-BR"/>
        </w:rPr>
      </w:pPr>
      <w:r w:rsidRPr="00913ACD">
        <w:rPr>
          <w:rFonts w:ascii="Times New Roman" w:hAnsi="Times New Roman" w:cs="Times New Roman"/>
          <w:bCs/>
          <w:sz w:val="22"/>
          <w:szCs w:val="22"/>
          <w:lang w:val="pt-BR"/>
        </w:rPr>
        <w:t>A</w:t>
      </w:r>
      <w:r w:rsidR="00BF49B3" w:rsidRPr="00913ACD">
        <w:rPr>
          <w:rFonts w:ascii="Times New Roman" w:hAnsi="Times New Roman" w:cs="Times New Roman"/>
          <w:bCs/>
          <w:sz w:val="22"/>
          <w:szCs w:val="22"/>
          <w:lang w:val="pt-BR"/>
        </w:rPr>
        <w:t xml:space="preserve"> transição </w:t>
      </w:r>
      <w:r w:rsidR="00E02262" w:rsidRPr="00913ACD">
        <w:rPr>
          <w:rFonts w:ascii="Times New Roman" w:hAnsi="Times New Roman" w:cs="Times New Roman"/>
          <w:bCs/>
          <w:sz w:val="22"/>
          <w:szCs w:val="22"/>
          <w:lang w:val="pt-BR"/>
        </w:rPr>
        <w:t>d</w:t>
      </w:r>
      <w:r w:rsidR="005208E6">
        <w:rPr>
          <w:rFonts w:ascii="Times New Roman" w:hAnsi="Times New Roman" w:cs="Times New Roman"/>
          <w:bCs/>
          <w:sz w:val="22"/>
          <w:szCs w:val="22"/>
          <w:lang w:val="pt-BR"/>
        </w:rPr>
        <w:t>a</w:t>
      </w:r>
      <w:r w:rsidR="00E02262" w:rsidRPr="00913ACD">
        <w:rPr>
          <w:rFonts w:ascii="Times New Roman" w:hAnsi="Times New Roman" w:cs="Times New Roman"/>
          <w:bCs/>
          <w:sz w:val="22"/>
          <w:szCs w:val="22"/>
          <w:lang w:val="pt-BR"/>
        </w:rPr>
        <w:t xml:space="preserve"> saída </w:t>
      </w:r>
      <w:r w:rsidR="00BF49B3" w:rsidRPr="00913ACD">
        <w:rPr>
          <w:rFonts w:ascii="Times New Roman" w:hAnsi="Times New Roman" w:cs="Times New Roman"/>
          <w:bCs/>
          <w:sz w:val="22"/>
          <w:szCs w:val="22"/>
          <w:lang w:val="pt-BR"/>
        </w:rPr>
        <w:t xml:space="preserve">de uma pandemia global </w:t>
      </w:r>
      <w:r w:rsidR="0077261D">
        <w:rPr>
          <w:rFonts w:ascii="Times New Roman" w:hAnsi="Times New Roman" w:cs="Times New Roman"/>
          <w:bCs/>
          <w:sz w:val="22"/>
          <w:szCs w:val="22"/>
          <w:lang w:val="pt-BR"/>
        </w:rPr>
        <w:t>direcionou noss</w:t>
      </w:r>
      <w:r w:rsidR="00EB757E">
        <w:rPr>
          <w:rFonts w:ascii="Times New Roman" w:hAnsi="Times New Roman" w:cs="Times New Roman"/>
          <w:bCs/>
          <w:sz w:val="22"/>
          <w:szCs w:val="22"/>
          <w:lang w:val="pt-BR"/>
        </w:rPr>
        <w:t xml:space="preserve">a atenção </w:t>
      </w:r>
      <w:r w:rsidR="00BF49B3" w:rsidRPr="00913ACD">
        <w:rPr>
          <w:rFonts w:ascii="Times New Roman" w:hAnsi="Times New Roman" w:cs="Times New Roman"/>
          <w:bCs/>
          <w:sz w:val="22"/>
          <w:szCs w:val="22"/>
          <w:lang w:val="pt-BR"/>
        </w:rPr>
        <w:t xml:space="preserve">para </w:t>
      </w:r>
      <w:r w:rsidR="00084EA8">
        <w:rPr>
          <w:rFonts w:ascii="Times New Roman" w:hAnsi="Times New Roman" w:cs="Times New Roman"/>
          <w:bCs/>
          <w:sz w:val="22"/>
          <w:szCs w:val="22"/>
          <w:lang w:val="pt-BR"/>
        </w:rPr>
        <w:t xml:space="preserve">o agravamento de outra </w:t>
      </w:r>
      <w:r w:rsidR="00BF49B3" w:rsidRPr="00913ACD">
        <w:rPr>
          <w:rFonts w:ascii="Times New Roman" w:hAnsi="Times New Roman" w:cs="Times New Roman"/>
          <w:bCs/>
          <w:sz w:val="22"/>
          <w:szCs w:val="22"/>
          <w:lang w:val="pt-BR"/>
        </w:rPr>
        <w:t xml:space="preserve">crise global: a </w:t>
      </w:r>
      <w:r w:rsidR="00E02262" w:rsidRPr="00913ACD">
        <w:rPr>
          <w:rFonts w:ascii="Times New Roman" w:hAnsi="Times New Roman" w:cs="Times New Roman"/>
          <w:bCs/>
          <w:sz w:val="22"/>
          <w:szCs w:val="22"/>
          <w:lang w:val="pt-BR"/>
        </w:rPr>
        <w:t>mudança do clima</w:t>
      </w:r>
      <w:r w:rsidR="00BF49B3" w:rsidRPr="00913ACD">
        <w:rPr>
          <w:rFonts w:ascii="Times New Roman" w:hAnsi="Times New Roman" w:cs="Times New Roman"/>
          <w:bCs/>
          <w:sz w:val="22"/>
          <w:szCs w:val="22"/>
          <w:lang w:val="pt-BR"/>
        </w:rPr>
        <w:t xml:space="preserve">. Olhando para o futuro, é imperativo que o impulso dos movimentos de </w:t>
      </w:r>
      <w:r w:rsidR="00E02262" w:rsidRPr="00913ACD">
        <w:rPr>
          <w:rFonts w:ascii="Times New Roman" w:hAnsi="Times New Roman" w:cs="Times New Roman"/>
          <w:bCs/>
          <w:sz w:val="22"/>
          <w:szCs w:val="22"/>
          <w:lang w:val="pt-BR"/>
        </w:rPr>
        <w:t>mudança do clima</w:t>
      </w:r>
      <w:r w:rsidR="00BF49B3" w:rsidRPr="00913ACD">
        <w:rPr>
          <w:rFonts w:ascii="Times New Roman" w:hAnsi="Times New Roman" w:cs="Times New Roman"/>
          <w:bCs/>
          <w:sz w:val="22"/>
          <w:szCs w:val="22"/>
          <w:lang w:val="pt-BR"/>
        </w:rPr>
        <w:t xml:space="preserve"> em todo o Hemisfério seja absorvido pelos esforços de programação da SEDI. Nos próximos anos, a SEDI reformular</w:t>
      </w:r>
      <w:r w:rsidR="00A904CD" w:rsidRPr="00913ACD">
        <w:rPr>
          <w:rFonts w:ascii="Times New Roman" w:hAnsi="Times New Roman" w:cs="Times New Roman"/>
          <w:bCs/>
          <w:sz w:val="22"/>
          <w:szCs w:val="22"/>
          <w:lang w:val="pt-BR"/>
        </w:rPr>
        <w:t>á</w:t>
      </w:r>
      <w:r w:rsidR="00BF49B3" w:rsidRPr="00913ACD">
        <w:rPr>
          <w:rFonts w:ascii="Times New Roman" w:hAnsi="Times New Roman" w:cs="Times New Roman"/>
          <w:bCs/>
          <w:sz w:val="22"/>
          <w:szCs w:val="22"/>
          <w:lang w:val="pt-BR"/>
        </w:rPr>
        <w:t xml:space="preserve"> suas áreas de foco estratégico – não diferente</w:t>
      </w:r>
      <w:r w:rsidR="009C1E28" w:rsidRPr="00913ACD">
        <w:rPr>
          <w:rFonts w:ascii="Times New Roman" w:hAnsi="Times New Roman" w:cs="Times New Roman"/>
          <w:bCs/>
          <w:sz w:val="22"/>
          <w:szCs w:val="22"/>
          <w:lang w:val="pt-BR"/>
        </w:rPr>
        <w:t>mente</w:t>
      </w:r>
      <w:r w:rsidR="00BF49B3" w:rsidRPr="00913ACD">
        <w:rPr>
          <w:rFonts w:ascii="Times New Roman" w:hAnsi="Times New Roman" w:cs="Times New Roman"/>
          <w:bCs/>
          <w:sz w:val="22"/>
          <w:szCs w:val="22"/>
          <w:lang w:val="pt-BR"/>
        </w:rPr>
        <w:t xml:space="preserve"> de seu reposicionamento durante a pandemia – para garantir que a </w:t>
      </w:r>
      <w:r w:rsidR="00985EFB" w:rsidRPr="00913ACD">
        <w:rPr>
          <w:rFonts w:ascii="Times New Roman" w:hAnsi="Times New Roman" w:cs="Times New Roman"/>
          <w:bCs/>
          <w:sz w:val="22"/>
          <w:szCs w:val="22"/>
          <w:lang w:val="pt-BR"/>
        </w:rPr>
        <w:t>mudança do clima</w:t>
      </w:r>
      <w:r w:rsidR="00BF49B3" w:rsidRPr="00913ACD">
        <w:rPr>
          <w:rFonts w:ascii="Times New Roman" w:hAnsi="Times New Roman" w:cs="Times New Roman"/>
          <w:bCs/>
          <w:sz w:val="22"/>
          <w:szCs w:val="22"/>
          <w:lang w:val="pt-BR"/>
        </w:rPr>
        <w:t xml:space="preserve"> seja o tema transversal </w:t>
      </w:r>
      <w:r w:rsidR="004D4B8C">
        <w:rPr>
          <w:rFonts w:ascii="Times New Roman" w:hAnsi="Times New Roman" w:cs="Times New Roman"/>
          <w:bCs/>
          <w:sz w:val="22"/>
          <w:szCs w:val="22"/>
          <w:lang w:val="pt-BR"/>
        </w:rPr>
        <w:t xml:space="preserve">de destaque </w:t>
      </w:r>
      <w:r w:rsidR="00BF49B3" w:rsidRPr="00913ACD">
        <w:rPr>
          <w:rFonts w:ascii="Times New Roman" w:hAnsi="Times New Roman" w:cs="Times New Roman"/>
          <w:bCs/>
          <w:sz w:val="22"/>
          <w:szCs w:val="22"/>
          <w:lang w:val="pt-BR"/>
        </w:rPr>
        <w:t>em sua agenda. Mudanças agressivas precisarão ser feitas – entre governos, entre organizações e entre cidadãos de cada</w:t>
      </w:r>
      <w:r w:rsidR="00C51D8E" w:rsidRPr="00913ACD">
        <w:rPr>
          <w:rFonts w:ascii="Times New Roman" w:hAnsi="Times New Roman" w:cs="Times New Roman"/>
          <w:bCs/>
          <w:sz w:val="22"/>
          <w:szCs w:val="22"/>
          <w:lang w:val="pt-BR"/>
        </w:rPr>
        <w:t xml:space="preserve"> </w:t>
      </w:r>
      <w:r w:rsidR="005F30B1" w:rsidRPr="00913ACD">
        <w:rPr>
          <w:rFonts w:ascii="Times New Roman" w:hAnsi="Times New Roman" w:cs="Times New Roman"/>
          <w:bCs/>
          <w:sz w:val="22"/>
          <w:szCs w:val="22"/>
          <w:lang w:val="pt-BR"/>
        </w:rPr>
        <w:t>Estado</w:t>
      </w:r>
      <w:r w:rsidR="00BF49B3" w:rsidRPr="00913ACD">
        <w:rPr>
          <w:rFonts w:ascii="Times New Roman" w:hAnsi="Times New Roman" w:cs="Times New Roman"/>
          <w:sz w:val="22"/>
          <w:szCs w:val="22"/>
          <w:lang w:val="pt-BR"/>
        </w:rPr>
        <w:t xml:space="preserve"> </w:t>
      </w:r>
      <w:r w:rsidR="00C67D84" w:rsidRPr="00913ACD">
        <w:rPr>
          <w:rFonts w:ascii="Times New Roman" w:hAnsi="Times New Roman" w:cs="Times New Roman"/>
          <w:bCs/>
          <w:sz w:val="22"/>
          <w:szCs w:val="22"/>
          <w:lang w:val="pt-BR"/>
        </w:rPr>
        <w:t>membro</w:t>
      </w:r>
      <w:r w:rsidR="00BF49B3" w:rsidRPr="00913ACD">
        <w:rPr>
          <w:rFonts w:ascii="Times New Roman" w:hAnsi="Times New Roman" w:cs="Times New Roman"/>
          <w:sz w:val="22"/>
          <w:szCs w:val="22"/>
          <w:lang w:val="pt-BR"/>
        </w:rPr>
        <w:t xml:space="preserve"> da OEA </w:t>
      </w:r>
      <w:r w:rsidR="00403FCB" w:rsidRPr="00913ACD">
        <w:rPr>
          <w:rFonts w:ascii="Times New Roman" w:hAnsi="Times New Roman" w:cs="Times New Roman"/>
          <w:bCs/>
          <w:sz w:val="22"/>
          <w:szCs w:val="22"/>
          <w:lang w:val="pt-BR"/>
        </w:rPr>
        <w:t xml:space="preserve">– para garantir que continuemos a defender o mandato da OEA de </w:t>
      </w:r>
      <w:r w:rsidR="007800A2" w:rsidRPr="00913ACD">
        <w:rPr>
          <w:rFonts w:ascii="Times New Roman" w:hAnsi="Times New Roman" w:cs="Times New Roman"/>
          <w:bCs/>
          <w:sz w:val="22"/>
          <w:szCs w:val="22"/>
          <w:lang w:val="pt-BR"/>
        </w:rPr>
        <w:t>“</w:t>
      </w:r>
      <w:r w:rsidR="00403FCB" w:rsidRPr="00913ACD">
        <w:rPr>
          <w:rFonts w:ascii="Times New Roman" w:hAnsi="Times New Roman" w:cs="Times New Roman"/>
          <w:bCs/>
          <w:sz w:val="22"/>
          <w:szCs w:val="22"/>
          <w:lang w:val="pt-BR"/>
        </w:rPr>
        <w:t>Mais direitos para mais pessoas</w:t>
      </w:r>
      <w:r w:rsidR="007800A2" w:rsidRPr="00913ACD">
        <w:rPr>
          <w:rFonts w:ascii="Times New Roman" w:hAnsi="Times New Roman" w:cs="Times New Roman"/>
          <w:bCs/>
          <w:sz w:val="22"/>
          <w:szCs w:val="22"/>
          <w:lang w:val="pt-BR"/>
        </w:rPr>
        <w:t>”</w:t>
      </w:r>
      <w:r w:rsidR="00403FCB" w:rsidRPr="00913ACD">
        <w:rPr>
          <w:rFonts w:ascii="Times New Roman" w:hAnsi="Times New Roman" w:cs="Times New Roman"/>
          <w:bCs/>
          <w:sz w:val="22"/>
          <w:szCs w:val="22"/>
          <w:lang w:val="pt-BR"/>
        </w:rPr>
        <w:t xml:space="preserve">. As consequências são terríveis; </w:t>
      </w:r>
      <w:r w:rsidR="00507512" w:rsidRPr="00913ACD">
        <w:rPr>
          <w:rFonts w:ascii="Times New Roman" w:hAnsi="Times New Roman" w:cs="Times New Roman"/>
          <w:bCs/>
          <w:sz w:val="22"/>
          <w:szCs w:val="22"/>
          <w:lang w:val="pt-BR"/>
        </w:rPr>
        <w:t>a</w:t>
      </w:r>
      <w:r w:rsidR="00403FCB" w:rsidRPr="00913ACD">
        <w:rPr>
          <w:rFonts w:ascii="Times New Roman" w:hAnsi="Times New Roman" w:cs="Times New Roman"/>
          <w:bCs/>
          <w:sz w:val="22"/>
          <w:szCs w:val="22"/>
          <w:lang w:val="pt-BR"/>
        </w:rPr>
        <w:t xml:space="preserve"> Comissão Econômica das Nações Unidas para a América Latina e o Caribe observa que a região compreende </w:t>
      </w:r>
      <w:r w:rsidR="007800A2" w:rsidRPr="00913ACD">
        <w:rPr>
          <w:rFonts w:ascii="Times New Roman" w:hAnsi="Times New Roman" w:cs="Times New Roman"/>
          <w:bCs/>
          <w:sz w:val="22"/>
          <w:szCs w:val="22"/>
          <w:lang w:val="pt-BR"/>
        </w:rPr>
        <w:t>“</w:t>
      </w:r>
      <w:r w:rsidR="000662FF" w:rsidRPr="00913ACD">
        <w:rPr>
          <w:rFonts w:ascii="Times New Roman" w:hAnsi="Times New Roman" w:cs="Times New Roman"/>
          <w:sz w:val="22"/>
          <w:szCs w:val="22"/>
          <w:lang w:val="pt-BR"/>
        </w:rPr>
        <w:t>13</w:t>
      </w:r>
      <w:r w:rsidR="00BE059A" w:rsidRPr="00913ACD">
        <w:rPr>
          <w:rFonts w:ascii="Times New Roman" w:hAnsi="Times New Roman" w:cs="Times New Roman"/>
          <w:sz w:val="22"/>
          <w:szCs w:val="22"/>
          <w:lang w:val="pt-BR"/>
        </w:rPr>
        <w:t xml:space="preserve"> dos 50 países mais afetados pela </w:t>
      </w:r>
      <w:r w:rsidR="00985EFB" w:rsidRPr="00913ACD">
        <w:rPr>
          <w:rFonts w:ascii="Times New Roman" w:hAnsi="Times New Roman" w:cs="Times New Roman"/>
          <w:sz w:val="22"/>
          <w:szCs w:val="22"/>
          <w:lang w:val="pt-BR"/>
        </w:rPr>
        <w:t>mudança do clima</w:t>
      </w:r>
      <w:r w:rsidR="007800A2" w:rsidRPr="00913ACD">
        <w:rPr>
          <w:rFonts w:ascii="Times New Roman" w:hAnsi="Times New Roman" w:cs="Times New Roman"/>
          <w:sz w:val="22"/>
          <w:szCs w:val="22"/>
          <w:lang w:val="pt-BR"/>
        </w:rPr>
        <w:t>”</w:t>
      </w:r>
      <w:r w:rsidR="00BE059A" w:rsidRPr="00913ACD">
        <w:rPr>
          <w:rFonts w:ascii="Times New Roman" w:hAnsi="Times New Roman" w:cs="Times New Roman"/>
          <w:sz w:val="22"/>
          <w:szCs w:val="22"/>
          <w:lang w:val="pt-BR"/>
        </w:rPr>
        <w:t>. O progresso significativo que a SEDI e organizações similares fizeram na navegação da região durante a pandemia se</w:t>
      </w:r>
      <w:r w:rsidR="00E34266" w:rsidRPr="00913ACD">
        <w:rPr>
          <w:rFonts w:ascii="Times New Roman" w:hAnsi="Times New Roman" w:cs="Times New Roman"/>
          <w:sz w:val="22"/>
          <w:szCs w:val="22"/>
          <w:lang w:val="pt-BR"/>
        </w:rPr>
        <w:t xml:space="preserve"> </w:t>
      </w:r>
      <w:r w:rsidR="00BE059A" w:rsidRPr="00913ACD">
        <w:rPr>
          <w:rFonts w:ascii="Times New Roman" w:hAnsi="Times New Roman" w:cs="Times New Roman"/>
          <w:sz w:val="22"/>
          <w:szCs w:val="22"/>
          <w:lang w:val="pt-BR"/>
        </w:rPr>
        <w:t>perd</w:t>
      </w:r>
      <w:r w:rsidR="00E34266" w:rsidRPr="00913ACD">
        <w:rPr>
          <w:rFonts w:ascii="Times New Roman" w:hAnsi="Times New Roman" w:cs="Times New Roman"/>
          <w:sz w:val="22"/>
          <w:szCs w:val="22"/>
          <w:lang w:val="pt-BR"/>
        </w:rPr>
        <w:t>erá</w:t>
      </w:r>
      <w:r w:rsidR="00BE059A" w:rsidRPr="00913ACD">
        <w:rPr>
          <w:rFonts w:ascii="Times New Roman" w:hAnsi="Times New Roman" w:cs="Times New Roman"/>
          <w:sz w:val="22"/>
          <w:szCs w:val="22"/>
          <w:lang w:val="pt-BR"/>
        </w:rPr>
        <w:t xml:space="preserve"> se não </w:t>
      </w:r>
      <w:r w:rsidR="002639BE">
        <w:rPr>
          <w:rFonts w:ascii="Times New Roman" w:hAnsi="Times New Roman" w:cs="Times New Roman"/>
          <w:sz w:val="22"/>
          <w:szCs w:val="22"/>
          <w:lang w:val="pt-BR"/>
        </w:rPr>
        <w:t>levarmos isso em conta</w:t>
      </w:r>
      <w:r w:rsidR="00BE059A" w:rsidRPr="00913ACD">
        <w:rPr>
          <w:rFonts w:ascii="Times New Roman" w:hAnsi="Times New Roman" w:cs="Times New Roman"/>
          <w:sz w:val="22"/>
          <w:szCs w:val="22"/>
          <w:lang w:val="pt-BR"/>
        </w:rPr>
        <w:t>.</w:t>
      </w:r>
    </w:p>
    <w:p w14:paraId="07AD9773" w14:textId="1C39040F" w:rsidR="00BE059A" w:rsidRPr="00913ACD" w:rsidRDefault="00BE059A" w:rsidP="00CB030B">
      <w:pPr>
        <w:jc w:val="both"/>
        <w:rPr>
          <w:rFonts w:ascii="Times New Roman" w:hAnsi="Times New Roman" w:cs="Times New Roman"/>
          <w:bCs/>
          <w:sz w:val="22"/>
          <w:szCs w:val="22"/>
          <w:lang w:val="pt-BR"/>
        </w:rPr>
      </w:pPr>
    </w:p>
    <w:p w14:paraId="626F54B7" w14:textId="10DA255B" w:rsidR="00897AF2" w:rsidRPr="00913ACD" w:rsidRDefault="00897AF2" w:rsidP="00CB030B">
      <w:pPr>
        <w:ind w:firstLine="720"/>
        <w:jc w:val="both"/>
        <w:rPr>
          <w:rFonts w:ascii="Times New Roman" w:hAnsi="Times New Roman" w:cs="Times New Roman"/>
          <w:bCs/>
          <w:sz w:val="22"/>
          <w:szCs w:val="22"/>
          <w:lang w:val="pt-BR"/>
        </w:rPr>
      </w:pPr>
      <w:r w:rsidRPr="00913ACD">
        <w:rPr>
          <w:rFonts w:ascii="Times New Roman" w:hAnsi="Times New Roman" w:cs="Times New Roman"/>
          <w:bCs/>
          <w:sz w:val="22"/>
          <w:szCs w:val="22"/>
          <w:lang w:val="pt-BR"/>
        </w:rPr>
        <w:t>E</w:t>
      </w:r>
      <w:r w:rsidR="00E34266" w:rsidRPr="00913ACD">
        <w:rPr>
          <w:rFonts w:ascii="Times New Roman" w:hAnsi="Times New Roman" w:cs="Times New Roman"/>
          <w:bCs/>
          <w:sz w:val="22"/>
          <w:szCs w:val="22"/>
          <w:lang w:val="pt-BR"/>
        </w:rPr>
        <w:t>stá em</w:t>
      </w:r>
      <w:r w:rsidRPr="00913ACD">
        <w:rPr>
          <w:rFonts w:ascii="Times New Roman" w:hAnsi="Times New Roman" w:cs="Times New Roman"/>
          <w:bCs/>
          <w:sz w:val="22"/>
          <w:szCs w:val="22"/>
          <w:lang w:val="pt-BR"/>
        </w:rPr>
        <w:t xml:space="preserve"> jogo o </w:t>
      </w:r>
      <w:r w:rsidR="00570E1B" w:rsidRPr="00913ACD">
        <w:rPr>
          <w:rFonts w:ascii="Times New Roman" w:hAnsi="Times New Roman" w:cs="Times New Roman"/>
          <w:bCs/>
          <w:sz w:val="22"/>
          <w:szCs w:val="22"/>
          <w:lang w:val="pt-BR"/>
        </w:rPr>
        <w:t xml:space="preserve">bem-estar de toda a região. </w:t>
      </w:r>
      <w:r w:rsidRPr="00913ACD">
        <w:rPr>
          <w:rFonts w:ascii="Times New Roman" w:hAnsi="Times New Roman" w:cs="Times New Roman"/>
          <w:bCs/>
          <w:sz w:val="22"/>
          <w:szCs w:val="22"/>
          <w:lang w:val="pt-BR"/>
        </w:rPr>
        <w:t>Economias inclusivas e competitivas não pode</w:t>
      </w:r>
      <w:r w:rsidR="005265C5" w:rsidRPr="00913ACD">
        <w:rPr>
          <w:rFonts w:ascii="Times New Roman" w:hAnsi="Times New Roman" w:cs="Times New Roman"/>
          <w:bCs/>
          <w:sz w:val="22"/>
          <w:szCs w:val="22"/>
          <w:lang w:val="pt-BR"/>
        </w:rPr>
        <w:t>rão</w:t>
      </w:r>
      <w:r w:rsidRPr="00913ACD">
        <w:rPr>
          <w:rFonts w:ascii="Times New Roman" w:hAnsi="Times New Roman" w:cs="Times New Roman"/>
          <w:bCs/>
          <w:sz w:val="22"/>
          <w:szCs w:val="22"/>
          <w:lang w:val="pt-BR"/>
        </w:rPr>
        <w:t xml:space="preserve"> existir se a </w:t>
      </w:r>
      <w:r w:rsidR="004435AC" w:rsidRPr="00913ACD">
        <w:rPr>
          <w:rFonts w:ascii="Times New Roman" w:hAnsi="Times New Roman" w:cs="Times New Roman"/>
          <w:bCs/>
          <w:sz w:val="22"/>
          <w:szCs w:val="22"/>
          <w:lang w:val="pt-BR"/>
        </w:rPr>
        <w:t xml:space="preserve">acentuada dependência de </w:t>
      </w:r>
      <w:r w:rsidR="003C2349" w:rsidRPr="00913ACD">
        <w:rPr>
          <w:rFonts w:ascii="Times New Roman" w:hAnsi="Times New Roman" w:cs="Times New Roman"/>
          <w:bCs/>
          <w:sz w:val="22"/>
          <w:szCs w:val="22"/>
          <w:lang w:val="pt-BR"/>
        </w:rPr>
        <w:t>combustíveis fósseis</w:t>
      </w:r>
      <w:r w:rsidRPr="00913ACD">
        <w:rPr>
          <w:rFonts w:ascii="Times New Roman" w:hAnsi="Times New Roman" w:cs="Times New Roman"/>
          <w:bCs/>
          <w:sz w:val="22"/>
          <w:szCs w:val="22"/>
          <w:lang w:val="pt-BR"/>
        </w:rPr>
        <w:t xml:space="preserve"> continua</w:t>
      </w:r>
      <w:r w:rsidR="004435AC" w:rsidRPr="00913ACD">
        <w:rPr>
          <w:rFonts w:ascii="Times New Roman" w:hAnsi="Times New Roman" w:cs="Times New Roman"/>
          <w:bCs/>
          <w:sz w:val="22"/>
          <w:szCs w:val="22"/>
          <w:lang w:val="pt-BR"/>
        </w:rPr>
        <w:t>r</w:t>
      </w:r>
      <w:r w:rsidRPr="00913ACD">
        <w:rPr>
          <w:rFonts w:ascii="Times New Roman" w:hAnsi="Times New Roman" w:cs="Times New Roman"/>
          <w:bCs/>
          <w:sz w:val="22"/>
          <w:szCs w:val="22"/>
          <w:lang w:val="pt-BR"/>
        </w:rPr>
        <w:t xml:space="preserve"> a ditar as políticas energéticas da região</w:t>
      </w:r>
      <w:r w:rsidR="00B10971">
        <w:rPr>
          <w:rFonts w:ascii="Times New Roman" w:hAnsi="Times New Roman" w:cs="Times New Roman"/>
          <w:bCs/>
          <w:sz w:val="22"/>
          <w:szCs w:val="22"/>
          <w:lang w:val="pt-BR"/>
        </w:rPr>
        <w:t>;</w:t>
      </w:r>
      <w:r w:rsidRPr="00913ACD">
        <w:rPr>
          <w:rFonts w:ascii="Times New Roman" w:hAnsi="Times New Roman" w:cs="Times New Roman"/>
          <w:bCs/>
          <w:sz w:val="22"/>
          <w:szCs w:val="22"/>
          <w:lang w:val="pt-BR"/>
        </w:rPr>
        <w:t xml:space="preserve"> </w:t>
      </w:r>
      <w:r w:rsidR="00B10971">
        <w:rPr>
          <w:rFonts w:ascii="Times New Roman" w:hAnsi="Times New Roman" w:cs="Times New Roman"/>
          <w:bCs/>
          <w:sz w:val="22"/>
          <w:szCs w:val="22"/>
          <w:lang w:val="pt-BR"/>
        </w:rPr>
        <w:t>e</w:t>
      </w:r>
      <w:r w:rsidRPr="00913ACD">
        <w:rPr>
          <w:rFonts w:ascii="Times New Roman" w:hAnsi="Times New Roman" w:cs="Times New Roman"/>
          <w:bCs/>
          <w:sz w:val="22"/>
          <w:szCs w:val="22"/>
          <w:lang w:val="pt-BR"/>
        </w:rPr>
        <w:t>l</w:t>
      </w:r>
      <w:r w:rsidR="00572E08" w:rsidRPr="00913ACD">
        <w:rPr>
          <w:rFonts w:ascii="Times New Roman" w:hAnsi="Times New Roman" w:cs="Times New Roman"/>
          <w:bCs/>
          <w:sz w:val="22"/>
          <w:szCs w:val="22"/>
          <w:lang w:val="pt-BR"/>
        </w:rPr>
        <w:t>a</w:t>
      </w:r>
      <w:r w:rsidRPr="00913ACD">
        <w:rPr>
          <w:rFonts w:ascii="Times New Roman" w:hAnsi="Times New Roman" w:cs="Times New Roman"/>
          <w:bCs/>
          <w:sz w:val="22"/>
          <w:szCs w:val="22"/>
          <w:lang w:val="pt-BR"/>
        </w:rPr>
        <w:t>s pode</w:t>
      </w:r>
      <w:r w:rsidR="00572E08" w:rsidRPr="00913ACD">
        <w:rPr>
          <w:rFonts w:ascii="Times New Roman" w:hAnsi="Times New Roman" w:cs="Times New Roman"/>
          <w:bCs/>
          <w:sz w:val="22"/>
          <w:szCs w:val="22"/>
          <w:lang w:val="pt-BR"/>
        </w:rPr>
        <w:t xml:space="preserve">rão </w:t>
      </w:r>
      <w:r w:rsidRPr="00913ACD">
        <w:rPr>
          <w:rFonts w:ascii="Times New Roman" w:hAnsi="Times New Roman" w:cs="Times New Roman"/>
          <w:bCs/>
          <w:sz w:val="22"/>
          <w:szCs w:val="22"/>
          <w:lang w:val="pt-BR"/>
        </w:rPr>
        <w:t xml:space="preserve">existir se </w:t>
      </w:r>
      <w:r w:rsidR="00B91476" w:rsidRPr="00913ACD">
        <w:rPr>
          <w:rFonts w:ascii="Times New Roman" w:hAnsi="Times New Roman" w:cs="Times New Roman"/>
          <w:bCs/>
          <w:sz w:val="22"/>
          <w:szCs w:val="22"/>
          <w:lang w:val="pt-BR"/>
        </w:rPr>
        <w:t xml:space="preserve">forem estudadas, desenvolvidas e implementadas </w:t>
      </w:r>
      <w:r w:rsidRPr="00913ACD">
        <w:rPr>
          <w:rFonts w:ascii="Times New Roman" w:hAnsi="Times New Roman" w:cs="Times New Roman"/>
          <w:bCs/>
          <w:sz w:val="22"/>
          <w:szCs w:val="22"/>
          <w:lang w:val="pt-BR"/>
        </w:rPr>
        <w:t>alternativas mais verdes –</w:t>
      </w:r>
      <w:r w:rsidR="00F268BE">
        <w:rPr>
          <w:rFonts w:ascii="Times New Roman" w:hAnsi="Times New Roman" w:cs="Times New Roman"/>
          <w:bCs/>
          <w:sz w:val="22"/>
          <w:szCs w:val="22"/>
          <w:lang w:val="pt-BR"/>
        </w:rPr>
        <w:t xml:space="preserve"> </w:t>
      </w:r>
      <w:r w:rsidRPr="00913ACD">
        <w:rPr>
          <w:rFonts w:ascii="Times New Roman" w:hAnsi="Times New Roman" w:cs="Times New Roman"/>
          <w:bCs/>
          <w:sz w:val="22"/>
          <w:szCs w:val="22"/>
          <w:lang w:val="pt-BR"/>
        </w:rPr>
        <w:t xml:space="preserve">que reduzem </w:t>
      </w:r>
      <w:r w:rsidR="00F268BE">
        <w:rPr>
          <w:rFonts w:ascii="Times New Roman" w:hAnsi="Times New Roman" w:cs="Times New Roman"/>
          <w:bCs/>
          <w:sz w:val="22"/>
          <w:szCs w:val="22"/>
          <w:lang w:val="pt-BR"/>
        </w:rPr>
        <w:t xml:space="preserve">as </w:t>
      </w:r>
      <w:r w:rsidRPr="00913ACD">
        <w:rPr>
          <w:rFonts w:ascii="Times New Roman" w:hAnsi="Times New Roman" w:cs="Times New Roman"/>
          <w:bCs/>
          <w:sz w:val="22"/>
          <w:szCs w:val="22"/>
          <w:lang w:val="pt-BR"/>
        </w:rPr>
        <w:t xml:space="preserve">emissões </w:t>
      </w:r>
      <w:r w:rsidR="003928D0" w:rsidRPr="00913ACD">
        <w:rPr>
          <w:rFonts w:ascii="Times New Roman" w:hAnsi="Times New Roman" w:cs="Times New Roman"/>
          <w:bCs/>
          <w:sz w:val="22"/>
          <w:szCs w:val="22"/>
          <w:lang w:val="pt-BR"/>
        </w:rPr>
        <w:t xml:space="preserve">de gases de efeito estufa </w:t>
      </w:r>
      <w:r w:rsidRPr="00913ACD">
        <w:rPr>
          <w:rFonts w:ascii="Times New Roman" w:hAnsi="Times New Roman" w:cs="Times New Roman"/>
          <w:bCs/>
          <w:sz w:val="22"/>
          <w:szCs w:val="22"/>
          <w:lang w:val="pt-BR"/>
        </w:rPr>
        <w:t>–</w:t>
      </w:r>
      <w:r w:rsidR="00F268BE">
        <w:rPr>
          <w:rFonts w:ascii="Times New Roman" w:hAnsi="Times New Roman" w:cs="Times New Roman"/>
          <w:bCs/>
          <w:sz w:val="22"/>
          <w:szCs w:val="22"/>
          <w:lang w:val="pt-BR"/>
        </w:rPr>
        <w:t xml:space="preserve"> </w:t>
      </w:r>
      <w:r w:rsidRPr="00913ACD">
        <w:rPr>
          <w:rFonts w:ascii="Times New Roman" w:hAnsi="Times New Roman" w:cs="Times New Roman"/>
          <w:bCs/>
          <w:sz w:val="22"/>
          <w:szCs w:val="22"/>
          <w:lang w:val="pt-BR"/>
        </w:rPr>
        <w:t xml:space="preserve">como alternativas sustentáveis. </w:t>
      </w:r>
      <w:r w:rsidR="00223A31" w:rsidRPr="00913ACD">
        <w:rPr>
          <w:rFonts w:ascii="Times New Roman" w:hAnsi="Times New Roman" w:cs="Times New Roman"/>
          <w:bCs/>
          <w:sz w:val="22"/>
          <w:szCs w:val="22"/>
          <w:lang w:val="pt-BR"/>
        </w:rPr>
        <w:t>A</w:t>
      </w:r>
      <w:r w:rsidR="00F94E0E" w:rsidRPr="00913ACD">
        <w:rPr>
          <w:rFonts w:ascii="Times New Roman" w:hAnsi="Times New Roman" w:cs="Times New Roman"/>
          <w:bCs/>
          <w:sz w:val="22"/>
          <w:szCs w:val="22"/>
          <w:lang w:val="pt-BR"/>
        </w:rPr>
        <w:t xml:space="preserve"> SEDI </w:t>
      </w:r>
      <w:r w:rsidRPr="00913ACD">
        <w:rPr>
          <w:rFonts w:ascii="Times New Roman" w:hAnsi="Times New Roman" w:cs="Times New Roman"/>
          <w:bCs/>
          <w:sz w:val="22"/>
          <w:szCs w:val="22"/>
          <w:lang w:val="pt-BR"/>
        </w:rPr>
        <w:t>não pode</w:t>
      </w:r>
      <w:r w:rsidR="00F94E0E" w:rsidRPr="00913ACD">
        <w:rPr>
          <w:rFonts w:ascii="Times New Roman" w:hAnsi="Times New Roman" w:cs="Times New Roman"/>
          <w:bCs/>
          <w:sz w:val="22"/>
          <w:szCs w:val="22"/>
          <w:lang w:val="pt-BR"/>
        </w:rPr>
        <w:t>rá</w:t>
      </w:r>
      <w:r w:rsidRPr="00913ACD">
        <w:rPr>
          <w:rFonts w:ascii="Times New Roman" w:hAnsi="Times New Roman" w:cs="Times New Roman"/>
          <w:bCs/>
          <w:sz w:val="22"/>
          <w:szCs w:val="22"/>
          <w:lang w:val="pt-BR"/>
        </w:rPr>
        <w:t xml:space="preserve"> implementar os Objetivos de Desenvolvimento Sustentável </w:t>
      </w:r>
      <w:r w:rsidR="00223A31" w:rsidRPr="00913ACD">
        <w:rPr>
          <w:rFonts w:ascii="Times New Roman" w:hAnsi="Times New Roman" w:cs="Times New Roman"/>
          <w:bCs/>
          <w:sz w:val="22"/>
          <w:szCs w:val="22"/>
          <w:lang w:val="pt-BR"/>
        </w:rPr>
        <w:t>se</w:t>
      </w:r>
      <w:r w:rsidR="00246E5B">
        <w:rPr>
          <w:rFonts w:ascii="Times New Roman" w:hAnsi="Times New Roman" w:cs="Times New Roman"/>
          <w:bCs/>
          <w:sz w:val="22"/>
          <w:szCs w:val="22"/>
          <w:lang w:val="pt-BR"/>
        </w:rPr>
        <w:t xml:space="preserve"> </w:t>
      </w:r>
      <w:r w:rsidR="00223A31" w:rsidRPr="00913ACD">
        <w:rPr>
          <w:rFonts w:ascii="Times New Roman" w:hAnsi="Times New Roman" w:cs="Times New Roman"/>
          <w:bCs/>
          <w:sz w:val="22"/>
          <w:szCs w:val="22"/>
          <w:lang w:val="pt-BR"/>
        </w:rPr>
        <w:t xml:space="preserve">os </w:t>
      </w:r>
      <w:r w:rsidR="00F71C2D" w:rsidRPr="00913ACD">
        <w:rPr>
          <w:rFonts w:ascii="Times New Roman" w:hAnsi="Times New Roman" w:cs="Times New Roman"/>
          <w:bCs/>
          <w:sz w:val="22"/>
          <w:szCs w:val="22"/>
          <w:lang w:val="pt-BR"/>
        </w:rPr>
        <w:t xml:space="preserve">recursos precisarem </w:t>
      </w:r>
      <w:r w:rsidR="00223A31" w:rsidRPr="00913ACD">
        <w:rPr>
          <w:rFonts w:ascii="Times New Roman" w:hAnsi="Times New Roman" w:cs="Times New Roman"/>
          <w:bCs/>
          <w:sz w:val="22"/>
          <w:szCs w:val="22"/>
          <w:lang w:val="pt-BR"/>
        </w:rPr>
        <w:t>ser desviados para orçamentos de catástrofe e de ajuda de emergência</w:t>
      </w:r>
      <w:r w:rsidR="00FA50F4">
        <w:rPr>
          <w:rFonts w:ascii="Times New Roman" w:hAnsi="Times New Roman" w:cs="Times New Roman"/>
          <w:bCs/>
          <w:sz w:val="22"/>
          <w:szCs w:val="22"/>
          <w:lang w:val="pt-BR"/>
        </w:rPr>
        <w:t>;</w:t>
      </w:r>
      <w:r w:rsidR="00223A31" w:rsidRPr="00913ACD">
        <w:rPr>
          <w:rFonts w:ascii="Times New Roman" w:hAnsi="Times New Roman" w:cs="Times New Roman"/>
          <w:bCs/>
          <w:sz w:val="22"/>
          <w:szCs w:val="22"/>
          <w:lang w:val="pt-BR"/>
        </w:rPr>
        <w:t xml:space="preserve"> </w:t>
      </w:r>
      <w:r w:rsidR="00FA50F4">
        <w:rPr>
          <w:rFonts w:ascii="Times New Roman" w:hAnsi="Times New Roman" w:cs="Times New Roman"/>
          <w:bCs/>
          <w:sz w:val="22"/>
          <w:szCs w:val="22"/>
          <w:lang w:val="pt-BR"/>
        </w:rPr>
        <w:t>e</w:t>
      </w:r>
      <w:r w:rsidR="00223A31" w:rsidRPr="00913ACD">
        <w:rPr>
          <w:rFonts w:ascii="Times New Roman" w:hAnsi="Times New Roman" w:cs="Times New Roman"/>
          <w:bCs/>
          <w:sz w:val="22"/>
          <w:szCs w:val="22"/>
          <w:lang w:val="pt-BR"/>
        </w:rPr>
        <w:t>les pode</w:t>
      </w:r>
      <w:r w:rsidR="004E596E" w:rsidRPr="00913ACD">
        <w:rPr>
          <w:rFonts w:ascii="Times New Roman" w:hAnsi="Times New Roman" w:cs="Times New Roman"/>
          <w:bCs/>
          <w:sz w:val="22"/>
          <w:szCs w:val="22"/>
          <w:lang w:val="pt-BR"/>
        </w:rPr>
        <w:t>rão</w:t>
      </w:r>
      <w:r w:rsidR="00223A31" w:rsidRPr="00913ACD">
        <w:rPr>
          <w:rFonts w:ascii="Times New Roman" w:hAnsi="Times New Roman" w:cs="Times New Roman"/>
          <w:bCs/>
          <w:sz w:val="22"/>
          <w:szCs w:val="22"/>
          <w:lang w:val="pt-BR"/>
        </w:rPr>
        <w:t xml:space="preserve"> ser alcançados se os esforços de programação criarem sociedades </w:t>
      </w:r>
      <w:r w:rsidR="00AA1858" w:rsidRPr="00913ACD">
        <w:rPr>
          <w:rFonts w:ascii="Times New Roman" w:hAnsi="Times New Roman" w:cs="Times New Roman"/>
          <w:bCs/>
          <w:sz w:val="22"/>
          <w:szCs w:val="22"/>
          <w:lang w:val="pt-BR"/>
        </w:rPr>
        <w:t xml:space="preserve">ambientalmente </w:t>
      </w:r>
      <w:r w:rsidR="00223A31" w:rsidRPr="00913ACD">
        <w:rPr>
          <w:rFonts w:ascii="Times New Roman" w:hAnsi="Times New Roman" w:cs="Times New Roman"/>
          <w:bCs/>
          <w:sz w:val="22"/>
          <w:szCs w:val="22"/>
          <w:lang w:val="pt-BR"/>
        </w:rPr>
        <w:t xml:space="preserve">mais resilientes e promoverem as condições ecológicas necessárias para proteger as costas </w:t>
      </w:r>
      <w:r w:rsidR="003D7CE6">
        <w:rPr>
          <w:rFonts w:ascii="Times New Roman" w:hAnsi="Times New Roman" w:cs="Times New Roman"/>
          <w:bCs/>
          <w:sz w:val="22"/>
          <w:szCs w:val="22"/>
          <w:lang w:val="pt-BR"/>
        </w:rPr>
        <w:t xml:space="preserve">marinhas </w:t>
      </w:r>
      <w:r w:rsidR="00223A31" w:rsidRPr="00913ACD">
        <w:rPr>
          <w:rFonts w:ascii="Times New Roman" w:hAnsi="Times New Roman" w:cs="Times New Roman"/>
          <w:bCs/>
          <w:sz w:val="22"/>
          <w:szCs w:val="22"/>
          <w:lang w:val="pt-BR"/>
        </w:rPr>
        <w:t xml:space="preserve">e os leitos dos rios. </w:t>
      </w:r>
      <w:r w:rsidR="00EB5F61" w:rsidRPr="00913ACD">
        <w:rPr>
          <w:rFonts w:ascii="Times New Roman" w:hAnsi="Times New Roman" w:cs="Times New Roman"/>
          <w:bCs/>
          <w:sz w:val="22"/>
          <w:szCs w:val="22"/>
          <w:lang w:val="pt-BR"/>
        </w:rPr>
        <w:t xml:space="preserve">É difícil garantir-se </w:t>
      </w:r>
      <w:r w:rsidR="00223A31" w:rsidRPr="00913ACD">
        <w:rPr>
          <w:rFonts w:ascii="Times New Roman" w:hAnsi="Times New Roman" w:cs="Times New Roman"/>
          <w:bCs/>
          <w:sz w:val="22"/>
          <w:szCs w:val="22"/>
          <w:lang w:val="pt-BR"/>
        </w:rPr>
        <w:t>às populações continuamente deslocadas pelos efeitos das alterações climáticas</w:t>
      </w:r>
      <w:r w:rsidR="00EC077D" w:rsidRPr="00913ACD">
        <w:rPr>
          <w:rFonts w:ascii="Times New Roman" w:hAnsi="Times New Roman" w:cs="Times New Roman"/>
          <w:bCs/>
          <w:sz w:val="22"/>
          <w:szCs w:val="22"/>
          <w:lang w:val="pt-BR"/>
        </w:rPr>
        <w:t xml:space="preserve"> o acesso consistente a uma educação de qualidade</w:t>
      </w:r>
      <w:r w:rsidR="00DC2303">
        <w:rPr>
          <w:rFonts w:ascii="Times New Roman" w:hAnsi="Times New Roman" w:cs="Times New Roman"/>
          <w:bCs/>
          <w:sz w:val="22"/>
          <w:szCs w:val="22"/>
          <w:lang w:val="pt-BR"/>
        </w:rPr>
        <w:t>;</w:t>
      </w:r>
      <w:r w:rsidR="00223A31" w:rsidRPr="00913ACD">
        <w:rPr>
          <w:rFonts w:ascii="Times New Roman" w:hAnsi="Times New Roman" w:cs="Times New Roman"/>
          <w:bCs/>
          <w:sz w:val="22"/>
          <w:szCs w:val="22"/>
          <w:lang w:val="pt-BR"/>
        </w:rPr>
        <w:t xml:space="preserve"> </w:t>
      </w:r>
      <w:r w:rsidR="00DC2303">
        <w:rPr>
          <w:rFonts w:ascii="Times New Roman" w:hAnsi="Times New Roman" w:cs="Times New Roman"/>
          <w:bCs/>
          <w:sz w:val="22"/>
          <w:szCs w:val="22"/>
          <w:lang w:val="pt-BR"/>
        </w:rPr>
        <w:t>i</w:t>
      </w:r>
      <w:r w:rsidR="00223A31" w:rsidRPr="00913ACD">
        <w:rPr>
          <w:rFonts w:ascii="Times New Roman" w:hAnsi="Times New Roman" w:cs="Times New Roman"/>
          <w:bCs/>
          <w:sz w:val="22"/>
          <w:szCs w:val="22"/>
          <w:lang w:val="pt-BR"/>
        </w:rPr>
        <w:t xml:space="preserve">sso </w:t>
      </w:r>
      <w:r w:rsidR="00EC077D" w:rsidRPr="00913ACD">
        <w:rPr>
          <w:rFonts w:ascii="Times New Roman" w:hAnsi="Times New Roman" w:cs="Times New Roman"/>
          <w:bCs/>
          <w:sz w:val="22"/>
          <w:szCs w:val="22"/>
          <w:lang w:val="pt-BR"/>
        </w:rPr>
        <w:t xml:space="preserve">só </w:t>
      </w:r>
      <w:r w:rsidR="00223A31" w:rsidRPr="00913ACD">
        <w:rPr>
          <w:rFonts w:ascii="Times New Roman" w:hAnsi="Times New Roman" w:cs="Times New Roman"/>
          <w:bCs/>
          <w:sz w:val="22"/>
          <w:szCs w:val="22"/>
          <w:lang w:val="pt-BR"/>
        </w:rPr>
        <w:t>pode</w:t>
      </w:r>
      <w:r w:rsidR="00EC077D" w:rsidRPr="00913ACD">
        <w:rPr>
          <w:rFonts w:ascii="Times New Roman" w:hAnsi="Times New Roman" w:cs="Times New Roman"/>
          <w:bCs/>
          <w:sz w:val="22"/>
          <w:szCs w:val="22"/>
          <w:lang w:val="pt-BR"/>
        </w:rPr>
        <w:t xml:space="preserve">rá </w:t>
      </w:r>
      <w:r w:rsidR="00223A31" w:rsidRPr="00913ACD">
        <w:rPr>
          <w:rFonts w:ascii="Times New Roman" w:hAnsi="Times New Roman" w:cs="Times New Roman"/>
          <w:bCs/>
          <w:sz w:val="22"/>
          <w:szCs w:val="22"/>
          <w:lang w:val="pt-BR"/>
        </w:rPr>
        <w:t xml:space="preserve">ser garantido se essas populações não forem forçadas a migrar, e professores, líderes locais e cidadãos se tornarem administradores ambientais de sua própria comunidade, lutando por seu direito ao desenvolvimento humano. </w:t>
      </w:r>
      <w:r w:rsidR="00570E1B" w:rsidRPr="00913ACD">
        <w:rPr>
          <w:rFonts w:ascii="Times New Roman" w:hAnsi="Times New Roman" w:cs="Times New Roman"/>
          <w:bCs/>
          <w:sz w:val="22"/>
          <w:szCs w:val="22"/>
          <w:lang w:val="pt-BR"/>
        </w:rPr>
        <w:t>O trabalho decente, digno e produtivo não pode</w:t>
      </w:r>
      <w:r w:rsidR="00AD226B" w:rsidRPr="00913ACD">
        <w:rPr>
          <w:rFonts w:ascii="Times New Roman" w:hAnsi="Times New Roman" w:cs="Times New Roman"/>
          <w:bCs/>
          <w:sz w:val="22"/>
          <w:szCs w:val="22"/>
          <w:lang w:val="pt-BR"/>
        </w:rPr>
        <w:t>rá</w:t>
      </w:r>
      <w:r w:rsidR="00570E1B" w:rsidRPr="00913ACD">
        <w:rPr>
          <w:rFonts w:ascii="Times New Roman" w:hAnsi="Times New Roman" w:cs="Times New Roman"/>
          <w:bCs/>
          <w:sz w:val="22"/>
          <w:szCs w:val="22"/>
          <w:lang w:val="pt-BR"/>
        </w:rPr>
        <w:t xml:space="preserve"> prosperar em sistemas </w:t>
      </w:r>
      <w:r w:rsidR="00AD226B" w:rsidRPr="00913ACD">
        <w:rPr>
          <w:rFonts w:ascii="Times New Roman" w:hAnsi="Times New Roman" w:cs="Times New Roman"/>
          <w:bCs/>
          <w:sz w:val="22"/>
          <w:szCs w:val="22"/>
          <w:lang w:val="pt-BR"/>
        </w:rPr>
        <w:t xml:space="preserve">em que </w:t>
      </w:r>
      <w:r w:rsidR="00570E1B" w:rsidRPr="00913ACD">
        <w:rPr>
          <w:rFonts w:ascii="Times New Roman" w:hAnsi="Times New Roman" w:cs="Times New Roman"/>
          <w:bCs/>
          <w:sz w:val="22"/>
          <w:szCs w:val="22"/>
          <w:lang w:val="pt-BR"/>
        </w:rPr>
        <w:t>o meio ambiente é destruído para ganho material</w:t>
      </w:r>
      <w:r w:rsidR="007B5C8E">
        <w:rPr>
          <w:rFonts w:ascii="Times New Roman" w:hAnsi="Times New Roman" w:cs="Times New Roman"/>
          <w:bCs/>
          <w:sz w:val="22"/>
          <w:szCs w:val="22"/>
          <w:lang w:val="pt-BR"/>
        </w:rPr>
        <w:t>;</w:t>
      </w:r>
      <w:r w:rsidR="00570E1B" w:rsidRPr="00913ACD">
        <w:rPr>
          <w:rFonts w:ascii="Times New Roman" w:hAnsi="Times New Roman" w:cs="Times New Roman"/>
          <w:bCs/>
          <w:sz w:val="22"/>
          <w:szCs w:val="22"/>
          <w:lang w:val="pt-BR"/>
        </w:rPr>
        <w:t xml:space="preserve"> </w:t>
      </w:r>
      <w:r w:rsidR="007B5C8E">
        <w:rPr>
          <w:rFonts w:ascii="Times New Roman" w:hAnsi="Times New Roman" w:cs="Times New Roman"/>
          <w:bCs/>
          <w:sz w:val="22"/>
          <w:szCs w:val="22"/>
          <w:lang w:val="pt-BR"/>
        </w:rPr>
        <w:t>m</w:t>
      </w:r>
      <w:r w:rsidR="00BD22AA" w:rsidRPr="00913ACD">
        <w:rPr>
          <w:rFonts w:ascii="Times New Roman" w:hAnsi="Times New Roman" w:cs="Times New Roman"/>
          <w:bCs/>
          <w:sz w:val="22"/>
          <w:szCs w:val="22"/>
          <w:lang w:val="pt-BR"/>
        </w:rPr>
        <w:t xml:space="preserve">as </w:t>
      </w:r>
      <w:r w:rsidR="00570E1B" w:rsidRPr="00913ACD">
        <w:rPr>
          <w:rFonts w:ascii="Times New Roman" w:hAnsi="Times New Roman" w:cs="Times New Roman"/>
          <w:bCs/>
          <w:sz w:val="22"/>
          <w:szCs w:val="22"/>
          <w:lang w:val="pt-BR"/>
        </w:rPr>
        <w:t>prosperar</w:t>
      </w:r>
      <w:r w:rsidR="00BD22AA" w:rsidRPr="00913ACD">
        <w:rPr>
          <w:rFonts w:ascii="Times New Roman" w:hAnsi="Times New Roman" w:cs="Times New Roman"/>
          <w:bCs/>
          <w:sz w:val="22"/>
          <w:szCs w:val="22"/>
          <w:lang w:val="pt-BR"/>
        </w:rPr>
        <w:t>á</w:t>
      </w:r>
      <w:r w:rsidR="00570E1B" w:rsidRPr="00913ACD">
        <w:rPr>
          <w:rFonts w:ascii="Times New Roman" w:hAnsi="Times New Roman" w:cs="Times New Roman"/>
          <w:bCs/>
          <w:sz w:val="22"/>
          <w:szCs w:val="22"/>
          <w:lang w:val="pt-BR"/>
        </w:rPr>
        <w:t xml:space="preserve"> em conjunto com práticas agrícolas sustentáveis e em sistemas que trabalham para promover a equidade no trabalho como parte da economia formal. Cooperação e parcerias genuínas – do tipo </w:t>
      </w:r>
      <w:r w:rsidR="002E246A" w:rsidRPr="00913ACD">
        <w:rPr>
          <w:rFonts w:ascii="Times New Roman" w:hAnsi="Times New Roman" w:cs="Times New Roman"/>
          <w:bCs/>
          <w:sz w:val="22"/>
          <w:szCs w:val="22"/>
          <w:lang w:val="pt-BR"/>
        </w:rPr>
        <w:t xml:space="preserve">de </w:t>
      </w:r>
      <w:r w:rsidR="00570E1B" w:rsidRPr="00913ACD">
        <w:rPr>
          <w:rFonts w:ascii="Times New Roman" w:hAnsi="Times New Roman" w:cs="Times New Roman"/>
          <w:bCs/>
          <w:sz w:val="22"/>
          <w:szCs w:val="22"/>
          <w:lang w:val="pt-BR"/>
        </w:rPr>
        <w:t xml:space="preserve">que tantas </w:t>
      </w:r>
      <w:r w:rsidR="005F30B1" w:rsidRPr="00913ACD">
        <w:rPr>
          <w:rFonts w:ascii="Times New Roman" w:hAnsi="Times New Roman" w:cs="Times New Roman"/>
          <w:bCs/>
          <w:sz w:val="22"/>
          <w:szCs w:val="22"/>
          <w:lang w:val="pt-BR"/>
        </w:rPr>
        <w:t>Estados</w:t>
      </w:r>
      <w:r w:rsidR="00570E1B" w:rsidRPr="00913ACD">
        <w:rPr>
          <w:rFonts w:ascii="Times New Roman" w:hAnsi="Times New Roman" w:cs="Times New Roman"/>
          <w:bCs/>
          <w:sz w:val="22"/>
          <w:szCs w:val="22"/>
          <w:lang w:val="pt-BR"/>
        </w:rPr>
        <w:t xml:space="preserve"> </w:t>
      </w:r>
      <w:r w:rsidR="002E246A" w:rsidRPr="00913ACD">
        <w:rPr>
          <w:rFonts w:ascii="Times New Roman" w:hAnsi="Times New Roman" w:cs="Times New Roman"/>
          <w:bCs/>
          <w:sz w:val="22"/>
          <w:szCs w:val="22"/>
          <w:lang w:val="pt-BR"/>
        </w:rPr>
        <w:t>membros depe</w:t>
      </w:r>
      <w:r w:rsidR="00AE3DBF" w:rsidRPr="00913ACD">
        <w:rPr>
          <w:rFonts w:ascii="Times New Roman" w:hAnsi="Times New Roman" w:cs="Times New Roman"/>
          <w:bCs/>
          <w:sz w:val="22"/>
          <w:szCs w:val="22"/>
          <w:lang w:val="pt-BR"/>
        </w:rPr>
        <w:t xml:space="preserve">ndem – </w:t>
      </w:r>
      <w:r w:rsidR="00570E1B" w:rsidRPr="00913ACD">
        <w:rPr>
          <w:rFonts w:ascii="Times New Roman" w:hAnsi="Times New Roman" w:cs="Times New Roman"/>
          <w:bCs/>
          <w:sz w:val="22"/>
          <w:szCs w:val="22"/>
          <w:lang w:val="pt-BR"/>
        </w:rPr>
        <w:t>não pode</w:t>
      </w:r>
      <w:r w:rsidR="006922F1" w:rsidRPr="00913ACD">
        <w:rPr>
          <w:rFonts w:ascii="Times New Roman" w:hAnsi="Times New Roman" w:cs="Times New Roman"/>
          <w:bCs/>
          <w:sz w:val="22"/>
          <w:szCs w:val="22"/>
          <w:lang w:val="pt-BR"/>
        </w:rPr>
        <w:t>rão</w:t>
      </w:r>
      <w:r w:rsidR="00570E1B" w:rsidRPr="00913ACD">
        <w:rPr>
          <w:rFonts w:ascii="Times New Roman" w:hAnsi="Times New Roman" w:cs="Times New Roman"/>
          <w:bCs/>
          <w:sz w:val="22"/>
          <w:szCs w:val="22"/>
          <w:lang w:val="pt-BR"/>
        </w:rPr>
        <w:t xml:space="preserve"> cumprir seus mandatos se não considerarem os efeitos da </w:t>
      </w:r>
      <w:r w:rsidR="00985EFB" w:rsidRPr="00913ACD">
        <w:rPr>
          <w:rFonts w:ascii="Times New Roman" w:hAnsi="Times New Roman" w:cs="Times New Roman"/>
          <w:bCs/>
          <w:sz w:val="22"/>
          <w:szCs w:val="22"/>
          <w:lang w:val="pt-BR"/>
        </w:rPr>
        <w:t>mudança do clima</w:t>
      </w:r>
      <w:r w:rsidR="00570E1B" w:rsidRPr="00913ACD">
        <w:rPr>
          <w:rFonts w:ascii="Times New Roman" w:hAnsi="Times New Roman" w:cs="Times New Roman"/>
          <w:bCs/>
          <w:sz w:val="22"/>
          <w:szCs w:val="22"/>
          <w:lang w:val="pt-BR"/>
        </w:rPr>
        <w:t xml:space="preserve"> e, em última análise, o que está em jogo para a região. </w:t>
      </w:r>
      <w:r w:rsidR="000649FA" w:rsidRPr="00913ACD">
        <w:rPr>
          <w:rFonts w:ascii="Times New Roman" w:hAnsi="Times New Roman" w:cs="Times New Roman"/>
          <w:bCs/>
          <w:sz w:val="22"/>
          <w:szCs w:val="22"/>
          <w:lang w:val="pt-BR"/>
        </w:rPr>
        <w:t>As p</w:t>
      </w:r>
      <w:r w:rsidR="00570E1B" w:rsidRPr="00913ACD">
        <w:rPr>
          <w:rFonts w:ascii="Times New Roman" w:hAnsi="Times New Roman" w:cs="Times New Roman"/>
          <w:bCs/>
          <w:sz w:val="22"/>
          <w:szCs w:val="22"/>
          <w:lang w:val="pt-BR"/>
        </w:rPr>
        <w:t>arcerias só pode</w:t>
      </w:r>
      <w:r w:rsidR="000649FA" w:rsidRPr="00913ACD">
        <w:rPr>
          <w:rFonts w:ascii="Times New Roman" w:hAnsi="Times New Roman" w:cs="Times New Roman"/>
          <w:bCs/>
          <w:sz w:val="22"/>
          <w:szCs w:val="22"/>
          <w:lang w:val="pt-BR"/>
        </w:rPr>
        <w:t xml:space="preserve">rão entregar </w:t>
      </w:r>
      <w:r w:rsidR="007A334F" w:rsidRPr="00913ACD">
        <w:rPr>
          <w:rFonts w:ascii="Times New Roman" w:hAnsi="Times New Roman" w:cs="Times New Roman"/>
          <w:bCs/>
          <w:sz w:val="22"/>
          <w:szCs w:val="22"/>
          <w:lang w:val="pt-BR"/>
        </w:rPr>
        <w:t xml:space="preserve">os impactos que a SEDI exige de suas partes interessadas se os esforços de mitigação da </w:t>
      </w:r>
      <w:r w:rsidR="00985EFB" w:rsidRPr="00913ACD">
        <w:rPr>
          <w:rFonts w:ascii="Times New Roman" w:hAnsi="Times New Roman" w:cs="Times New Roman"/>
          <w:bCs/>
          <w:sz w:val="22"/>
          <w:szCs w:val="22"/>
          <w:lang w:val="pt-BR"/>
        </w:rPr>
        <w:t>mudança do clima</w:t>
      </w:r>
      <w:r w:rsidR="007A334F" w:rsidRPr="00913ACD">
        <w:rPr>
          <w:rFonts w:ascii="Times New Roman" w:hAnsi="Times New Roman" w:cs="Times New Roman"/>
          <w:bCs/>
          <w:sz w:val="22"/>
          <w:szCs w:val="22"/>
          <w:lang w:val="pt-BR"/>
        </w:rPr>
        <w:t xml:space="preserve"> forem incorporados </w:t>
      </w:r>
      <w:r w:rsidR="009F4037" w:rsidRPr="00913ACD">
        <w:rPr>
          <w:rFonts w:ascii="Times New Roman" w:hAnsi="Times New Roman" w:cs="Times New Roman"/>
          <w:bCs/>
          <w:sz w:val="22"/>
          <w:szCs w:val="22"/>
          <w:lang w:val="pt-BR"/>
        </w:rPr>
        <w:t>em todos os futuros esforços de programação.</w:t>
      </w:r>
      <w:r w:rsidR="0091142D" w:rsidRPr="00913ACD">
        <w:rPr>
          <w:rFonts w:ascii="Times New Roman" w:hAnsi="Times New Roman" w:cs="Times New Roman"/>
          <w:bCs/>
          <w:noProof/>
          <w:sz w:val="22"/>
          <w:szCs w:val="22"/>
          <w:lang w:val="pt-BR"/>
        </w:rPr>
        <mc:AlternateContent>
          <mc:Choice Requires="wps">
            <w:drawing>
              <wp:anchor distT="0" distB="0" distL="114300" distR="114300" simplePos="0" relativeHeight="251659264" behindDoc="0" locked="1" layoutInCell="1" allowOverlap="1" wp14:anchorId="79BE4215" wp14:editId="09C7BB6D">
                <wp:simplePos x="0" y="0"/>
                <wp:positionH relativeFrom="column">
                  <wp:posOffset>-117475</wp:posOffset>
                </wp:positionH>
                <wp:positionV relativeFrom="bottomMargin">
                  <wp:align>top</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BF41EE" w14:textId="53910161" w:rsidR="0091142D" w:rsidRPr="0091142D" w:rsidRDefault="0091142D">
                            <w:pPr>
                              <w:rPr>
                                <w:rFonts w:ascii="Times New Roman" w:hAnsi="Times New Roman" w:cs="Times New Roman"/>
                                <w:sz w:val="18"/>
                              </w:rPr>
                            </w:pPr>
                            <w:r>
                              <w:rPr>
                                <w:sz w:val="18"/>
                                <w:lang w:val="pt"/>
                              </w:rPr>
                              <w:fldChar w:fldCharType="begin"/>
                            </w:r>
                            <w:r>
                              <w:rPr>
                                <w:sz w:val="18"/>
                                <w:lang w:val="pt"/>
                              </w:rPr>
                              <w:instrText xml:space="preserve"> FILENAME  \* MERGEFORMAT </w:instrText>
                            </w:r>
                            <w:r>
                              <w:rPr>
                                <w:sz w:val="18"/>
                                <w:lang w:val="pt"/>
                              </w:rPr>
                              <w:fldChar w:fldCharType="separate"/>
                            </w:r>
                            <w:r w:rsidR="00A571D7">
                              <w:rPr>
                                <w:noProof/>
                                <w:sz w:val="18"/>
                                <w:lang w:val="pt"/>
                              </w:rPr>
                              <w:t>CIDRP03760P01</w:t>
                            </w:r>
                            <w:r>
                              <w:rPr>
                                <w:sz w:val="18"/>
                                <w:lang w:val="pt"/>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BE4215" id="_x0000_t202" coordsize="21600,21600" o:spt="202" path="m,l,21600r21600,l21600,xe">
                <v:stroke joinstyle="miter"/>
                <v:path gradientshapeok="t" o:connecttype="rect"/>
              </v:shapetype>
              <v:shape id="Text Box 3" o:spid="_x0000_s1026" type="#_x0000_t202" style="position:absolute;left:0;text-align:left;margin-left:-9.25pt;margin-top:0;width:266.4pt;height:18pt;z-index:251659264;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" filled="f" stroked="f">
                <v:stroke joinstyle="round"/>
                <v:textbox>
                  <w:txbxContent>
                    <w:p w14:paraId="44BF41EE" w14:textId="53910161" w:rsidR="0091142D" w:rsidRPr="0091142D" w:rsidRDefault="0091142D">
                      <w:pPr>
                        <w:rPr>
                          <w:rFonts w:ascii="Times New Roman" w:hAnsi="Times New Roman" w:cs="Times New Roman"/>
                          <w:sz w:val="18"/>
                        </w:rPr>
                      </w:pPr>
                      <w:r>
                        <w:rPr>
                          <w:sz w:val="18"/>
                          <w:lang w:val="pt"/>
                        </w:rPr>
                        <w:fldChar w:fldCharType="begin"/>
                      </w:r>
                      <w:r>
                        <w:rPr>
                          <w:sz w:val="18"/>
                          <w:lang w:val="pt"/>
                        </w:rPr>
                        <w:instrText xml:space="preserve"> FILENAME  \* MERGEFORMAT </w:instrText>
                      </w:r>
                      <w:r>
                        <w:rPr>
                          <w:sz w:val="18"/>
                          <w:lang w:val="pt"/>
                        </w:rPr>
                        <w:fldChar w:fldCharType="separate"/>
                      </w:r>
                      <w:r w:rsidR="00A571D7">
                        <w:rPr>
                          <w:noProof/>
                          <w:sz w:val="18"/>
                          <w:lang w:val="pt"/>
                        </w:rPr>
                        <w:t>CIDRP03760P01</w:t>
                      </w:r>
                      <w:r>
                        <w:rPr>
                          <w:sz w:val="18"/>
                          <w:lang w:val="pt"/>
                        </w:rPr>
                        <w:fldChar w:fldCharType="end"/>
                      </w:r>
                    </w:p>
                  </w:txbxContent>
                </v:textbox>
                <w10:wrap anchory="margin"/>
                <w10:anchorlock/>
              </v:shape>
            </w:pict>
          </mc:Fallback>
        </mc:AlternateContent>
      </w:r>
    </w:p>
    <w:sectPr w:rsidR="00897AF2" w:rsidRPr="00913ACD" w:rsidSect="007F5574">
      <w:headerReference w:type="default" r:id="rId28"/>
      <w:headerReference w:type="first" r:id="rId29"/>
      <w:type w:val="oddPage"/>
      <w:pgSz w:w="11906" w:h="16838"/>
      <w:pgMar w:top="1440" w:right="1440" w:bottom="1440" w:left="1440" w:header="1298" w:footer="431"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3D69" w14:textId="77777777" w:rsidR="00B64EBF" w:rsidRDefault="00B64EBF" w:rsidP="0022022F">
      <w:r>
        <w:rPr>
          <w:lang w:val="pt"/>
        </w:rPr>
        <w:separator/>
      </w:r>
    </w:p>
  </w:endnote>
  <w:endnote w:type="continuationSeparator" w:id="0">
    <w:p w14:paraId="27CB315A" w14:textId="77777777" w:rsidR="00B64EBF" w:rsidRDefault="00B64EBF" w:rsidP="0022022F">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175485"/>
      <w:docPartObj>
        <w:docPartGallery w:val="Page Numbers (Bottom of Page)"/>
        <w:docPartUnique/>
      </w:docPartObj>
    </w:sdtPr>
    <w:sdtContent>
      <w:p w14:paraId="637A9B0F" w14:textId="34199094" w:rsidR="0022022F" w:rsidRDefault="0022022F" w:rsidP="006542C0">
        <w:pPr>
          <w:pStyle w:val="Footer"/>
          <w:framePr w:wrap="none" w:vAnchor="text" w:hAnchor="margin" w:xAlign="right" w:y="1"/>
          <w:rPr>
            <w:rStyle w:val="PageNumber"/>
          </w:rPr>
        </w:pPr>
        <w:r>
          <w:rPr>
            <w:rStyle w:val="PageNumber"/>
            <w:lang w:val="pt"/>
          </w:rPr>
          <w:fldChar w:fldCharType="begin"/>
        </w:r>
        <w:r>
          <w:rPr>
            <w:rStyle w:val="PageNumber"/>
            <w:lang w:val="pt"/>
          </w:rPr>
          <w:instrText xml:space="preserve"> PAGE </w:instrText>
        </w:r>
        <w:r>
          <w:rPr>
            <w:rStyle w:val="PageNumber"/>
            <w:lang w:val="pt"/>
          </w:rPr>
          <w:fldChar w:fldCharType="separate"/>
        </w:r>
        <w:r w:rsidR="00ED78BF">
          <w:rPr>
            <w:rStyle w:val="PageNumber"/>
            <w:noProof/>
            <w:lang w:val="pt"/>
          </w:rPr>
          <w:t>3</w:t>
        </w:r>
        <w:r>
          <w:rPr>
            <w:rStyle w:val="PageNumber"/>
            <w:lang w:val="pt"/>
          </w:rPr>
          <w:fldChar w:fldCharType="end"/>
        </w:r>
      </w:p>
    </w:sdtContent>
  </w:sdt>
  <w:p w14:paraId="18B499BD" w14:textId="77777777" w:rsidR="0022022F" w:rsidRDefault="0022022F" w:rsidP="00654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9644" w14:textId="77777777" w:rsidR="0022022F" w:rsidRDefault="0022022F" w:rsidP="006542C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A90F" w14:textId="77777777" w:rsidR="00B64EBF" w:rsidRDefault="00B64EBF" w:rsidP="0022022F">
      <w:r>
        <w:rPr>
          <w:lang w:val="pt"/>
        </w:rPr>
        <w:separator/>
      </w:r>
    </w:p>
  </w:footnote>
  <w:footnote w:type="continuationSeparator" w:id="0">
    <w:p w14:paraId="0AD15DBF" w14:textId="77777777" w:rsidR="00B64EBF" w:rsidRDefault="00B64EBF" w:rsidP="0022022F">
      <w:r>
        <w:rPr>
          <w:lang w:val="pt"/>
        </w:rPr>
        <w:continuationSeparator/>
      </w:r>
    </w:p>
  </w:footnote>
  <w:footnote w:id="1">
    <w:p w14:paraId="38CE70B4" w14:textId="24DC0B99" w:rsidR="004113B4" w:rsidRPr="004A52F3" w:rsidRDefault="004113B4" w:rsidP="005F2C83">
      <w:pPr>
        <w:pStyle w:val="FootnoteText"/>
        <w:ind w:left="720" w:hanging="360"/>
        <w:rPr>
          <w:rFonts w:ascii="Times New Roman" w:hAnsi="Times New Roman" w:cs="Times New Roman"/>
          <w:sz w:val="18"/>
          <w:szCs w:val="18"/>
          <w:lang w:val="pt-BR"/>
        </w:rPr>
      </w:pPr>
      <w:r w:rsidRPr="005F2C83">
        <w:rPr>
          <w:rStyle w:val="FootnoteReference"/>
          <w:sz w:val="16"/>
          <w:szCs w:val="16"/>
          <w:vertAlign w:val="baseline"/>
          <w:lang w:val="pt"/>
        </w:rPr>
        <w:footnoteRef/>
      </w:r>
      <w:r w:rsidR="005F2C83">
        <w:rPr>
          <w:sz w:val="16"/>
          <w:szCs w:val="16"/>
          <w:lang w:val="pt"/>
        </w:rPr>
        <w:t>.</w:t>
      </w:r>
      <w:r w:rsidR="005F2C83">
        <w:rPr>
          <w:sz w:val="16"/>
          <w:szCs w:val="16"/>
          <w:lang w:val="pt"/>
        </w:rPr>
        <w:tab/>
      </w:r>
      <w:r w:rsidRPr="004A52F3">
        <w:rPr>
          <w:rFonts w:ascii="Times New Roman" w:hAnsi="Times New Roman" w:cs="Times New Roman"/>
          <w:sz w:val="18"/>
          <w:szCs w:val="18"/>
          <w:lang w:val="pt"/>
        </w:rPr>
        <w:t>Apenas para as abreviaturas que aparecem mais de uma vez ao longo deste relatório.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97269"/>
      <w:docPartObj>
        <w:docPartGallery w:val="Page Numbers (Top of Page)"/>
        <w:docPartUnique/>
      </w:docPartObj>
    </w:sdtPr>
    <w:sdtEndPr>
      <w:rPr>
        <w:rFonts w:ascii="Times New Roman" w:hAnsi="Times New Roman" w:cs="Times New Roman"/>
        <w:noProof/>
        <w:sz w:val="22"/>
        <w:szCs w:val="22"/>
      </w:rPr>
    </w:sdtEndPr>
    <w:sdtContent>
      <w:p w14:paraId="1983119A" w14:textId="61126B8E" w:rsidR="005F2C83" w:rsidRPr="005F2C83" w:rsidRDefault="005F2C83">
        <w:pPr>
          <w:pStyle w:val="Header"/>
          <w:jc w:val="center"/>
          <w:rPr>
            <w:rFonts w:ascii="Times New Roman" w:hAnsi="Times New Roman" w:cs="Times New Roman"/>
            <w:sz w:val="22"/>
            <w:szCs w:val="22"/>
          </w:rPr>
        </w:pPr>
        <w:r w:rsidRPr="005F2C83">
          <w:rPr>
            <w:sz w:val="22"/>
            <w:szCs w:val="22"/>
            <w:lang w:val="pt"/>
          </w:rPr>
          <w:fldChar w:fldCharType="begin"/>
        </w:r>
        <w:r w:rsidRPr="005F2C83">
          <w:rPr>
            <w:sz w:val="22"/>
            <w:szCs w:val="22"/>
            <w:lang w:val="pt"/>
          </w:rPr>
          <w:instrText xml:space="preserve"> PAGE   \* MERGEFORMAT </w:instrText>
        </w:r>
        <w:r w:rsidRPr="005F2C83">
          <w:rPr>
            <w:sz w:val="22"/>
            <w:szCs w:val="22"/>
            <w:lang w:val="pt"/>
          </w:rPr>
          <w:fldChar w:fldCharType="separate"/>
        </w:r>
        <w:r w:rsidRPr="005F2C83">
          <w:rPr>
            <w:noProof/>
            <w:sz w:val="22"/>
            <w:szCs w:val="22"/>
            <w:lang w:val="pt"/>
          </w:rPr>
          <w:t>2</w:t>
        </w:r>
        <w:r w:rsidRPr="005F2C83">
          <w:rPr>
            <w:noProof/>
            <w:sz w:val="22"/>
            <w:szCs w:val="22"/>
            <w:lang w:val="pt"/>
          </w:rPr>
          <w:fldChar w:fldCharType="end"/>
        </w:r>
      </w:p>
    </w:sdtContent>
  </w:sdt>
  <w:p w14:paraId="17DEB64C" w14:textId="77777777" w:rsidR="005F2C83" w:rsidRDefault="005F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AE82" w14:textId="77777777" w:rsidR="00D25C2D" w:rsidRDefault="00D25C2D" w:rsidP="00D25C2D">
    <w:pPr>
      <w:pStyle w:val="Header"/>
    </w:pPr>
    <w:r>
      <w:rPr>
        <w:noProof/>
        <w:lang w:val="pt"/>
      </w:rPr>
      <mc:AlternateContent>
        <mc:Choice Requires="wps">
          <w:drawing>
            <wp:anchor distT="0" distB="0" distL="114300" distR="114300" simplePos="0" relativeHeight="251661312" behindDoc="0" locked="0" layoutInCell="1" allowOverlap="1" wp14:anchorId="13B0109C" wp14:editId="6479EB6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6898F" w14:textId="77777777" w:rsidR="00D25C2D" w:rsidRPr="007642BC" w:rsidRDefault="00D25C2D" w:rsidP="00D25C2D">
                          <w:pPr>
                            <w:pStyle w:val="Header"/>
                            <w:tabs>
                              <w:tab w:val="left" w:pos="900"/>
                            </w:tabs>
                            <w:spacing w:line="0" w:lineRule="atLeast"/>
                            <w:jc w:val="center"/>
                            <w:rPr>
                              <w:rFonts w:ascii="Garamond" w:hAnsi="Garamond"/>
                              <w:b/>
                              <w:sz w:val="28"/>
                              <w:szCs w:val="28"/>
                              <w:lang w:val="pt-BR"/>
                            </w:rPr>
                          </w:pPr>
                          <w:r w:rsidRPr="007642BC">
                            <w:rPr>
                              <w:rFonts w:ascii="Garamond" w:hAnsi="Garamond"/>
                              <w:b/>
                              <w:sz w:val="28"/>
                              <w:szCs w:val="28"/>
                              <w:lang w:val="pt"/>
                            </w:rPr>
                            <w:t xml:space="preserve">ORGANIZAÇÃO DOS ESTADOS AMERICANOS </w:t>
                          </w:r>
                        </w:p>
                        <w:p w14:paraId="6A07D869" w14:textId="77777777" w:rsidR="00D25C2D" w:rsidRPr="007F5574" w:rsidRDefault="00D25C2D" w:rsidP="00D25C2D">
                          <w:pPr>
                            <w:pStyle w:val="Header"/>
                            <w:tabs>
                              <w:tab w:val="left" w:pos="900"/>
                            </w:tabs>
                            <w:spacing w:line="0" w:lineRule="atLeast"/>
                            <w:jc w:val="center"/>
                            <w:rPr>
                              <w:rFonts w:ascii="Garamond" w:hAnsi="Garamond"/>
                              <w:b/>
                              <w:lang w:val="pt-BR"/>
                            </w:rPr>
                          </w:pPr>
                          <w:r w:rsidRPr="007F5574">
                            <w:rPr>
                              <w:rFonts w:ascii="Garamond" w:hAnsi="Garamond"/>
                              <w:b/>
                              <w:lang w:val="pt"/>
                            </w:rPr>
                            <w:t xml:space="preserve">Conselho Interamericano de Desenvolvimento Integral </w:t>
                          </w:r>
                        </w:p>
                        <w:p w14:paraId="4A062D75" w14:textId="77777777" w:rsidR="00D25C2D" w:rsidRPr="007F5574" w:rsidRDefault="00D25C2D" w:rsidP="00D25C2D">
                          <w:pPr>
                            <w:pStyle w:val="Header"/>
                            <w:tabs>
                              <w:tab w:val="left" w:pos="900"/>
                            </w:tabs>
                            <w:spacing w:line="0" w:lineRule="atLeast"/>
                            <w:jc w:val="center"/>
                            <w:rPr>
                              <w:rFonts w:ascii="Garamond" w:hAnsi="Garamond"/>
                              <w:b/>
                              <w:lang w:val="pt-BR"/>
                            </w:rPr>
                          </w:pPr>
                          <w:r w:rsidRPr="007F5574">
                            <w:rPr>
                              <w:rFonts w:ascii="Garamond" w:hAnsi="Garamond"/>
                              <w:b/>
                              <w:lang w:val="pt"/>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109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01F6898F" w14:textId="77777777" w:rsidR="00D25C2D" w:rsidRPr="007642BC" w:rsidRDefault="00D25C2D" w:rsidP="00D25C2D">
                    <w:pPr>
                      <w:pStyle w:val="Header"/>
                      <w:tabs>
                        <w:tab w:val="left" w:pos="900"/>
                      </w:tabs>
                      <w:spacing w:line="0" w:lineRule="atLeast"/>
                      <w:jc w:val="center"/>
                      <w:rPr>
                        <w:rFonts w:ascii="Garamond" w:hAnsi="Garamond"/>
                        <w:b/>
                        <w:sz w:val="28"/>
                        <w:szCs w:val="28"/>
                        <w:lang w:val="pt-BR"/>
                      </w:rPr>
                    </w:pPr>
                    <w:r w:rsidRPr="007642BC">
                      <w:rPr>
                        <w:rFonts w:ascii="Garamond" w:hAnsi="Garamond"/>
                        <w:b/>
                        <w:sz w:val="28"/>
                        <w:szCs w:val="28"/>
                        <w:lang w:val="pt"/>
                      </w:rPr>
                      <w:t xml:space="preserve">ORGANIZAÇÃO DOS ESTADOS AMERICANOS </w:t>
                    </w:r>
                  </w:p>
                  <w:p w14:paraId="6A07D869" w14:textId="77777777" w:rsidR="00D25C2D" w:rsidRPr="007F5574" w:rsidRDefault="00D25C2D" w:rsidP="00D25C2D">
                    <w:pPr>
                      <w:pStyle w:val="Header"/>
                      <w:tabs>
                        <w:tab w:val="left" w:pos="900"/>
                      </w:tabs>
                      <w:spacing w:line="0" w:lineRule="atLeast"/>
                      <w:jc w:val="center"/>
                      <w:rPr>
                        <w:rFonts w:ascii="Garamond" w:hAnsi="Garamond"/>
                        <w:b/>
                        <w:lang w:val="pt-BR"/>
                      </w:rPr>
                    </w:pPr>
                    <w:r w:rsidRPr="007F5574">
                      <w:rPr>
                        <w:rFonts w:ascii="Garamond" w:hAnsi="Garamond"/>
                        <w:b/>
                        <w:lang w:val="pt"/>
                      </w:rPr>
                      <w:t xml:space="preserve">Conselho Interamericano de Desenvolvimento Integral </w:t>
                    </w:r>
                  </w:p>
                  <w:p w14:paraId="4A062D75" w14:textId="77777777" w:rsidR="00D25C2D" w:rsidRPr="007F5574" w:rsidRDefault="00D25C2D" w:rsidP="00D25C2D">
                    <w:pPr>
                      <w:pStyle w:val="Header"/>
                      <w:tabs>
                        <w:tab w:val="left" w:pos="900"/>
                      </w:tabs>
                      <w:spacing w:line="0" w:lineRule="atLeast"/>
                      <w:jc w:val="center"/>
                      <w:rPr>
                        <w:rFonts w:ascii="Garamond" w:hAnsi="Garamond"/>
                        <w:b/>
                        <w:lang w:val="pt-BR"/>
                      </w:rPr>
                    </w:pPr>
                    <w:r w:rsidRPr="007F5574">
                      <w:rPr>
                        <w:rFonts w:ascii="Garamond" w:hAnsi="Garamond"/>
                        <w:b/>
                        <w:lang w:val="pt"/>
                      </w:rPr>
                      <w:t>(CIDI)</w:t>
                    </w:r>
                  </w:p>
                </w:txbxContent>
              </v:textbox>
            </v:shape>
          </w:pict>
        </mc:Fallback>
      </mc:AlternateContent>
    </w:r>
    <w:r>
      <w:rPr>
        <w:noProof/>
        <w:lang w:val="pt"/>
      </w:rPr>
      <mc:AlternateContent>
        <mc:Choice Requires="wps">
          <w:drawing>
            <wp:anchor distT="0" distB="0" distL="114300" distR="114300" simplePos="0" relativeHeight="251660288" behindDoc="0" locked="0" layoutInCell="1" allowOverlap="1" wp14:anchorId="34492AEF" wp14:editId="7600DC1A">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4C61C" w14:textId="77777777" w:rsidR="00D25C2D" w:rsidRDefault="00D25C2D" w:rsidP="00D25C2D">
                          <w:pPr>
                            <w:ind w:right="-130"/>
                          </w:pPr>
                          <w:r>
                            <w:rPr>
                              <w:noProof/>
                              <w:color w:val="000000"/>
                              <w:lang w:val="pt"/>
                            </w:rPr>
                            <w:drawing>
                              <wp:inline distT="0" distB="0" distL="0" distR="0" wp14:anchorId="30CBA2A9" wp14:editId="0F2C024B">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2AEF" id="Text Box 2"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6E4C61C" w14:textId="77777777" w:rsidR="00D25C2D" w:rsidRDefault="00D25C2D" w:rsidP="00D25C2D">
                    <w:pPr>
                      <w:ind w:right="-130"/>
                    </w:pPr>
                    <w:r>
                      <w:rPr>
                        <w:noProof/>
                        <w:color w:val="000000"/>
                        <w:lang w:val="pt"/>
                      </w:rPr>
                      <w:drawing>
                        <wp:inline distT="0" distB="0" distL="0" distR="0" wp14:anchorId="30CBA2A9" wp14:editId="0F2C024B">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lang w:val="pt"/>
      </w:rPr>
      <w:drawing>
        <wp:anchor distT="0" distB="0" distL="114300" distR="114300" simplePos="0" relativeHeight="251659264" behindDoc="0" locked="0" layoutInCell="1" allowOverlap="1" wp14:anchorId="1A08C403" wp14:editId="5D547696">
          <wp:simplePos x="0" y="0"/>
          <wp:positionH relativeFrom="column">
            <wp:posOffset>-444500</wp:posOffset>
          </wp:positionH>
          <wp:positionV relativeFrom="paragraph">
            <wp:posOffset>-483235</wp:posOffset>
          </wp:positionV>
          <wp:extent cx="822960" cy="824865"/>
          <wp:effectExtent l="0" t="0" r="0" b="0"/>
          <wp:wrapNone/>
          <wp:docPr id="16" name="Picture 16" descr="Selo OAS com 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66137659" w14:textId="77777777" w:rsidR="00D25C2D" w:rsidRDefault="00D25C2D" w:rsidP="00D25C2D"/>
  <w:p w14:paraId="7DC0EC51" w14:textId="77777777" w:rsidR="00D25C2D" w:rsidRDefault="00D25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70AF" w14:textId="6FF664A1" w:rsidR="007F5574" w:rsidRPr="005F2C83" w:rsidRDefault="007F5574">
    <w:pPr>
      <w:pStyle w:val="Header"/>
      <w:jc w:val="center"/>
      <w:rPr>
        <w:rFonts w:ascii="Times New Roman" w:hAnsi="Times New Roman" w:cs="Times New Roman"/>
        <w:sz w:val="22"/>
        <w:szCs w:val="22"/>
      </w:rPr>
    </w:pPr>
  </w:p>
  <w:p w14:paraId="083E970F" w14:textId="77777777" w:rsidR="007F5574" w:rsidRDefault="007F55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C66D" w14:textId="086518A4" w:rsidR="007F5574" w:rsidRDefault="007F5574" w:rsidP="00D25C2D">
    <w:pPr>
      <w:pStyle w:val="Header"/>
    </w:pPr>
  </w:p>
  <w:p w14:paraId="708018A3" w14:textId="77777777" w:rsidR="007F5574" w:rsidRDefault="007F5574" w:rsidP="00D25C2D"/>
  <w:p w14:paraId="7D3E2BA2" w14:textId="77777777" w:rsidR="007F5574" w:rsidRDefault="007F55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A3B1" w14:textId="77777777" w:rsidR="007F5574" w:rsidRPr="005F2C83" w:rsidRDefault="007F5574">
    <w:pPr>
      <w:pStyle w:val="Header"/>
      <w:jc w:val="center"/>
      <w:rPr>
        <w:rFonts w:ascii="Times New Roman" w:hAnsi="Times New Roman" w:cs="Times New Roman"/>
        <w:sz w:val="22"/>
        <w:szCs w:val="22"/>
      </w:rPr>
    </w:pPr>
  </w:p>
  <w:p w14:paraId="1C09B244" w14:textId="77777777" w:rsidR="007F5574" w:rsidRDefault="007F55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EAE9" w14:textId="481A567C" w:rsidR="007F5574" w:rsidRDefault="007F5574">
    <w:pPr>
      <w:pStyle w:val="Header"/>
      <w:jc w:val="center"/>
    </w:pPr>
  </w:p>
  <w:p w14:paraId="58222352" w14:textId="77777777" w:rsidR="007F5574" w:rsidRDefault="007F55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7255"/>
      <w:docPartObj>
        <w:docPartGallery w:val="Page Numbers (Top of Page)"/>
        <w:docPartUnique/>
      </w:docPartObj>
    </w:sdtPr>
    <w:sdtEndPr>
      <w:rPr>
        <w:noProof/>
      </w:rPr>
    </w:sdtEndPr>
    <w:sdtContent>
      <w:p w14:paraId="04DDDBA8" w14:textId="0638DB52" w:rsidR="007F5574" w:rsidRDefault="007F55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2F0957" w14:textId="77777777" w:rsidR="007F5574" w:rsidRDefault="007F55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78993"/>
      <w:docPartObj>
        <w:docPartGallery w:val="Page Numbers (Top of Page)"/>
        <w:docPartUnique/>
      </w:docPartObj>
    </w:sdtPr>
    <w:sdtEndPr>
      <w:rPr>
        <w:noProof/>
      </w:rPr>
    </w:sdtEndPr>
    <w:sdtContent>
      <w:p w14:paraId="43D29CE2" w14:textId="31EE51EE" w:rsidR="007F5574" w:rsidRDefault="007F55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D5D18B" w14:textId="77777777" w:rsidR="007F5574" w:rsidRDefault="007F55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05288"/>
      <w:docPartObj>
        <w:docPartGallery w:val="Page Numbers (Top of Page)"/>
        <w:docPartUnique/>
      </w:docPartObj>
    </w:sdtPr>
    <w:sdtEndPr>
      <w:rPr>
        <w:noProof/>
      </w:rPr>
    </w:sdtEndPr>
    <w:sdtContent>
      <w:p w14:paraId="7C201728" w14:textId="270BB146" w:rsidR="007F5574" w:rsidRDefault="007F55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DC845D" w14:textId="77777777" w:rsidR="007F5574" w:rsidRDefault="007F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13"/>
    <w:multiLevelType w:val="hybridMultilevel"/>
    <w:tmpl w:val="D22095A2"/>
    <w:lvl w:ilvl="0" w:tplc="EA1A8F66">
      <w:start w:val="1"/>
      <w:numFmt w:val="bullet"/>
      <w:lvlText w:val="•"/>
      <w:lvlJc w:val="left"/>
      <w:pPr>
        <w:tabs>
          <w:tab w:val="num" w:pos="720"/>
        </w:tabs>
        <w:ind w:left="720" w:hanging="360"/>
      </w:pPr>
      <w:rPr>
        <w:rFonts w:ascii="Symbol" w:hAnsi="Symbol" w:hint="default"/>
      </w:rPr>
    </w:lvl>
    <w:lvl w:ilvl="1" w:tplc="5C386DC4" w:tentative="1">
      <w:start w:val="1"/>
      <w:numFmt w:val="bullet"/>
      <w:lvlText w:val="•"/>
      <w:lvlJc w:val="left"/>
      <w:pPr>
        <w:tabs>
          <w:tab w:val="num" w:pos="1440"/>
        </w:tabs>
        <w:ind w:left="1440" w:hanging="360"/>
      </w:pPr>
      <w:rPr>
        <w:rFonts w:ascii="Arial" w:hAnsi="Arial" w:hint="default"/>
      </w:rPr>
    </w:lvl>
    <w:lvl w:ilvl="2" w:tplc="52586AAE" w:tentative="1">
      <w:start w:val="1"/>
      <w:numFmt w:val="bullet"/>
      <w:lvlText w:val="•"/>
      <w:lvlJc w:val="left"/>
      <w:pPr>
        <w:tabs>
          <w:tab w:val="num" w:pos="2160"/>
        </w:tabs>
        <w:ind w:left="2160" w:hanging="360"/>
      </w:pPr>
      <w:rPr>
        <w:rFonts w:ascii="Arial" w:hAnsi="Arial" w:hint="default"/>
      </w:rPr>
    </w:lvl>
    <w:lvl w:ilvl="3" w:tplc="23C45C1E" w:tentative="1">
      <w:start w:val="1"/>
      <w:numFmt w:val="bullet"/>
      <w:lvlText w:val="•"/>
      <w:lvlJc w:val="left"/>
      <w:pPr>
        <w:tabs>
          <w:tab w:val="num" w:pos="2880"/>
        </w:tabs>
        <w:ind w:left="2880" w:hanging="360"/>
      </w:pPr>
      <w:rPr>
        <w:rFonts w:ascii="Arial" w:hAnsi="Arial" w:hint="default"/>
      </w:rPr>
    </w:lvl>
    <w:lvl w:ilvl="4" w:tplc="7A3A815E" w:tentative="1">
      <w:start w:val="1"/>
      <w:numFmt w:val="bullet"/>
      <w:lvlText w:val="•"/>
      <w:lvlJc w:val="left"/>
      <w:pPr>
        <w:tabs>
          <w:tab w:val="num" w:pos="3600"/>
        </w:tabs>
        <w:ind w:left="3600" w:hanging="360"/>
      </w:pPr>
      <w:rPr>
        <w:rFonts w:ascii="Arial" w:hAnsi="Arial" w:hint="default"/>
      </w:rPr>
    </w:lvl>
    <w:lvl w:ilvl="5" w:tplc="646AAE84" w:tentative="1">
      <w:start w:val="1"/>
      <w:numFmt w:val="bullet"/>
      <w:lvlText w:val="•"/>
      <w:lvlJc w:val="left"/>
      <w:pPr>
        <w:tabs>
          <w:tab w:val="num" w:pos="4320"/>
        </w:tabs>
        <w:ind w:left="4320" w:hanging="360"/>
      </w:pPr>
      <w:rPr>
        <w:rFonts w:ascii="Arial" w:hAnsi="Arial" w:hint="default"/>
      </w:rPr>
    </w:lvl>
    <w:lvl w:ilvl="6" w:tplc="9738CC8E" w:tentative="1">
      <w:start w:val="1"/>
      <w:numFmt w:val="bullet"/>
      <w:lvlText w:val="•"/>
      <w:lvlJc w:val="left"/>
      <w:pPr>
        <w:tabs>
          <w:tab w:val="num" w:pos="5040"/>
        </w:tabs>
        <w:ind w:left="5040" w:hanging="360"/>
      </w:pPr>
      <w:rPr>
        <w:rFonts w:ascii="Arial" w:hAnsi="Arial" w:hint="default"/>
      </w:rPr>
    </w:lvl>
    <w:lvl w:ilvl="7" w:tplc="0A70B254" w:tentative="1">
      <w:start w:val="1"/>
      <w:numFmt w:val="bullet"/>
      <w:lvlText w:val="•"/>
      <w:lvlJc w:val="left"/>
      <w:pPr>
        <w:tabs>
          <w:tab w:val="num" w:pos="5760"/>
        </w:tabs>
        <w:ind w:left="5760" w:hanging="360"/>
      </w:pPr>
      <w:rPr>
        <w:rFonts w:ascii="Arial" w:hAnsi="Arial" w:hint="default"/>
      </w:rPr>
    </w:lvl>
    <w:lvl w:ilvl="8" w:tplc="D8B8A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21EC"/>
    <w:multiLevelType w:val="hybridMultilevel"/>
    <w:tmpl w:val="20C6A9C2"/>
    <w:lvl w:ilvl="0" w:tplc="EC2C11C2">
      <w:start w:val="1"/>
      <w:numFmt w:val="bullet"/>
      <w:lvlText w:val="•"/>
      <w:lvlJc w:val="left"/>
      <w:pPr>
        <w:tabs>
          <w:tab w:val="num" w:pos="720"/>
        </w:tabs>
        <w:ind w:left="720" w:hanging="360"/>
      </w:pPr>
      <w:rPr>
        <w:rFonts w:ascii="Arial" w:hAnsi="Arial" w:hint="default"/>
      </w:rPr>
    </w:lvl>
    <w:lvl w:ilvl="1" w:tplc="AFFABFA0" w:tentative="1">
      <w:start w:val="1"/>
      <w:numFmt w:val="bullet"/>
      <w:lvlText w:val="•"/>
      <w:lvlJc w:val="left"/>
      <w:pPr>
        <w:tabs>
          <w:tab w:val="num" w:pos="1440"/>
        </w:tabs>
        <w:ind w:left="1440" w:hanging="360"/>
      </w:pPr>
      <w:rPr>
        <w:rFonts w:ascii="Arial" w:hAnsi="Arial" w:hint="default"/>
      </w:rPr>
    </w:lvl>
    <w:lvl w:ilvl="2" w:tplc="008E89E2" w:tentative="1">
      <w:start w:val="1"/>
      <w:numFmt w:val="bullet"/>
      <w:lvlText w:val="•"/>
      <w:lvlJc w:val="left"/>
      <w:pPr>
        <w:tabs>
          <w:tab w:val="num" w:pos="2160"/>
        </w:tabs>
        <w:ind w:left="2160" w:hanging="360"/>
      </w:pPr>
      <w:rPr>
        <w:rFonts w:ascii="Arial" w:hAnsi="Arial" w:hint="default"/>
      </w:rPr>
    </w:lvl>
    <w:lvl w:ilvl="3" w:tplc="26B087CA" w:tentative="1">
      <w:start w:val="1"/>
      <w:numFmt w:val="bullet"/>
      <w:lvlText w:val="•"/>
      <w:lvlJc w:val="left"/>
      <w:pPr>
        <w:tabs>
          <w:tab w:val="num" w:pos="2880"/>
        </w:tabs>
        <w:ind w:left="2880" w:hanging="360"/>
      </w:pPr>
      <w:rPr>
        <w:rFonts w:ascii="Arial" w:hAnsi="Arial" w:hint="default"/>
      </w:rPr>
    </w:lvl>
    <w:lvl w:ilvl="4" w:tplc="F5322F74" w:tentative="1">
      <w:start w:val="1"/>
      <w:numFmt w:val="bullet"/>
      <w:lvlText w:val="•"/>
      <w:lvlJc w:val="left"/>
      <w:pPr>
        <w:tabs>
          <w:tab w:val="num" w:pos="3600"/>
        </w:tabs>
        <w:ind w:left="3600" w:hanging="360"/>
      </w:pPr>
      <w:rPr>
        <w:rFonts w:ascii="Arial" w:hAnsi="Arial" w:hint="default"/>
      </w:rPr>
    </w:lvl>
    <w:lvl w:ilvl="5" w:tplc="D43EF798" w:tentative="1">
      <w:start w:val="1"/>
      <w:numFmt w:val="bullet"/>
      <w:lvlText w:val="•"/>
      <w:lvlJc w:val="left"/>
      <w:pPr>
        <w:tabs>
          <w:tab w:val="num" w:pos="4320"/>
        </w:tabs>
        <w:ind w:left="4320" w:hanging="360"/>
      </w:pPr>
      <w:rPr>
        <w:rFonts w:ascii="Arial" w:hAnsi="Arial" w:hint="default"/>
      </w:rPr>
    </w:lvl>
    <w:lvl w:ilvl="6" w:tplc="2BA23A64" w:tentative="1">
      <w:start w:val="1"/>
      <w:numFmt w:val="bullet"/>
      <w:lvlText w:val="•"/>
      <w:lvlJc w:val="left"/>
      <w:pPr>
        <w:tabs>
          <w:tab w:val="num" w:pos="5040"/>
        </w:tabs>
        <w:ind w:left="5040" w:hanging="360"/>
      </w:pPr>
      <w:rPr>
        <w:rFonts w:ascii="Arial" w:hAnsi="Arial" w:hint="default"/>
      </w:rPr>
    </w:lvl>
    <w:lvl w:ilvl="7" w:tplc="69D47030" w:tentative="1">
      <w:start w:val="1"/>
      <w:numFmt w:val="bullet"/>
      <w:lvlText w:val="•"/>
      <w:lvlJc w:val="left"/>
      <w:pPr>
        <w:tabs>
          <w:tab w:val="num" w:pos="5760"/>
        </w:tabs>
        <w:ind w:left="5760" w:hanging="360"/>
      </w:pPr>
      <w:rPr>
        <w:rFonts w:ascii="Arial" w:hAnsi="Arial" w:hint="default"/>
      </w:rPr>
    </w:lvl>
    <w:lvl w:ilvl="8" w:tplc="58843D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F49CF"/>
    <w:multiLevelType w:val="hybridMultilevel"/>
    <w:tmpl w:val="E83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65521"/>
    <w:multiLevelType w:val="hybridMultilevel"/>
    <w:tmpl w:val="A19C6A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57D4"/>
    <w:multiLevelType w:val="hybridMultilevel"/>
    <w:tmpl w:val="30021634"/>
    <w:lvl w:ilvl="0" w:tplc="0A06CC4E">
      <w:start w:val="1"/>
      <w:numFmt w:val="bullet"/>
      <w:lvlText w:val="•"/>
      <w:lvlJc w:val="left"/>
      <w:pPr>
        <w:tabs>
          <w:tab w:val="num" w:pos="720"/>
        </w:tabs>
        <w:ind w:left="720" w:hanging="360"/>
      </w:pPr>
      <w:rPr>
        <w:rFonts w:ascii="Arial" w:hAnsi="Arial" w:hint="default"/>
      </w:rPr>
    </w:lvl>
    <w:lvl w:ilvl="1" w:tplc="710E9C76" w:tentative="1">
      <w:start w:val="1"/>
      <w:numFmt w:val="bullet"/>
      <w:lvlText w:val="•"/>
      <w:lvlJc w:val="left"/>
      <w:pPr>
        <w:tabs>
          <w:tab w:val="num" w:pos="1440"/>
        </w:tabs>
        <w:ind w:left="1440" w:hanging="360"/>
      </w:pPr>
      <w:rPr>
        <w:rFonts w:ascii="Arial" w:hAnsi="Arial" w:hint="default"/>
      </w:rPr>
    </w:lvl>
    <w:lvl w:ilvl="2" w:tplc="CE482A44" w:tentative="1">
      <w:start w:val="1"/>
      <w:numFmt w:val="bullet"/>
      <w:lvlText w:val="•"/>
      <w:lvlJc w:val="left"/>
      <w:pPr>
        <w:tabs>
          <w:tab w:val="num" w:pos="2160"/>
        </w:tabs>
        <w:ind w:left="2160" w:hanging="360"/>
      </w:pPr>
      <w:rPr>
        <w:rFonts w:ascii="Arial" w:hAnsi="Arial" w:hint="default"/>
      </w:rPr>
    </w:lvl>
    <w:lvl w:ilvl="3" w:tplc="EAE88C14" w:tentative="1">
      <w:start w:val="1"/>
      <w:numFmt w:val="bullet"/>
      <w:lvlText w:val="•"/>
      <w:lvlJc w:val="left"/>
      <w:pPr>
        <w:tabs>
          <w:tab w:val="num" w:pos="2880"/>
        </w:tabs>
        <w:ind w:left="2880" w:hanging="360"/>
      </w:pPr>
      <w:rPr>
        <w:rFonts w:ascii="Arial" w:hAnsi="Arial" w:hint="default"/>
      </w:rPr>
    </w:lvl>
    <w:lvl w:ilvl="4" w:tplc="700635EE" w:tentative="1">
      <w:start w:val="1"/>
      <w:numFmt w:val="bullet"/>
      <w:lvlText w:val="•"/>
      <w:lvlJc w:val="left"/>
      <w:pPr>
        <w:tabs>
          <w:tab w:val="num" w:pos="3600"/>
        </w:tabs>
        <w:ind w:left="3600" w:hanging="360"/>
      </w:pPr>
      <w:rPr>
        <w:rFonts w:ascii="Arial" w:hAnsi="Arial" w:hint="default"/>
      </w:rPr>
    </w:lvl>
    <w:lvl w:ilvl="5" w:tplc="742E77F0" w:tentative="1">
      <w:start w:val="1"/>
      <w:numFmt w:val="bullet"/>
      <w:lvlText w:val="•"/>
      <w:lvlJc w:val="left"/>
      <w:pPr>
        <w:tabs>
          <w:tab w:val="num" w:pos="4320"/>
        </w:tabs>
        <w:ind w:left="4320" w:hanging="360"/>
      </w:pPr>
      <w:rPr>
        <w:rFonts w:ascii="Arial" w:hAnsi="Arial" w:hint="default"/>
      </w:rPr>
    </w:lvl>
    <w:lvl w:ilvl="6" w:tplc="9C3E9386" w:tentative="1">
      <w:start w:val="1"/>
      <w:numFmt w:val="bullet"/>
      <w:lvlText w:val="•"/>
      <w:lvlJc w:val="left"/>
      <w:pPr>
        <w:tabs>
          <w:tab w:val="num" w:pos="5040"/>
        </w:tabs>
        <w:ind w:left="5040" w:hanging="360"/>
      </w:pPr>
      <w:rPr>
        <w:rFonts w:ascii="Arial" w:hAnsi="Arial" w:hint="default"/>
      </w:rPr>
    </w:lvl>
    <w:lvl w:ilvl="7" w:tplc="F9106176" w:tentative="1">
      <w:start w:val="1"/>
      <w:numFmt w:val="bullet"/>
      <w:lvlText w:val="•"/>
      <w:lvlJc w:val="left"/>
      <w:pPr>
        <w:tabs>
          <w:tab w:val="num" w:pos="5760"/>
        </w:tabs>
        <w:ind w:left="5760" w:hanging="360"/>
      </w:pPr>
      <w:rPr>
        <w:rFonts w:ascii="Arial" w:hAnsi="Arial" w:hint="default"/>
      </w:rPr>
    </w:lvl>
    <w:lvl w:ilvl="8" w:tplc="74067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01310"/>
    <w:multiLevelType w:val="hybridMultilevel"/>
    <w:tmpl w:val="1500E14C"/>
    <w:lvl w:ilvl="0" w:tplc="ABB4C3A0">
      <w:start w:val="1"/>
      <w:numFmt w:val="bullet"/>
      <w:lvlText w:val="•"/>
      <w:lvlJc w:val="left"/>
      <w:pPr>
        <w:tabs>
          <w:tab w:val="num" w:pos="720"/>
        </w:tabs>
        <w:ind w:left="720" w:hanging="360"/>
      </w:pPr>
      <w:rPr>
        <w:rFonts w:ascii="Arial" w:hAnsi="Arial" w:hint="default"/>
      </w:rPr>
    </w:lvl>
    <w:lvl w:ilvl="1" w:tplc="8D765726" w:tentative="1">
      <w:start w:val="1"/>
      <w:numFmt w:val="bullet"/>
      <w:lvlText w:val="•"/>
      <w:lvlJc w:val="left"/>
      <w:pPr>
        <w:tabs>
          <w:tab w:val="num" w:pos="1440"/>
        </w:tabs>
        <w:ind w:left="1440" w:hanging="360"/>
      </w:pPr>
      <w:rPr>
        <w:rFonts w:ascii="Arial" w:hAnsi="Arial" w:hint="default"/>
      </w:rPr>
    </w:lvl>
    <w:lvl w:ilvl="2" w:tplc="C7F224EA" w:tentative="1">
      <w:start w:val="1"/>
      <w:numFmt w:val="bullet"/>
      <w:lvlText w:val="•"/>
      <w:lvlJc w:val="left"/>
      <w:pPr>
        <w:tabs>
          <w:tab w:val="num" w:pos="2160"/>
        </w:tabs>
        <w:ind w:left="2160" w:hanging="360"/>
      </w:pPr>
      <w:rPr>
        <w:rFonts w:ascii="Arial" w:hAnsi="Arial" w:hint="default"/>
      </w:rPr>
    </w:lvl>
    <w:lvl w:ilvl="3" w:tplc="6B36858E" w:tentative="1">
      <w:start w:val="1"/>
      <w:numFmt w:val="bullet"/>
      <w:lvlText w:val="•"/>
      <w:lvlJc w:val="left"/>
      <w:pPr>
        <w:tabs>
          <w:tab w:val="num" w:pos="2880"/>
        </w:tabs>
        <w:ind w:left="2880" w:hanging="360"/>
      </w:pPr>
      <w:rPr>
        <w:rFonts w:ascii="Arial" w:hAnsi="Arial" w:hint="default"/>
      </w:rPr>
    </w:lvl>
    <w:lvl w:ilvl="4" w:tplc="3EEC6A06" w:tentative="1">
      <w:start w:val="1"/>
      <w:numFmt w:val="bullet"/>
      <w:lvlText w:val="•"/>
      <w:lvlJc w:val="left"/>
      <w:pPr>
        <w:tabs>
          <w:tab w:val="num" w:pos="3600"/>
        </w:tabs>
        <w:ind w:left="3600" w:hanging="360"/>
      </w:pPr>
      <w:rPr>
        <w:rFonts w:ascii="Arial" w:hAnsi="Arial" w:hint="default"/>
      </w:rPr>
    </w:lvl>
    <w:lvl w:ilvl="5" w:tplc="EDB258A0" w:tentative="1">
      <w:start w:val="1"/>
      <w:numFmt w:val="bullet"/>
      <w:lvlText w:val="•"/>
      <w:lvlJc w:val="left"/>
      <w:pPr>
        <w:tabs>
          <w:tab w:val="num" w:pos="4320"/>
        </w:tabs>
        <w:ind w:left="4320" w:hanging="360"/>
      </w:pPr>
      <w:rPr>
        <w:rFonts w:ascii="Arial" w:hAnsi="Arial" w:hint="default"/>
      </w:rPr>
    </w:lvl>
    <w:lvl w:ilvl="6" w:tplc="476A0886" w:tentative="1">
      <w:start w:val="1"/>
      <w:numFmt w:val="bullet"/>
      <w:lvlText w:val="•"/>
      <w:lvlJc w:val="left"/>
      <w:pPr>
        <w:tabs>
          <w:tab w:val="num" w:pos="5040"/>
        </w:tabs>
        <w:ind w:left="5040" w:hanging="360"/>
      </w:pPr>
      <w:rPr>
        <w:rFonts w:ascii="Arial" w:hAnsi="Arial" w:hint="default"/>
      </w:rPr>
    </w:lvl>
    <w:lvl w:ilvl="7" w:tplc="74B0EE00" w:tentative="1">
      <w:start w:val="1"/>
      <w:numFmt w:val="bullet"/>
      <w:lvlText w:val="•"/>
      <w:lvlJc w:val="left"/>
      <w:pPr>
        <w:tabs>
          <w:tab w:val="num" w:pos="5760"/>
        </w:tabs>
        <w:ind w:left="5760" w:hanging="360"/>
      </w:pPr>
      <w:rPr>
        <w:rFonts w:ascii="Arial" w:hAnsi="Arial" w:hint="default"/>
      </w:rPr>
    </w:lvl>
    <w:lvl w:ilvl="8" w:tplc="F4C820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A7E6D"/>
    <w:multiLevelType w:val="hybridMultilevel"/>
    <w:tmpl w:val="C74A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37944"/>
    <w:multiLevelType w:val="hybridMultilevel"/>
    <w:tmpl w:val="EC1C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13B21"/>
    <w:multiLevelType w:val="hybridMultilevel"/>
    <w:tmpl w:val="414E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73A3"/>
    <w:multiLevelType w:val="hybridMultilevel"/>
    <w:tmpl w:val="ADA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37689"/>
    <w:multiLevelType w:val="hybridMultilevel"/>
    <w:tmpl w:val="DB5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356A"/>
    <w:multiLevelType w:val="hybridMultilevel"/>
    <w:tmpl w:val="CA5233F8"/>
    <w:lvl w:ilvl="0" w:tplc="027CBA3E">
      <w:start w:val="1"/>
      <w:numFmt w:val="bullet"/>
      <w:lvlText w:val="•"/>
      <w:lvlJc w:val="left"/>
      <w:pPr>
        <w:tabs>
          <w:tab w:val="num" w:pos="720"/>
        </w:tabs>
        <w:ind w:left="720" w:hanging="360"/>
      </w:pPr>
      <w:rPr>
        <w:rFonts w:ascii="Arial" w:hAnsi="Arial" w:hint="default"/>
      </w:rPr>
    </w:lvl>
    <w:lvl w:ilvl="1" w:tplc="6A3844F6" w:tentative="1">
      <w:start w:val="1"/>
      <w:numFmt w:val="bullet"/>
      <w:lvlText w:val="•"/>
      <w:lvlJc w:val="left"/>
      <w:pPr>
        <w:tabs>
          <w:tab w:val="num" w:pos="1440"/>
        </w:tabs>
        <w:ind w:left="1440" w:hanging="360"/>
      </w:pPr>
      <w:rPr>
        <w:rFonts w:ascii="Arial" w:hAnsi="Arial" w:hint="default"/>
      </w:rPr>
    </w:lvl>
    <w:lvl w:ilvl="2" w:tplc="2842DF5A" w:tentative="1">
      <w:start w:val="1"/>
      <w:numFmt w:val="bullet"/>
      <w:lvlText w:val="•"/>
      <w:lvlJc w:val="left"/>
      <w:pPr>
        <w:tabs>
          <w:tab w:val="num" w:pos="2160"/>
        </w:tabs>
        <w:ind w:left="2160" w:hanging="360"/>
      </w:pPr>
      <w:rPr>
        <w:rFonts w:ascii="Arial" w:hAnsi="Arial" w:hint="default"/>
      </w:rPr>
    </w:lvl>
    <w:lvl w:ilvl="3" w:tplc="1F8C90EE" w:tentative="1">
      <w:start w:val="1"/>
      <w:numFmt w:val="bullet"/>
      <w:lvlText w:val="•"/>
      <w:lvlJc w:val="left"/>
      <w:pPr>
        <w:tabs>
          <w:tab w:val="num" w:pos="2880"/>
        </w:tabs>
        <w:ind w:left="2880" w:hanging="360"/>
      </w:pPr>
      <w:rPr>
        <w:rFonts w:ascii="Arial" w:hAnsi="Arial" w:hint="default"/>
      </w:rPr>
    </w:lvl>
    <w:lvl w:ilvl="4" w:tplc="87EC0AC6" w:tentative="1">
      <w:start w:val="1"/>
      <w:numFmt w:val="bullet"/>
      <w:lvlText w:val="•"/>
      <w:lvlJc w:val="left"/>
      <w:pPr>
        <w:tabs>
          <w:tab w:val="num" w:pos="3600"/>
        </w:tabs>
        <w:ind w:left="3600" w:hanging="360"/>
      </w:pPr>
      <w:rPr>
        <w:rFonts w:ascii="Arial" w:hAnsi="Arial" w:hint="default"/>
      </w:rPr>
    </w:lvl>
    <w:lvl w:ilvl="5" w:tplc="A8DC7D9A" w:tentative="1">
      <w:start w:val="1"/>
      <w:numFmt w:val="bullet"/>
      <w:lvlText w:val="•"/>
      <w:lvlJc w:val="left"/>
      <w:pPr>
        <w:tabs>
          <w:tab w:val="num" w:pos="4320"/>
        </w:tabs>
        <w:ind w:left="4320" w:hanging="360"/>
      </w:pPr>
      <w:rPr>
        <w:rFonts w:ascii="Arial" w:hAnsi="Arial" w:hint="default"/>
      </w:rPr>
    </w:lvl>
    <w:lvl w:ilvl="6" w:tplc="EF529AD6" w:tentative="1">
      <w:start w:val="1"/>
      <w:numFmt w:val="bullet"/>
      <w:lvlText w:val="•"/>
      <w:lvlJc w:val="left"/>
      <w:pPr>
        <w:tabs>
          <w:tab w:val="num" w:pos="5040"/>
        </w:tabs>
        <w:ind w:left="5040" w:hanging="360"/>
      </w:pPr>
      <w:rPr>
        <w:rFonts w:ascii="Arial" w:hAnsi="Arial" w:hint="default"/>
      </w:rPr>
    </w:lvl>
    <w:lvl w:ilvl="7" w:tplc="78688B60" w:tentative="1">
      <w:start w:val="1"/>
      <w:numFmt w:val="bullet"/>
      <w:lvlText w:val="•"/>
      <w:lvlJc w:val="left"/>
      <w:pPr>
        <w:tabs>
          <w:tab w:val="num" w:pos="5760"/>
        </w:tabs>
        <w:ind w:left="5760" w:hanging="360"/>
      </w:pPr>
      <w:rPr>
        <w:rFonts w:ascii="Arial" w:hAnsi="Arial" w:hint="default"/>
      </w:rPr>
    </w:lvl>
    <w:lvl w:ilvl="8" w:tplc="878221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A1ACE"/>
    <w:multiLevelType w:val="hybridMultilevel"/>
    <w:tmpl w:val="13F0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8478C"/>
    <w:multiLevelType w:val="hybridMultilevel"/>
    <w:tmpl w:val="1BC49CBA"/>
    <w:lvl w:ilvl="0" w:tplc="04090001">
      <w:start w:val="1"/>
      <w:numFmt w:val="bullet"/>
      <w:lvlText w:val=""/>
      <w:lvlJc w:val="left"/>
      <w:pPr>
        <w:ind w:left="72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23CF4"/>
    <w:multiLevelType w:val="hybridMultilevel"/>
    <w:tmpl w:val="E2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D6AE8"/>
    <w:multiLevelType w:val="hybridMultilevel"/>
    <w:tmpl w:val="1DC2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7D2532"/>
    <w:multiLevelType w:val="hybridMultilevel"/>
    <w:tmpl w:val="6522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50C0E"/>
    <w:multiLevelType w:val="hybridMultilevel"/>
    <w:tmpl w:val="9C44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84903"/>
    <w:multiLevelType w:val="hybridMultilevel"/>
    <w:tmpl w:val="FA4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60A94"/>
    <w:multiLevelType w:val="hybridMultilevel"/>
    <w:tmpl w:val="EA9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D0330"/>
    <w:multiLevelType w:val="hybridMultilevel"/>
    <w:tmpl w:val="06D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11DF4"/>
    <w:multiLevelType w:val="hybridMultilevel"/>
    <w:tmpl w:val="7E1A4A18"/>
    <w:lvl w:ilvl="0" w:tplc="BEE8682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E22E20"/>
    <w:multiLevelType w:val="hybridMultilevel"/>
    <w:tmpl w:val="8FE4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F37BC"/>
    <w:multiLevelType w:val="hybridMultilevel"/>
    <w:tmpl w:val="258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F6D1D"/>
    <w:multiLevelType w:val="hybridMultilevel"/>
    <w:tmpl w:val="5D3E8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B361C6"/>
    <w:multiLevelType w:val="hybridMultilevel"/>
    <w:tmpl w:val="7F8A2E14"/>
    <w:lvl w:ilvl="0" w:tplc="32B47E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72C6"/>
    <w:multiLevelType w:val="hybridMultilevel"/>
    <w:tmpl w:val="1DDA97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A604E"/>
    <w:multiLevelType w:val="hybridMultilevel"/>
    <w:tmpl w:val="B752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177146"/>
    <w:multiLevelType w:val="hybridMultilevel"/>
    <w:tmpl w:val="F28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D52DE"/>
    <w:multiLevelType w:val="hybridMultilevel"/>
    <w:tmpl w:val="1482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44A8B"/>
    <w:multiLevelType w:val="hybridMultilevel"/>
    <w:tmpl w:val="F5EC25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4387217"/>
    <w:multiLevelType w:val="multilevel"/>
    <w:tmpl w:val="35CE9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7F5C89"/>
    <w:multiLevelType w:val="hybridMultilevel"/>
    <w:tmpl w:val="ACF2478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3D09A3"/>
    <w:multiLevelType w:val="hybridMultilevel"/>
    <w:tmpl w:val="258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96797"/>
    <w:multiLevelType w:val="hybridMultilevel"/>
    <w:tmpl w:val="924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8013C"/>
    <w:multiLevelType w:val="hybridMultilevel"/>
    <w:tmpl w:val="1FF8D418"/>
    <w:lvl w:ilvl="0" w:tplc="1630A00A">
      <w:start w:val="1"/>
      <w:numFmt w:val="bullet"/>
      <w:lvlText w:val="•"/>
      <w:lvlJc w:val="left"/>
      <w:pPr>
        <w:tabs>
          <w:tab w:val="num" w:pos="720"/>
        </w:tabs>
        <w:ind w:left="720" w:hanging="360"/>
      </w:pPr>
      <w:rPr>
        <w:rFonts w:ascii="Arial" w:hAnsi="Arial" w:hint="default"/>
      </w:rPr>
    </w:lvl>
    <w:lvl w:ilvl="1" w:tplc="2A44C260" w:tentative="1">
      <w:start w:val="1"/>
      <w:numFmt w:val="bullet"/>
      <w:lvlText w:val="•"/>
      <w:lvlJc w:val="left"/>
      <w:pPr>
        <w:tabs>
          <w:tab w:val="num" w:pos="1440"/>
        </w:tabs>
        <w:ind w:left="1440" w:hanging="360"/>
      </w:pPr>
      <w:rPr>
        <w:rFonts w:ascii="Arial" w:hAnsi="Arial" w:hint="default"/>
      </w:rPr>
    </w:lvl>
    <w:lvl w:ilvl="2" w:tplc="4DEA780E" w:tentative="1">
      <w:start w:val="1"/>
      <w:numFmt w:val="bullet"/>
      <w:lvlText w:val="•"/>
      <w:lvlJc w:val="left"/>
      <w:pPr>
        <w:tabs>
          <w:tab w:val="num" w:pos="2160"/>
        </w:tabs>
        <w:ind w:left="2160" w:hanging="360"/>
      </w:pPr>
      <w:rPr>
        <w:rFonts w:ascii="Arial" w:hAnsi="Arial" w:hint="default"/>
      </w:rPr>
    </w:lvl>
    <w:lvl w:ilvl="3" w:tplc="42E846A0" w:tentative="1">
      <w:start w:val="1"/>
      <w:numFmt w:val="bullet"/>
      <w:lvlText w:val="•"/>
      <w:lvlJc w:val="left"/>
      <w:pPr>
        <w:tabs>
          <w:tab w:val="num" w:pos="2880"/>
        </w:tabs>
        <w:ind w:left="2880" w:hanging="360"/>
      </w:pPr>
      <w:rPr>
        <w:rFonts w:ascii="Arial" w:hAnsi="Arial" w:hint="default"/>
      </w:rPr>
    </w:lvl>
    <w:lvl w:ilvl="4" w:tplc="F0E64354" w:tentative="1">
      <w:start w:val="1"/>
      <w:numFmt w:val="bullet"/>
      <w:lvlText w:val="•"/>
      <w:lvlJc w:val="left"/>
      <w:pPr>
        <w:tabs>
          <w:tab w:val="num" w:pos="3600"/>
        </w:tabs>
        <w:ind w:left="3600" w:hanging="360"/>
      </w:pPr>
      <w:rPr>
        <w:rFonts w:ascii="Arial" w:hAnsi="Arial" w:hint="default"/>
      </w:rPr>
    </w:lvl>
    <w:lvl w:ilvl="5" w:tplc="777C2C5E" w:tentative="1">
      <w:start w:val="1"/>
      <w:numFmt w:val="bullet"/>
      <w:lvlText w:val="•"/>
      <w:lvlJc w:val="left"/>
      <w:pPr>
        <w:tabs>
          <w:tab w:val="num" w:pos="4320"/>
        </w:tabs>
        <w:ind w:left="4320" w:hanging="360"/>
      </w:pPr>
      <w:rPr>
        <w:rFonts w:ascii="Arial" w:hAnsi="Arial" w:hint="default"/>
      </w:rPr>
    </w:lvl>
    <w:lvl w:ilvl="6" w:tplc="571436CA" w:tentative="1">
      <w:start w:val="1"/>
      <w:numFmt w:val="bullet"/>
      <w:lvlText w:val="•"/>
      <w:lvlJc w:val="left"/>
      <w:pPr>
        <w:tabs>
          <w:tab w:val="num" w:pos="5040"/>
        </w:tabs>
        <w:ind w:left="5040" w:hanging="360"/>
      </w:pPr>
      <w:rPr>
        <w:rFonts w:ascii="Arial" w:hAnsi="Arial" w:hint="default"/>
      </w:rPr>
    </w:lvl>
    <w:lvl w:ilvl="7" w:tplc="6F604C6A" w:tentative="1">
      <w:start w:val="1"/>
      <w:numFmt w:val="bullet"/>
      <w:lvlText w:val="•"/>
      <w:lvlJc w:val="left"/>
      <w:pPr>
        <w:tabs>
          <w:tab w:val="num" w:pos="5760"/>
        </w:tabs>
        <w:ind w:left="5760" w:hanging="360"/>
      </w:pPr>
      <w:rPr>
        <w:rFonts w:ascii="Arial" w:hAnsi="Arial" w:hint="default"/>
      </w:rPr>
    </w:lvl>
    <w:lvl w:ilvl="8" w:tplc="CF86ECB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1543B"/>
    <w:multiLevelType w:val="hybridMultilevel"/>
    <w:tmpl w:val="5BFA1354"/>
    <w:lvl w:ilvl="0" w:tplc="D85E3572">
      <w:start w:val="1"/>
      <w:numFmt w:val="bullet"/>
      <w:lvlText w:val="•"/>
      <w:lvlJc w:val="left"/>
      <w:pPr>
        <w:tabs>
          <w:tab w:val="num" w:pos="720"/>
        </w:tabs>
        <w:ind w:left="720" w:hanging="360"/>
      </w:pPr>
      <w:rPr>
        <w:rFonts w:ascii="Arial" w:hAnsi="Arial" w:hint="default"/>
      </w:rPr>
    </w:lvl>
    <w:lvl w:ilvl="1" w:tplc="9E8021D6" w:tentative="1">
      <w:start w:val="1"/>
      <w:numFmt w:val="bullet"/>
      <w:lvlText w:val="•"/>
      <w:lvlJc w:val="left"/>
      <w:pPr>
        <w:tabs>
          <w:tab w:val="num" w:pos="1440"/>
        </w:tabs>
        <w:ind w:left="1440" w:hanging="360"/>
      </w:pPr>
      <w:rPr>
        <w:rFonts w:ascii="Arial" w:hAnsi="Arial" w:hint="default"/>
      </w:rPr>
    </w:lvl>
    <w:lvl w:ilvl="2" w:tplc="643CD9D2" w:tentative="1">
      <w:start w:val="1"/>
      <w:numFmt w:val="bullet"/>
      <w:lvlText w:val="•"/>
      <w:lvlJc w:val="left"/>
      <w:pPr>
        <w:tabs>
          <w:tab w:val="num" w:pos="2160"/>
        </w:tabs>
        <w:ind w:left="2160" w:hanging="360"/>
      </w:pPr>
      <w:rPr>
        <w:rFonts w:ascii="Arial" w:hAnsi="Arial" w:hint="default"/>
      </w:rPr>
    </w:lvl>
    <w:lvl w:ilvl="3" w:tplc="F436714A" w:tentative="1">
      <w:start w:val="1"/>
      <w:numFmt w:val="bullet"/>
      <w:lvlText w:val="•"/>
      <w:lvlJc w:val="left"/>
      <w:pPr>
        <w:tabs>
          <w:tab w:val="num" w:pos="2880"/>
        </w:tabs>
        <w:ind w:left="2880" w:hanging="360"/>
      </w:pPr>
      <w:rPr>
        <w:rFonts w:ascii="Arial" w:hAnsi="Arial" w:hint="default"/>
      </w:rPr>
    </w:lvl>
    <w:lvl w:ilvl="4" w:tplc="B1D23D58" w:tentative="1">
      <w:start w:val="1"/>
      <w:numFmt w:val="bullet"/>
      <w:lvlText w:val="•"/>
      <w:lvlJc w:val="left"/>
      <w:pPr>
        <w:tabs>
          <w:tab w:val="num" w:pos="3600"/>
        </w:tabs>
        <w:ind w:left="3600" w:hanging="360"/>
      </w:pPr>
      <w:rPr>
        <w:rFonts w:ascii="Arial" w:hAnsi="Arial" w:hint="default"/>
      </w:rPr>
    </w:lvl>
    <w:lvl w:ilvl="5" w:tplc="A34E8B26" w:tentative="1">
      <w:start w:val="1"/>
      <w:numFmt w:val="bullet"/>
      <w:lvlText w:val="•"/>
      <w:lvlJc w:val="left"/>
      <w:pPr>
        <w:tabs>
          <w:tab w:val="num" w:pos="4320"/>
        </w:tabs>
        <w:ind w:left="4320" w:hanging="360"/>
      </w:pPr>
      <w:rPr>
        <w:rFonts w:ascii="Arial" w:hAnsi="Arial" w:hint="default"/>
      </w:rPr>
    </w:lvl>
    <w:lvl w:ilvl="6" w:tplc="B8C04680" w:tentative="1">
      <w:start w:val="1"/>
      <w:numFmt w:val="bullet"/>
      <w:lvlText w:val="•"/>
      <w:lvlJc w:val="left"/>
      <w:pPr>
        <w:tabs>
          <w:tab w:val="num" w:pos="5040"/>
        </w:tabs>
        <w:ind w:left="5040" w:hanging="360"/>
      </w:pPr>
      <w:rPr>
        <w:rFonts w:ascii="Arial" w:hAnsi="Arial" w:hint="default"/>
      </w:rPr>
    </w:lvl>
    <w:lvl w:ilvl="7" w:tplc="F97A5D72" w:tentative="1">
      <w:start w:val="1"/>
      <w:numFmt w:val="bullet"/>
      <w:lvlText w:val="•"/>
      <w:lvlJc w:val="left"/>
      <w:pPr>
        <w:tabs>
          <w:tab w:val="num" w:pos="5760"/>
        </w:tabs>
        <w:ind w:left="5760" w:hanging="360"/>
      </w:pPr>
      <w:rPr>
        <w:rFonts w:ascii="Arial" w:hAnsi="Arial" w:hint="default"/>
      </w:rPr>
    </w:lvl>
    <w:lvl w:ilvl="8" w:tplc="35207D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CB701C"/>
    <w:multiLevelType w:val="hybridMultilevel"/>
    <w:tmpl w:val="7494E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D003371"/>
    <w:multiLevelType w:val="hybridMultilevel"/>
    <w:tmpl w:val="48288B62"/>
    <w:lvl w:ilvl="0" w:tplc="BEE86826">
      <w:start w:val="1"/>
      <w:numFmt w:val="bullet"/>
      <w:lvlText w:val="·"/>
      <w:lvlJc w:val="left"/>
      <w:pPr>
        <w:ind w:left="720" w:hanging="360"/>
      </w:pPr>
      <w:rPr>
        <w:rFonts w:ascii="Symbol" w:hAnsi="Symbol" w:hint="default"/>
      </w:rPr>
    </w:lvl>
    <w:lvl w:ilvl="1" w:tplc="0AF00A60">
      <w:start w:val="1"/>
      <w:numFmt w:val="bullet"/>
      <w:lvlText w:val="o"/>
      <w:lvlJc w:val="left"/>
      <w:pPr>
        <w:ind w:left="1440" w:hanging="360"/>
      </w:pPr>
      <w:rPr>
        <w:rFonts w:ascii="Courier New" w:hAnsi="Courier New" w:hint="default"/>
      </w:rPr>
    </w:lvl>
    <w:lvl w:ilvl="2" w:tplc="86A26AE0">
      <w:start w:val="1"/>
      <w:numFmt w:val="bullet"/>
      <w:lvlText w:val=""/>
      <w:lvlJc w:val="left"/>
      <w:pPr>
        <w:ind w:left="2160" w:hanging="360"/>
      </w:pPr>
      <w:rPr>
        <w:rFonts w:ascii="Wingdings" w:hAnsi="Wingdings" w:hint="default"/>
      </w:rPr>
    </w:lvl>
    <w:lvl w:ilvl="3" w:tplc="B3D0DBE4">
      <w:start w:val="1"/>
      <w:numFmt w:val="bullet"/>
      <w:lvlText w:val=""/>
      <w:lvlJc w:val="left"/>
      <w:pPr>
        <w:ind w:left="2880" w:hanging="360"/>
      </w:pPr>
      <w:rPr>
        <w:rFonts w:ascii="Symbol" w:hAnsi="Symbol" w:hint="default"/>
      </w:rPr>
    </w:lvl>
    <w:lvl w:ilvl="4" w:tplc="3C887B44">
      <w:start w:val="1"/>
      <w:numFmt w:val="bullet"/>
      <w:lvlText w:val="o"/>
      <w:lvlJc w:val="left"/>
      <w:pPr>
        <w:ind w:left="3600" w:hanging="360"/>
      </w:pPr>
      <w:rPr>
        <w:rFonts w:ascii="Courier New" w:hAnsi="Courier New" w:hint="default"/>
      </w:rPr>
    </w:lvl>
    <w:lvl w:ilvl="5" w:tplc="5E44D80E">
      <w:start w:val="1"/>
      <w:numFmt w:val="bullet"/>
      <w:lvlText w:val=""/>
      <w:lvlJc w:val="left"/>
      <w:pPr>
        <w:ind w:left="4320" w:hanging="360"/>
      </w:pPr>
      <w:rPr>
        <w:rFonts w:ascii="Wingdings" w:hAnsi="Wingdings" w:hint="default"/>
      </w:rPr>
    </w:lvl>
    <w:lvl w:ilvl="6" w:tplc="48B8108E">
      <w:start w:val="1"/>
      <w:numFmt w:val="bullet"/>
      <w:lvlText w:val=""/>
      <w:lvlJc w:val="left"/>
      <w:pPr>
        <w:ind w:left="5040" w:hanging="360"/>
      </w:pPr>
      <w:rPr>
        <w:rFonts w:ascii="Symbol" w:hAnsi="Symbol" w:hint="default"/>
      </w:rPr>
    </w:lvl>
    <w:lvl w:ilvl="7" w:tplc="9C504FB4">
      <w:start w:val="1"/>
      <w:numFmt w:val="bullet"/>
      <w:lvlText w:val="o"/>
      <w:lvlJc w:val="left"/>
      <w:pPr>
        <w:ind w:left="5760" w:hanging="360"/>
      </w:pPr>
      <w:rPr>
        <w:rFonts w:ascii="Courier New" w:hAnsi="Courier New" w:hint="default"/>
      </w:rPr>
    </w:lvl>
    <w:lvl w:ilvl="8" w:tplc="4566EA50">
      <w:start w:val="1"/>
      <w:numFmt w:val="bullet"/>
      <w:lvlText w:val=""/>
      <w:lvlJc w:val="left"/>
      <w:pPr>
        <w:ind w:left="6480" w:hanging="360"/>
      </w:pPr>
      <w:rPr>
        <w:rFonts w:ascii="Wingdings" w:hAnsi="Wingdings" w:hint="default"/>
      </w:rPr>
    </w:lvl>
  </w:abstractNum>
  <w:num w:numId="1" w16cid:durableId="2084909256">
    <w:abstractNumId w:val="13"/>
  </w:num>
  <w:num w:numId="2" w16cid:durableId="603996740">
    <w:abstractNumId w:val="29"/>
  </w:num>
  <w:num w:numId="3" w16cid:durableId="1778406434">
    <w:abstractNumId w:val="27"/>
  </w:num>
  <w:num w:numId="4" w16cid:durableId="1813714662">
    <w:abstractNumId w:val="3"/>
  </w:num>
  <w:num w:numId="5" w16cid:durableId="497505695">
    <w:abstractNumId w:val="39"/>
  </w:num>
  <w:num w:numId="6" w16cid:durableId="2030830096">
    <w:abstractNumId w:val="30"/>
  </w:num>
  <w:num w:numId="7" w16cid:durableId="838736448">
    <w:abstractNumId w:val="23"/>
  </w:num>
  <w:num w:numId="8" w16cid:durableId="173224800">
    <w:abstractNumId w:val="8"/>
  </w:num>
  <w:num w:numId="9" w16cid:durableId="1173572951">
    <w:abstractNumId w:val="19"/>
  </w:num>
  <w:num w:numId="10" w16cid:durableId="1363673705">
    <w:abstractNumId w:val="16"/>
  </w:num>
  <w:num w:numId="11" w16cid:durableId="1308511384">
    <w:abstractNumId w:val="14"/>
  </w:num>
  <w:num w:numId="12" w16cid:durableId="966662028">
    <w:abstractNumId w:val="32"/>
  </w:num>
  <w:num w:numId="13" w16cid:durableId="1975914766">
    <w:abstractNumId w:val="15"/>
  </w:num>
  <w:num w:numId="14" w16cid:durableId="423302531">
    <w:abstractNumId w:val="2"/>
  </w:num>
  <w:num w:numId="15" w16cid:durableId="274866458">
    <w:abstractNumId w:val="10"/>
  </w:num>
  <w:num w:numId="16" w16cid:durableId="593442866">
    <w:abstractNumId w:val="24"/>
  </w:num>
  <w:num w:numId="17" w16cid:durableId="509176332">
    <w:abstractNumId w:val="6"/>
  </w:num>
  <w:num w:numId="18" w16cid:durableId="1702433754">
    <w:abstractNumId w:val="18"/>
  </w:num>
  <w:num w:numId="19" w16cid:durableId="1687750961">
    <w:abstractNumId w:val="28"/>
  </w:num>
  <w:num w:numId="20" w16cid:durableId="944265551">
    <w:abstractNumId w:val="7"/>
  </w:num>
  <w:num w:numId="21" w16cid:durableId="34963034">
    <w:abstractNumId w:val="9"/>
  </w:num>
  <w:num w:numId="22" w16cid:durableId="532377628">
    <w:abstractNumId w:val="34"/>
  </w:num>
  <w:num w:numId="23" w16cid:durableId="1457523220">
    <w:abstractNumId w:val="26"/>
  </w:num>
  <w:num w:numId="24" w16cid:durableId="1499005561">
    <w:abstractNumId w:val="37"/>
  </w:num>
  <w:num w:numId="25" w16cid:durableId="1583834897">
    <w:abstractNumId w:val="17"/>
  </w:num>
  <w:num w:numId="26" w16cid:durableId="1253708985">
    <w:abstractNumId w:val="40"/>
  </w:num>
  <w:num w:numId="27" w16cid:durableId="1069958506">
    <w:abstractNumId w:val="36"/>
  </w:num>
  <w:num w:numId="28" w16cid:durableId="862012631">
    <w:abstractNumId w:val="1"/>
  </w:num>
  <w:num w:numId="29" w16cid:durableId="590743056">
    <w:abstractNumId w:val="5"/>
  </w:num>
  <w:num w:numId="30" w16cid:durableId="1099570025">
    <w:abstractNumId w:val="21"/>
  </w:num>
  <w:num w:numId="31" w16cid:durableId="1394966062">
    <w:abstractNumId w:val="0"/>
  </w:num>
  <w:num w:numId="32" w16cid:durableId="259224747">
    <w:abstractNumId w:val="35"/>
  </w:num>
  <w:num w:numId="33" w16cid:durableId="260144556">
    <w:abstractNumId w:val="11"/>
  </w:num>
  <w:num w:numId="34" w16cid:durableId="1540555643">
    <w:abstractNumId w:val="4"/>
  </w:num>
  <w:num w:numId="35" w16cid:durableId="584805288">
    <w:abstractNumId w:val="22"/>
  </w:num>
  <w:num w:numId="36" w16cid:durableId="1206257090">
    <w:abstractNumId w:val="20"/>
  </w:num>
  <w:num w:numId="37" w16cid:durableId="357976255">
    <w:abstractNumId w:val="38"/>
  </w:num>
  <w:num w:numId="38" w16cid:durableId="5451358">
    <w:abstractNumId w:val="33"/>
  </w:num>
  <w:num w:numId="39" w16cid:durableId="882205664">
    <w:abstractNumId w:val="31"/>
  </w:num>
  <w:num w:numId="40" w16cid:durableId="366300924">
    <w:abstractNumId w:val="25"/>
  </w:num>
  <w:num w:numId="41" w16cid:durableId="1089471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2F"/>
    <w:rsid w:val="00002243"/>
    <w:rsid w:val="00012513"/>
    <w:rsid w:val="00013D2F"/>
    <w:rsid w:val="000159C0"/>
    <w:rsid w:val="000167AB"/>
    <w:rsid w:val="000170B2"/>
    <w:rsid w:val="00024400"/>
    <w:rsid w:val="000264C4"/>
    <w:rsid w:val="00030235"/>
    <w:rsid w:val="00031545"/>
    <w:rsid w:val="000317AD"/>
    <w:rsid w:val="00032D45"/>
    <w:rsid w:val="000343FC"/>
    <w:rsid w:val="00034758"/>
    <w:rsid w:val="00037C5A"/>
    <w:rsid w:val="000443CC"/>
    <w:rsid w:val="0004512D"/>
    <w:rsid w:val="00047D85"/>
    <w:rsid w:val="00054104"/>
    <w:rsid w:val="00057A52"/>
    <w:rsid w:val="00057C37"/>
    <w:rsid w:val="000602B0"/>
    <w:rsid w:val="0006033F"/>
    <w:rsid w:val="00062EEA"/>
    <w:rsid w:val="000631BA"/>
    <w:rsid w:val="000637EC"/>
    <w:rsid w:val="000649FA"/>
    <w:rsid w:val="00064A1F"/>
    <w:rsid w:val="00065344"/>
    <w:rsid w:val="000662FF"/>
    <w:rsid w:val="00074265"/>
    <w:rsid w:val="000765C0"/>
    <w:rsid w:val="00077A29"/>
    <w:rsid w:val="0008053E"/>
    <w:rsid w:val="00084EA8"/>
    <w:rsid w:val="000856FB"/>
    <w:rsid w:val="00086D43"/>
    <w:rsid w:val="000872D5"/>
    <w:rsid w:val="00087F1F"/>
    <w:rsid w:val="00091F95"/>
    <w:rsid w:val="000A1241"/>
    <w:rsid w:val="000A3814"/>
    <w:rsid w:val="000A3C9D"/>
    <w:rsid w:val="000A50B7"/>
    <w:rsid w:val="000A5BB5"/>
    <w:rsid w:val="000A5E1A"/>
    <w:rsid w:val="000B3888"/>
    <w:rsid w:val="000B5628"/>
    <w:rsid w:val="000B5CB2"/>
    <w:rsid w:val="000B5E5F"/>
    <w:rsid w:val="000C4BFB"/>
    <w:rsid w:val="000C6E09"/>
    <w:rsid w:val="000C7560"/>
    <w:rsid w:val="000D0280"/>
    <w:rsid w:val="000D0BC6"/>
    <w:rsid w:val="000D23CC"/>
    <w:rsid w:val="000D2425"/>
    <w:rsid w:val="000D27F0"/>
    <w:rsid w:val="000D7F2C"/>
    <w:rsid w:val="000D7FB6"/>
    <w:rsid w:val="000E497B"/>
    <w:rsid w:val="000E4E64"/>
    <w:rsid w:val="000E6FEC"/>
    <w:rsid w:val="000E71D5"/>
    <w:rsid w:val="000E7764"/>
    <w:rsid w:val="000F0680"/>
    <w:rsid w:val="000F3ACC"/>
    <w:rsid w:val="000F6299"/>
    <w:rsid w:val="000F7F41"/>
    <w:rsid w:val="001044DC"/>
    <w:rsid w:val="00106315"/>
    <w:rsid w:val="00106619"/>
    <w:rsid w:val="0011489F"/>
    <w:rsid w:val="001151E3"/>
    <w:rsid w:val="00115884"/>
    <w:rsid w:val="00122B93"/>
    <w:rsid w:val="00122CA5"/>
    <w:rsid w:val="00123490"/>
    <w:rsid w:val="00124504"/>
    <w:rsid w:val="00126440"/>
    <w:rsid w:val="001306C4"/>
    <w:rsid w:val="00131CD3"/>
    <w:rsid w:val="001324FD"/>
    <w:rsid w:val="00132714"/>
    <w:rsid w:val="00133153"/>
    <w:rsid w:val="00135759"/>
    <w:rsid w:val="00140E0C"/>
    <w:rsid w:val="00141240"/>
    <w:rsid w:val="0014318F"/>
    <w:rsid w:val="00144ACD"/>
    <w:rsid w:val="00147773"/>
    <w:rsid w:val="0015041E"/>
    <w:rsid w:val="00150D80"/>
    <w:rsid w:val="001516E7"/>
    <w:rsid w:val="00156BC2"/>
    <w:rsid w:val="00160046"/>
    <w:rsid w:val="00161116"/>
    <w:rsid w:val="001639CC"/>
    <w:rsid w:val="00170C7B"/>
    <w:rsid w:val="00171580"/>
    <w:rsid w:val="00173F11"/>
    <w:rsid w:val="00174DB3"/>
    <w:rsid w:val="001773CE"/>
    <w:rsid w:val="001777A4"/>
    <w:rsid w:val="0018069D"/>
    <w:rsid w:val="00180BE9"/>
    <w:rsid w:val="00184024"/>
    <w:rsid w:val="00185FED"/>
    <w:rsid w:val="00191133"/>
    <w:rsid w:val="001920EC"/>
    <w:rsid w:val="0019310D"/>
    <w:rsid w:val="00193E17"/>
    <w:rsid w:val="001945B8"/>
    <w:rsid w:val="001957D6"/>
    <w:rsid w:val="00196E16"/>
    <w:rsid w:val="0019741F"/>
    <w:rsid w:val="001A7541"/>
    <w:rsid w:val="001B1152"/>
    <w:rsid w:val="001C213A"/>
    <w:rsid w:val="001C23C0"/>
    <w:rsid w:val="001D3A18"/>
    <w:rsid w:val="001D5AED"/>
    <w:rsid w:val="001D6570"/>
    <w:rsid w:val="001D7366"/>
    <w:rsid w:val="001D7499"/>
    <w:rsid w:val="001E09BC"/>
    <w:rsid w:val="001E3600"/>
    <w:rsid w:val="001E563F"/>
    <w:rsid w:val="001E5B1E"/>
    <w:rsid w:val="001E7EC3"/>
    <w:rsid w:val="001F022B"/>
    <w:rsid w:val="001F023F"/>
    <w:rsid w:val="001F0B12"/>
    <w:rsid w:val="001F256D"/>
    <w:rsid w:val="001F3D5C"/>
    <w:rsid w:val="001F4F82"/>
    <w:rsid w:val="001F6387"/>
    <w:rsid w:val="001F6B15"/>
    <w:rsid w:val="001F70F3"/>
    <w:rsid w:val="0020104C"/>
    <w:rsid w:val="00201188"/>
    <w:rsid w:val="00201C2B"/>
    <w:rsid w:val="00202444"/>
    <w:rsid w:val="00202AB6"/>
    <w:rsid w:val="00206F68"/>
    <w:rsid w:val="002073EF"/>
    <w:rsid w:val="00213DFE"/>
    <w:rsid w:val="00214438"/>
    <w:rsid w:val="00214A40"/>
    <w:rsid w:val="0022022F"/>
    <w:rsid w:val="002206A9"/>
    <w:rsid w:val="00221695"/>
    <w:rsid w:val="00221EEA"/>
    <w:rsid w:val="00223A31"/>
    <w:rsid w:val="0022431F"/>
    <w:rsid w:val="00224823"/>
    <w:rsid w:val="00225270"/>
    <w:rsid w:val="002302FE"/>
    <w:rsid w:val="00232B04"/>
    <w:rsid w:val="00233FBB"/>
    <w:rsid w:val="00234B1F"/>
    <w:rsid w:val="00235FC3"/>
    <w:rsid w:val="00244933"/>
    <w:rsid w:val="00246E5B"/>
    <w:rsid w:val="002500B3"/>
    <w:rsid w:val="00251A08"/>
    <w:rsid w:val="00252B3B"/>
    <w:rsid w:val="00253CD1"/>
    <w:rsid w:val="00253F35"/>
    <w:rsid w:val="00255955"/>
    <w:rsid w:val="002563FF"/>
    <w:rsid w:val="0025744F"/>
    <w:rsid w:val="00257C1C"/>
    <w:rsid w:val="002615BA"/>
    <w:rsid w:val="002631AA"/>
    <w:rsid w:val="002637FC"/>
    <w:rsid w:val="0026399C"/>
    <w:rsid w:val="002639BE"/>
    <w:rsid w:val="00265BAF"/>
    <w:rsid w:val="002668AA"/>
    <w:rsid w:val="002673BA"/>
    <w:rsid w:val="00267E2C"/>
    <w:rsid w:val="00271C5E"/>
    <w:rsid w:val="00274652"/>
    <w:rsid w:val="0027642A"/>
    <w:rsid w:val="00277098"/>
    <w:rsid w:val="0027758F"/>
    <w:rsid w:val="002823A1"/>
    <w:rsid w:val="00282842"/>
    <w:rsid w:val="002836FF"/>
    <w:rsid w:val="002901E6"/>
    <w:rsid w:val="002923D3"/>
    <w:rsid w:val="002A18F2"/>
    <w:rsid w:val="002A3C5C"/>
    <w:rsid w:val="002A45BA"/>
    <w:rsid w:val="002A65BF"/>
    <w:rsid w:val="002A7202"/>
    <w:rsid w:val="002B2C15"/>
    <w:rsid w:val="002B33EB"/>
    <w:rsid w:val="002B48F2"/>
    <w:rsid w:val="002C0E4A"/>
    <w:rsid w:val="002D2DC2"/>
    <w:rsid w:val="002D4451"/>
    <w:rsid w:val="002D5955"/>
    <w:rsid w:val="002D6888"/>
    <w:rsid w:val="002D70CC"/>
    <w:rsid w:val="002E0255"/>
    <w:rsid w:val="002E0599"/>
    <w:rsid w:val="002E0759"/>
    <w:rsid w:val="002E1484"/>
    <w:rsid w:val="002E246A"/>
    <w:rsid w:val="002E2475"/>
    <w:rsid w:val="002E3D77"/>
    <w:rsid w:val="002E459A"/>
    <w:rsid w:val="002E5318"/>
    <w:rsid w:val="002F0F98"/>
    <w:rsid w:val="002F12DF"/>
    <w:rsid w:val="002F13AC"/>
    <w:rsid w:val="002F2694"/>
    <w:rsid w:val="002F2F9F"/>
    <w:rsid w:val="002F38B8"/>
    <w:rsid w:val="002F4399"/>
    <w:rsid w:val="002F7E71"/>
    <w:rsid w:val="003009D4"/>
    <w:rsid w:val="00303FAA"/>
    <w:rsid w:val="003045E6"/>
    <w:rsid w:val="00304F3F"/>
    <w:rsid w:val="00310EED"/>
    <w:rsid w:val="00314B50"/>
    <w:rsid w:val="00315913"/>
    <w:rsid w:val="003164D7"/>
    <w:rsid w:val="00321DF6"/>
    <w:rsid w:val="00322394"/>
    <w:rsid w:val="0032474F"/>
    <w:rsid w:val="0032571E"/>
    <w:rsid w:val="0032623B"/>
    <w:rsid w:val="00327121"/>
    <w:rsid w:val="00327AFB"/>
    <w:rsid w:val="003304D9"/>
    <w:rsid w:val="00331C83"/>
    <w:rsid w:val="00333200"/>
    <w:rsid w:val="0033729D"/>
    <w:rsid w:val="0033732B"/>
    <w:rsid w:val="00340274"/>
    <w:rsid w:val="00341481"/>
    <w:rsid w:val="003429E3"/>
    <w:rsid w:val="00343D8F"/>
    <w:rsid w:val="00344D52"/>
    <w:rsid w:val="003452E3"/>
    <w:rsid w:val="00345530"/>
    <w:rsid w:val="00345A70"/>
    <w:rsid w:val="00346FE8"/>
    <w:rsid w:val="00347F16"/>
    <w:rsid w:val="00350CF2"/>
    <w:rsid w:val="00352D9F"/>
    <w:rsid w:val="003549D7"/>
    <w:rsid w:val="00354CA6"/>
    <w:rsid w:val="00360B7E"/>
    <w:rsid w:val="00361BA0"/>
    <w:rsid w:val="0036292C"/>
    <w:rsid w:val="003631D7"/>
    <w:rsid w:val="00363F14"/>
    <w:rsid w:val="003652B3"/>
    <w:rsid w:val="003662FB"/>
    <w:rsid w:val="00366ADA"/>
    <w:rsid w:val="00373D86"/>
    <w:rsid w:val="00377E68"/>
    <w:rsid w:val="003807C9"/>
    <w:rsid w:val="003823DA"/>
    <w:rsid w:val="00382C14"/>
    <w:rsid w:val="00382F03"/>
    <w:rsid w:val="00385C63"/>
    <w:rsid w:val="0039007D"/>
    <w:rsid w:val="003907ED"/>
    <w:rsid w:val="00391C10"/>
    <w:rsid w:val="003928D0"/>
    <w:rsid w:val="00392C24"/>
    <w:rsid w:val="00393639"/>
    <w:rsid w:val="00396D4F"/>
    <w:rsid w:val="00397165"/>
    <w:rsid w:val="00397959"/>
    <w:rsid w:val="003979B1"/>
    <w:rsid w:val="003A21E3"/>
    <w:rsid w:val="003A281A"/>
    <w:rsid w:val="003A3724"/>
    <w:rsid w:val="003A3FB1"/>
    <w:rsid w:val="003A5AFB"/>
    <w:rsid w:val="003A5BB0"/>
    <w:rsid w:val="003A5D6D"/>
    <w:rsid w:val="003B0558"/>
    <w:rsid w:val="003B2B4A"/>
    <w:rsid w:val="003B3FBD"/>
    <w:rsid w:val="003B4725"/>
    <w:rsid w:val="003B616A"/>
    <w:rsid w:val="003C1314"/>
    <w:rsid w:val="003C2349"/>
    <w:rsid w:val="003C2459"/>
    <w:rsid w:val="003C2BE7"/>
    <w:rsid w:val="003C3420"/>
    <w:rsid w:val="003C6F45"/>
    <w:rsid w:val="003D008A"/>
    <w:rsid w:val="003D06B0"/>
    <w:rsid w:val="003D0FB9"/>
    <w:rsid w:val="003D173A"/>
    <w:rsid w:val="003D1EF5"/>
    <w:rsid w:val="003D214D"/>
    <w:rsid w:val="003D2562"/>
    <w:rsid w:val="003D32FE"/>
    <w:rsid w:val="003D4A4E"/>
    <w:rsid w:val="003D6A2A"/>
    <w:rsid w:val="003D7419"/>
    <w:rsid w:val="003D7CE6"/>
    <w:rsid w:val="003E09C7"/>
    <w:rsid w:val="003E34F7"/>
    <w:rsid w:val="003E6220"/>
    <w:rsid w:val="003E7E0A"/>
    <w:rsid w:val="003F0564"/>
    <w:rsid w:val="003F16A7"/>
    <w:rsid w:val="003F1981"/>
    <w:rsid w:val="003F29CF"/>
    <w:rsid w:val="003F5542"/>
    <w:rsid w:val="003F5666"/>
    <w:rsid w:val="003F66A6"/>
    <w:rsid w:val="00401654"/>
    <w:rsid w:val="004025AC"/>
    <w:rsid w:val="0040287B"/>
    <w:rsid w:val="00403653"/>
    <w:rsid w:val="00403FCB"/>
    <w:rsid w:val="00404D1D"/>
    <w:rsid w:val="00407983"/>
    <w:rsid w:val="0041021E"/>
    <w:rsid w:val="004113B4"/>
    <w:rsid w:val="0041265C"/>
    <w:rsid w:val="00412E98"/>
    <w:rsid w:val="004149D6"/>
    <w:rsid w:val="00414D57"/>
    <w:rsid w:val="0041534B"/>
    <w:rsid w:val="00420574"/>
    <w:rsid w:val="00420891"/>
    <w:rsid w:val="004213A0"/>
    <w:rsid w:val="004342F0"/>
    <w:rsid w:val="00436B33"/>
    <w:rsid w:val="00437946"/>
    <w:rsid w:val="00437968"/>
    <w:rsid w:val="00440CE3"/>
    <w:rsid w:val="00441049"/>
    <w:rsid w:val="00443270"/>
    <w:rsid w:val="004435AC"/>
    <w:rsid w:val="0044389E"/>
    <w:rsid w:val="00445567"/>
    <w:rsid w:val="004464DB"/>
    <w:rsid w:val="00447799"/>
    <w:rsid w:val="00451A67"/>
    <w:rsid w:val="00452FF4"/>
    <w:rsid w:val="0045318F"/>
    <w:rsid w:val="0045569B"/>
    <w:rsid w:val="00455D55"/>
    <w:rsid w:val="004571A2"/>
    <w:rsid w:val="004673D7"/>
    <w:rsid w:val="00476D1D"/>
    <w:rsid w:val="00477759"/>
    <w:rsid w:val="004807BB"/>
    <w:rsid w:val="004820A9"/>
    <w:rsid w:val="004841B1"/>
    <w:rsid w:val="0048500C"/>
    <w:rsid w:val="004859C2"/>
    <w:rsid w:val="00485B4B"/>
    <w:rsid w:val="004912A9"/>
    <w:rsid w:val="00493F0E"/>
    <w:rsid w:val="00494965"/>
    <w:rsid w:val="00494C7A"/>
    <w:rsid w:val="00495105"/>
    <w:rsid w:val="004A04E2"/>
    <w:rsid w:val="004A2119"/>
    <w:rsid w:val="004A52F3"/>
    <w:rsid w:val="004A57AC"/>
    <w:rsid w:val="004A7AB5"/>
    <w:rsid w:val="004A7E13"/>
    <w:rsid w:val="004A7E9C"/>
    <w:rsid w:val="004B2C57"/>
    <w:rsid w:val="004B3E0A"/>
    <w:rsid w:val="004B79FF"/>
    <w:rsid w:val="004B7C5E"/>
    <w:rsid w:val="004C0712"/>
    <w:rsid w:val="004C09FC"/>
    <w:rsid w:val="004C0D68"/>
    <w:rsid w:val="004C4E95"/>
    <w:rsid w:val="004C5116"/>
    <w:rsid w:val="004C5DE5"/>
    <w:rsid w:val="004C6574"/>
    <w:rsid w:val="004D0F22"/>
    <w:rsid w:val="004D1ED6"/>
    <w:rsid w:val="004D2917"/>
    <w:rsid w:val="004D3BDA"/>
    <w:rsid w:val="004D4083"/>
    <w:rsid w:val="004D4B8C"/>
    <w:rsid w:val="004D5B72"/>
    <w:rsid w:val="004D5BD8"/>
    <w:rsid w:val="004D5E2A"/>
    <w:rsid w:val="004D744C"/>
    <w:rsid w:val="004E1F82"/>
    <w:rsid w:val="004E3BA2"/>
    <w:rsid w:val="004E489F"/>
    <w:rsid w:val="004E596E"/>
    <w:rsid w:val="004E6B58"/>
    <w:rsid w:val="004E6E59"/>
    <w:rsid w:val="004E6FEE"/>
    <w:rsid w:val="004E75BA"/>
    <w:rsid w:val="004F1B3C"/>
    <w:rsid w:val="004F2A85"/>
    <w:rsid w:val="004F4133"/>
    <w:rsid w:val="004F5F14"/>
    <w:rsid w:val="004F7413"/>
    <w:rsid w:val="004F7A27"/>
    <w:rsid w:val="004F7B67"/>
    <w:rsid w:val="005028AC"/>
    <w:rsid w:val="005028AE"/>
    <w:rsid w:val="00503E3D"/>
    <w:rsid w:val="005059BA"/>
    <w:rsid w:val="00507512"/>
    <w:rsid w:val="005114D9"/>
    <w:rsid w:val="00511E2B"/>
    <w:rsid w:val="005141C6"/>
    <w:rsid w:val="00514962"/>
    <w:rsid w:val="00514CA7"/>
    <w:rsid w:val="0051535F"/>
    <w:rsid w:val="00515BAF"/>
    <w:rsid w:val="005203F1"/>
    <w:rsid w:val="0052050A"/>
    <w:rsid w:val="005208E6"/>
    <w:rsid w:val="005216D1"/>
    <w:rsid w:val="00521A7A"/>
    <w:rsid w:val="005224A3"/>
    <w:rsid w:val="005265C5"/>
    <w:rsid w:val="00531B0C"/>
    <w:rsid w:val="00532E97"/>
    <w:rsid w:val="00542602"/>
    <w:rsid w:val="00543687"/>
    <w:rsid w:val="00543D52"/>
    <w:rsid w:val="00546146"/>
    <w:rsid w:val="00550737"/>
    <w:rsid w:val="005510E0"/>
    <w:rsid w:val="00553310"/>
    <w:rsid w:val="00553ACA"/>
    <w:rsid w:val="00555107"/>
    <w:rsid w:val="005563D1"/>
    <w:rsid w:val="00556E63"/>
    <w:rsid w:val="00561409"/>
    <w:rsid w:val="00563BB3"/>
    <w:rsid w:val="0056503A"/>
    <w:rsid w:val="005705C5"/>
    <w:rsid w:val="00570E1B"/>
    <w:rsid w:val="00572E08"/>
    <w:rsid w:val="00575D55"/>
    <w:rsid w:val="00576D4F"/>
    <w:rsid w:val="00577717"/>
    <w:rsid w:val="00577BD6"/>
    <w:rsid w:val="00580226"/>
    <w:rsid w:val="00583C21"/>
    <w:rsid w:val="00584D69"/>
    <w:rsid w:val="00585A49"/>
    <w:rsid w:val="00586449"/>
    <w:rsid w:val="0058747C"/>
    <w:rsid w:val="00591999"/>
    <w:rsid w:val="005927D6"/>
    <w:rsid w:val="00593166"/>
    <w:rsid w:val="0059356B"/>
    <w:rsid w:val="0059365E"/>
    <w:rsid w:val="00593F37"/>
    <w:rsid w:val="005A0E66"/>
    <w:rsid w:val="005A277E"/>
    <w:rsid w:val="005A3E29"/>
    <w:rsid w:val="005A6E23"/>
    <w:rsid w:val="005A7D5B"/>
    <w:rsid w:val="005B0EFD"/>
    <w:rsid w:val="005B42CC"/>
    <w:rsid w:val="005B4BB5"/>
    <w:rsid w:val="005C1794"/>
    <w:rsid w:val="005C1FC3"/>
    <w:rsid w:val="005C2703"/>
    <w:rsid w:val="005C29A7"/>
    <w:rsid w:val="005C4B6D"/>
    <w:rsid w:val="005D0762"/>
    <w:rsid w:val="005D2D23"/>
    <w:rsid w:val="005D47BD"/>
    <w:rsid w:val="005D753C"/>
    <w:rsid w:val="005E2F4A"/>
    <w:rsid w:val="005E4871"/>
    <w:rsid w:val="005E49A4"/>
    <w:rsid w:val="005E4FB7"/>
    <w:rsid w:val="005E6D92"/>
    <w:rsid w:val="005E789B"/>
    <w:rsid w:val="005F0C89"/>
    <w:rsid w:val="005F2C83"/>
    <w:rsid w:val="005F30B1"/>
    <w:rsid w:val="005F3BF8"/>
    <w:rsid w:val="005F460F"/>
    <w:rsid w:val="005F5965"/>
    <w:rsid w:val="006012BE"/>
    <w:rsid w:val="00603D26"/>
    <w:rsid w:val="006043CE"/>
    <w:rsid w:val="00604F76"/>
    <w:rsid w:val="00606F12"/>
    <w:rsid w:val="00610EE8"/>
    <w:rsid w:val="00611E15"/>
    <w:rsid w:val="00612A4B"/>
    <w:rsid w:val="006143ED"/>
    <w:rsid w:val="00615E99"/>
    <w:rsid w:val="0061641B"/>
    <w:rsid w:val="00621F3E"/>
    <w:rsid w:val="0062286A"/>
    <w:rsid w:val="00622F99"/>
    <w:rsid w:val="00624FC3"/>
    <w:rsid w:val="006250AC"/>
    <w:rsid w:val="006343BD"/>
    <w:rsid w:val="00636768"/>
    <w:rsid w:val="006402A3"/>
    <w:rsid w:val="00642817"/>
    <w:rsid w:val="00643104"/>
    <w:rsid w:val="00644CF0"/>
    <w:rsid w:val="00646DF3"/>
    <w:rsid w:val="006504A3"/>
    <w:rsid w:val="0065197C"/>
    <w:rsid w:val="00652E1D"/>
    <w:rsid w:val="006536E0"/>
    <w:rsid w:val="006542C0"/>
    <w:rsid w:val="00655B72"/>
    <w:rsid w:val="00657425"/>
    <w:rsid w:val="006620CB"/>
    <w:rsid w:val="00664C3C"/>
    <w:rsid w:val="006652D0"/>
    <w:rsid w:val="006669F6"/>
    <w:rsid w:val="00666F20"/>
    <w:rsid w:val="00666F93"/>
    <w:rsid w:val="0067242E"/>
    <w:rsid w:val="006739B0"/>
    <w:rsid w:val="00673A92"/>
    <w:rsid w:val="00674601"/>
    <w:rsid w:val="0067583B"/>
    <w:rsid w:val="006771E1"/>
    <w:rsid w:val="00677BCC"/>
    <w:rsid w:val="0068156E"/>
    <w:rsid w:val="00681C52"/>
    <w:rsid w:val="00682133"/>
    <w:rsid w:val="0068307D"/>
    <w:rsid w:val="00684C9F"/>
    <w:rsid w:val="00685357"/>
    <w:rsid w:val="0068537F"/>
    <w:rsid w:val="00685B8C"/>
    <w:rsid w:val="006867F8"/>
    <w:rsid w:val="00686FA5"/>
    <w:rsid w:val="006919D7"/>
    <w:rsid w:val="006922F1"/>
    <w:rsid w:val="00692E5B"/>
    <w:rsid w:val="00695C1E"/>
    <w:rsid w:val="00696F7B"/>
    <w:rsid w:val="006A1476"/>
    <w:rsid w:val="006A4EFE"/>
    <w:rsid w:val="006A51E9"/>
    <w:rsid w:val="006A55B8"/>
    <w:rsid w:val="006A5860"/>
    <w:rsid w:val="006A7CE4"/>
    <w:rsid w:val="006B0233"/>
    <w:rsid w:val="006B0A82"/>
    <w:rsid w:val="006B19D5"/>
    <w:rsid w:val="006B2436"/>
    <w:rsid w:val="006B4AAE"/>
    <w:rsid w:val="006B4FAE"/>
    <w:rsid w:val="006C0224"/>
    <w:rsid w:val="006C0416"/>
    <w:rsid w:val="006C54A2"/>
    <w:rsid w:val="006C5636"/>
    <w:rsid w:val="006C602F"/>
    <w:rsid w:val="006C623B"/>
    <w:rsid w:val="006C63EC"/>
    <w:rsid w:val="006C6515"/>
    <w:rsid w:val="006C6882"/>
    <w:rsid w:val="006C7988"/>
    <w:rsid w:val="006D06B7"/>
    <w:rsid w:val="006D2412"/>
    <w:rsid w:val="006D59B4"/>
    <w:rsid w:val="006D6276"/>
    <w:rsid w:val="006E2246"/>
    <w:rsid w:val="006E402C"/>
    <w:rsid w:val="006E4215"/>
    <w:rsid w:val="006E5AFB"/>
    <w:rsid w:val="006E5EC5"/>
    <w:rsid w:val="006E72D3"/>
    <w:rsid w:val="006F50FB"/>
    <w:rsid w:val="006F67D3"/>
    <w:rsid w:val="0070105F"/>
    <w:rsid w:val="00701649"/>
    <w:rsid w:val="00702D78"/>
    <w:rsid w:val="00704809"/>
    <w:rsid w:val="00704DD3"/>
    <w:rsid w:val="00704E27"/>
    <w:rsid w:val="00705823"/>
    <w:rsid w:val="00705AAC"/>
    <w:rsid w:val="00710376"/>
    <w:rsid w:val="00710D4C"/>
    <w:rsid w:val="00712460"/>
    <w:rsid w:val="007132D8"/>
    <w:rsid w:val="00721770"/>
    <w:rsid w:val="00730494"/>
    <w:rsid w:val="00733199"/>
    <w:rsid w:val="00734AE6"/>
    <w:rsid w:val="007427DB"/>
    <w:rsid w:val="0074320E"/>
    <w:rsid w:val="0074417A"/>
    <w:rsid w:val="007453DC"/>
    <w:rsid w:val="00745A4B"/>
    <w:rsid w:val="00746168"/>
    <w:rsid w:val="00750266"/>
    <w:rsid w:val="0075307E"/>
    <w:rsid w:val="0075424A"/>
    <w:rsid w:val="0075464B"/>
    <w:rsid w:val="00755D7C"/>
    <w:rsid w:val="00756A41"/>
    <w:rsid w:val="00756B6D"/>
    <w:rsid w:val="0076146E"/>
    <w:rsid w:val="00762148"/>
    <w:rsid w:val="007621ED"/>
    <w:rsid w:val="00763808"/>
    <w:rsid w:val="007642BC"/>
    <w:rsid w:val="00764B40"/>
    <w:rsid w:val="00764E08"/>
    <w:rsid w:val="00767B37"/>
    <w:rsid w:val="00772172"/>
    <w:rsid w:val="0077261D"/>
    <w:rsid w:val="00773FE4"/>
    <w:rsid w:val="00774906"/>
    <w:rsid w:val="0077641E"/>
    <w:rsid w:val="00777D52"/>
    <w:rsid w:val="007800A2"/>
    <w:rsid w:val="0078125E"/>
    <w:rsid w:val="007818BC"/>
    <w:rsid w:val="00781968"/>
    <w:rsid w:val="007831A7"/>
    <w:rsid w:val="00784AE3"/>
    <w:rsid w:val="007902D9"/>
    <w:rsid w:val="00790B5F"/>
    <w:rsid w:val="007938F7"/>
    <w:rsid w:val="00793F67"/>
    <w:rsid w:val="007942CB"/>
    <w:rsid w:val="00795AE9"/>
    <w:rsid w:val="007A047D"/>
    <w:rsid w:val="007A04C4"/>
    <w:rsid w:val="007A334F"/>
    <w:rsid w:val="007A3F70"/>
    <w:rsid w:val="007A4739"/>
    <w:rsid w:val="007A4EF4"/>
    <w:rsid w:val="007A5A5E"/>
    <w:rsid w:val="007A626F"/>
    <w:rsid w:val="007A6766"/>
    <w:rsid w:val="007A6E7B"/>
    <w:rsid w:val="007B047C"/>
    <w:rsid w:val="007B2949"/>
    <w:rsid w:val="007B5C8E"/>
    <w:rsid w:val="007B6BBF"/>
    <w:rsid w:val="007B759C"/>
    <w:rsid w:val="007B77AB"/>
    <w:rsid w:val="007C06D0"/>
    <w:rsid w:val="007C0814"/>
    <w:rsid w:val="007C0F96"/>
    <w:rsid w:val="007C3962"/>
    <w:rsid w:val="007C5340"/>
    <w:rsid w:val="007C74CA"/>
    <w:rsid w:val="007D1A84"/>
    <w:rsid w:val="007D30CA"/>
    <w:rsid w:val="007D39B8"/>
    <w:rsid w:val="007D5A5C"/>
    <w:rsid w:val="007D7EAD"/>
    <w:rsid w:val="007E1CA0"/>
    <w:rsid w:val="007E37F5"/>
    <w:rsid w:val="007E4074"/>
    <w:rsid w:val="007E65E1"/>
    <w:rsid w:val="007E6660"/>
    <w:rsid w:val="007E791F"/>
    <w:rsid w:val="007F10CE"/>
    <w:rsid w:val="007F1482"/>
    <w:rsid w:val="007F2445"/>
    <w:rsid w:val="007F5574"/>
    <w:rsid w:val="007F652E"/>
    <w:rsid w:val="00802F7C"/>
    <w:rsid w:val="00805110"/>
    <w:rsid w:val="0080556A"/>
    <w:rsid w:val="0081055B"/>
    <w:rsid w:val="00811833"/>
    <w:rsid w:val="00813672"/>
    <w:rsid w:val="00813B3C"/>
    <w:rsid w:val="00814F12"/>
    <w:rsid w:val="008167FD"/>
    <w:rsid w:val="00820817"/>
    <w:rsid w:val="0082166E"/>
    <w:rsid w:val="008218AA"/>
    <w:rsid w:val="0082223E"/>
    <w:rsid w:val="00822786"/>
    <w:rsid w:val="0082353F"/>
    <w:rsid w:val="008273B5"/>
    <w:rsid w:val="00830782"/>
    <w:rsid w:val="00833742"/>
    <w:rsid w:val="00833BC9"/>
    <w:rsid w:val="00835BB1"/>
    <w:rsid w:val="00835BF1"/>
    <w:rsid w:val="00836FBE"/>
    <w:rsid w:val="0083710D"/>
    <w:rsid w:val="008413F7"/>
    <w:rsid w:val="0084346B"/>
    <w:rsid w:val="008456A7"/>
    <w:rsid w:val="008467C1"/>
    <w:rsid w:val="00853A09"/>
    <w:rsid w:val="00855EF9"/>
    <w:rsid w:val="008562D8"/>
    <w:rsid w:val="00856921"/>
    <w:rsid w:val="00857F38"/>
    <w:rsid w:val="00857FCF"/>
    <w:rsid w:val="00860838"/>
    <w:rsid w:val="0086087B"/>
    <w:rsid w:val="008673DA"/>
    <w:rsid w:val="00870787"/>
    <w:rsid w:val="00872B85"/>
    <w:rsid w:val="00880F3C"/>
    <w:rsid w:val="008813CF"/>
    <w:rsid w:val="008837CB"/>
    <w:rsid w:val="00886506"/>
    <w:rsid w:val="00891A67"/>
    <w:rsid w:val="00897763"/>
    <w:rsid w:val="00897AA4"/>
    <w:rsid w:val="00897AF2"/>
    <w:rsid w:val="008A0962"/>
    <w:rsid w:val="008A1247"/>
    <w:rsid w:val="008A149B"/>
    <w:rsid w:val="008A2032"/>
    <w:rsid w:val="008A49A6"/>
    <w:rsid w:val="008A5D55"/>
    <w:rsid w:val="008B0F91"/>
    <w:rsid w:val="008B34BA"/>
    <w:rsid w:val="008B35BD"/>
    <w:rsid w:val="008B44F9"/>
    <w:rsid w:val="008B796B"/>
    <w:rsid w:val="008C289B"/>
    <w:rsid w:val="008C2E36"/>
    <w:rsid w:val="008C528B"/>
    <w:rsid w:val="008C6A06"/>
    <w:rsid w:val="008C6D0E"/>
    <w:rsid w:val="008C71D4"/>
    <w:rsid w:val="008D2225"/>
    <w:rsid w:val="008D2331"/>
    <w:rsid w:val="008D277A"/>
    <w:rsid w:val="008D2E13"/>
    <w:rsid w:val="008D3F78"/>
    <w:rsid w:val="008D7533"/>
    <w:rsid w:val="008D7B73"/>
    <w:rsid w:val="008E1DE8"/>
    <w:rsid w:val="008E6FDA"/>
    <w:rsid w:val="008E7DCC"/>
    <w:rsid w:val="008F3DDC"/>
    <w:rsid w:val="008F56A7"/>
    <w:rsid w:val="008F681F"/>
    <w:rsid w:val="008F764F"/>
    <w:rsid w:val="00901F40"/>
    <w:rsid w:val="009026B6"/>
    <w:rsid w:val="00902AB5"/>
    <w:rsid w:val="009040F4"/>
    <w:rsid w:val="009054AD"/>
    <w:rsid w:val="0090673F"/>
    <w:rsid w:val="0091142D"/>
    <w:rsid w:val="00913ACD"/>
    <w:rsid w:val="00914A13"/>
    <w:rsid w:val="00915887"/>
    <w:rsid w:val="00917045"/>
    <w:rsid w:val="0091715D"/>
    <w:rsid w:val="00920435"/>
    <w:rsid w:val="00921029"/>
    <w:rsid w:val="00921BC4"/>
    <w:rsid w:val="00923DA8"/>
    <w:rsid w:val="00924C17"/>
    <w:rsid w:val="009253D3"/>
    <w:rsid w:val="00934CAA"/>
    <w:rsid w:val="00936925"/>
    <w:rsid w:val="00942BCB"/>
    <w:rsid w:val="00943CC6"/>
    <w:rsid w:val="00945CB8"/>
    <w:rsid w:val="00945E05"/>
    <w:rsid w:val="0094654F"/>
    <w:rsid w:val="0094656F"/>
    <w:rsid w:val="009503F3"/>
    <w:rsid w:val="00951373"/>
    <w:rsid w:val="00953294"/>
    <w:rsid w:val="009548FC"/>
    <w:rsid w:val="00957D3C"/>
    <w:rsid w:val="00960A16"/>
    <w:rsid w:val="00960B86"/>
    <w:rsid w:val="00960F2C"/>
    <w:rsid w:val="009617ED"/>
    <w:rsid w:val="00962582"/>
    <w:rsid w:val="00962636"/>
    <w:rsid w:val="00962984"/>
    <w:rsid w:val="00962AA3"/>
    <w:rsid w:val="00965529"/>
    <w:rsid w:val="00965711"/>
    <w:rsid w:val="009737C5"/>
    <w:rsid w:val="00973824"/>
    <w:rsid w:val="00974686"/>
    <w:rsid w:val="00975966"/>
    <w:rsid w:val="00977197"/>
    <w:rsid w:val="00981252"/>
    <w:rsid w:val="009814FC"/>
    <w:rsid w:val="00983D55"/>
    <w:rsid w:val="00985EFB"/>
    <w:rsid w:val="00986FA3"/>
    <w:rsid w:val="009911C9"/>
    <w:rsid w:val="009921F3"/>
    <w:rsid w:val="009924CF"/>
    <w:rsid w:val="0099340E"/>
    <w:rsid w:val="00996DC7"/>
    <w:rsid w:val="009A0400"/>
    <w:rsid w:val="009A3065"/>
    <w:rsid w:val="009A54BD"/>
    <w:rsid w:val="009A6E05"/>
    <w:rsid w:val="009A71D0"/>
    <w:rsid w:val="009B0089"/>
    <w:rsid w:val="009B28C6"/>
    <w:rsid w:val="009B3107"/>
    <w:rsid w:val="009C0425"/>
    <w:rsid w:val="009C0857"/>
    <w:rsid w:val="009C1738"/>
    <w:rsid w:val="009C1E28"/>
    <w:rsid w:val="009C2140"/>
    <w:rsid w:val="009C2520"/>
    <w:rsid w:val="009C3476"/>
    <w:rsid w:val="009C4DD4"/>
    <w:rsid w:val="009C5BDA"/>
    <w:rsid w:val="009D00ED"/>
    <w:rsid w:val="009D0FC2"/>
    <w:rsid w:val="009D1B6A"/>
    <w:rsid w:val="009D1F32"/>
    <w:rsid w:val="009D5152"/>
    <w:rsid w:val="009D56A0"/>
    <w:rsid w:val="009D5B6D"/>
    <w:rsid w:val="009D6806"/>
    <w:rsid w:val="009D7B2B"/>
    <w:rsid w:val="009E00D8"/>
    <w:rsid w:val="009E0B16"/>
    <w:rsid w:val="009E1D78"/>
    <w:rsid w:val="009E1E91"/>
    <w:rsid w:val="009E2007"/>
    <w:rsid w:val="009E71FB"/>
    <w:rsid w:val="009F0108"/>
    <w:rsid w:val="009F0170"/>
    <w:rsid w:val="009F19E9"/>
    <w:rsid w:val="009F3C14"/>
    <w:rsid w:val="009F4037"/>
    <w:rsid w:val="009F4736"/>
    <w:rsid w:val="009F53F1"/>
    <w:rsid w:val="009F6016"/>
    <w:rsid w:val="00A000E8"/>
    <w:rsid w:val="00A05458"/>
    <w:rsid w:val="00A05F17"/>
    <w:rsid w:val="00A100FA"/>
    <w:rsid w:val="00A14AB3"/>
    <w:rsid w:val="00A14EF2"/>
    <w:rsid w:val="00A210F1"/>
    <w:rsid w:val="00A23FFB"/>
    <w:rsid w:val="00A25D52"/>
    <w:rsid w:val="00A264E2"/>
    <w:rsid w:val="00A2672A"/>
    <w:rsid w:val="00A330D5"/>
    <w:rsid w:val="00A348B0"/>
    <w:rsid w:val="00A34C60"/>
    <w:rsid w:val="00A36E29"/>
    <w:rsid w:val="00A37C1B"/>
    <w:rsid w:val="00A37C73"/>
    <w:rsid w:val="00A40999"/>
    <w:rsid w:val="00A427C5"/>
    <w:rsid w:val="00A436F9"/>
    <w:rsid w:val="00A4393A"/>
    <w:rsid w:val="00A458ED"/>
    <w:rsid w:val="00A46499"/>
    <w:rsid w:val="00A52779"/>
    <w:rsid w:val="00A52B3B"/>
    <w:rsid w:val="00A5578D"/>
    <w:rsid w:val="00A5662B"/>
    <w:rsid w:val="00A571D7"/>
    <w:rsid w:val="00A579AD"/>
    <w:rsid w:val="00A57BC2"/>
    <w:rsid w:val="00A60F73"/>
    <w:rsid w:val="00A61249"/>
    <w:rsid w:val="00A638C7"/>
    <w:rsid w:val="00A6716C"/>
    <w:rsid w:val="00A721B4"/>
    <w:rsid w:val="00A7732C"/>
    <w:rsid w:val="00A812D8"/>
    <w:rsid w:val="00A81F14"/>
    <w:rsid w:val="00A83D12"/>
    <w:rsid w:val="00A860B9"/>
    <w:rsid w:val="00A8636D"/>
    <w:rsid w:val="00A863D8"/>
    <w:rsid w:val="00A86BA8"/>
    <w:rsid w:val="00A87875"/>
    <w:rsid w:val="00A87E3F"/>
    <w:rsid w:val="00A904CD"/>
    <w:rsid w:val="00A90B72"/>
    <w:rsid w:val="00A9126B"/>
    <w:rsid w:val="00A93FD2"/>
    <w:rsid w:val="00A9706D"/>
    <w:rsid w:val="00AA1858"/>
    <w:rsid w:val="00AA2E18"/>
    <w:rsid w:val="00AA73C8"/>
    <w:rsid w:val="00AA7737"/>
    <w:rsid w:val="00AB4431"/>
    <w:rsid w:val="00AB6025"/>
    <w:rsid w:val="00AB794E"/>
    <w:rsid w:val="00AC0D37"/>
    <w:rsid w:val="00AC22DC"/>
    <w:rsid w:val="00AC40A2"/>
    <w:rsid w:val="00AC5755"/>
    <w:rsid w:val="00AC5F6B"/>
    <w:rsid w:val="00AD15A1"/>
    <w:rsid w:val="00AD1ECD"/>
    <w:rsid w:val="00AD226B"/>
    <w:rsid w:val="00AD29A3"/>
    <w:rsid w:val="00AD2F66"/>
    <w:rsid w:val="00AD43AD"/>
    <w:rsid w:val="00AD5DC1"/>
    <w:rsid w:val="00AD5ED3"/>
    <w:rsid w:val="00AD71BD"/>
    <w:rsid w:val="00AE2DAC"/>
    <w:rsid w:val="00AE3DBF"/>
    <w:rsid w:val="00AE5375"/>
    <w:rsid w:val="00AF11B3"/>
    <w:rsid w:val="00AF16D4"/>
    <w:rsid w:val="00AF33B6"/>
    <w:rsid w:val="00AF3534"/>
    <w:rsid w:val="00AF49D8"/>
    <w:rsid w:val="00AF5392"/>
    <w:rsid w:val="00AF5AA9"/>
    <w:rsid w:val="00AF69F4"/>
    <w:rsid w:val="00B01376"/>
    <w:rsid w:val="00B01C8B"/>
    <w:rsid w:val="00B03580"/>
    <w:rsid w:val="00B03DCD"/>
    <w:rsid w:val="00B03F09"/>
    <w:rsid w:val="00B06231"/>
    <w:rsid w:val="00B0663D"/>
    <w:rsid w:val="00B072A8"/>
    <w:rsid w:val="00B10971"/>
    <w:rsid w:val="00B14795"/>
    <w:rsid w:val="00B14BB2"/>
    <w:rsid w:val="00B14EDF"/>
    <w:rsid w:val="00B20338"/>
    <w:rsid w:val="00B20668"/>
    <w:rsid w:val="00B20E6D"/>
    <w:rsid w:val="00B27986"/>
    <w:rsid w:val="00B30862"/>
    <w:rsid w:val="00B31F3D"/>
    <w:rsid w:val="00B32DA0"/>
    <w:rsid w:val="00B345A4"/>
    <w:rsid w:val="00B34932"/>
    <w:rsid w:val="00B40482"/>
    <w:rsid w:val="00B40953"/>
    <w:rsid w:val="00B41CD2"/>
    <w:rsid w:val="00B4466B"/>
    <w:rsid w:val="00B46A1B"/>
    <w:rsid w:val="00B46DBF"/>
    <w:rsid w:val="00B474E3"/>
    <w:rsid w:val="00B5187F"/>
    <w:rsid w:val="00B52F84"/>
    <w:rsid w:val="00B53074"/>
    <w:rsid w:val="00B53BA4"/>
    <w:rsid w:val="00B540E6"/>
    <w:rsid w:val="00B60AB7"/>
    <w:rsid w:val="00B61C23"/>
    <w:rsid w:val="00B6493C"/>
    <w:rsid w:val="00B64EBF"/>
    <w:rsid w:val="00B666A6"/>
    <w:rsid w:val="00B6793A"/>
    <w:rsid w:val="00B7032F"/>
    <w:rsid w:val="00B709B3"/>
    <w:rsid w:val="00B7253F"/>
    <w:rsid w:val="00B76482"/>
    <w:rsid w:val="00B83277"/>
    <w:rsid w:val="00B83831"/>
    <w:rsid w:val="00B85264"/>
    <w:rsid w:val="00B868BB"/>
    <w:rsid w:val="00B870D5"/>
    <w:rsid w:val="00B90920"/>
    <w:rsid w:val="00B90A02"/>
    <w:rsid w:val="00B90F7D"/>
    <w:rsid w:val="00B91476"/>
    <w:rsid w:val="00B91749"/>
    <w:rsid w:val="00B91962"/>
    <w:rsid w:val="00B91EFF"/>
    <w:rsid w:val="00B940B4"/>
    <w:rsid w:val="00B9547B"/>
    <w:rsid w:val="00B97A61"/>
    <w:rsid w:val="00BA0E96"/>
    <w:rsid w:val="00BA3291"/>
    <w:rsid w:val="00BA5044"/>
    <w:rsid w:val="00BB06EC"/>
    <w:rsid w:val="00BB659A"/>
    <w:rsid w:val="00BB65B4"/>
    <w:rsid w:val="00BB75E7"/>
    <w:rsid w:val="00BC2A26"/>
    <w:rsid w:val="00BC32BD"/>
    <w:rsid w:val="00BD02D0"/>
    <w:rsid w:val="00BD055E"/>
    <w:rsid w:val="00BD06AD"/>
    <w:rsid w:val="00BD1BC4"/>
    <w:rsid w:val="00BD22AA"/>
    <w:rsid w:val="00BD319B"/>
    <w:rsid w:val="00BD3AF3"/>
    <w:rsid w:val="00BD6385"/>
    <w:rsid w:val="00BD78E0"/>
    <w:rsid w:val="00BD7B05"/>
    <w:rsid w:val="00BE059A"/>
    <w:rsid w:val="00BE0C44"/>
    <w:rsid w:val="00BE1759"/>
    <w:rsid w:val="00BE38A5"/>
    <w:rsid w:val="00BE3AA1"/>
    <w:rsid w:val="00BE3F2D"/>
    <w:rsid w:val="00BE4173"/>
    <w:rsid w:val="00BE5230"/>
    <w:rsid w:val="00BE75BF"/>
    <w:rsid w:val="00BE7760"/>
    <w:rsid w:val="00BF23A3"/>
    <w:rsid w:val="00BF26A3"/>
    <w:rsid w:val="00BF42C8"/>
    <w:rsid w:val="00BF47A2"/>
    <w:rsid w:val="00BF49B3"/>
    <w:rsid w:val="00BF4B76"/>
    <w:rsid w:val="00BF7315"/>
    <w:rsid w:val="00C03449"/>
    <w:rsid w:val="00C042CE"/>
    <w:rsid w:val="00C05579"/>
    <w:rsid w:val="00C05A82"/>
    <w:rsid w:val="00C06873"/>
    <w:rsid w:val="00C06998"/>
    <w:rsid w:val="00C106BE"/>
    <w:rsid w:val="00C13729"/>
    <w:rsid w:val="00C175C9"/>
    <w:rsid w:val="00C20180"/>
    <w:rsid w:val="00C20285"/>
    <w:rsid w:val="00C20D7F"/>
    <w:rsid w:val="00C24DC7"/>
    <w:rsid w:val="00C258CD"/>
    <w:rsid w:val="00C25FC6"/>
    <w:rsid w:val="00C27BEB"/>
    <w:rsid w:val="00C315CF"/>
    <w:rsid w:val="00C31692"/>
    <w:rsid w:val="00C31718"/>
    <w:rsid w:val="00C329FB"/>
    <w:rsid w:val="00C33364"/>
    <w:rsid w:val="00C34395"/>
    <w:rsid w:val="00C350BA"/>
    <w:rsid w:val="00C352DD"/>
    <w:rsid w:val="00C36031"/>
    <w:rsid w:val="00C36435"/>
    <w:rsid w:val="00C3751E"/>
    <w:rsid w:val="00C40345"/>
    <w:rsid w:val="00C40541"/>
    <w:rsid w:val="00C414F1"/>
    <w:rsid w:val="00C4279F"/>
    <w:rsid w:val="00C437CB"/>
    <w:rsid w:val="00C43C88"/>
    <w:rsid w:val="00C44A0F"/>
    <w:rsid w:val="00C4540A"/>
    <w:rsid w:val="00C46236"/>
    <w:rsid w:val="00C46541"/>
    <w:rsid w:val="00C46A49"/>
    <w:rsid w:val="00C4756D"/>
    <w:rsid w:val="00C50323"/>
    <w:rsid w:val="00C512AA"/>
    <w:rsid w:val="00C51D8E"/>
    <w:rsid w:val="00C52899"/>
    <w:rsid w:val="00C57BC4"/>
    <w:rsid w:val="00C61715"/>
    <w:rsid w:val="00C63303"/>
    <w:rsid w:val="00C63501"/>
    <w:rsid w:val="00C64EFF"/>
    <w:rsid w:val="00C6516E"/>
    <w:rsid w:val="00C65520"/>
    <w:rsid w:val="00C65788"/>
    <w:rsid w:val="00C659A7"/>
    <w:rsid w:val="00C6606A"/>
    <w:rsid w:val="00C6670C"/>
    <w:rsid w:val="00C67D84"/>
    <w:rsid w:val="00C71613"/>
    <w:rsid w:val="00C7196E"/>
    <w:rsid w:val="00C721F5"/>
    <w:rsid w:val="00C72D73"/>
    <w:rsid w:val="00C73AF8"/>
    <w:rsid w:val="00C7467F"/>
    <w:rsid w:val="00C74E36"/>
    <w:rsid w:val="00C76505"/>
    <w:rsid w:val="00C76952"/>
    <w:rsid w:val="00C800E6"/>
    <w:rsid w:val="00C8128E"/>
    <w:rsid w:val="00C82DB7"/>
    <w:rsid w:val="00C854F0"/>
    <w:rsid w:val="00C862AE"/>
    <w:rsid w:val="00C862BA"/>
    <w:rsid w:val="00C92179"/>
    <w:rsid w:val="00C92AB9"/>
    <w:rsid w:val="00C92C8D"/>
    <w:rsid w:val="00C93FC7"/>
    <w:rsid w:val="00C948F5"/>
    <w:rsid w:val="00C95137"/>
    <w:rsid w:val="00C9711E"/>
    <w:rsid w:val="00CA1434"/>
    <w:rsid w:val="00CA2A33"/>
    <w:rsid w:val="00CA2F8E"/>
    <w:rsid w:val="00CA3C54"/>
    <w:rsid w:val="00CA5AEB"/>
    <w:rsid w:val="00CA6FBE"/>
    <w:rsid w:val="00CA776B"/>
    <w:rsid w:val="00CB030B"/>
    <w:rsid w:val="00CB0F45"/>
    <w:rsid w:val="00CB19D7"/>
    <w:rsid w:val="00CB28A9"/>
    <w:rsid w:val="00CB42A4"/>
    <w:rsid w:val="00CB430F"/>
    <w:rsid w:val="00CB6176"/>
    <w:rsid w:val="00CC0D61"/>
    <w:rsid w:val="00CC5824"/>
    <w:rsid w:val="00CC6633"/>
    <w:rsid w:val="00CC6BF0"/>
    <w:rsid w:val="00CC7B29"/>
    <w:rsid w:val="00CD1F38"/>
    <w:rsid w:val="00CD33AA"/>
    <w:rsid w:val="00CD51EF"/>
    <w:rsid w:val="00CD5DDE"/>
    <w:rsid w:val="00CE2E50"/>
    <w:rsid w:val="00CE54F8"/>
    <w:rsid w:val="00CE6309"/>
    <w:rsid w:val="00CE77FD"/>
    <w:rsid w:val="00CE7963"/>
    <w:rsid w:val="00CF24B0"/>
    <w:rsid w:val="00CF2BFD"/>
    <w:rsid w:val="00CF3E7F"/>
    <w:rsid w:val="00CF5D16"/>
    <w:rsid w:val="00CF5D31"/>
    <w:rsid w:val="00CF7274"/>
    <w:rsid w:val="00D0177F"/>
    <w:rsid w:val="00D04476"/>
    <w:rsid w:val="00D04A6B"/>
    <w:rsid w:val="00D10707"/>
    <w:rsid w:val="00D11B29"/>
    <w:rsid w:val="00D11E83"/>
    <w:rsid w:val="00D12E1A"/>
    <w:rsid w:val="00D13E60"/>
    <w:rsid w:val="00D14608"/>
    <w:rsid w:val="00D15A4D"/>
    <w:rsid w:val="00D1652D"/>
    <w:rsid w:val="00D16601"/>
    <w:rsid w:val="00D17246"/>
    <w:rsid w:val="00D204DB"/>
    <w:rsid w:val="00D20A7B"/>
    <w:rsid w:val="00D232DB"/>
    <w:rsid w:val="00D25C2D"/>
    <w:rsid w:val="00D30C5E"/>
    <w:rsid w:val="00D31FE9"/>
    <w:rsid w:val="00D32DD0"/>
    <w:rsid w:val="00D34E1E"/>
    <w:rsid w:val="00D364AB"/>
    <w:rsid w:val="00D36A92"/>
    <w:rsid w:val="00D37060"/>
    <w:rsid w:val="00D37132"/>
    <w:rsid w:val="00D4233B"/>
    <w:rsid w:val="00D42A1F"/>
    <w:rsid w:val="00D438A2"/>
    <w:rsid w:val="00D46514"/>
    <w:rsid w:val="00D47030"/>
    <w:rsid w:val="00D4740F"/>
    <w:rsid w:val="00D47435"/>
    <w:rsid w:val="00D478F8"/>
    <w:rsid w:val="00D51F09"/>
    <w:rsid w:val="00D55345"/>
    <w:rsid w:val="00D55B2E"/>
    <w:rsid w:val="00D608F0"/>
    <w:rsid w:val="00D617C7"/>
    <w:rsid w:val="00D62F95"/>
    <w:rsid w:val="00D632C1"/>
    <w:rsid w:val="00D63591"/>
    <w:rsid w:val="00D74853"/>
    <w:rsid w:val="00D80AD6"/>
    <w:rsid w:val="00D87390"/>
    <w:rsid w:val="00D873D8"/>
    <w:rsid w:val="00D917D1"/>
    <w:rsid w:val="00D93A2C"/>
    <w:rsid w:val="00D95362"/>
    <w:rsid w:val="00D9541C"/>
    <w:rsid w:val="00D96A23"/>
    <w:rsid w:val="00D97875"/>
    <w:rsid w:val="00D97A21"/>
    <w:rsid w:val="00DA1D9E"/>
    <w:rsid w:val="00DA2935"/>
    <w:rsid w:val="00DA2A25"/>
    <w:rsid w:val="00DA4AAC"/>
    <w:rsid w:val="00DA5094"/>
    <w:rsid w:val="00DA570D"/>
    <w:rsid w:val="00DB0244"/>
    <w:rsid w:val="00DB0F60"/>
    <w:rsid w:val="00DB1F46"/>
    <w:rsid w:val="00DB368B"/>
    <w:rsid w:val="00DB6942"/>
    <w:rsid w:val="00DB7CB8"/>
    <w:rsid w:val="00DB7FB9"/>
    <w:rsid w:val="00DC09A8"/>
    <w:rsid w:val="00DC0F67"/>
    <w:rsid w:val="00DC2303"/>
    <w:rsid w:val="00DC4BB3"/>
    <w:rsid w:val="00DC6308"/>
    <w:rsid w:val="00DC6AAF"/>
    <w:rsid w:val="00DC7D7D"/>
    <w:rsid w:val="00DC7D85"/>
    <w:rsid w:val="00DD1158"/>
    <w:rsid w:val="00DD1455"/>
    <w:rsid w:val="00DD44EB"/>
    <w:rsid w:val="00DD452D"/>
    <w:rsid w:val="00DD49E0"/>
    <w:rsid w:val="00DD65B6"/>
    <w:rsid w:val="00DD6B67"/>
    <w:rsid w:val="00DE1794"/>
    <w:rsid w:val="00DE2B95"/>
    <w:rsid w:val="00DE2BC4"/>
    <w:rsid w:val="00DE574A"/>
    <w:rsid w:val="00DE6212"/>
    <w:rsid w:val="00DE7979"/>
    <w:rsid w:val="00DF156C"/>
    <w:rsid w:val="00DF2708"/>
    <w:rsid w:val="00DF345B"/>
    <w:rsid w:val="00E00117"/>
    <w:rsid w:val="00E00A67"/>
    <w:rsid w:val="00E00E66"/>
    <w:rsid w:val="00E015A9"/>
    <w:rsid w:val="00E01782"/>
    <w:rsid w:val="00E02262"/>
    <w:rsid w:val="00E02C34"/>
    <w:rsid w:val="00E02D42"/>
    <w:rsid w:val="00E03E18"/>
    <w:rsid w:val="00E05025"/>
    <w:rsid w:val="00E050DB"/>
    <w:rsid w:val="00E07778"/>
    <w:rsid w:val="00E11362"/>
    <w:rsid w:val="00E1200B"/>
    <w:rsid w:val="00E12ECE"/>
    <w:rsid w:val="00E13AF8"/>
    <w:rsid w:val="00E15484"/>
    <w:rsid w:val="00E15728"/>
    <w:rsid w:val="00E15D70"/>
    <w:rsid w:val="00E15D9A"/>
    <w:rsid w:val="00E2072A"/>
    <w:rsid w:val="00E20B3B"/>
    <w:rsid w:val="00E26663"/>
    <w:rsid w:val="00E32446"/>
    <w:rsid w:val="00E32760"/>
    <w:rsid w:val="00E3405E"/>
    <w:rsid w:val="00E34199"/>
    <w:rsid w:val="00E34266"/>
    <w:rsid w:val="00E351ED"/>
    <w:rsid w:val="00E35989"/>
    <w:rsid w:val="00E370BC"/>
    <w:rsid w:val="00E4258A"/>
    <w:rsid w:val="00E42BA6"/>
    <w:rsid w:val="00E42D96"/>
    <w:rsid w:val="00E4534B"/>
    <w:rsid w:val="00E52C7B"/>
    <w:rsid w:val="00E53987"/>
    <w:rsid w:val="00E53FD8"/>
    <w:rsid w:val="00E53FF7"/>
    <w:rsid w:val="00E55964"/>
    <w:rsid w:val="00E60F65"/>
    <w:rsid w:val="00E614FB"/>
    <w:rsid w:val="00E62B0F"/>
    <w:rsid w:val="00E67834"/>
    <w:rsid w:val="00E715ED"/>
    <w:rsid w:val="00E721BE"/>
    <w:rsid w:val="00E72C94"/>
    <w:rsid w:val="00E73E02"/>
    <w:rsid w:val="00E76B16"/>
    <w:rsid w:val="00E76F9A"/>
    <w:rsid w:val="00E80C40"/>
    <w:rsid w:val="00E846D6"/>
    <w:rsid w:val="00E855ED"/>
    <w:rsid w:val="00E85D19"/>
    <w:rsid w:val="00E8622A"/>
    <w:rsid w:val="00E90584"/>
    <w:rsid w:val="00E90B08"/>
    <w:rsid w:val="00E90D13"/>
    <w:rsid w:val="00E912A1"/>
    <w:rsid w:val="00E91A17"/>
    <w:rsid w:val="00E92C93"/>
    <w:rsid w:val="00E9328F"/>
    <w:rsid w:val="00E9357E"/>
    <w:rsid w:val="00E94596"/>
    <w:rsid w:val="00E94E0F"/>
    <w:rsid w:val="00E95817"/>
    <w:rsid w:val="00E96182"/>
    <w:rsid w:val="00EA0C6D"/>
    <w:rsid w:val="00EA6463"/>
    <w:rsid w:val="00EB4B5B"/>
    <w:rsid w:val="00EB5F61"/>
    <w:rsid w:val="00EB757E"/>
    <w:rsid w:val="00EC077D"/>
    <w:rsid w:val="00EC0C17"/>
    <w:rsid w:val="00EC3AA0"/>
    <w:rsid w:val="00EC71D8"/>
    <w:rsid w:val="00EC74C2"/>
    <w:rsid w:val="00ED363F"/>
    <w:rsid w:val="00ED4E5F"/>
    <w:rsid w:val="00ED78BF"/>
    <w:rsid w:val="00ED7A8E"/>
    <w:rsid w:val="00EE1347"/>
    <w:rsid w:val="00EE15CB"/>
    <w:rsid w:val="00EE3694"/>
    <w:rsid w:val="00EE5175"/>
    <w:rsid w:val="00EF230B"/>
    <w:rsid w:val="00EF2AA9"/>
    <w:rsid w:val="00EF44C9"/>
    <w:rsid w:val="00F00684"/>
    <w:rsid w:val="00F02923"/>
    <w:rsid w:val="00F047A5"/>
    <w:rsid w:val="00F05716"/>
    <w:rsid w:val="00F0656E"/>
    <w:rsid w:val="00F065FD"/>
    <w:rsid w:val="00F06814"/>
    <w:rsid w:val="00F0793C"/>
    <w:rsid w:val="00F1132E"/>
    <w:rsid w:val="00F13525"/>
    <w:rsid w:val="00F1501E"/>
    <w:rsid w:val="00F15A1B"/>
    <w:rsid w:val="00F16115"/>
    <w:rsid w:val="00F174A8"/>
    <w:rsid w:val="00F203A8"/>
    <w:rsid w:val="00F21487"/>
    <w:rsid w:val="00F21F21"/>
    <w:rsid w:val="00F25A1B"/>
    <w:rsid w:val="00F268BE"/>
    <w:rsid w:val="00F27392"/>
    <w:rsid w:val="00F335A7"/>
    <w:rsid w:val="00F357C2"/>
    <w:rsid w:val="00F37B17"/>
    <w:rsid w:val="00F4184B"/>
    <w:rsid w:val="00F4186C"/>
    <w:rsid w:val="00F43822"/>
    <w:rsid w:val="00F43902"/>
    <w:rsid w:val="00F441EB"/>
    <w:rsid w:val="00F444B8"/>
    <w:rsid w:val="00F45362"/>
    <w:rsid w:val="00F464A2"/>
    <w:rsid w:val="00F46F2B"/>
    <w:rsid w:val="00F51569"/>
    <w:rsid w:val="00F51DDE"/>
    <w:rsid w:val="00F5239A"/>
    <w:rsid w:val="00F52B46"/>
    <w:rsid w:val="00F54D30"/>
    <w:rsid w:val="00F56633"/>
    <w:rsid w:val="00F603A7"/>
    <w:rsid w:val="00F61173"/>
    <w:rsid w:val="00F62967"/>
    <w:rsid w:val="00F633AC"/>
    <w:rsid w:val="00F6594B"/>
    <w:rsid w:val="00F660AF"/>
    <w:rsid w:val="00F718B6"/>
    <w:rsid w:val="00F71C2D"/>
    <w:rsid w:val="00F72512"/>
    <w:rsid w:val="00F72BAA"/>
    <w:rsid w:val="00F77719"/>
    <w:rsid w:val="00F778C1"/>
    <w:rsid w:val="00F81B4E"/>
    <w:rsid w:val="00F82211"/>
    <w:rsid w:val="00F82F25"/>
    <w:rsid w:val="00F84579"/>
    <w:rsid w:val="00F85024"/>
    <w:rsid w:val="00F86E25"/>
    <w:rsid w:val="00F86ECA"/>
    <w:rsid w:val="00F87DF1"/>
    <w:rsid w:val="00F92199"/>
    <w:rsid w:val="00F9290F"/>
    <w:rsid w:val="00F94E0E"/>
    <w:rsid w:val="00FA104B"/>
    <w:rsid w:val="00FA28CE"/>
    <w:rsid w:val="00FA2D62"/>
    <w:rsid w:val="00FA31D1"/>
    <w:rsid w:val="00FA33DD"/>
    <w:rsid w:val="00FA4EDE"/>
    <w:rsid w:val="00FA50F4"/>
    <w:rsid w:val="00FA5985"/>
    <w:rsid w:val="00FA753C"/>
    <w:rsid w:val="00FA7604"/>
    <w:rsid w:val="00FA78B8"/>
    <w:rsid w:val="00FA7BCD"/>
    <w:rsid w:val="00FB4195"/>
    <w:rsid w:val="00FB43BD"/>
    <w:rsid w:val="00FB4AF7"/>
    <w:rsid w:val="00FB53CD"/>
    <w:rsid w:val="00FB6D8E"/>
    <w:rsid w:val="00FC23D8"/>
    <w:rsid w:val="00FC312F"/>
    <w:rsid w:val="00FC5EDE"/>
    <w:rsid w:val="00FC789C"/>
    <w:rsid w:val="00FC7A4C"/>
    <w:rsid w:val="00FC7D0B"/>
    <w:rsid w:val="00FD13F3"/>
    <w:rsid w:val="00FD2324"/>
    <w:rsid w:val="00FD3FC6"/>
    <w:rsid w:val="00FD440C"/>
    <w:rsid w:val="00FD4CF3"/>
    <w:rsid w:val="00FE12C0"/>
    <w:rsid w:val="00FE3526"/>
    <w:rsid w:val="00FE4F9C"/>
    <w:rsid w:val="00FE5B88"/>
    <w:rsid w:val="00FE6211"/>
    <w:rsid w:val="00FF0178"/>
    <w:rsid w:val="00FF26C5"/>
    <w:rsid w:val="00FF28C6"/>
    <w:rsid w:val="00FF34D6"/>
    <w:rsid w:val="00FF3E19"/>
    <w:rsid w:val="00FF64A3"/>
    <w:rsid w:val="00FF66E1"/>
    <w:rsid w:val="00FF673C"/>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3BC36"/>
  <w15:chartTrackingRefBased/>
  <w15:docId w15:val="{3B59F25A-3B2C-4E47-93AD-32CD8741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2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22F"/>
    <w:pPr>
      <w:tabs>
        <w:tab w:val="center" w:pos="4513"/>
        <w:tab w:val="right" w:pos="9026"/>
      </w:tabs>
    </w:pPr>
  </w:style>
  <w:style w:type="character" w:customStyle="1" w:styleId="FooterChar">
    <w:name w:val="Footer Char"/>
    <w:basedOn w:val="DefaultParagraphFont"/>
    <w:link w:val="Footer"/>
    <w:uiPriority w:val="99"/>
    <w:rsid w:val="0022022F"/>
  </w:style>
  <w:style w:type="character" w:styleId="PageNumber">
    <w:name w:val="page number"/>
    <w:basedOn w:val="DefaultParagraphFont"/>
    <w:uiPriority w:val="99"/>
    <w:semiHidden/>
    <w:unhideWhenUsed/>
    <w:rsid w:val="0022022F"/>
  </w:style>
  <w:style w:type="paragraph" w:styleId="Header">
    <w:name w:val="header"/>
    <w:aliases w:val="encabezado"/>
    <w:basedOn w:val="Normal"/>
    <w:link w:val="HeaderChar"/>
    <w:uiPriority w:val="99"/>
    <w:unhideWhenUsed/>
    <w:rsid w:val="00ED78BF"/>
    <w:pPr>
      <w:tabs>
        <w:tab w:val="center" w:pos="4513"/>
        <w:tab w:val="right" w:pos="9026"/>
      </w:tabs>
    </w:pPr>
  </w:style>
  <w:style w:type="character" w:customStyle="1" w:styleId="HeaderChar">
    <w:name w:val="Header Char"/>
    <w:aliases w:val="encabezado Char"/>
    <w:basedOn w:val="DefaultParagraphFont"/>
    <w:link w:val="Header"/>
    <w:uiPriority w:val="99"/>
    <w:rsid w:val="00ED78BF"/>
  </w:style>
  <w:style w:type="character" w:styleId="Hyperlink">
    <w:name w:val="Hyperlink"/>
    <w:basedOn w:val="DefaultParagraphFont"/>
    <w:uiPriority w:val="99"/>
    <w:unhideWhenUsed/>
    <w:rsid w:val="00ED78BF"/>
    <w:rPr>
      <w:color w:val="0563C1" w:themeColor="hyperlink"/>
      <w:u w:val="single"/>
    </w:rPr>
  </w:style>
  <w:style w:type="character" w:styleId="UnresolvedMention">
    <w:name w:val="Unresolved Mention"/>
    <w:basedOn w:val="DefaultParagraphFont"/>
    <w:uiPriority w:val="99"/>
    <w:semiHidden/>
    <w:unhideWhenUsed/>
    <w:rsid w:val="00ED78BF"/>
    <w:rPr>
      <w:color w:val="605E5C"/>
      <w:shd w:val="clear" w:color="auto" w:fill="E1DFDD"/>
    </w:rPr>
  </w:style>
  <w:style w:type="paragraph" w:styleId="ListParagraph">
    <w:name w:val="List Paragraph"/>
    <w:aliases w:val="Fundamentacion,Bulleted List,SubPárrafo de lista"/>
    <w:basedOn w:val="Normal"/>
    <w:link w:val="ListParagraphChar"/>
    <w:uiPriority w:val="34"/>
    <w:qFormat/>
    <w:rsid w:val="00ED78BF"/>
    <w:pPr>
      <w:ind w:left="720"/>
    </w:pPr>
    <w:rPr>
      <w:rFonts w:ascii="Times New Roman" w:eastAsia="Calibri" w:hAnsi="Times New Roman" w:cs="Times New Roman"/>
      <w:lang w:val="en-US"/>
    </w:rPr>
  </w:style>
  <w:style w:type="paragraph" w:styleId="NormalWeb">
    <w:name w:val="Normal (Web)"/>
    <w:basedOn w:val="Normal"/>
    <w:uiPriority w:val="99"/>
    <w:unhideWhenUsed/>
    <w:rsid w:val="00ED78BF"/>
    <w:pPr>
      <w:spacing w:before="100" w:beforeAutospacing="1" w:after="100" w:afterAutospacing="1"/>
    </w:pPr>
    <w:rPr>
      <w:rFonts w:ascii="Times New Roman" w:eastAsia="Times New Roman" w:hAnsi="Times New Roman" w:cs="Times New Roman"/>
      <w:lang w:val="en-US"/>
    </w:rPr>
  </w:style>
  <w:style w:type="character" w:customStyle="1" w:styleId="ListParagraphChar">
    <w:name w:val="List Paragraph Char"/>
    <w:aliases w:val="Fundamentacion Char,Bulleted List Char,SubPárrafo de lista Char"/>
    <w:link w:val="ListParagraph"/>
    <w:uiPriority w:val="34"/>
    <w:locked/>
    <w:rsid w:val="00ED78BF"/>
    <w:rPr>
      <w:rFonts w:ascii="Times New Roman" w:eastAsia="Calibri" w:hAnsi="Times New Roman" w:cs="Times New Roman"/>
      <w:lang w:val="en-US"/>
    </w:rPr>
  </w:style>
  <w:style w:type="paragraph" w:customStyle="1" w:styleId="paragraph">
    <w:name w:val="paragraph"/>
    <w:basedOn w:val="Normal"/>
    <w:rsid w:val="00ED78BF"/>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07426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7818BC"/>
    <w:rPr>
      <w:rFonts w:ascii="Calibri" w:eastAsia="Calibri" w:hAnsi="Calibri" w:cs="Times New Roman"/>
      <w:sz w:val="22"/>
      <w:szCs w:val="22"/>
      <w:lang w:val="es-ES"/>
    </w:rPr>
  </w:style>
  <w:style w:type="character" w:customStyle="1" w:styleId="NoSpacingChar">
    <w:name w:val="No Spacing Char"/>
    <w:link w:val="NoSpacing"/>
    <w:uiPriority w:val="1"/>
    <w:locked/>
    <w:rsid w:val="007818BC"/>
    <w:rPr>
      <w:rFonts w:ascii="Calibri" w:eastAsia="Calibri" w:hAnsi="Calibri" w:cs="Times New Roman"/>
      <w:sz w:val="22"/>
      <w:szCs w:val="22"/>
      <w:lang w:val="es-ES"/>
    </w:rPr>
  </w:style>
  <w:style w:type="paragraph" w:styleId="PlainText">
    <w:name w:val="Plain Text"/>
    <w:basedOn w:val="Normal"/>
    <w:link w:val="PlainTextChar"/>
    <w:uiPriority w:val="99"/>
    <w:unhideWhenUsed/>
    <w:rsid w:val="00B870D5"/>
    <w:rPr>
      <w:rFonts w:ascii="Courier New" w:eastAsia="Calibri" w:hAnsi="Courier New" w:cs="Courier New"/>
      <w:sz w:val="20"/>
      <w:szCs w:val="20"/>
      <w:lang w:val="en-US"/>
    </w:rPr>
  </w:style>
  <w:style w:type="character" w:customStyle="1" w:styleId="PlainTextChar">
    <w:name w:val="Plain Text Char"/>
    <w:basedOn w:val="DefaultParagraphFont"/>
    <w:link w:val="PlainText"/>
    <w:uiPriority w:val="99"/>
    <w:rsid w:val="00B870D5"/>
    <w:rPr>
      <w:rFonts w:ascii="Courier New" w:eastAsia="Calibri" w:hAnsi="Courier New" w:cs="Courier New"/>
      <w:sz w:val="20"/>
      <w:szCs w:val="20"/>
      <w:lang w:val="en-US"/>
    </w:rPr>
  </w:style>
  <w:style w:type="character" w:styleId="Strong">
    <w:name w:val="Strong"/>
    <w:basedOn w:val="DefaultParagraphFont"/>
    <w:uiPriority w:val="22"/>
    <w:qFormat/>
    <w:rsid w:val="00047D85"/>
    <w:rPr>
      <w:b/>
      <w:bCs/>
    </w:rPr>
  </w:style>
  <w:style w:type="paragraph" w:styleId="FootnoteText">
    <w:name w:val="footnote text"/>
    <w:basedOn w:val="Normal"/>
    <w:link w:val="FootnoteTextChar"/>
    <w:uiPriority w:val="99"/>
    <w:semiHidden/>
    <w:unhideWhenUsed/>
    <w:rsid w:val="004113B4"/>
    <w:rPr>
      <w:sz w:val="20"/>
      <w:szCs w:val="20"/>
    </w:rPr>
  </w:style>
  <w:style w:type="character" w:customStyle="1" w:styleId="FootnoteTextChar">
    <w:name w:val="Footnote Text Char"/>
    <w:basedOn w:val="DefaultParagraphFont"/>
    <w:link w:val="FootnoteText"/>
    <w:uiPriority w:val="99"/>
    <w:semiHidden/>
    <w:rsid w:val="004113B4"/>
    <w:rPr>
      <w:sz w:val="20"/>
      <w:szCs w:val="20"/>
    </w:rPr>
  </w:style>
  <w:style w:type="character" w:styleId="FootnoteReference">
    <w:name w:val="footnote reference"/>
    <w:basedOn w:val="DefaultParagraphFont"/>
    <w:uiPriority w:val="99"/>
    <w:semiHidden/>
    <w:unhideWhenUsed/>
    <w:rsid w:val="004113B4"/>
    <w:rPr>
      <w:vertAlign w:val="superscript"/>
    </w:rPr>
  </w:style>
  <w:style w:type="character" w:styleId="FollowedHyperlink">
    <w:name w:val="FollowedHyperlink"/>
    <w:basedOn w:val="DefaultParagraphFont"/>
    <w:uiPriority w:val="99"/>
    <w:semiHidden/>
    <w:unhideWhenUsed/>
    <w:rsid w:val="00CF24B0"/>
    <w:rPr>
      <w:color w:val="954F72" w:themeColor="followedHyperlink"/>
      <w:u w:val="single"/>
    </w:rPr>
  </w:style>
  <w:style w:type="character" w:styleId="PlaceholderText">
    <w:name w:val="Placeholder Text"/>
    <w:basedOn w:val="DefaultParagraphFont"/>
    <w:uiPriority w:val="99"/>
    <w:semiHidden/>
    <w:rsid w:val="00702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5587">
      <w:bodyDiv w:val="1"/>
      <w:marLeft w:val="0"/>
      <w:marRight w:val="0"/>
      <w:marTop w:val="0"/>
      <w:marBottom w:val="0"/>
      <w:divBdr>
        <w:top w:val="none" w:sz="0" w:space="0" w:color="auto"/>
        <w:left w:val="none" w:sz="0" w:space="0" w:color="auto"/>
        <w:bottom w:val="none" w:sz="0" w:space="0" w:color="auto"/>
        <w:right w:val="none" w:sz="0" w:space="0" w:color="auto"/>
      </w:divBdr>
      <w:divsChild>
        <w:div w:id="526985009">
          <w:marLeft w:val="0"/>
          <w:marRight w:val="0"/>
          <w:marTop w:val="150"/>
          <w:marBottom w:val="150"/>
          <w:divBdr>
            <w:top w:val="none" w:sz="0" w:space="0" w:color="auto"/>
            <w:left w:val="none" w:sz="0" w:space="0" w:color="auto"/>
            <w:bottom w:val="none" w:sz="0" w:space="0" w:color="auto"/>
            <w:right w:val="none" w:sz="0" w:space="0" w:color="auto"/>
          </w:divBdr>
        </w:div>
      </w:divsChild>
    </w:div>
    <w:div w:id="85418813">
      <w:bodyDiv w:val="1"/>
      <w:marLeft w:val="0"/>
      <w:marRight w:val="0"/>
      <w:marTop w:val="0"/>
      <w:marBottom w:val="0"/>
      <w:divBdr>
        <w:top w:val="none" w:sz="0" w:space="0" w:color="auto"/>
        <w:left w:val="none" w:sz="0" w:space="0" w:color="auto"/>
        <w:bottom w:val="none" w:sz="0" w:space="0" w:color="auto"/>
        <w:right w:val="none" w:sz="0" w:space="0" w:color="auto"/>
      </w:divBdr>
      <w:divsChild>
        <w:div w:id="2060204493">
          <w:marLeft w:val="0"/>
          <w:marRight w:val="0"/>
          <w:marTop w:val="150"/>
          <w:marBottom w:val="150"/>
          <w:divBdr>
            <w:top w:val="none" w:sz="0" w:space="0" w:color="auto"/>
            <w:left w:val="none" w:sz="0" w:space="0" w:color="auto"/>
            <w:bottom w:val="none" w:sz="0" w:space="0" w:color="auto"/>
            <w:right w:val="none" w:sz="0" w:space="0" w:color="auto"/>
          </w:divBdr>
        </w:div>
      </w:divsChild>
    </w:div>
    <w:div w:id="471213209">
      <w:bodyDiv w:val="1"/>
      <w:marLeft w:val="0"/>
      <w:marRight w:val="0"/>
      <w:marTop w:val="0"/>
      <w:marBottom w:val="0"/>
      <w:divBdr>
        <w:top w:val="none" w:sz="0" w:space="0" w:color="auto"/>
        <w:left w:val="none" w:sz="0" w:space="0" w:color="auto"/>
        <w:bottom w:val="none" w:sz="0" w:space="0" w:color="auto"/>
        <w:right w:val="none" w:sz="0" w:space="0" w:color="auto"/>
      </w:divBdr>
    </w:div>
    <w:div w:id="523981309">
      <w:bodyDiv w:val="1"/>
      <w:marLeft w:val="0"/>
      <w:marRight w:val="0"/>
      <w:marTop w:val="0"/>
      <w:marBottom w:val="0"/>
      <w:divBdr>
        <w:top w:val="none" w:sz="0" w:space="0" w:color="auto"/>
        <w:left w:val="none" w:sz="0" w:space="0" w:color="auto"/>
        <w:bottom w:val="none" w:sz="0" w:space="0" w:color="auto"/>
        <w:right w:val="none" w:sz="0" w:space="0" w:color="auto"/>
      </w:divBdr>
      <w:divsChild>
        <w:div w:id="785612262">
          <w:marLeft w:val="0"/>
          <w:marRight w:val="0"/>
          <w:marTop w:val="0"/>
          <w:marBottom w:val="0"/>
          <w:divBdr>
            <w:top w:val="none" w:sz="0" w:space="0" w:color="auto"/>
            <w:left w:val="none" w:sz="0" w:space="0" w:color="auto"/>
            <w:bottom w:val="none" w:sz="0" w:space="0" w:color="auto"/>
            <w:right w:val="none" w:sz="0" w:space="0" w:color="auto"/>
          </w:divBdr>
        </w:div>
      </w:divsChild>
    </w:div>
    <w:div w:id="981930898">
      <w:bodyDiv w:val="1"/>
      <w:marLeft w:val="0"/>
      <w:marRight w:val="0"/>
      <w:marTop w:val="0"/>
      <w:marBottom w:val="0"/>
      <w:divBdr>
        <w:top w:val="none" w:sz="0" w:space="0" w:color="auto"/>
        <w:left w:val="none" w:sz="0" w:space="0" w:color="auto"/>
        <w:bottom w:val="none" w:sz="0" w:space="0" w:color="auto"/>
        <w:right w:val="none" w:sz="0" w:space="0" w:color="auto"/>
      </w:divBdr>
      <w:divsChild>
        <w:div w:id="1455707183">
          <w:marLeft w:val="0"/>
          <w:marRight w:val="0"/>
          <w:marTop w:val="150"/>
          <w:marBottom w:val="150"/>
          <w:divBdr>
            <w:top w:val="none" w:sz="0" w:space="0" w:color="auto"/>
            <w:left w:val="none" w:sz="0" w:space="0" w:color="auto"/>
            <w:bottom w:val="none" w:sz="0" w:space="0" w:color="auto"/>
            <w:right w:val="none" w:sz="0" w:space="0" w:color="auto"/>
          </w:divBdr>
        </w:div>
      </w:divsChild>
    </w:div>
    <w:div w:id="1055663762">
      <w:bodyDiv w:val="1"/>
      <w:marLeft w:val="0"/>
      <w:marRight w:val="0"/>
      <w:marTop w:val="0"/>
      <w:marBottom w:val="0"/>
      <w:divBdr>
        <w:top w:val="none" w:sz="0" w:space="0" w:color="auto"/>
        <w:left w:val="none" w:sz="0" w:space="0" w:color="auto"/>
        <w:bottom w:val="none" w:sz="0" w:space="0" w:color="auto"/>
        <w:right w:val="none" w:sz="0" w:space="0" w:color="auto"/>
      </w:divBdr>
      <w:divsChild>
        <w:div w:id="1464302979">
          <w:marLeft w:val="0"/>
          <w:marRight w:val="0"/>
          <w:marTop w:val="150"/>
          <w:marBottom w:val="150"/>
          <w:divBdr>
            <w:top w:val="none" w:sz="0" w:space="0" w:color="auto"/>
            <w:left w:val="none" w:sz="0" w:space="0" w:color="auto"/>
            <w:bottom w:val="none" w:sz="0" w:space="0" w:color="auto"/>
            <w:right w:val="none" w:sz="0" w:space="0" w:color="auto"/>
          </w:divBdr>
        </w:div>
      </w:divsChild>
    </w:div>
    <w:div w:id="1249121651">
      <w:bodyDiv w:val="1"/>
      <w:marLeft w:val="0"/>
      <w:marRight w:val="0"/>
      <w:marTop w:val="0"/>
      <w:marBottom w:val="0"/>
      <w:divBdr>
        <w:top w:val="none" w:sz="0" w:space="0" w:color="auto"/>
        <w:left w:val="none" w:sz="0" w:space="0" w:color="auto"/>
        <w:bottom w:val="none" w:sz="0" w:space="0" w:color="auto"/>
        <w:right w:val="none" w:sz="0" w:space="0" w:color="auto"/>
      </w:divBdr>
      <w:divsChild>
        <w:div w:id="1143280506">
          <w:marLeft w:val="0"/>
          <w:marRight w:val="0"/>
          <w:marTop w:val="0"/>
          <w:marBottom w:val="0"/>
          <w:divBdr>
            <w:top w:val="none" w:sz="0" w:space="0" w:color="auto"/>
            <w:left w:val="none" w:sz="0" w:space="0" w:color="auto"/>
            <w:bottom w:val="none" w:sz="0" w:space="0" w:color="auto"/>
            <w:right w:val="none" w:sz="0" w:space="0" w:color="auto"/>
          </w:divBdr>
        </w:div>
      </w:divsChild>
    </w:div>
    <w:div w:id="1256398486">
      <w:bodyDiv w:val="1"/>
      <w:marLeft w:val="0"/>
      <w:marRight w:val="0"/>
      <w:marTop w:val="0"/>
      <w:marBottom w:val="0"/>
      <w:divBdr>
        <w:top w:val="none" w:sz="0" w:space="0" w:color="auto"/>
        <w:left w:val="none" w:sz="0" w:space="0" w:color="auto"/>
        <w:bottom w:val="none" w:sz="0" w:space="0" w:color="auto"/>
        <w:right w:val="none" w:sz="0" w:space="0" w:color="auto"/>
      </w:divBdr>
    </w:div>
    <w:div w:id="1476876442">
      <w:bodyDiv w:val="1"/>
      <w:marLeft w:val="0"/>
      <w:marRight w:val="0"/>
      <w:marTop w:val="0"/>
      <w:marBottom w:val="0"/>
      <w:divBdr>
        <w:top w:val="none" w:sz="0" w:space="0" w:color="auto"/>
        <w:left w:val="none" w:sz="0" w:space="0" w:color="auto"/>
        <w:bottom w:val="none" w:sz="0" w:space="0" w:color="auto"/>
        <w:right w:val="none" w:sz="0" w:space="0" w:color="auto"/>
      </w:divBdr>
      <w:divsChild>
        <w:div w:id="1331372543">
          <w:marLeft w:val="0"/>
          <w:marRight w:val="0"/>
          <w:marTop w:val="150"/>
          <w:marBottom w:val="150"/>
          <w:divBdr>
            <w:top w:val="none" w:sz="0" w:space="0" w:color="auto"/>
            <w:left w:val="none" w:sz="0" w:space="0" w:color="auto"/>
            <w:bottom w:val="none" w:sz="0" w:space="0" w:color="auto"/>
            <w:right w:val="none" w:sz="0" w:space="0" w:color="auto"/>
          </w:divBdr>
        </w:div>
      </w:divsChild>
    </w:div>
    <w:div w:id="1829444760">
      <w:bodyDiv w:val="1"/>
      <w:marLeft w:val="0"/>
      <w:marRight w:val="0"/>
      <w:marTop w:val="0"/>
      <w:marBottom w:val="0"/>
      <w:divBdr>
        <w:top w:val="none" w:sz="0" w:space="0" w:color="auto"/>
        <w:left w:val="none" w:sz="0" w:space="0" w:color="auto"/>
        <w:bottom w:val="none" w:sz="0" w:space="0" w:color="auto"/>
        <w:right w:val="none" w:sz="0" w:space="0" w:color="auto"/>
      </w:divBdr>
      <w:divsChild>
        <w:div w:id="12710911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ellibrototal.com/" TargetMode="External"/><Relationship Id="rId26" Type="http://schemas.openxmlformats.org/officeDocument/2006/relationships/hyperlink" Target="http://scm.oas.org/IDMS/Redirectpage.aspx?class=AICD/JD/DE&amp;classNum=130&amp;lang=e" TargetMode="External"/><Relationship Id="rId3" Type="http://schemas.openxmlformats.org/officeDocument/2006/relationships/styles" Target="styles.xml"/><Relationship Id="rId21" Type="http://schemas.openxmlformats.org/officeDocument/2006/relationships/hyperlink" Target="https://scm.oas.org/IDMS/Redirectpage.aspx?class=V.14.1.CIDI/RME/dec&amp;classNum=1&amp;lang=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digenoustourism.net/" TargetMode="External"/><Relationship Id="rId25" Type="http://schemas.openxmlformats.org/officeDocument/2006/relationships/hyperlink" Target="http://scm.oas.org/IDMS/Redirectpage.aspx?class=CIDI/doc.&amp;classNum=304&amp;lang=P"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scm.oas.org/IDMS/Redirectpage.aspx?class=V.14.1.CIDI/RME/doc&amp;classNum=8&amp;lang=p"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m.oas.org/IDMS/Redirectpage.aspx?class=AICD/JD/DE&amp;classNum=126&amp;lang=e"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cm.oas.org/IDMS/Redirectpage.aspx?class=AICD/JD/DE&amp;classNum=131&amp;lang=e" TargetMode="Externa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https://scm.oas.org/IDMS/Redirectpage.aspx?class=V.14.1.CIDI/RME/doc&amp;classNum=6&amp;lang=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rialnet.org/?q=en/telework_JA" TargetMode="External"/><Relationship Id="rId27" Type="http://schemas.openxmlformats.org/officeDocument/2006/relationships/hyperlink" Target="http://scm.oas.org/IDMS/Redirectpage.aspx?class=AICD/JD/DE&amp;classNum=131&amp;lang=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F52D-A2D3-0B40-9154-81291413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14030</Words>
  <Characters>79971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Knowles</dc:creator>
  <cp:keywords/>
  <dc:description/>
  <cp:lastModifiedBy>Burns, Sandra</cp:lastModifiedBy>
  <cp:revision>3</cp:revision>
  <cp:lastPrinted>2022-12-27T13:41:00Z</cp:lastPrinted>
  <dcterms:created xsi:type="dcterms:W3CDTF">2023-03-13T16:48:00Z</dcterms:created>
  <dcterms:modified xsi:type="dcterms:W3CDTF">2023-03-13T16:48:00Z</dcterms:modified>
  <cp:category/>
</cp:coreProperties>
</file>