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9C58" w14:textId="25B2A985" w:rsidR="00D25C2D" w:rsidRPr="00512F79" w:rsidRDefault="00D25C2D" w:rsidP="00CB030B">
      <w:pPr>
        <w:rPr>
          <w:rFonts w:ascii="Times New Roman" w:hAnsi="Times New Roman" w:cs="Times New Roman"/>
          <w:sz w:val="22"/>
          <w:szCs w:val="22"/>
          <w:lang w:val="en-US"/>
        </w:rPr>
      </w:pPr>
      <w:bookmarkStart w:id="0" w:name="_top"/>
      <w:bookmarkEnd w:id="0"/>
      <w:r w:rsidRPr="00512F79">
        <w:rPr>
          <w:rFonts w:ascii="Times New Roman" w:hAnsi="Times New Roman" w:cs="Times New Roman"/>
          <w:sz w:val="22"/>
          <w:szCs w:val="22"/>
          <w:lang w:val="en-US"/>
        </w:rPr>
        <w:tab/>
      </w:r>
    </w:p>
    <w:p w14:paraId="00256559" w14:textId="77777777" w:rsidR="00F4728E" w:rsidRPr="00F75BEB" w:rsidRDefault="00967695" w:rsidP="008E35FF">
      <w:pPr>
        <w:tabs>
          <w:tab w:val="left" w:pos="7110"/>
        </w:tabs>
        <w:ind w:left="6480" w:firstLine="90"/>
        <w:rPr>
          <w:rFonts w:ascii="Times New Roman" w:hAnsi="Times New Roman" w:cs="Times New Roman"/>
          <w:sz w:val="22"/>
          <w:szCs w:val="22"/>
          <w:lang w:val="pt-BR"/>
        </w:rPr>
      </w:pPr>
      <w:r w:rsidRPr="00F75BEB">
        <w:rPr>
          <w:rFonts w:ascii="Times New Roman" w:hAnsi="Times New Roman" w:cs="Times New Roman"/>
          <w:sz w:val="22"/>
          <w:szCs w:val="22"/>
          <w:lang w:val="pt-BR"/>
        </w:rPr>
        <w:t>OEA/Ser.W</w:t>
      </w:r>
    </w:p>
    <w:p w14:paraId="35ADB4AA" w14:textId="0C3C781B" w:rsidR="00F4728E" w:rsidRPr="00F75BEB" w:rsidRDefault="00D25C2D" w:rsidP="008E35FF">
      <w:pPr>
        <w:tabs>
          <w:tab w:val="left" w:pos="7110"/>
        </w:tabs>
        <w:ind w:left="6480" w:firstLine="90"/>
        <w:rPr>
          <w:rFonts w:ascii="Times New Roman" w:hAnsi="Times New Roman" w:cs="Times New Roman"/>
          <w:sz w:val="22"/>
          <w:szCs w:val="22"/>
          <w:lang w:val="pt-BR"/>
        </w:rPr>
      </w:pPr>
      <w:r w:rsidRPr="00F75BEB">
        <w:rPr>
          <w:rFonts w:ascii="Times New Roman" w:hAnsi="Times New Roman" w:cs="Times New Roman"/>
          <w:sz w:val="22"/>
          <w:szCs w:val="22"/>
          <w:lang w:val="pt-BR"/>
        </w:rPr>
        <w:t>CIDI/doc.</w:t>
      </w:r>
      <w:r w:rsidR="00967695" w:rsidRPr="00F75BEB">
        <w:rPr>
          <w:rFonts w:ascii="Times New Roman" w:hAnsi="Times New Roman" w:cs="Times New Roman"/>
          <w:sz w:val="22"/>
          <w:szCs w:val="22"/>
          <w:lang w:val="pt-BR"/>
        </w:rPr>
        <w:t xml:space="preserve"> 371/2</w:t>
      </w:r>
      <w:r w:rsidR="00F75BEB" w:rsidRPr="00F75BEB">
        <w:rPr>
          <w:rFonts w:ascii="Times New Roman" w:hAnsi="Times New Roman" w:cs="Times New Roman"/>
          <w:sz w:val="22"/>
          <w:szCs w:val="22"/>
          <w:lang w:val="pt-BR"/>
        </w:rPr>
        <w:t>3</w:t>
      </w:r>
      <w:r w:rsidR="007A6FE5" w:rsidRPr="00F75BEB">
        <w:rPr>
          <w:rFonts w:ascii="Times New Roman" w:hAnsi="Times New Roman" w:cs="Times New Roman"/>
          <w:sz w:val="22"/>
          <w:szCs w:val="22"/>
          <w:lang w:val="pt-BR"/>
        </w:rPr>
        <w:t xml:space="preserve"> </w:t>
      </w:r>
      <w:r w:rsidR="008E35FF" w:rsidRPr="00F75BEB">
        <w:rPr>
          <w:rFonts w:ascii="Times New Roman" w:hAnsi="Times New Roman" w:cs="Times New Roman"/>
          <w:sz w:val="22"/>
          <w:szCs w:val="22"/>
          <w:lang w:val="pt-BR"/>
        </w:rPr>
        <w:t>rev.1</w:t>
      </w:r>
    </w:p>
    <w:p w14:paraId="63F8B37A" w14:textId="44C3465C" w:rsidR="00F4728E" w:rsidRPr="008E35FF" w:rsidRDefault="008E35FF" w:rsidP="008E35FF">
      <w:pPr>
        <w:tabs>
          <w:tab w:val="left" w:pos="7110"/>
        </w:tabs>
        <w:ind w:left="6480" w:firstLine="90"/>
        <w:rPr>
          <w:rFonts w:ascii="Times New Roman" w:hAnsi="Times New Roman" w:cs="Times New Roman"/>
          <w:sz w:val="22"/>
          <w:szCs w:val="22"/>
          <w:lang w:val="es-US"/>
        </w:rPr>
      </w:pPr>
      <w:r w:rsidRPr="008E35FF">
        <w:rPr>
          <w:rFonts w:ascii="Times New Roman" w:hAnsi="Times New Roman" w:cs="Times New Roman"/>
          <w:sz w:val="22"/>
          <w:szCs w:val="22"/>
          <w:lang w:val="es-US"/>
        </w:rPr>
        <w:t>3</w:t>
      </w:r>
      <w:r w:rsidR="007938F7" w:rsidRPr="008E35FF">
        <w:rPr>
          <w:rFonts w:ascii="Times New Roman" w:hAnsi="Times New Roman" w:cs="Times New Roman"/>
          <w:sz w:val="22"/>
          <w:szCs w:val="22"/>
          <w:lang w:val="es-US"/>
        </w:rPr>
        <w:t xml:space="preserve"> </w:t>
      </w:r>
      <w:r w:rsidRPr="008E35FF">
        <w:rPr>
          <w:rFonts w:ascii="Times New Roman" w:hAnsi="Times New Roman" w:cs="Times New Roman"/>
          <w:sz w:val="22"/>
          <w:szCs w:val="22"/>
          <w:lang w:val="es-US"/>
        </w:rPr>
        <w:t>febrero</w:t>
      </w:r>
      <w:r w:rsidR="00D25C2D" w:rsidRPr="008E35FF">
        <w:rPr>
          <w:rFonts w:ascii="Times New Roman" w:hAnsi="Times New Roman" w:cs="Times New Roman"/>
          <w:sz w:val="22"/>
          <w:szCs w:val="22"/>
          <w:lang w:val="es-US"/>
        </w:rPr>
        <w:t xml:space="preserve"> 202</w:t>
      </w:r>
      <w:r w:rsidRPr="008E35FF">
        <w:rPr>
          <w:rFonts w:ascii="Times New Roman" w:hAnsi="Times New Roman" w:cs="Times New Roman"/>
          <w:sz w:val="22"/>
          <w:szCs w:val="22"/>
          <w:lang w:val="es-US"/>
        </w:rPr>
        <w:t>3</w:t>
      </w:r>
    </w:p>
    <w:p w14:paraId="570A2FC0" w14:textId="30E8BB01" w:rsidR="00F4728E" w:rsidRPr="008E35FF" w:rsidRDefault="00967695" w:rsidP="008E35FF">
      <w:pPr>
        <w:tabs>
          <w:tab w:val="left" w:pos="7110"/>
        </w:tabs>
        <w:ind w:left="6480" w:firstLine="90"/>
        <w:rPr>
          <w:rFonts w:ascii="Times New Roman" w:hAnsi="Times New Roman" w:cs="Times New Roman"/>
          <w:sz w:val="22"/>
          <w:szCs w:val="22"/>
          <w:lang w:val="es-US"/>
        </w:rPr>
      </w:pPr>
      <w:r w:rsidRPr="008E35FF">
        <w:rPr>
          <w:rFonts w:ascii="Times New Roman" w:hAnsi="Times New Roman" w:cs="Times New Roman"/>
          <w:sz w:val="22"/>
          <w:szCs w:val="22"/>
          <w:lang w:val="es-US"/>
        </w:rPr>
        <w:t xml:space="preserve">Original: </w:t>
      </w:r>
      <w:r w:rsidR="00F81034" w:rsidRPr="008E35FF">
        <w:rPr>
          <w:rFonts w:ascii="Times New Roman" w:hAnsi="Times New Roman" w:cs="Times New Roman"/>
          <w:sz w:val="22"/>
          <w:szCs w:val="22"/>
          <w:lang w:val="es-US"/>
        </w:rPr>
        <w:t>i</w:t>
      </w:r>
      <w:r w:rsidRPr="008E35FF">
        <w:rPr>
          <w:rFonts w:ascii="Times New Roman" w:hAnsi="Times New Roman" w:cs="Times New Roman"/>
          <w:sz w:val="22"/>
          <w:szCs w:val="22"/>
          <w:lang w:val="es-US"/>
        </w:rPr>
        <w:t>nglés</w:t>
      </w:r>
    </w:p>
    <w:p w14:paraId="53FE50DB" w14:textId="2C4E1FA2" w:rsidR="00D25C2D" w:rsidRPr="00512F79" w:rsidRDefault="00000000" w:rsidP="00CB030B">
      <w:pPr>
        <w:jc w:val="right"/>
        <w:rPr>
          <w:rFonts w:ascii="Times New Roman" w:hAnsi="Times New Roman" w:cs="Times New Roman"/>
          <w:sz w:val="22"/>
          <w:szCs w:val="22"/>
          <w:lang w:val="en-US"/>
        </w:rPr>
      </w:pPr>
      <w:r>
        <w:rPr>
          <w:rFonts w:ascii="Times New Roman" w:hAnsi="Times New Roman" w:cs="Times New Roman"/>
          <w:noProof/>
          <w:sz w:val="22"/>
          <w:szCs w:val="22"/>
          <w:lang w:val="en-US"/>
        </w:rPr>
        <w:pict w14:anchorId="6BA07BBA">
          <v:rect id="_x0000_i1025" alt="" style="width:451.3pt;height:.05pt;mso-width-percent:0;mso-height-percent:0;mso-width-percent:0;mso-height-percent:0" o:hralign="center" o:hrstd="t" o:hr="t" fillcolor="#a0a0a0" stroked="f"/>
        </w:pict>
      </w:r>
    </w:p>
    <w:p w14:paraId="25F0EF91" w14:textId="77777777" w:rsidR="00D25C2D" w:rsidRPr="00512F79" w:rsidRDefault="00D25C2D" w:rsidP="00CB030B">
      <w:pPr>
        <w:jc w:val="right"/>
        <w:rPr>
          <w:rFonts w:ascii="Times New Roman" w:hAnsi="Times New Roman" w:cs="Times New Roman"/>
          <w:sz w:val="22"/>
          <w:szCs w:val="22"/>
          <w:lang w:val="en-US"/>
        </w:rPr>
      </w:pPr>
    </w:p>
    <w:p w14:paraId="051B283F" w14:textId="77777777" w:rsidR="00D25C2D" w:rsidRPr="00512F79" w:rsidRDefault="00D25C2D" w:rsidP="00CB030B">
      <w:pPr>
        <w:rPr>
          <w:rFonts w:ascii="Times New Roman" w:hAnsi="Times New Roman" w:cs="Times New Roman"/>
          <w:sz w:val="22"/>
          <w:szCs w:val="22"/>
          <w:lang w:val="en-US"/>
        </w:rPr>
      </w:pPr>
    </w:p>
    <w:p w14:paraId="7DE3A2EB" w14:textId="77777777" w:rsidR="00D25C2D" w:rsidRPr="00512F79" w:rsidRDefault="00D25C2D" w:rsidP="00CB030B">
      <w:pPr>
        <w:rPr>
          <w:rFonts w:ascii="Times New Roman" w:hAnsi="Times New Roman" w:cs="Times New Roman"/>
          <w:sz w:val="22"/>
          <w:szCs w:val="22"/>
          <w:lang w:val="en-US"/>
        </w:rPr>
      </w:pPr>
    </w:p>
    <w:p w14:paraId="20EE0DC1" w14:textId="77777777" w:rsidR="00D25C2D" w:rsidRPr="00512F79" w:rsidRDefault="00D25C2D" w:rsidP="00CB030B">
      <w:pPr>
        <w:rPr>
          <w:rFonts w:ascii="Times New Roman" w:hAnsi="Times New Roman" w:cs="Times New Roman"/>
          <w:sz w:val="22"/>
          <w:szCs w:val="22"/>
          <w:lang w:val="en-US"/>
        </w:rPr>
      </w:pPr>
    </w:p>
    <w:p w14:paraId="67926CAB" w14:textId="77777777" w:rsidR="00D25C2D" w:rsidRPr="00512F79" w:rsidRDefault="00D25C2D" w:rsidP="00CB030B">
      <w:pPr>
        <w:rPr>
          <w:rFonts w:ascii="Times New Roman" w:hAnsi="Times New Roman" w:cs="Times New Roman"/>
          <w:sz w:val="22"/>
          <w:szCs w:val="22"/>
          <w:lang w:val="en-US"/>
        </w:rPr>
      </w:pPr>
    </w:p>
    <w:p w14:paraId="775FC7DD" w14:textId="77777777" w:rsidR="00D25C2D" w:rsidRPr="00512F79" w:rsidRDefault="00D25C2D" w:rsidP="00CB030B">
      <w:pPr>
        <w:rPr>
          <w:rFonts w:ascii="Times New Roman" w:hAnsi="Times New Roman" w:cs="Times New Roman"/>
          <w:sz w:val="22"/>
          <w:szCs w:val="22"/>
          <w:lang w:val="en-US"/>
        </w:rPr>
      </w:pPr>
    </w:p>
    <w:p w14:paraId="30837122" w14:textId="77777777" w:rsidR="00D25C2D" w:rsidRPr="00512F79" w:rsidRDefault="00D25C2D" w:rsidP="00CB030B">
      <w:pPr>
        <w:rPr>
          <w:rFonts w:ascii="Times New Roman" w:hAnsi="Times New Roman" w:cs="Times New Roman"/>
          <w:sz w:val="22"/>
          <w:szCs w:val="22"/>
          <w:lang w:val="en-US"/>
        </w:rPr>
      </w:pPr>
    </w:p>
    <w:p w14:paraId="3D97E4F7" w14:textId="77777777" w:rsidR="00D25C2D" w:rsidRPr="00512F79" w:rsidRDefault="00D25C2D" w:rsidP="00CB030B">
      <w:pPr>
        <w:rPr>
          <w:rFonts w:ascii="Times New Roman" w:hAnsi="Times New Roman" w:cs="Times New Roman"/>
          <w:sz w:val="22"/>
          <w:szCs w:val="22"/>
          <w:lang w:val="en-US"/>
        </w:rPr>
      </w:pPr>
    </w:p>
    <w:p w14:paraId="0737B9BE" w14:textId="77777777" w:rsidR="00D25C2D" w:rsidRPr="00512F79" w:rsidRDefault="00D25C2D" w:rsidP="00CB030B">
      <w:pPr>
        <w:rPr>
          <w:rFonts w:ascii="Times New Roman" w:hAnsi="Times New Roman" w:cs="Times New Roman"/>
          <w:sz w:val="22"/>
          <w:szCs w:val="22"/>
          <w:lang w:val="en-US"/>
        </w:rPr>
      </w:pPr>
    </w:p>
    <w:p w14:paraId="7FDD519C" w14:textId="77777777" w:rsidR="00D25C2D" w:rsidRPr="00512F79" w:rsidRDefault="00D25C2D" w:rsidP="00CB030B">
      <w:pPr>
        <w:rPr>
          <w:rFonts w:ascii="Times New Roman" w:hAnsi="Times New Roman" w:cs="Times New Roman"/>
          <w:sz w:val="22"/>
          <w:szCs w:val="22"/>
          <w:lang w:val="en-US"/>
        </w:rPr>
      </w:pPr>
    </w:p>
    <w:p w14:paraId="6890D896" w14:textId="77777777" w:rsidR="00D25C2D" w:rsidRPr="00512F79" w:rsidRDefault="00D25C2D" w:rsidP="00CB030B">
      <w:pPr>
        <w:rPr>
          <w:rFonts w:ascii="Times New Roman" w:hAnsi="Times New Roman" w:cs="Times New Roman"/>
          <w:sz w:val="22"/>
          <w:szCs w:val="22"/>
          <w:lang w:val="en-US"/>
        </w:rPr>
      </w:pPr>
    </w:p>
    <w:p w14:paraId="17D1E9B5" w14:textId="77777777" w:rsidR="00D25C2D" w:rsidRPr="00512F79" w:rsidRDefault="00D25C2D" w:rsidP="00CB030B">
      <w:pPr>
        <w:rPr>
          <w:rFonts w:ascii="Times New Roman" w:hAnsi="Times New Roman" w:cs="Times New Roman"/>
          <w:sz w:val="22"/>
          <w:szCs w:val="22"/>
          <w:lang w:val="en-US"/>
        </w:rPr>
      </w:pPr>
    </w:p>
    <w:p w14:paraId="6AFF77DA" w14:textId="59D4A6E6" w:rsidR="00D25C2D" w:rsidRPr="00512F79" w:rsidRDefault="00D25C2D" w:rsidP="00CB030B">
      <w:pPr>
        <w:rPr>
          <w:rFonts w:ascii="Times New Roman" w:hAnsi="Times New Roman" w:cs="Times New Roman"/>
          <w:b/>
          <w:bCs/>
          <w:sz w:val="22"/>
          <w:szCs w:val="22"/>
          <w:lang w:val="en-US"/>
        </w:rPr>
      </w:pPr>
    </w:p>
    <w:p w14:paraId="65A5E1C0" w14:textId="77777777" w:rsidR="00D25C2D" w:rsidRPr="00512F79" w:rsidRDefault="00D25C2D" w:rsidP="00CB030B">
      <w:pPr>
        <w:rPr>
          <w:rFonts w:ascii="Times New Roman" w:hAnsi="Times New Roman" w:cs="Times New Roman"/>
          <w:sz w:val="22"/>
          <w:szCs w:val="22"/>
          <w:lang w:val="en-US"/>
        </w:rPr>
      </w:pPr>
    </w:p>
    <w:p w14:paraId="27D270D2" w14:textId="77777777" w:rsidR="00D25C2D" w:rsidRPr="00512F79" w:rsidRDefault="00D25C2D" w:rsidP="00CB030B">
      <w:pPr>
        <w:rPr>
          <w:rFonts w:ascii="Times New Roman" w:hAnsi="Times New Roman" w:cs="Times New Roman"/>
          <w:sz w:val="22"/>
          <w:szCs w:val="22"/>
          <w:lang w:val="en-US"/>
        </w:rPr>
      </w:pPr>
    </w:p>
    <w:p w14:paraId="4F3EFB9C" w14:textId="77777777" w:rsidR="00D25C2D" w:rsidRPr="00512F79" w:rsidRDefault="00D25C2D" w:rsidP="00CB030B">
      <w:pPr>
        <w:rPr>
          <w:rFonts w:ascii="Times New Roman" w:hAnsi="Times New Roman" w:cs="Times New Roman"/>
          <w:sz w:val="22"/>
          <w:szCs w:val="22"/>
          <w:lang w:val="en-US"/>
        </w:rPr>
      </w:pPr>
    </w:p>
    <w:p w14:paraId="4AB44AB6" w14:textId="4520C6A0" w:rsidR="00F4728E" w:rsidRPr="00512F79" w:rsidRDefault="00D25C2D">
      <w:pPr>
        <w:jc w:val="center"/>
        <w:rPr>
          <w:rFonts w:ascii="Times New Roman" w:hAnsi="Times New Roman" w:cs="Times New Roman"/>
          <w:sz w:val="22"/>
          <w:szCs w:val="22"/>
          <w:lang w:val="es-ES"/>
        </w:rPr>
      </w:pPr>
      <w:r w:rsidRPr="00512F79">
        <w:rPr>
          <w:rFonts w:ascii="Times New Roman" w:hAnsi="Times New Roman" w:cs="Times New Roman"/>
          <w:sz w:val="22"/>
          <w:szCs w:val="22"/>
          <w:lang w:val="es-ES"/>
        </w:rPr>
        <w:t>INFORME ANUAL DE</w:t>
      </w:r>
      <w:r w:rsidR="00FA2912" w:rsidRPr="00512F79">
        <w:rPr>
          <w:rFonts w:ascii="Times New Roman" w:hAnsi="Times New Roman" w:cs="Times New Roman"/>
          <w:sz w:val="22"/>
          <w:szCs w:val="22"/>
          <w:lang w:val="es-ES"/>
        </w:rPr>
        <w:t xml:space="preserve"> </w:t>
      </w:r>
      <w:r w:rsidRPr="00512F79">
        <w:rPr>
          <w:rFonts w:ascii="Times New Roman" w:hAnsi="Times New Roman" w:cs="Times New Roman"/>
          <w:sz w:val="22"/>
          <w:szCs w:val="22"/>
          <w:lang w:val="es-ES"/>
        </w:rPr>
        <w:t>L</w:t>
      </w:r>
      <w:r w:rsidR="00FA2912" w:rsidRPr="00512F79">
        <w:rPr>
          <w:rFonts w:ascii="Times New Roman" w:hAnsi="Times New Roman" w:cs="Times New Roman"/>
          <w:sz w:val="22"/>
          <w:szCs w:val="22"/>
          <w:lang w:val="es-ES"/>
        </w:rPr>
        <w:t>A</w:t>
      </w:r>
    </w:p>
    <w:p w14:paraId="01A30FE6" w14:textId="77777777" w:rsidR="00F4728E" w:rsidRPr="00512F79" w:rsidRDefault="00967695">
      <w:pPr>
        <w:jc w:val="center"/>
        <w:rPr>
          <w:rFonts w:ascii="Times New Roman" w:hAnsi="Times New Roman" w:cs="Times New Roman"/>
          <w:sz w:val="22"/>
          <w:szCs w:val="22"/>
          <w:lang w:val="es-ES"/>
        </w:rPr>
      </w:pPr>
      <w:r w:rsidRPr="00512F79">
        <w:rPr>
          <w:rFonts w:ascii="Times New Roman" w:hAnsi="Times New Roman" w:cs="Times New Roman"/>
          <w:sz w:val="22"/>
          <w:szCs w:val="22"/>
          <w:lang w:val="es-ES"/>
        </w:rPr>
        <w:t>SECRETARÍA EJECUTIVA PARA EL DESARROLLO INTEGRAL (SEDI)</w:t>
      </w:r>
    </w:p>
    <w:p w14:paraId="67A58D9E" w14:textId="77777777" w:rsidR="00F4728E" w:rsidRPr="00512F79" w:rsidRDefault="00967695">
      <w:pPr>
        <w:jc w:val="center"/>
        <w:rPr>
          <w:rFonts w:ascii="Times New Roman" w:hAnsi="Times New Roman" w:cs="Times New Roman"/>
          <w:sz w:val="22"/>
          <w:szCs w:val="22"/>
          <w:lang w:val="es-ES"/>
        </w:rPr>
      </w:pPr>
      <w:r w:rsidRPr="00512F79">
        <w:rPr>
          <w:rFonts w:ascii="Times New Roman" w:hAnsi="Times New Roman" w:cs="Times New Roman"/>
          <w:sz w:val="22"/>
          <w:szCs w:val="22"/>
          <w:lang w:val="es-ES"/>
        </w:rPr>
        <w:t>AL CONSEJO INTERAMERICANO PARA EL DESARROLLO INTEGRAL (CIDI)</w:t>
      </w:r>
    </w:p>
    <w:p w14:paraId="58972189" w14:textId="77777777" w:rsidR="00D25C2D" w:rsidRPr="00512F79" w:rsidRDefault="00D25C2D" w:rsidP="00CB030B">
      <w:pPr>
        <w:rPr>
          <w:rFonts w:ascii="Times New Roman" w:hAnsi="Times New Roman" w:cs="Times New Roman"/>
          <w:sz w:val="22"/>
          <w:szCs w:val="22"/>
          <w:lang w:val="es-ES"/>
        </w:rPr>
      </w:pPr>
    </w:p>
    <w:p w14:paraId="5536E6E7" w14:textId="0AB9852F" w:rsidR="00F4728E" w:rsidRPr="00512F79" w:rsidRDefault="009209FA">
      <w:pPr>
        <w:jc w:val="center"/>
        <w:rPr>
          <w:rFonts w:ascii="Times New Roman" w:hAnsi="Times New Roman" w:cs="Times New Roman"/>
          <w:sz w:val="22"/>
          <w:szCs w:val="22"/>
          <w:lang w:val="es-ES"/>
        </w:rPr>
      </w:pPr>
      <w:r>
        <w:rPr>
          <w:rFonts w:ascii="Times New Roman" w:hAnsi="Times New Roman" w:cs="Times New Roman"/>
          <w:sz w:val="22"/>
          <w:szCs w:val="22"/>
          <w:lang w:val="es-ES"/>
        </w:rPr>
        <w:t>E</w:t>
      </w:r>
      <w:r w:rsidR="00967695" w:rsidRPr="00512F79">
        <w:rPr>
          <w:rFonts w:ascii="Times New Roman" w:hAnsi="Times New Roman" w:cs="Times New Roman"/>
          <w:sz w:val="22"/>
          <w:szCs w:val="22"/>
          <w:lang w:val="es-ES"/>
        </w:rPr>
        <w:t xml:space="preserve">nero - </w:t>
      </w:r>
      <w:r w:rsidR="00FF2E05" w:rsidRPr="00512F79">
        <w:rPr>
          <w:rFonts w:ascii="Times New Roman" w:hAnsi="Times New Roman" w:cs="Times New Roman"/>
          <w:sz w:val="22"/>
          <w:szCs w:val="22"/>
          <w:lang w:val="es-ES"/>
        </w:rPr>
        <w:t>d</w:t>
      </w:r>
      <w:r w:rsidR="00967695" w:rsidRPr="00512F79">
        <w:rPr>
          <w:rFonts w:ascii="Times New Roman" w:hAnsi="Times New Roman" w:cs="Times New Roman"/>
          <w:sz w:val="22"/>
          <w:szCs w:val="22"/>
          <w:lang w:val="es-ES"/>
        </w:rPr>
        <w:t>iciembre 2022</w:t>
      </w:r>
    </w:p>
    <w:p w14:paraId="2DCCC008" w14:textId="77777777" w:rsidR="00D25C2D" w:rsidRPr="00512F79" w:rsidRDefault="00D25C2D" w:rsidP="00CB030B">
      <w:pPr>
        <w:rPr>
          <w:rFonts w:ascii="Times New Roman" w:hAnsi="Times New Roman" w:cs="Times New Roman"/>
          <w:sz w:val="22"/>
          <w:szCs w:val="22"/>
          <w:lang w:val="es-ES"/>
        </w:rPr>
      </w:pPr>
    </w:p>
    <w:p w14:paraId="635DDAC4" w14:textId="7804B567" w:rsidR="00D25C2D" w:rsidRPr="00512F79" w:rsidRDefault="000F0FBD" w:rsidP="000F0FBD">
      <w:pPr>
        <w:jc w:val="center"/>
        <w:rPr>
          <w:rFonts w:ascii="Times New Roman" w:hAnsi="Times New Roman" w:cs="Times New Roman"/>
          <w:sz w:val="22"/>
          <w:szCs w:val="22"/>
          <w:lang w:val="es-ES"/>
        </w:rPr>
      </w:pPr>
      <w:r>
        <w:rPr>
          <w:rFonts w:ascii="Times New Roman" w:hAnsi="Times New Roman" w:cs="Times New Roman"/>
          <w:sz w:val="22"/>
          <w:szCs w:val="22"/>
          <w:lang w:val="es-ES"/>
        </w:rPr>
        <w:t>(</w:t>
      </w:r>
      <w:r w:rsidRPr="000F0FBD">
        <w:rPr>
          <w:rFonts w:ascii="Times New Roman" w:hAnsi="Times New Roman" w:cs="Times New Roman"/>
          <w:sz w:val="22"/>
          <w:szCs w:val="22"/>
          <w:lang w:val="es-ES"/>
        </w:rPr>
        <w:t xml:space="preserve">Presentado </w:t>
      </w:r>
      <w:r>
        <w:rPr>
          <w:rFonts w:ascii="Times New Roman" w:hAnsi="Times New Roman" w:cs="Times New Roman"/>
          <w:sz w:val="22"/>
          <w:szCs w:val="22"/>
          <w:lang w:val="es-ES"/>
        </w:rPr>
        <w:t xml:space="preserve">durante la reunión </w:t>
      </w:r>
      <w:r w:rsidRPr="000F0FBD">
        <w:rPr>
          <w:rFonts w:ascii="Times New Roman" w:hAnsi="Times New Roman" w:cs="Times New Roman"/>
          <w:sz w:val="22"/>
          <w:szCs w:val="22"/>
          <w:lang w:val="es-ES"/>
        </w:rPr>
        <w:t>ordinaria celebrada el 2 de febrero de 2023</w:t>
      </w:r>
      <w:r>
        <w:rPr>
          <w:rFonts w:ascii="Times New Roman" w:hAnsi="Times New Roman" w:cs="Times New Roman"/>
          <w:sz w:val="22"/>
          <w:szCs w:val="22"/>
          <w:lang w:val="es-ES"/>
        </w:rPr>
        <w:t>)</w:t>
      </w:r>
    </w:p>
    <w:p w14:paraId="229E796E" w14:textId="77777777" w:rsidR="00D25C2D" w:rsidRPr="00512F79" w:rsidRDefault="00D25C2D" w:rsidP="000F0FBD">
      <w:pPr>
        <w:jc w:val="center"/>
        <w:rPr>
          <w:rFonts w:ascii="Times New Roman" w:hAnsi="Times New Roman" w:cs="Times New Roman"/>
          <w:sz w:val="22"/>
          <w:szCs w:val="22"/>
          <w:lang w:val="es-ES"/>
        </w:rPr>
      </w:pPr>
    </w:p>
    <w:p w14:paraId="3A59AB9E" w14:textId="1D198E90" w:rsidR="0022022F" w:rsidRPr="00512F79" w:rsidRDefault="0022022F" w:rsidP="00CB030B">
      <w:pPr>
        <w:rPr>
          <w:rFonts w:ascii="Times New Roman" w:hAnsi="Times New Roman" w:cs="Times New Roman"/>
          <w:sz w:val="22"/>
          <w:szCs w:val="22"/>
          <w:lang w:val="es-ES"/>
        </w:rPr>
      </w:pPr>
    </w:p>
    <w:p w14:paraId="787EECB2" w14:textId="384B6652" w:rsidR="0022022F" w:rsidRPr="00512F79" w:rsidRDefault="0022022F" w:rsidP="00CB030B">
      <w:pPr>
        <w:rPr>
          <w:rFonts w:ascii="Times New Roman" w:hAnsi="Times New Roman" w:cs="Times New Roman"/>
          <w:sz w:val="22"/>
          <w:szCs w:val="22"/>
          <w:lang w:val="es-ES"/>
        </w:rPr>
      </w:pPr>
    </w:p>
    <w:p w14:paraId="3FA122CB" w14:textId="23C098C5" w:rsidR="0022022F" w:rsidRPr="00512F79" w:rsidRDefault="0022022F" w:rsidP="00CB030B">
      <w:pPr>
        <w:rPr>
          <w:rFonts w:ascii="Times New Roman" w:hAnsi="Times New Roman" w:cs="Times New Roman"/>
          <w:sz w:val="22"/>
          <w:szCs w:val="22"/>
          <w:lang w:val="es-ES"/>
        </w:rPr>
      </w:pPr>
    </w:p>
    <w:p w14:paraId="2EB17AEF" w14:textId="69C5F398" w:rsidR="0022022F" w:rsidRPr="00512F79" w:rsidRDefault="0022022F" w:rsidP="00CB030B">
      <w:pPr>
        <w:rPr>
          <w:rFonts w:ascii="Times New Roman" w:hAnsi="Times New Roman" w:cs="Times New Roman"/>
          <w:sz w:val="22"/>
          <w:szCs w:val="22"/>
          <w:lang w:val="es-ES"/>
        </w:rPr>
      </w:pPr>
    </w:p>
    <w:p w14:paraId="6A1F0713" w14:textId="435F6395" w:rsidR="0022022F" w:rsidRPr="00512F79" w:rsidRDefault="0022022F" w:rsidP="00CB030B">
      <w:pPr>
        <w:rPr>
          <w:rFonts w:ascii="Times New Roman" w:hAnsi="Times New Roman" w:cs="Times New Roman"/>
          <w:sz w:val="22"/>
          <w:szCs w:val="22"/>
          <w:lang w:val="es-ES"/>
        </w:rPr>
      </w:pPr>
    </w:p>
    <w:p w14:paraId="3D7C1263" w14:textId="5BDA2FD6" w:rsidR="0022022F" w:rsidRPr="00512F79" w:rsidRDefault="0022022F" w:rsidP="00CB030B">
      <w:pPr>
        <w:rPr>
          <w:rFonts w:ascii="Times New Roman" w:hAnsi="Times New Roman" w:cs="Times New Roman"/>
          <w:sz w:val="22"/>
          <w:szCs w:val="22"/>
          <w:lang w:val="es-ES"/>
        </w:rPr>
      </w:pPr>
    </w:p>
    <w:p w14:paraId="5C6A16B5" w14:textId="6CF60228" w:rsidR="0022022F" w:rsidRPr="00512F79" w:rsidRDefault="0022022F" w:rsidP="00CB030B">
      <w:pPr>
        <w:rPr>
          <w:rFonts w:ascii="Times New Roman" w:hAnsi="Times New Roman" w:cs="Times New Roman"/>
          <w:sz w:val="22"/>
          <w:szCs w:val="22"/>
          <w:lang w:val="es-ES"/>
        </w:rPr>
      </w:pPr>
    </w:p>
    <w:p w14:paraId="34BDA1A8" w14:textId="69EF7DE0" w:rsidR="0022022F" w:rsidRPr="00512F79" w:rsidRDefault="0022022F" w:rsidP="00CB030B">
      <w:pPr>
        <w:rPr>
          <w:rFonts w:ascii="Times New Roman" w:hAnsi="Times New Roman" w:cs="Times New Roman"/>
          <w:sz w:val="22"/>
          <w:szCs w:val="22"/>
          <w:lang w:val="es-ES"/>
        </w:rPr>
      </w:pPr>
    </w:p>
    <w:p w14:paraId="23BCDE08" w14:textId="1F9EA2B7" w:rsidR="0022022F" w:rsidRPr="00512F79" w:rsidRDefault="0022022F" w:rsidP="00CB030B">
      <w:pPr>
        <w:rPr>
          <w:rFonts w:ascii="Times New Roman" w:hAnsi="Times New Roman" w:cs="Times New Roman"/>
          <w:sz w:val="22"/>
          <w:szCs w:val="22"/>
          <w:lang w:val="es-ES"/>
        </w:rPr>
      </w:pPr>
    </w:p>
    <w:p w14:paraId="23D4F6BD" w14:textId="3C0A633D" w:rsidR="0022022F" w:rsidRPr="00512F79" w:rsidRDefault="0022022F" w:rsidP="00CB030B">
      <w:pPr>
        <w:rPr>
          <w:rFonts w:ascii="Times New Roman" w:hAnsi="Times New Roman" w:cs="Times New Roman"/>
          <w:sz w:val="22"/>
          <w:szCs w:val="22"/>
          <w:lang w:val="es-ES"/>
        </w:rPr>
      </w:pPr>
    </w:p>
    <w:p w14:paraId="758DE5F0" w14:textId="5FBB0CAA" w:rsidR="0022022F" w:rsidRPr="00512F79" w:rsidRDefault="0022022F" w:rsidP="00CB030B">
      <w:pPr>
        <w:rPr>
          <w:rFonts w:ascii="Times New Roman" w:hAnsi="Times New Roman" w:cs="Times New Roman"/>
          <w:sz w:val="22"/>
          <w:szCs w:val="22"/>
          <w:lang w:val="es-ES"/>
        </w:rPr>
      </w:pPr>
    </w:p>
    <w:p w14:paraId="25E1C5ED" w14:textId="6172EBB7" w:rsidR="0022022F" w:rsidRPr="00512F79" w:rsidRDefault="0022022F" w:rsidP="00CB030B">
      <w:pPr>
        <w:rPr>
          <w:rFonts w:ascii="Times New Roman" w:hAnsi="Times New Roman" w:cs="Times New Roman"/>
          <w:sz w:val="22"/>
          <w:szCs w:val="22"/>
          <w:lang w:val="es-ES"/>
        </w:rPr>
      </w:pPr>
    </w:p>
    <w:p w14:paraId="10C9A46C" w14:textId="22B58E04" w:rsidR="0022022F" w:rsidRPr="00512F79" w:rsidRDefault="0022022F" w:rsidP="00CB030B">
      <w:pPr>
        <w:rPr>
          <w:rFonts w:ascii="Times New Roman" w:hAnsi="Times New Roman" w:cs="Times New Roman"/>
          <w:sz w:val="22"/>
          <w:szCs w:val="22"/>
          <w:lang w:val="es-ES"/>
        </w:rPr>
      </w:pPr>
    </w:p>
    <w:p w14:paraId="2A15ED92" w14:textId="2647C3C5" w:rsidR="0022022F" w:rsidRPr="00512F79" w:rsidRDefault="0022022F" w:rsidP="00CB030B">
      <w:pPr>
        <w:rPr>
          <w:rFonts w:ascii="Times New Roman" w:hAnsi="Times New Roman" w:cs="Times New Roman"/>
          <w:sz w:val="22"/>
          <w:szCs w:val="22"/>
          <w:lang w:val="es-ES"/>
        </w:rPr>
      </w:pPr>
    </w:p>
    <w:p w14:paraId="2A2E2C38" w14:textId="4863170B" w:rsidR="0022022F" w:rsidRPr="00512F79" w:rsidRDefault="0022022F" w:rsidP="00CB030B">
      <w:pPr>
        <w:rPr>
          <w:rFonts w:ascii="Times New Roman" w:hAnsi="Times New Roman" w:cs="Times New Roman"/>
          <w:sz w:val="22"/>
          <w:szCs w:val="22"/>
          <w:lang w:val="es-ES"/>
        </w:rPr>
      </w:pPr>
    </w:p>
    <w:p w14:paraId="1C77CB67" w14:textId="3AC2F00E" w:rsidR="0022022F" w:rsidRPr="00512F79" w:rsidRDefault="0022022F" w:rsidP="00CB030B">
      <w:pPr>
        <w:rPr>
          <w:rFonts w:ascii="Times New Roman" w:hAnsi="Times New Roman" w:cs="Times New Roman"/>
          <w:sz w:val="22"/>
          <w:szCs w:val="22"/>
          <w:lang w:val="es-ES"/>
        </w:rPr>
      </w:pPr>
    </w:p>
    <w:p w14:paraId="6380276B" w14:textId="46752803" w:rsidR="0022022F" w:rsidRPr="00512F79" w:rsidRDefault="0022022F" w:rsidP="00CB030B">
      <w:pPr>
        <w:rPr>
          <w:rFonts w:ascii="Times New Roman" w:hAnsi="Times New Roman" w:cs="Times New Roman"/>
          <w:sz w:val="22"/>
          <w:szCs w:val="22"/>
          <w:lang w:val="es-ES"/>
        </w:rPr>
      </w:pPr>
    </w:p>
    <w:p w14:paraId="178CC366" w14:textId="0E30DE66" w:rsidR="0022022F" w:rsidRPr="00512F79" w:rsidRDefault="0022022F" w:rsidP="00CB030B">
      <w:pPr>
        <w:rPr>
          <w:rFonts w:ascii="Times New Roman" w:hAnsi="Times New Roman" w:cs="Times New Roman"/>
          <w:sz w:val="22"/>
          <w:szCs w:val="22"/>
          <w:lang w:val="es-ES"/>
        </w:rPr>
      </w:pPr>
    </w:p>
    <w:p w14:paraId="03D0A754" w14:textId="76B004CC" w:rsidR="0022022F" w:rsidRPr="00512F79" w:rsidRDefault="0022022F" w:rsidP="00CB030B">
      <w:pPr>
        <w:rPr>
          <w:rFonts w:ascii="Times New Roman" w:hAnsi="Times New Roman" w:cs="Times New Roman"/>
          <w:sz w:val="22"/>
          <w:szCs w:val="22"/>
          <w:lang w:val="es-ES"/>
        </w:rPr>
      </w:pPr>
    </w:p>
    <w:p w14:paraId="0310A724" w14:textId="77777777" w:rsidR="00B93932" w:rsidRDefault="00B93932" w:rsidP="00CB030B">
      <w:pPr>
        <w:pBdr>
          <w:bottom w:val="single" w:sz="6" w:space="1" w:color="auto"/>
        </w:pBdr>
        <w:rPr>
          <w:rFonts w:ascii="Times New Roman" w:hAnsi="Times New Roman" w:cs="Times New Roman"/>
          <w:sz w:val="22"/>
          <w:szCs w:val="22"/>
          <w:lang w:val="es-ES"/>
        </w:rPr>
        <w:sectPr w:rsidR="00B93932" w:rsidSect="005F2C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298" w:footer="431" w:gutter="0"/>
          <w:pgNumType w:fmt="numberInDash"/>
          <w:cols w:space="708"/>
          <w:titlePg/>
          <w:docGrid w:linePitch="360"/>
        </w:sectPr>
      </w:pPr>
    </w:p>
    <w:p w14:paraId="1B6634EF" w14:textId="77777777" w:rsidR="00D25C2D" w:rsidRPr="00512F79" w:rsidRDefault="00D25C2D" w:rsidP="00CB030B">
      <w:pPr>
        <w:pBdr>
          <w:bottom w:val="single" w:sz="6" w:space="1" w:color="auto"/>
        </w:pBdr>
        <w:rPr>
          <w:rFonts w:ascii="Times New Roman" w:hAnsi="Times New Roman" w:cs="Times New Roman"/>
          <w:sz w:val="22"/>
          <w:szCs w:val="22"/>
          <w:lang w:val="es-ES"/>
        </w:rPr>
      </w:pPr>
    </w:p>
    <w:p w14:paraId="3644FE91" w14:textId="77777777" w:rsidR="00F4728E" w:rsidRPr="00512F79" w:rsidRDefault="00967695">
      <w:pPr>
        <w:pBdr>
          <w:bottom w:val="single" w:sz="6" w:space="1" w:color="auto"/>
        </w:pBd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ÍNDICE</w:t>
      </w:r>
    </w:p>
    <w:p w14:paraId="4945135D" w14:textId="77777777" w:rsidR="002F7E71" w:rsidRPr="00512F79" w:rsidRDefault="002F7E71" w:rsidP="00CB030B">
      <w:pPr>
        <w:rPr>
          <w:rFonts w:ascii="Times New Roman" w:hAnsi="Times New Roman" w:cs="Times New Roman"/>
          <w:b/>
          <w:bCs/>
          <w:sz w:val="22"/>
          <w:szCs w:val="22"/>
          <w:lang w:val="es-ES"/>
        </w:rPr>
      </w:pPr>
    </w:p>
    <w:p w14:paraId="22770A99" w14:textId="77777777" w:rsidR="002F7E71" w:rsidRPr="00512F79" w:rsidRDefault="002F7E71" w:rsidP="00CB030B">
      <w:pPr>
        <w:rPr>
          <w:rFonts w:ascii="Times New Roman" w:hAnsi="Times New Roman" w:cs="Times New Roman"/>
          <w:b/>
          <w:bCs/>
          <w:sz w:val="22"/>
          <w:szCs w:val="22"/>
          <w:lang w:val="es-ES"/>
        </w:rPr>
      </w:pPr>
    </w:p>
    <w:p w14:paraId="31CD9324" w14:textId="36928746" w:rsidR="00D25C2D" w:rsidRPr="00512F79" w:rsidRDefault="00D25C2D" w:rsidP="00CB030B">
      <w:pPr>
        <w:jc w:val="center"/>
        <w:rPr>
          <w:rFonts w:ascii="Times New Roman" w:hAnsi="Times New Roman" w:cs="Times New Roman"/>
          <w:b/>
          <w:bCs/>
          <w:sz w:val="22"/>
          <w:szCs w:val="22"/>
          <w:lang w:val="es-ES"/>
        </w:rPr>
      </w:pPr>
    </w:p>
    <w:p w14:paraId="2E5C4EF0" w14:textId="77777777" w:rsidR="00D25C2D" w:rsidRPr="00512F79" w:rsidRDefault="00D25C2D" w:rsidP="00CB030B">
      <w:pPr>
        <w:jc w:val="center"/>
        <w:rPr>
          <w:rFonts w:ascii="Times New Roman" w:hAnsi="Times New Roman" w:cs="Times New Roman"/>
          <w:b/>
          <w:bCs/>
          <w:sz w:val="22"/>
          <w:szCs w:val="22"/>
          <w:lang w:val="es-ES"/>
        </w:rPr>
      </w:pPr>
    </w:p>
    <w:p w14:paraId="0FE6C191" w14:textId="77777777" w:rsidR="00F4728E" w:rsidRPr="00512F79" w:rsidRDefault="00967695">
      <w:pPr>
        <w:ind w:firstLine="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LISTA DE ABREVIATURAS</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3</w:t>
      </w:r>
    </w:p>
    <w:p w14:paraId="229C96B1" w14:textId="581BC081" w:rsidR="00F4728E" w:rsidRPr="00512F79" w:rsidRDefault="00967695">
      <w:pPr>
        <w:ind w:firstLine="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VISIÓN GENERAL DE LAS LÍNEAS ESTRATÉGICAS</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4</w:t>
      </w:r>
    </w:p>
    <w:p w14:paraId="6C4DD4EC" w14:textId="77777777" w:rsidR="00F4728E" w:rsidRPr="00512F79" w:rsidRDefault="00967695">
      <w:pPr>
        <w:ind w:firstLine="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INTRODUCCIÓN</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5</w:t>
      </w:r>
    </w:p>
    <w:p w14:paraId="00EE4CA9" w14:textId="3BB4FF0A" w:rsidR="00F4728E" w:rsidRPr="00512F79" w:rsidRDefault="00967695">
      <w:pPr>
        <w:ind w:firstLine="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1</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7</w:t>
      </w:r>
    </w:p>
    <w:p w14:paraId="50FFAAA9" w14:textId="77777777" w:rsidR="00F4728E" w:rsidRPr="00512F79" w:rsidRDefault="00967695">
      <w:pPr>
        <w:ind w:left="720" w:firstLine="720"/>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Objetivo 1.1</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7</w:t>
      </w:r>
    </w:p>
    <w:p w14:paraId="7B43093B" w14:textId="77777777" w:rsidR="00F4728E" w:rsidRPr="00512F79" w:rsidRDefault="00967695">
      <w:pPr>
        <w:ind w:left="720" w:firstLine="720"/>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Objetivo 1.2</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8</w:t>
      </w:r>
    </w:p>
    <w:p w14:paraId="55C6210E" w14:textId="77777777" w:rsidR="00F4728E" w:rsidRPr="00512F79" w:rsidRDefault="00967695">
      <w:pPr>
        <w:ind w:left="720" w:firstLine="720"/>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Objetivo 1.3</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10</w:t>
      </w:r>
    </w:p>
    <w:p w14:paraId="2CEF0368" w14:textId="77777777" w:rsidR="00F4728E" w:rsidRPr="00512F79" w:rsidRDefault="00967695">
      <w:pPr>
        <w:ind w:left="720" w:firstLine="720"/>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Objetivo 1.4</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11</w:t>
      </w:r>
    </w:p>
    <w:p w14:paraId="68628725" w14:textId="29A8E4DF"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i/>
          <w:iCs/>
          <w:sz w:val="22"/>
          <w:szCs w:val="22"/>
          <w:lang w:val="es-ES"/>
        </w:rPr>
        <w:tab/>
      </w:r>
      <w:r w:rsidRPr="00512F79">
        <w:rPr>
          <w:rFonts w:ascii="Times New Roman" w:hAnsi="Times New Roman" w:cs="Times New Roman"/>
          <w:b/>
          <w:bCs/>
          <w:sz w:val="22"/>
          <w:szCs w:val="22"/>
          <w:lang w:val="es-ES"/>
        </w:rPr>
        <w:t>LÍNEA ESTRATÉGICA 2</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13</w:t>
      </w:r>
    </w:p>
    <w:p w14:paraId="26E77288"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b/>
          <w:bCs/>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i/>
          <w:iCs/>
          <w:sz w:val="22"/>
          <w:szCs w:val="22"/>
          <w:lang w:val="es-ES"/>
        </w:rPr>
        <w:t>Objetivo 2.1</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13</w:t>
      </w:r>
    </w:p>
    <w:p w14:paraId="182187F3"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2.2</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15</w:t>
      </w:r>
    </w:p>
    <w:p w14:paraId="59694620"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2.3</w:t>
      </w:r>
      <w:r w:rsidR="00D25C2D" w:rsidRPr="00512F79">
        <w:rPr>
          <w:rFonts w:ascii="Times New Roman" w:hAnsi="Times New Roman" w:cs="Times New Roman"/>
          <w:i/>
          <w:iCs/>
          <w:sz w:val="22"/>
          <w:szCs w:val="22"/>
          <w:lang w:val="es-ES"/>
        </w:rPr>
        <w:tab/>
      </w:r>
      <w:r w:rsidR="00D25C2D" w:rsidRPr="00512F79">
        <w:rPr>
          <w:rFonts w:ascii="Times New Roman" w:hAnsi="Times New Roman" w:cs="Times New Roman"/>
          <w:i/>
          <w:iCs/>
          <w:sz w:val="22"/>
          <w:szCs w:val="22"/>
          <w:lang w:val="es-ES"/>
        </w:rPr>
        <w:tab/>
      </w:r>
      <w:r w:rsidR="00D25C2D" w:rsidRPr="00512F79">
        <w:rPr>
          <w:rFonts w:ascii="Times New Roman" w:hAnsi="Times New Roman" w:cs="Times New Roman"/>
          <w:i/>
          <w:iCs/>
          <w:sz w:val="22"/>
          <w:szCs w:val="22"/>
          <w:lang w:val="es-ES"/>
        </w:rPr>
        <w:tab/>
      </w:r>
      <w:r w:rsidR="00D25C2D" w:rsidRPr="00512F79">
        <w:rPr>
          <w:rFonts w:ascii="Times New Roman" w:hAnsi="Times New Roman" w:cs="Times New Roman"/>
          <w:i/>
          <w:iCs/>
          <w:sz w:val="22"/>
          <w:szCs w:val="22"/>
          <w:lang w:val="es-ES"/>
        </w:rPr>
        <w:tab/>
      </w:r>
      <w:r w:rsidR="00D25C2D" w:rsidRPr="00512F79">
        <w:rPr>
          <w:rFonts w:ascii="Times New Roman" w:hAnsi="Times New Roman" w:cs="Times New Roman"/>
          <w:i/>
          <w:iCs/>
          <w:sz w:val="22"/>
          <w:szCs w:val="22"/>
          <w:lang w:val="es-ES"/>
        </w:rPr>
        <w:tab/>
      </w:r>
      <w:r w:rsidR="00D25C2D" w:rsidRPr="00512F79">
        <w:rPr>
          <w:rFonts w:ascii="Times New Roman" w:hAnsi="Times New Roman" w:cs="Times New Roman"/>
          <w:i/>
          <w:iCs/>
          <w:sz w:val="22"/>
          <w:szCs w:val="22"/>
          <w:lang w:val="es-ES"/>
        </w:rPr>
        <w:tab/>
      </w:r>
      <w:r w:rsidR="00D25C2D" w:rsidRPr="00512F79">
        <w:rPr>
          <w:rFonts w:ascii="Times New Roman" w:hAnsi="Times New Roman" w:cs="Times New Roman"/>
          <w:i/>
          <w:iCs/>
          <w:sz w:val="22"/>
          <w:szCs w:val="22"/>
          <w:lang w:val="es-ES"/>
        </w:rPr>
        <w:tab/>
        <w:t>15</w:t>
      </w:r>
    </w:p>
    <w:p w14:paraId="36B41317"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2.4</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17</w:t>
      </w:r>
    </w:p>
    <w:p w14:paraId="354D2E8D"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2.5</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17</w:t>
      </w:r>
    </w:p>
    <w:p w14:paraId="6CFF9EDA"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2.6</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18</w:t>
      </w:r>
    </w:p>
    <w:p w14:paraId="257E03EA" w14:textId="4F61085E"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b/>
          <w:bCs/>
          <w:sz w:val="22"/>
          <w:szCs w:val="22"/>
          <w:lang w:val="es-ES"/>
        </w:rPr>
        <w:t>LÍNEA ESTRATÉGICA 3</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19</w:t>
      </w:r>
    </w:p>
    <w:p w14:paraId="6E68DF14"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i/>
          <w:iCs/>
          <w:sz w:val="22"/>
          <w:szCs w:val="22"/>
          <w:lang w:val="es-ES"/>
        </w:rPr>
        <w:t>Objetivo 3.1</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19</w:t>
      </w:r>
    </w:p>
    <w:p w14:paraId="4842EF83"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3.2</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19</w:t>
      </w:r>
    </w:p>
    <w:p w14:paraId="4AEB4822"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3.3</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21</w:t>
      </w:r>
    </w:p>
    <w:p w14:paraId="3F3B2E7F"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3.4</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22</w:t>
      </w:r>
    </w:p>
    <w:p w14:paraId="5C73986D" w14:textId="588AD151"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b/>
          <w:bCs/>
          <w:sz w:val="22"/>
          <w:szCs w:val="22"/>
          <w:lang w:val="es-ES"/>
        </w:rPr>
        <w:t>LÍNEA ESTRATÉGICA 4</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24</w:t>
      </w:r>
    </w:p>
    <w:p w14:paraId="59AB62B7"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i/>
          <w:iCs/>
          <w:sz w:val="22"/>
          <w:szCs w:val="22"/>
          <w:lang w:val="es-ES"/>
        </w:rPr>
        <w:t>Objetivo 4.1</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24</w:t>
      </w:r>
    </w:p>
    <w:p w14:paraId="1EF6ED82"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4.2</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24</w:t>
      </w:r>
    </w:p>
    <w:p w14:paraId="020264B4" w14:textId="608D021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b/>
          <w:bCs/>
          <w:sz w:val="22"/>
          <w:szCs w:val="22"/>
          <w:lang w:val="es-ES"/>
        </w:rPr>
        <w:t>LÍNEA ESTRATÉGICA 5</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26</w:t>
      </w:r>
    </w:p>
    <w:p w14:paraId="30DE0404"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i/>
          <w:iCs/>
          <w:sz w:val="22"/>
          <w:szCs w:val="22"/>
          <w:lang w:val="es-ES"/>
        </w:rPr>
        <w:t>Objetivo 5.1</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29</w:t>
      </w:r>
    </w:p>
    <w:p w14:paraId="504CD0E4" w14:textId="77777777" w:rsidR="00F4728E" w:rsidRPr="00512F79" w:rsidRDefault="00967695">
      <w:pPr>
        <w:rPr>
          <w:rFonts w:ascii="Times New Roman" w:hAnsi="Times New Roman" w:cs="Times New Roman"/>
          <w:i/>
          <w:i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Objetivo 5.2</w:t>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r>
      <w:r w:rsidRPr="00512F79">
        <w:rPr>
          <w:rFonts w:ascii="Times New Roman" w:hAnsi="Times New Roman" w:cs="Times New Roman"/>
          <w:i/>
          <w:iCs/>
          <w:sz w:val="22"/>
          <w:szCs w:val="22"/>
          <w:lang w:val="es-ES"/>
        </w:rPr>
        <w:tab/>
        <w:t>30</w:t>
      </w:r>
    </w:p>
    <w:p w14:paraId="2DF69797"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i/>
          <w:iCs/>
          <w:sz w:val="22"/>
          <w:szCs w:val="22"/>
          <w:lang w:val="es-ES"/>
        </w:rPr>
        <w:tab/>
      </w:r>
      <w:r w:rsidRPr="00512F79">
        <w:rPr>
          <w:rFonts w:ascii="Times New Roman" w:hAnsi="Times New Roman" w:cs="Times New Roman"/>
          <w:b/>
          <w:bCs/>
          <w:sz w:val="22"/>
          <w:szCs w:val="22"/>
          <w:lang w:val="es-ES"/>
        </w:rPr>
        <w:t>CONCLUSIÓN</w:t>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r>
      <w:r w:rsidRPr="00512F79">
        <w:rPr>
          <w:rFonts w:ascii="Times New Roman" w:hAnsi="Times New Roman" w:cs="Times New Roman"/>
          <w:b/>
          <w:bCs/>
          <w:sz w:val="22"/>
          <w:szCs w:val="22"/>
          <w:lang w:val="es-ES"/>
        </w:rPr>
        <w:tab/>
        <w:t>31</w:t>
      </w:r>
    </w:p>
    <w:p w14:paraId="27925940" w14:textId="3476A62C" w:rsidR="002E459A" w:rsidRPr="00512F79" w:rsidRDefault="002E459A" w:rsidP="00CB030B">
      <w:pPr>
        <w:rPr>
          <w:rFonts w:ascii="Times New Roman" w:hAnsi="Times New Roman" w:cs="Times New Roman"/>
          <w:sz w:val="22"/>
          <w:szCs w:val="22"/>
          <w:lang w:val="es-ES"/>
        </w:rPr>
      </w:pPr>
    </w:p>
    <w:p w14:paraId="4715F377" w14:textId="77777777" w:rsidR="00B93932" w:rsidRDefault="00B93932" w:rsidP="00CB030B">
      <w:pPr>
        <w:pBdr>
          <w:bottom w:val="single" w:sz="6" w:space="1" w:color="auto"/>
        </w:pBdr>
        <w:rPr>
          <w:rFonts w:ascii="Times New Roman" w:hAnsi="Times New Roman" w:cs="Times New Roman"/>
          <w:b/>
          <w:bCs/>
          <w:sz w:val="22"/>
          <w:szCs w:val="22"/>
          <w:lang w:val="es-ES"/>
        </w:rPr>
        <w:sectPr w:rsidR="00B93932" w:rsidSect="00B93932">
          <w:headerReference w:type="first" r:id="rId14"/>
          <w:type w:val="oddPage"/>
          <w:pgSz w:w="11906" w:h="16838"/>
          <w:pgMar w:top="1440" w:right="1440" w:bottom="1440" w:left="1440" w:header="1298" w:footer="431" w:gutter="0"/>
          <w:pgNumType w:fmt="numberInDash"/>
          <w:cols w:space="708"/>
          <w:titlePg/>
          <w:docGrid w:linePitch="360"/>
        </w:sectPr>
      </w:pPr>
    </w:p>
    <w:p w14:paraId="682250BF" w14:textId="77777777" w:rsidR="00F4728E" w:rsidRPr="00B93932" w:rsidRDefault="00967695">
      <w:pPr>
        <w:pBdr>
          <w:bottom w:val="single" w:sz="6" w:space="1" w:color="auto"/>
        </w:pBdr>
        <w:rPr>
          <w:rFonts w:ascii="Times New Roman" w:hAnsi="Times New Roman" w:cs="Times New Roman"/>
          <w:b/>
          <w:bCs/>
          <w:sz w:val="22"/>
          <w:szCs w:val="22"/>
          <w:lang w:val="es-AR"/>
        </w:rPr>
      </w:pPr>
      <w:r w:rsidRPr="00B93932">
        <w:rPr>
          <w:rFonts w:ascii="Times New Roman" w:hAnsi="Times New Roman" w:cs="Times New Roman"/>
          <w:b/>
          <w:bCs/>
          <w:sz w:val="22"/>
          <w:szCs w:val="22"/>
          <w:lang w:val="es-AR"/>
        </w:rPr>
        <w:t>LISTA DE ABREVIATURAS</w:t>
      </w:r>
      <w:r w:rsidR="004113B4" w:rsidRPr="00512F79">
        <w:rPr>
          <w:rStyle w:val="FootnoteReference"/>
          <w:rFonts w:ascii="Times New Roman" w:hAnsi="Times New Roman" w:cs="Times New Roman"/>
          <w:b/>
          <w:bCs/>
          <w:sz w:val="22"/>
          <w:szCs w:val="22"/>
          <w:lang w:val="en-US"/>
        </w:rPr>
        <w:footnoteReference w:id="1"/>
      </w:r>
    </w:p>
    <w:p w14:paraId="1F06129C" w14:textId="77777777" w:rsidR="00901F40" w:rsidRPr="00B93932" w:rsidRDefault="00901F40" w:rsidP="00CB030B">
      <w:pPr>
        <w:rPr>
          <w:rFonts w:ascii="Times New Roman" w:hAnsi="Times New Roman" w:cs="Times New Roman"/>
          <w:sz w:val="22"/>
          <w:szCs w:val="22"/>
          <w:lang w:val="es-AR"/>
        </w:rPr>
      </w:pPr>
    </w:p>
    <w:p w14:paraId="51D54AB2" w14:textId="43A914B5" w:rsidR="00F4728E" w:rsidRPr="00AB41C1" w:rsidRDefault="00967695">
      <w:pPr>
        <w:rPr>
          <w:rFonts w:ascii="Times New Roman" w:hAnsi="Times New Roman" w:cs="Times New Roman"/>
          <w:sz w:val="22"/>
          <w:szCs w:val="22"/>
          <w:lang w:val="es-ES"/>
        </w:rPr>
      </w:pPr>
      <w:r w:rsidRPr="00AB41C1">
        <w:rPr>
          <w:rFonts w:ascii="Times New Roman" w:hAnsi="Times New Roman" w:cs="Times New Roman"/>
          <w:sz w:val="22"/>
          <w:szCs w:val="22"/>
          <w:lang w:val="es-ES"/>
        </w:rPr>
        <w:t>ACE</w:t>
      </w:r>
      <w:r w:rsidRPr="00AB41C1">
        <w:rPr>
          <w:rFonts w:ascii="Times New Roman" w:hAnsi="Times New Roman" w:cs="Times New Roman"/>
          <w:sz w:val="22"/>
          <w:szCs w:val="22"/>
          <w:lang w:val="es-ES"/>
        </w:rPr>
        <w:tab/>
      </w:r>
      <w:r w:rsidRPr="00AB41C1">
        <w:rPr>
          <w:rFonts w:ascii="Times New Roman" w:hAnsi="Times New Roman" w:cs="Times New Roman"/>
          <w:sz w:val="22"/>
          <w:szCs w:val="22"/>
          <w:lang w:val="es-ES"/>
        </w:rPr>
        <w:tab/>
      </w:r>
      <w:r w:rsidRPr="00AB41C1">
        <w:rPr>
          <w:rFonts w:ascii="Times New Roman" w:hAnsi="Times New Roman" w:cs="Times New Roman"/>
          <w:sz w:val="22"/>
          <w:szCs w:val="22"/>
          <w:lang w:val="es-ES"/>
        </w:rPr>
        <w:tab/>
      </w:r>
      <w:r w:rsidR="00AB41C1" w:rsidRPr="00AB41C1">
        <w:rPr>
          <w:rFonts w:ascii="Times New Roman" w:hAnsi="Times New Roman" w:cs="Times New Roman"/>
          <w:sz w:val="22"/>
          <w:szCs w:val="22"/>
          <w:lang w:val="es-ES"/>
        </w:rPr>
        <w:t>Intercambio para la Competitividad de l</w:t>
      </w:r>
      <w:r w:rsidR="00AB41C1">
        <w:rPr>
          <w:rFonts w:ascii="Times New Roman" w:hAnsi="Times New Roman" w:cs="Times New Roman"/>
          <w:sz w:val="22"/>
          <w:szCs w:val="22"/>
          <w:lang w:val="es-ES"/>
        </w:rPr>
        <w:t>as Américas</w:t>
      </w:r>
      <w:r w:rsidR="009E6514" w:rsidRPr="00AB41C1">
        <w:rPr>
          <w:rFonts w:ascii="Times New Roman" w:hAnsi="Times New Roman" w:cs="Times New Roman"/>
          <w:sz w:val="22"/>
          <w:szCs w:val="22"/>
          <w:lang w:val="es-ES"/>
        </w:rPr>
        <w:t xml:space="preserve"> </w:t>
      </w:r>
    </w:p>
    <w:p w14:paraId="1ACA5205" w14:textId="77777777" w:rsidR="0052617E" w:rsidRPr="003160D3" w:rsidRDefault="0052617E" w:rsidP="0052617E">
      <w:pPr>
        <w:rPr>
          <w:rFonts w:ascii="Times New Roman" w:hAnsi="Times New Roman" w:cs="Times New Roman"/>
          <w:sz w:val="22"/>
          <w:szCs w:val="22"/>
          <w:lang w:val="pt-BR"/>
        </w:rPr>
      </w:pPr>
      <w:r w:rsidRPr="003160D3">
        <w:rPr>
          <w:rFonts w:ascii="Times New Roman" w:hAnsi="Times New Roman" w:cs="Times New Roman"/>
          <w:sz w:val="22"/>
          <w:szCs w:val="22"/>
          <w:lang w:val="pt-BR"/>
        </w:rPr>
        <w:t>AEI</w:t>
      </w:r>
      <w:r w:rsidRPr="003160D3">
        <w:rPr>
          <w:rFonts w:ascii="Times New Roman" w:hAnsi="Times New Roman" w:cs="Times New Roman"/>
          <w:sz w:val="22"/>
          <w:szCs w:val="22"/>
          <w:lang w:val="pt-BR"/>
        </w:rPr>
        <w:tab/>
      </w:r>
      <w:r w:rsidRPr="003160D3">
        <w:rPr>
          <w:rFonts w:ascii="Times New Roman" w:hAnsi="Times New Roman" w:cs="Times New Roman"/>
          <w:sz w:val="22"/>
          <w:szCs w:val="22"/>
          <w:lang w:val="pt-BR"/>
        </w:rPr>
        <w:tab/>
      </w:r>
      <w:r w:rsidRPr="003160D3">
        <w:rPr>
          <w:rFonts w:ascii="Times New Roman" w:hAnsi="Times New Roman" w:cs="Times New Roman"/>
          <w:sz w:val="22"/>
          <w:szCs w:val="22"/>
          <w:lang w:val="pt-BR"/>
        </w:rPr>
        <w:tab/>
        <w:t>Agenda Educativa Interamericana</w:t>
      </w:r>
    </w:p>
    <w:p w14:paraId="7E9F5CD0" w14:textId="77777777" w:rsidR="00F4728E" w:rsidRPr="003160D3" w:rsidRDefault="00967695">
      <w:pPr>
        <w:rPr>
          <w:rFonts w:ascii="Times New Roman" w:hAnsi="Times New Roman" w:cs="Times New Roman"/>
          <w:sz w:val="22"/>
          <w:szCs w:val="22"/>
          <w:lang w:val="pt-BR"/>
        </w:rPr>
      </w:pPr>
      <w:r w:rsidRPr="003160D3">
        <w:rPr>
          <w:rFonts w:ascii="Times New Roman" w:hAnsi="Times New Roman" w:cs="Times New Roman"/>
          <w:sz w:val="22"/>
          <w:szCs w:val="22"/>
          <w:lang w:val="pt-BR"/>
        </w:rPr>
        <w:t>AR</w:t>
      </w:r>
      <w:r w:rsidRPr="003160D3">
        <w:rPr>
          <w:rFonts w:ascii="Times New Roman" w:hAnsi="Times New Roman" w:cs="Times New Roman"/>
          <w:sz w:val="22"/>
          <w:szCs w:val="22"/>
          <w:lang w:val="pt-BR"/>
        </w:rPr>
        <w:tab/>
      </w:r>
      <w:r w:rsidRPr="003160D3">
        <w:rPr>
          <w:rFonts w:ascii="Times New Roman" w:hAnsi="Times New Roman" w:cs="Times New Roman"/>
          <w:sz w:val="22"/>
          <w:szCs w:val="22"/>
          <w:lang w:val="pt-BR"/>
        </w:rPr>
        <w:tab/>
      </w:r>
      <w:r w:rsidRPr="003160D3">
        <w:rPr>
          <w:rFonts w:ascii="Times New Roman" w:hAnsi="Times New Roman" w:cs="Times New Roman"/>
          <w:sz w:val="22"/>
          <w:szCs w:val="22"/>
          <w:lang w:val="pt-BR"/>
        </w:rPr>
        <w:tab/>
        <w:t>Realidad Aumentada</w:t>
      </w:r>
    </w:p>
    <w:p w14:paraId="45FFD1EF" w14:textId="77777777" w:rsidR="0052617E" w:rsidRPr="00512F79" w:rsidRDefault="0052617E" w:rsidP="0052617E">
      <w:pPr>
        <w:rPr>
          <w:rFonts w:ascii="Times New Roman" w:hAnsi="Times New Roman" w:cs="Times New Roman"/>
          <w:sz w:val="22"/>
          <w:szCs w:val="22"/>
          <w:lang w:val="es-ES"/>
        </w:rPr>
      </w:pPr>
      <w:r w:rsidRPr="00512F79">
        <w:rPr>
          <w:rFonts w:ascii="Times New Roman" w:hAnsi="Times New Roman" w:cs="Times New Roman"/>
          <w:sz w:val="22"/>
          <w:szCs w:val="22"/>
          <w:lang w:val="es-ES"/>
        </w:rPr>
        <w:t>BID</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Banco Interamericano de Desarrollo</w:t>
      </w:r>
    </w:p>
    <w:p w14:paraId="42B882B6"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CAF</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Banco de Desarrollo de América Latina</w:t>
      </w:r>
    </w:p>
    <w:p w14:paraId="3B7B505E" w14:textId="001EEB48"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CERT</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 xml:space="preserve">Equipos </w:t>
      </w:r>
      <w:r w:rsidR="00D15DE4">
        <w:rPr>
          <w:rFonts w:ascii="Times New Roman" w:hAnsi="Times New Roman" w:cs="Times New Roman"/>
          <w:sz w:val="22"/>
          <w:szCs w:val="22"/>
          <w:lang w:val="es-ES"/>
        </w:rPr>
        <w:t>Comunitarios de Respuesta a Emergencias</w:t>
      </w:r>
    </w:p>
    <w:p w14:paraId="04C6EE3C" w14:textId="09F41210"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CECIP</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005D2614">
        <w:rPr>
          <w:rFonts w:ascii="Times New Roman" w:hAnsi="Times New Roman" w:cs="Times New Roman"/>
          <w:sz w:val="22"/>
          <w:szCs w:val="22"/>
          <w:lang w:val="es-ES"/>
        </w:rPr>
        <w:t>Comité Ejecutivo de la Comisión Interamericana de Puertos</w:t>
      </w:r>
    </w:p>
    <w:p w14:paraId="5EAE1D3B" w14:textId="315555A1"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CIDI</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Consejo Interamericano para el Desarrollo Integral</w:t>
      </w:r>
    </w:p>
    <w:p w14:paraId="58A44B6E"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CIE</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Comisión Interamericana de Educación</w:t>
      </w:r>
    </w:p>
    <w:p w14:paraId="31EEA37D"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CIM</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Comisión Interamericana de Mujeres</w:t>
      </w:r>
    </w:p>
    <w:p w14:paraId="2B02B4CC" w14:textId="058E4655"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CIP</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Comisión Interamericana de Puertos</w:t>
      </w:r>
    </w:p>
    <w:p w14:paraId="28A6BFD2" w14:textId="77777777" w:rsidR="0052617E" w:rsidRPr="00512F79" w:rsidRDefault="0052617E" w:rsidP="0052617E">
      <w:pPr>
        <w:rPr>
          <w:rFonts w:ascii="Times New Roman" w:hAnsi="Times New Roman" w:cs="Times New Roman"/>
          <w:sz w:val="22"/>
          <w:szCs w:val="22"/>
          <w:lang w:val="es-ES"/>
        </w:rPr>
      </w:pPr>
      <w:r w:rsidRPr="00512F79">
        <w:rPr>
          <w:rFonts w:ascii="Times New Roman" w:hAnsi="Times New Roman" w:cs="Times New Roman"/>
          <w:sz w:val="22"/>
          <w:szCs w:val="22"/>
          <w:lang w:val="es-ES"/>
        </w:rPr>
        <w:t>CTI</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Ciencia, Tecnología e Innovación</w:t>
      </w:r>
    </w:p>
    <w:p w14:paraId="38D8D8D8" w14:textId="77777777" w:rsidR="00242A04" w:rsidRDefault="00242A04" w:rsidP="00242A04">
      <w:pPr>
        <w:rPr>
          <w:rFonts w:ascii="Times New Roman" w:hAnsi="Times New Roman" w:cs="Times New Roman"/>
          <w:sz w:val="22"/>
          <w:szCs w:val="22"/>
          <w:lang w:val="es-ES"/>
        </w:rPr>
      </w:pPr>
      <w:r w:rsidRPr="00512F79">
        <w:rPr>
          <w:rFonts w:ascii="Times New Roman" w:hAnsi="Times New Roman" w:cs="Times New Roman"/>
          <w:sz w:val="22"/>
          <w:szCs w:val="22"/>
          <w:lang w:val="es-ES"/>
        </w:rPr>
        <w:t>CIMT</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Conferencia Interamericana de Ministros de Trabajo</w:t>
      </w:r>
    </w:p>
    <w:p w14:paraId="21DECD67"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CITUR</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Comisión Interamericana de Turismo</w:t>
      </w:r>
    </w:p>
    <w:p w14:paraId="7B7AB358"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COMCYT</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Comisión Interamericana de Ciencia y Tecnología</w:t>
      </w:r>
    </w:p>
    <w:p w14:paraId="2D3F2963"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CONCYTEC</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Consejo Nacional de Ciencia, Tecnología e Innovación Tecnológica</w:t>
      </w:r>
    </w:p>
    <w:p w14:paraId="345B2DF5"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COSUDE</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Agencia Suiza para el Desarrollo y la Cooperación</w:t>
      </w:r>
    </w:p>
    <w:p w14:paraId="494A7282"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DD</w:t>
      </w:r>
      <w:r>
        <w:rPr>
          <w:rFonts w:ascii="Times New Roman" w:hAnsi="Times New Roman" w:cs="Times New Roman"/>
          <w:sz w:val="22"/>
          <w:szCs w:val="22"/>
          <w:lang w:val="es-ES"/>
        </w:rPr>
        <w:t>S</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Departamento de Desarrollo Sostenible</w:t>
      </w:r>
    </w:p>
    <w:p w14:paraId="2369CFF3"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DSS</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Sistema de ayuda a la toma de decisiones</w:t>
      </w:r>
    </w:p>
    <w:p w14:paraId="55475337" w14:textId="77777777" w:rsidR="003160D3" w:rsidRPr="00512F79" w:rsidRDefault="003160D3" w:rsidP="003160D3">
      <w:pPr>
        <w:jc w:val="both"/>
        <w:rPr>
          <w:rFonts w:ascii="Times New Roman" w:hAnsi="Times New Roman" w:cs="Times New Roman"/>
          <w:sz w:val="22"/>
          <w:szCs w:val="22"/>
          <w:lang w:val="es-ES"/>
        </w:rPr>
      </w:pPr>
      <w:r w:rsidRPr="00512F79">
        <w:rPr>
          <w:rFonts w:ascii="Times New Roman" w:hAnsi="Times New Roman" w:cs="Times New Roman"/>
          <w:sz w:val="22"/>
          <w:szCs w:val="22"/>
          <w:lang w:val="es-ES"/>
        </w:rPr>
        <w:t>ECPA</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 xml:space="preserve">Alianza </w:t>
      </w:r>
      <w:r>
        <w:rPr>
          <w:rFonts w:ascii="Times New Roman" w:hAnsi="Times New Roman" w:cs="Times New Roman"/>
          <w:sz w:val="22"/>
          <w:szCs w:val="22"/>
          <w:lang w:val="es-ES"/>
        </w:rPr>
        <w:t xml:space="preserve">de Energía y Clima </w:t>
      </w:r>
      <w:r w:rsidRPr="00512F79">
        <w:rPr>
          <w:rFonts w:ascii="Times New Roman" w:hAnsi="Times New Roman" w:cs="Times New Roman"/>
          <w:sz w:val="22"/>
          <w:szCs w:val="22"/>
          <w:lang w:val="es-ES"/>
        </w:rPr>
        <w:t>de las Américas</w:t>
      </w:r>
    </w:p>
    <w:p w14:paraId="14DB15F7" w14:textId="5EAED56B" w:rsidR="003160D3" w:rsidRPr="00512F79" w:rsidRDefault="003160D3" w:rsidP="003160D3">
      <w:pPr>
        <w:jc w:val="both"/>
        <w:rPr>
          <w:rFonts w:ascii="Times New Roman" w:hAnsi="Times New Roman" w:cs="Times New Roman"/>
          <w:sz w:val="22"/>
          <w:szCs w:val="22"/>
          <w:lang w:val="es-ES"/>
        </w:rPr>
      </w:pPr>
      <w:r w:rsidRPr="00512F79">
        <w:rPr>
          <w:rFonts w:ascii="Times New Roman" w:hAnsi="Times New Roman" w:cs="Times New Roman"/>
          <w:sz w:val="22"/>
          <w:szCs w:val="22"/>
          <w:lang w:val="es-ES"/>
        </w:rPr>
        <w:t>ESW</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Ventanilla Electrónica</w:t>
      </w:r>
      <w:r w:rsidR="003F3E73">
        <w:rPr>
          <w:rFonts w:ascii="Times New Roman" w:hAnsi="Times New Roman" w:cs="Times New Roman"/>
          <w:sz w:val="22"/>
          <w:szCs w:val="22"/>
          <w:lang w:val="es-ES"/>
        </w:rPr>
        <w:t xml:space="preserve"> Única</w:t>
      </w:r>
    </w:p>
    <w:p w14:paraId="598F85EC"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FCD</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 xml:space="preserve">Fondo de Cooperación </w:t>
      </w:r>
      <w:r>
        <w:rPr>
          <w:rFonts w:ascii="Times New Roman" w:hAnsi="Times New Roman" w:cs="Times New Roman"/>
          <w:sz w:val="22"/>
          <w:szCs w:val="22"/>
          <w:lang w:val="es-ES"/>
        </w:rPr>
        <w:t>para el</w:t>
      </w:r>
      <w:r w:rsidRPr="00512F79">
        <w:rPr>
          <w:rFonts w:ascii="Times New Roman" w:hAnsi="Times New Roman" w:cs="Times New Roman"/>
          <w:sz w:val="22"/>
          <w:szCs w:val="22"/>
          <w:lang w:val="es-ES"/>
        </w:rPr>
        <w:t xml:space="preserve"> Desarrollo</w:t>
      </w:r>
    </w:p>
    <w:p w14:paraId="0F1875DA"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FMAM</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Fondo para el Medio Ambiente Mundial</w:t>
      </w:r>
    </w:p>
    <w:p w14:paraId="6CD0FCA2"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FVSU</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Universidad Estatal de Fort Valley</w:t>
      </w:r>
    </w:p>
    <w:p w14:paraId="170EC6AA"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FUPAD</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 xml:space="preserve">Fundación Panamericana para el Desarrollo </w:t>
      </w:r>
    </w:p>
    <w:p w14:paraId="09EC6D87"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GIZ</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Agencia Alemana de Cooperación Internacional</w:t>
      </w:r>
    </w:p>
    <w:p w14:paraId="48783B46"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ITCA</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Colaboración Indígena de Turismo de las Américas</w:t>
      </w:r>
    </w:p>
    <w:p w14:paraId="3CA5EB7C" w14:textId="77777777" w:rsidR="00E7107C" w:rsidRPr="00512F79" w:rsidRDefault="00E7107C" w:rsidP="00E7107C">
      <w:pPr>
        <w:ind w:left="2160" w:hanging="2160"/>
        <w:rPr>
          <w:rFonts w:ascii="Times New Roman" w:hAnsi="Times New Roman" w:cs="Times New Roman"/>
          <w:sz w:val="22"/>
          <w:szCs w:val="22"/>
          <w:lang w:val="es-ES"/>
        </w:rPr>
      </w:pPr>
      <w:r>
        <w:rPr>
          <w:rFonts w:ascii="Times New Roman" w:hAnsi="Times New Roman" w:cs="Times New Roman"/>
          <w:sz w:val="22"/>
          <w:szCs w:val="22"/>
          <w:lang w:val="es-ES"/>
        </w:rPr>
        <w:t>JD</w:t>
      </w:r>
      <w:r w:rsidRPr="00512F79">
        <w:rPr>
          <w:rFonts w:ascii="Times New Roman" w:hAnsi="Times New Roman" w:cs="Times New Roman"/>
          <w:sz w:val="22"/>
          <w:szCs w:val="22"/>
          <w:lang w:val="es-ES"/>
        </w:rPr>
        <w:t>/AICD</w:t>
      </w:r>
      <w:r w:rsidRPr="00512F79">
        <w:rPr>
          <w:rFonts w:ascii="Times New Roman" w:hAnsi="Times New Roman" w:cs="Times New Roman"/>
          <w:sz w:val="22"/>
          <w:szCs w:val="22"/>
          <w:lang w:val="es-ES"/>
        </w:rPr>
        <w:tab/>
      </w:r>
      <w:r>
        <w:rPr>
          <w:rFonts w:ascii="Times New Roman" w:hAnsi="Times New Roman" w:cs="Times New Roman"/>
          <w:sz w:val="22"/>
          <w:szCs w:val="22"/>
          <w:lang w:val="es-ES"/>
        </w:rPr>
        <w:t xml:space="preserve">Junta Directiva </w:t>
      </w:r>
      <w:r w:rsidRPr="00512F79">
        <w:rPr>
          <w:rFonts w:ascii="Times New Roman" w:hAnsi="Times New Roman" w:cs="Times New Roman"/>
          <w:sz w:val="22"/>
          <w:szCs w:val="22"/>
          <w:lang w:val="es-ES"/>
        </w:rPr>
        <w:t>de la Agencia Interamericana para la Cooperación y el Desarrollo</w:t>
      </w:r>
    </w:p>
    <w:p w14:paraId="0A1FECE3" w14:textId="50B19E66"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MIPYME</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Micro, pequeña</w:t>
      </w:r>
      <w:r w:rsidR="00002B80">
        <w:rPr>
          <w:rFonts w:ascii="Times New Roman" w:hAnsi="Times New Roman" w:cs="Times New Roman"/>
          <w:sz w:val="22"/>
          <w:szCs w:val="22"/>
          <w:lang w:val="es-ES"/>
        </w:rPr>
        <w:t>s</w:t>
      </w:r>
      <w:r w:rsidRPr="00512F79">
        <w:rPr>
          <w:rFonts w:ascii="Times New Roman" w:hAnsi="Times New Roman" w:cs="Times New Roman"/>
          <w:sz w:val="22"/>
          <w:szCs w:val="22"/>
          <w:lang w:val="es-ES"/>
        </w:rPr>
        <w:t xml:space="preserve"> y mediana</w:t>
      </w:r>
      <w:r w:rsidR="00002B80">
        <w:rPr>
          <w:rFonts w:ascii="Times New Roman" w:hAnsi="Times New Roman" w:cs="Times New Roman"/>
          <w:sz w:val="22"/>
          <w:szCs w:val="22"/>
          <w:lang w:val="es-ES"/>
        </w:rPr>
        <w:t>s</w:t>
      </w:r>
      <w:r w:rsidRPr="00512F79">
        <w:rPr>
          <w:rFonts w:ascii="Times New Roman" w:hAnsi="Times New Roman" w:cs="Times New Roman"/>
          <w:sz w:val="22"/>
          <w:szCs w:val="22"/>
          <w:lang w:val="es-ES"/>
        </w:rPr>
        <w:t xml:space="preserve"> empresa</w:t>
      </w:r>
      <w:r w:rsidR="00002B80">
        <w:rPr>
          <w:rFonts w:ascii="Times New Roman" w:hAnsi="Times New Roman" w:cs="Times New Roman"/>
          <w:sz w:val="22"/>
          <w:szCs w:val="22"/>
          <w:lang w:val="es-ES"/>
        </w:rPr>
        <w:t>s</w:t>
      </w:r>
    </w:p>
    <w:p w14:paraId="752CE069" w14:textId="77777777" w:rsidR="00E7107C" w:rsidRPr="00512F79" w:rsidRDefault="00E7107C" w:rsidP="00E7107C">
      <w:pPr>
        <w:rPr>
          <w:rFonts w:ascii="Times New Roman" w:hAnsi="Times New Roman" w:cs="Times New Roman"/>
          <w:sz w:val="22"/>
          <w:szCs w:val="22"/>
          <w:lang w:val="es-ES"/>
        </w:rPr>
      </w:pPr>
      <w:r>
        <w:rPr>
          <w:rFonts w:ascii="Times New Roman" w:hAnsi="Times New Roman" w:cs="Times New Roman"/>
          <w:sz w:val="22"/>
          <w:szCs w:val="22"/>
          <w:lang w:val="es-ES"/>
        </w:rPr>
        <w:t>RIED</w:t>
      </w:r>
      <w:r>
        <w:rPr>
          <w:rFonts w:ascii="Times New Roman" w:hAnsi="Times New Roman" w:cs="Times New Roman"/>
          <w:sz w:val="22"/>
          <w:szCs w:val="22"/>
          <w:lang w:val="es-ES"/>
        </w:rPr>
        <w:tab/>
      </w:r>
      <w:r>
        <w:rPr>
          <w:rFonts w:ascii="Times New Roman" w:hAnsi="Times New Roman" w:cs="Times New Roman"/>
          <w:sz w:val="22"/>
          <w:szCs w:val="22"/>
          <w:lang w:val="es-ES"/>
        </w:rPr>
        <w:tab/>
      </w:r>
      <w:r>
        <w:rPr>
          <w:rFonts w:ascii="Times New Roman" w:hAnsi="Times New Roman" w:cs="Times New Roman"/>
          <w:sz w:val="22"/>
          <w:szCs w:val="22"/>
          <w:lang w:val="es-ES"/>
        </w:rPr>
        <w:tab/>
        <w:t>R</w:t>
      </w:r>
      <w:r w:rsidRPr="00512F79">
        <w:rPr>
          <w:rFonts w:ascii="Times New Roman" w:hAnsi="Times New Roman" w:cs="Times New Roman"/>
          <w:sz w:val="22"/>
          <w:szCs w:val="22"/>
          <w:lang w:val="es-ES"/>
        </w:rPr>
        <w:t xml:space="preserve">ed Interamericana de </w:t>
      </w:r>
      <w:r>
        <w:rPr>
          <w:rFonts w:ascii="Times New Roman" w:hAnsi="Times New Roman" w:cs="Times New Roman"/>
          <w:sz w:val="22"/>
          <w:szCs w:val="22"/>
          <w:lang w:val="es-ES"/>
        </w:rPr>
        <w:t>Educación Docente</w:t>
      </w:r>
    </w:p>
    <w:p w14:paraId="062E38C9"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MOU</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 xml:space="preserve">Memorándum de </w:t>
      </w:r>
      <w:r>
        <w:rPr>
          <w:rFonts w:ascii="Times New Roman" w:hAnsi="Times New Roman" w:cs="Times New Roman"/>
          <w:sz w:val="22"/>
          <w:szCs w:val="22"/>
          <w:lang w:val="es-ES"/>
        </w:rPr>
        <w:t>entendimiento</w:t>
      </w:r>
    </w:p>
    <w:p w14:paraId="59D953A3" w14:textId="77777777" w:rsidR="00E7107C" w:rsidRPr="00512F79" w:rsidRDefault="00E7107C" w:rsidP="00E7107C">
      <w:pPr>
        <w:ind w:left="2160" w:hanging="2160"/>
        <w:rPr>
          <w:rFonts w:ascii="Times New Roman" w:hAnsi="Times New Roman" w:cs="Times New Roman"/>
          <w:sz w:val="22"/>
          <w:szCs w:val="22"/>
          <w:lang w:val="es-ES"/>
        </w:rPr>
      </w:pPr>
      <w:r w:rsidRPr="00512F79">
        <w:rPr>
          <w:rFonts w:ascii="Times New Roman" w:hAnsi="Times New Roman" w:cs="Times New Roman"/>
          <w:sz w:val="22"/>
          <w:szCs w:val="22"/>
          <w:lang w:val="es-ES"/>
        </w:rPr>
        <w:t>OEA/SEDI</w:t>
      </w:r>
      <w:r w:rsidRPr="00512F79">
        <w:rPr>
          <w:rFonts w:ascii="Times New Roman" w:hAnsi="Times New Roman" w:cs="Times New Roman"/>
          <w:sz w:val="22"/>
          <w:szCs w:val="22"/>
          <w:lang w:val="es-ES"/>
        </w:rPr>
        <w:tab/>
        <w:t>Secretaría Ejecutiva para el Desarrollo Integral de la Organización de Estados Americanos</w:t>
      </w:r>
    </w:p>
    <w:p w14:paraId="5D7A0D35"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OECO</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Organización de Estados del Caribe Oriental</w:t>
      </w:r>
    </w:p>
    <w:p w14:paraId="2EF83C4A"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OSC</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Organizaciones de la Sociedad Civil</w:t>
      </w:r>
    </w:p>
    <w:p w14:paraId="21147416"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PIDS</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Programa Interamericano para el Desarrollo Sostenible</w:t>
      </w:r>
    </w:p>
    <w:p w14:paraId="008C0739"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PNUMA</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Programa de las Naciones Unidas para el Medio Ambiente</w:t>
      </w:r>
    </w:p>
    <w:p w14:paraId="28B625B8"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RIAC</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Red Interamericana de Competitividad</w:t>
      </w:r>
    </w:p>
    <w:p w14:paraId="18B52230" w14:textId="77777777" w:rsidR="00E7107C" w:rsidRPr="00512F79" w:rsidRDefault="00E7107C" w:rsidP="00E7107C">
      <w:pPr>
        <w:rPr>
          <w:rFonts w:ascii="Times New Roman" w:hAnsi="Times New Roman" w:cs="Times New Roman"/>
          <w:sz w:val="22"/>
          <w:szCs w:val="22"/>
          <w:lang w:val="es-ES"/>
        </w:rPr>
      </w:pPr>
      <w:r w:rsidRPr="00512F79">
        <w:rPr>
          <w:rFonts w:ascii="Times New Roman" w:hAnsi="Times New Roman" w:cs="Times New Roman"/>
          <w:sz w:val="22"/>
          <w:szCs w:val="22"/>
          <w:lang w:val="es-ES"/>
        </w:rPr>
        <w:t>RIAL</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Red Interamericana para la Administración Laboral</w:t>
      </w:r>
    </w:p>
    <w:p w14:paraId="499FB8A9" w14:textId="77777777" w:rsidR="00E7107C" w:rsidRPr="00512F79" w:rsidRDefault="00E7107C" w:rsidP="00E7107C">
      <w:pPr>
        <w:rPr>
          <w:rFonts w:ascii="Times New Roman" w:hAnsi="Times New Roman" w:cs="Times New Roman"/>
          <w:sz w:val="22"/>
          <w:szCs w:val="22"/>
          <w:lang w:val="es-ES"/>
        </w:rPr>
      </w:pPr>
      <w:r>
        <w:rPr>
          <w:rFonts w:ascii="Times New Roman" w:hAnsi="Times New Roman" w:cs="Times New Roman"/>
          <w:sz w:val="22"/>
          <w:szCs w:val="22"/>
          <w:lang w:val="es-ES"/>
        </w:rPr>
        <w:t>RIMD</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Red Interamericana para la Mitigación de Desastres</w:t>
      </w:r>
    </w:p>
    <w:p w14:paraId="7FCE66CF"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SAP</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Plan de Acción Estratégico</w:t>
      </w:r>
    </w:p>
    <w:p w14:paraId="2C4B131A"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SBDC</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Centros de Desarrollo de la Pequeña Empresa</w:t>
      </w:r>
    </w:p>
    <w:p w14:paraId="4DDC0C0D"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SICE</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Sistema de Información sobre Comercio Exterior de la OEA</w:t>
      </w:r>
    </w:p>
    <w:p w14:paraId="3D265B1B"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UWI</w:t>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r>
      <w:r w:rsidRPr="00512F79">
        <w:rPr>
          <w:rFonts w:ascii="Times New Roman" w:hAnsi="Times New Roman" w:cs="Times New Roman"/>
          <w:sz w:val="22"/>
          <w:szCs w:val="22"/>
          <w:lang w:val="es-ES"/>
        </w:rPr>
        <w:tab/>
        <w:t>Universidad de las Indias Occidentales</w:t>
      </w:r>
    </w:p>
    <w:p w14:paraId="0A09FC99" w14:textId="77777777" w:rsidR="00213DFE" w:rsidRPr="00512F79" w:rsidRDefault="00213DFE" w:rsidP="00CB030B">
      <w:pPr>
        <w:rPr>
          <w:rFonts w:ascii="Times New Roman" w:hAnsi="Times New Roman" w:cs="Times New Roman"/>
          <w:b/>
          <w:bCs/>
          <w:sz w:val="22"/>
          <w:szCs w:val="22"/>
          <w:u w:val="single"/>
          <w:lang w:val="es-ES"/>
        </w:rPr>
      </w:pPr>
    </w:p>
    <w:p w14:paraId="3029EE21" w14:textId="77777777" w:rsidR="00B93932" w:rsidRDefault="00B93932">
      <w:pPr>
        <w:pBdr>
          <w:bottom w:val="single" w:sz="6" w:space="1" w:color="auto"/>
        </w:pBdr>
        <w:rPr>
          <w:rFonts w:ascii="Times New Roman" w:hAnsi="Times New Roman" w:cs="Times New Roman"/>
          <w:b/>
          <w:bCs/>
          <w:sz w:val="22"/>
          <w:szCs w:val="22"/>
          <w:lang w:val="es-ES"/>
        </w:rPr>
        <w:sectPr w:rsidR="00B93932" w:rsidSect="00B93932">
          <w:type w:val="oddPage"/>
          <w:pgSz w:w="11906" w:h="16838"/>
          <w:pgMar w:top="1440" w:right="1440" w:bottom="1440" w:left="1440" w:header="1298" w:footer="431" w:gutter="0"/>
          <w:pgNumType w:fmt="numberInDash"/>
          <w:cols w:space="708"/>
          <w:titlePg/>
          <w:docGrid w:linePitch="360"/>
        </w:sectPr>
      </w:pPr>
    </w:p>
    <w:p w14:paraId="0381DF99" w14:textId="77777777" w:rsidR="00F4728E" w:rsidRPr="00512F79" w:rsidRDefault="00967695">
      <w:pPr>
        <w:pBdr>
          <w:bottom w:val="single" w:sz="6" w:space="1" w:color="auto"/>
        </w:pBd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VISIÓN GENERAL DE LAS LÍNEAS ESTRATÉGICAS</w:t>
      </w:r>
    </w:p>
    <w:p w14:paraId="7506C7FE" w14:textId="07A6CB63" w:rsidR="00901F40" w:rsidRPr="00512F79" w:rsidRDefault="00901F40" w:rsidP="00CB030B">
      <w:pPr>
        <w:rPr>
          <w:rFonts w:ascii="Times New Roman" w:hAnsi="Times New Roman" w:cs="Times New Roman"/>
          <w:b/>
          <w:bCs/>
          <w:sz w:val="22"/>
          <w:szCs w:val="22"/>
          <w:lang w:val="es-ES"/>
        </w:rPr>
      </w:pPr>
    </w:p>
    <w:p w14:paraId="0CB8D24B" w14:textId="77777777" w:rsidR="00901F40" w:rsidRPr="00512F79" w:rsidRDefault="00901F40" w:rsidP="00CB030B">
      <w:pPr>
        <w:rPr>
          <w:rFonts w:ascii="Times New Roman" w:hAnsi="Times New Roman" w:cs="Times New Roman"/>
          <w:b/>
          <w:bCs/>
          <w:sz w:val="22"/>
          <w:szCs w:val="22"/>
          <w:lang w:val="es-ES"/>
        </w:rPr>
      </w:pPr>
    </w:p>
    <w:p w14:paraId="286B9A52"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1</w:t>
      </w:r>
    </w:p>
    <w:p w14:paraId="430BF5EF" w14:textId="08330438"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PROMO</w:t>
      </w:r>
      <w:r w:rsidR="00E8629E">
        <w:rPr>
          <w:rFonts w:ascii="Times New Roman" w:hAnsi="Times New Roman" w:cs="Times New Roman"/>
          <w:sz w:val="22"/>
          <w:szCs w:val="22"/>
          <w:lang w:val="es-ES"/>
        </w:rPr>
        <w:t>VER</w:t>
      </w:r>
      <w:r w:rsidRPr="00512F79">
        <w:rPr>
          <w:rFonts w:ascii="Times New Roman" w:hAnsi="Times New Roman" w:cs="Times New Roman"/>
          <w:sz w:val="22"/>
          <w:szCs w:val="22"/>
          <w:lang w:val="es-ES"/>
        </w:rPr>
        <w:t xml:space="preserve"> ECONOMÍAS INCLUSIVAS Y COMPETITIVAS</w:t>
      </w:r>
    </w:p>
    <w:p w14:paraId="197F6530" w14:textId="77777777" w:rsidR="00901F40" w:rsidRPr="00512F79" w:rsidRDefault="00901F40" w:rsidP="00CB030B">
      <w:pPr>
        <w:rPr>
          <w:rFonts w:ascii="Times New Roman" w:hAnsi="Times New Roman" w:cs="Times New Roman"/>
          <w:b/>
          <w:bCs/>
          <w:sz w:val="22"/>
          <w:szCs w:val="22"/>
          <w:lang w:val="es-ES"/>
        </w:rPr>
      </w:pPr>
    </w:p>
    <w:p w14:paraId="548DF005" w14:textId="77777777" w:rsidR="00901F40" w:rsidRPr="00512F79" w:rsidRDefault="00901F40" w:rsidP="00CB030B">
      <w:pPr>
        <w:rPr>
          <w:rFonts w:ascii="Times New Roman" w:hAnsi="Times New Roman" w:cs="Times New Roman"/>
          <w:b/>
          <w:bCs/>
          <w:sz w:val="22"/>
          <w:szCs w:val="22"/>
          <w:lang w:val="es-ES"/>
        </w:rPr>
      </w:pPr>
    </w:p>
    <w:p w14:paraId="353997FE" w14:textId="77777777" w:rsidR="00901F40" w:rsidRPr="00512F79" w:rsidRDefault="00901F40" w:rsidP="00CB030B">
      <w:pPr>
        <w:rPr>
          <w:rFonts w:ascii="Times New Roman" w:hAnsi="Times New Roman" w:cs="Times New Roman"/>
          <w:b/>
          <w:bCs/>
          <w:sz w:val="22"/>
          <w:szCs w:val="22"/>
          <w:lang w:val="es-ES"/>
        </w:rPr>
      </w:pPr>
    </w:p>
    <w:p w14:paraId="3CE6A9DE"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LÍNEA ESTRATÉGICA </w:t>
      </w:r>
      <w:r w:rsidR="000F0680" w:rsidRPr="00512F79">
        <w:rPr>
          <w:rFonts w:ascii="Times New Roman" w:hAnsi="Times New Roman" w:cs="Times New Roman"/>
          <w:b/>
          <w:bCs/>
          <w:sz w:val="22"/>
          <w:szCs w:val="22"/>
          <w:lang w:val="es-ES"/>
        </w:rPr>
        <w:t>2</w:t>
      </w:r>
    </w:p>
    <w:p w14:paraId="780F6D88" w14:textId="5EA237E6" w:rsidR="00F4728E" w:rsidRPr="00512F79" w:rsidRDefault="00512F79">
      <w:pPr>
        <w:rPr>
          <w:rFonts w:ascii="Times New Roman" w:hAnsi="Times New Roman" w:cs="Times New Roman"/>
          <w:sz w:val="22"/>
          <w:szCs w:val="22"/>
          <w:lang w:val="es-ES"/>
        </w:rPr>
      </w:pPr>
      <w:r>
        <w:rPr>
          <w:rFonts w:ascii="Times New Roman" w:hAnsi="Times New Roman" w:cs="Times New Roman"/>
          <w:sz w:val="22"/>
          <w:szCs w:val="22"/>
          <w:lang w:val="es-ES"/>
        </w:rPr>
        <w:t>FORTALEC</w:t>
      </w:r>
      <w:r w:rsidR="00E8629E">
        <w:rPr>
          <w:rFonts w:ascii="Times New Roman" w:hAnsi="Times New Roman" w:cs="Times New Roman"/>
          <w:sz w:val="22"/>
          <w:szCs w:val="22"/>
          <w:lang w:val="es-ES"/>
        </w:rPr>
        <w:t>ER</w:t>
      </w:r>
      <w:r>
        <w:rPr>
          <w:rFonts w:ascii="Times New Roman" w:hAnsi="Times New Roman" w:cs="Times New Roman"/>
          <w:sz w:val="22"/>
          <w:szCs w:val="22"/>
          <w:lang w:val="es-ES"/>
        </w:rPr>
        <w:t xml:space="preserve"> LA IMPLEMENTACIÓN DE LOS OBJETIVOS</w:t>
      </w:r>
      <w:r w:rsidR="00967695" w:rsidRPr="00512F79">
        <w:rPr>
          <w:rFonts w:ascii="Times New Roman" w:hAnsi="Times New Roman" w:cs="Times New Roman"/>
          <w:sz w:val="22"/>
          <w:szCs w:val="22"/>
          <w:lang w:val="es-ES"/>
        </w:rPr>
        <w:t xml:space="preserve"> DE DESARROLLO SOSTENIBLE (PIDS)</w:t>
      </w:r>
    </w:p>
    <w:p w14:paraId="0127506C" w14:textId="77777777" w:rsidR="00901F40" w:rsidRPr="00512F79" w:rsidRDefault="00901F40" w:rsidP="00CB030B">
      <w:pPr>
        <w:rPr>
          <w:rFonts w:ascii="Times New Roman" w:hAnsi="Times New Roman" w:cs="Times New Roman"/>
          <w:b/>
          <w:bCs/>
          <w:sz w:val="22"/>
          <w:szCs w:val="22"/>
          <w:lang w:val="es-ES"/>
        </w:rPr>
      </w:pPr>
    </w:p>
    <w:p w14:paraId="59E11BA7" w14:textId="77777777" w:rsidR="00901F40" w:rsidRPr="00512F79" w:rsidRDefault="00901F40" w:rsidP="00CB030B">
      <w:pPr>
        <w:rPr>
          <w:rFonts w:ascii="Times New Roman" w:hAnsi="Times New Roman" w:cs="Times New Roman"/>
          <w:b/>
          <w:bCs/>
          <w:sz w:val="22"/>
          <w:szCs w:val="22"/>
          <w:lang w:val="es-ES"/>
        </w:rPr>
      </w:pPr>
    </w:p>
    <w:p w14:paraId="033F4CD2" w14:textId="77777777" w:rsidR="00901F40" w:rsidRPr="00512F79" w:rsidRDefault="00901F40" w:rsidP="00CB030B">
      <w:pPr>
        <w:rPr>
          <w:rFonts w:ascii="Times New Roman" w:hAnsi="Times New Roman" w:cs="Times New Roman"/>
          <w:b/>
          <w:bCs/>
          <w:sz w:val="22"/>
          <w:szCs w:val="22"/>
          <w:lang w:val="es-ES"/>
        </w:rPr>
      </w:pPr>
    </w:p>
    <w:p w14:paraId="02E9E9FB"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3</w:t>
      </w:r>
    </w:p>
    <w:p w14:paraId="62C1E121" w14:textId="77777777"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PROMOVER LA EDUCACIÓN Y EL DESARROLLO HUMANO EN LAS AMÉRICAS</w:t>
      </w:r>
    </w:p>
    <w:p w14:paraId="01D9F93D" w14:textId="77777777" w:rsidR="00901F40" w:rsidRPr="00512F79" w:rsidRDefault="00901F40" w:rsidP="00CB030B">
      <w:pPr>
        <w:rPr>
          <w:rFonts w:ascii="Times New Roman" w:hAnsi="Times New Roman" w:cs="Times New Roman"/>
          <w:b/>
          <w:bCs/>
          <w:sz w:val="22"/>
          <w:szCs w:val="22"/>
          <w:lang w:val="es-ES"/>
        </w:rPr>
      </w:pPr>
    </w:p>
    <w:p w14:paraId="57CF9CB3" w14:textId="77777777" w:rsidR="00901F40" w:rsidRPr="00512F79" w:rsidRDefault="00901F40" w:rsidP="00CB030B">
      <w:pPr>
        <w:rPr>
          <w:rFonts w:ascii="Times New Roman" w:hAnsi="Times New Roman" w:cs="Times New Roman"/>
          <w:b/>
          <w:bCs/>
          <w:sz w:val="22"/>
          <w:szCs w:val="22"/>
          <w:lang w:val="es-ES"/>
        </w:rPr>
      </w:pPr>
    </w:p>
    <w:p w14:paraId="78D4283D" w14:textId="77777777" w:rsidR="00901F40" w:rsidRPr="00512F79" w:rsidRDefault="00901F40" w:rsidP="00CB030B">
      <w:pPr>
        <w:rPr>
          <w:rFonts w:ascii="Times New Roman" w:hAnsi="Times New Roman" w:cs="Times New Roman"/>
          <w:b/>
          <w:bCs/>
          <w:sz w:val="22"/>
          <w:szCs w:val="22"/>
          <w:lang w:val="es-ES"/>
        </w:rPr>
      </w:pPr>
    </w:p>
    <w:p w14:paraId="42E68981"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4</w:t>
      </w:r>
    </w:p>
    <w:p w14:paraId="2135F487" w14:textId="20141FDE"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 xml:space="preserve">PROMOVER </w:t>
      </w:r>
      <w:r w:rsidR="00E8629E">
        <w:rPr>
          <w:rFonts w:ascii="Times New Roman" w:hAnsi="Times New Roman" w:cs="Times New Roman"/>
          <w:sz w:val="22"/>
          <w:szCs w:val="22"/>
          <w:lang w:val="es-ES"/>
        </w:rPr>
        <w:t>EL</w:t>
      </w:r>
      <w:r w:rsidRPr="00512F79">
        <w:rPr>
          <w:rFonts w:ascii="Times New Roman" w:hAnsi="Times New Roman" w:cs="Times New Roman"/>
          <w:sz w:val="22"/>
          <w:szCs w:val="22"/>
          <w:lang w:val="es-ES"/>
        </w:rPr>
        <w:t xml:space="preserve"> TRABAJO DECENTE, DIGNO Y PRODUCTIVO PARA TODOS</w:t>
      </w:r>
    </w:p>
    <w:p w14:paraId="13402178" w14:textId="77777777" w:rsidR="00901F40" w:rsidRPr="00512F79" w:rsidRDefault="00901F40" w:rsidP="00CB030B">
      <w:pPr>
        <w:rPr>
          <w:rFonts w:ascii="Times New Roman" w:hAnsi="Times New Roman" w:cs="Times New Roman"/>
          <w:b/>
          <w:bCs/>
          <w:sz w:val="22"/>
          <w:szCs w:val="22"/>
          <w:lang w:val="es-ES"/>
        </w:rPr>
      </w:pPr>
    </w:p>
    <w:p w14:paraId="19BD6B01" w14:textId="77777777" w:rsidR="00901F40" w:rsidRPr="00512F79" w:rsidRDefault="00901F40" w:rsidP="00CB030B">
      <w:pPr>
        <w:rPr>
          <w:rFonts w:ascii="Times New Roman" w:hAnsi="Times New Roman" w:cs="Times New Roman"/>
          <w:b/>
          <w:bCs/>
          <w:sz w:val="22"/>
          <w:szCs w:val="22"/>
          <w:lang w:val="es-ES"/>
        </w:rPr>
      </w:pPr>
    </w:p>
    <w:p w14:paraId="3BE80935" w14:textId="77777777" w:rsidR="00901F40" w:rsidRPr="00512F79" w:rsidRDefault="00901F40" w:rsidP="00CB030B">
      <w:pPr>
        <w:rPr>
          <w:rFonts w:ascii="Times New Roman" w:hAnsi="Times New Roman" w:cs="Times New Roman"/>
          <w:b/>
          <w:bCs/>
          <w:sz w:val="22"/>
          <w:szCs w:val="22"/>
          <w:lang w:val="es-ES"/>
        </w:rPr>
      </w:pPr>
    </w:p>
    <w:p w14:paraId="2DF2B0A4"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5</w:t>
      </w:r>
    </w:p>
    <w:p w14:paraId="526F5600" w14:textId="48335432" w:rsidR="00F4728E" w:rsidRPr="00512F79" w:rsidRDefault="00967695">
      <w:pPr>
        <w:rPr>
          <w:rFonts w:ascii="Times New Roman" w:hAnsi="Times New Roman" w:cs="Times New Roman"/>
          <w:sz w:val="22"/>
          <w:szCs w:val="22"/>
          <w:lang w:val="es-ES"/>
        </w:rPr>
      </w:pPr>
      <w:r w:rsidRPr="00512F79">
        <w:rPr>
          <w:rFonts w:ascii="Times New Roman" w:hAnsi="Times New Roman" w:cs="Times New Roman"/>
          <w:sz w:val="22"/>
          <w:szCs w:val="22"/>
          <w:lang w:val="es-ES"/>
        </w:rPr>
        <w:t>FOMENT</w:t>
      </w:r>
      <w:r w:rsidR="00E8629E">
        <w:rPr>
          <w:rFonts w:ascii="Times New Roman" w:hAnsi="Times New Roman" w:cs="Times New Roman"/>
          <w:sz w:val="22"/>
          <w:szCs w:val="22"/>
          <w:lang w:val="es-ES"/>
        </w:rPr>
        <w:t>AR</w:t>
      </w:r>
      <w:r w:rsidRPr="00512F79">
        <w:rPr>
          <w:rFonts w:ascii="Times New Roman" w:hAnsi="Times New Roman" w:cs="Times New Roman"/>
          <w:sz w:val="22"/>
          <w:szCs w:val="22"/>
          <w:lang w:val="es-ES"/>
        </w:rPr>
        <w:t xml:space="preserve"> LA COOPERACIÓN </w:t>
      </w:r>
      <w:r w:rsidR="00E8629E">
        <w:rPr>
          <w:rFonts w:ascii="Times New Roman" w:hAnsi="Times New Roman" w:cs="Times New Roman"/>
          <w:sz w:val="22"/>
          <w:szCs w:val="22"/>
          <w:lang w:val="es-ES"/>
        </w:rPr>
        <w:t>PARA EL</w:t>
      </w:r>
      <w:r w:rsidRPr="00512F79">
        <w:rPr>
          <w:rFonts w:ascii="Times New Roman" w:hAnsi="Times New Roman" w:cs="Times New Roman"/>
          <w:sz w:val="22"/>
          <w:szCs w:val="22"/>
          <w:lang w:val="es-ES"/>
        </w:rPr>
        <w:t xml:space="preserve"> DESARROLLO Y </w:t>
      </w:r>
      <w:r w:rsidR="00E8629E">
        <w:rPr>
          <w:rFonts w:ascii="Times New Roman" w:hAnsi="Times New Roman" w:cs="Times New Roman"/>
          <w:sz w:val="22"/>
          <w:szCs w:val="22"/>
          <w:lang w:val="es-ES"/>
        </w:rPr>
        <w:t>LA CREACIÓN DE ALIANZAS</w:t>
      </w:r>
    </w:p>
    <w:p w14:paraId="0E231071" w14:textId="77777777" w:rsidR="00901F40" w:rsidRPr="00512F79" w:rsidRDefault="00901F40" w:rsidP="00CB030B">
      <w:pPr>
        <w:rPr>
          <w:rFonts w:ascii="Times New Roman" w:hAnsi="Times New Roman" w:cs="Times New Roman"/>
          <w:b/>
          <w:bCs/>
          <w:sz w:val="22"/>
          <w:szCs w:val="22"/>
          <w:lang w:val="es-ES"/>
        </w:rPr>
      </w:pPr>
    </w:p>
    <w:p w14:paraId="53A12FEB" w14:textId="77777777" w:rsidR="00B93932" w:rsidRDefault="00B93932" w:rsidP="00CB030B">
      <w:pPr>
        <w:rPr>
          <w:rFonts w:ascii="Times New Roman" w:hAnsi="Times New Roman" w:cs="Times New Roman"/>
          <w:sz w:val="22"/>
          <w:szCs w:val="22"/>
          <w:lang w:val="es-ES"/>
        </w:rPr>
        <w:sectPr w:rsidR="00B93932" w:rsidSect="00B93932">
          <w:type w:val="oddPage"/>
          <w:pgSz w:w="11906" w:h="16838"/>
          <w:pgMar w:top="1440" w:right="1440" w:bottom="1440" w:left="1440" w:header="1298" w:footer="431" w:gutter="0"/>
          <w:pgNumType w:fmt="numberInDash"/>
          <w:cols w:space="708"/>
          <w:titlePg/>
          <w:docGrid w:linePitch="360"/>
        </w:sectPr>
      </w:pPr>
    </w:p>
    <w:p w14:paraId="2D492B49" w14:textId="77777777" w:rsidR="00901F40" w:rsidRPr="00512F79" w:rsidRDefault="00901F40" w:rsidP="00CB030B">
      <w:pPr>
        <w:rPr>
          <w:rFonts w:ascii="Times New Roman" w:hAnsi="Times New Roman" w:cs="Times New Roman"/>
          <w:sz w:val="22"/>
          <w:szCs w:val="22"/>
          <w:lang w:val="es-ES"/>
        </w:rPr>
      </w:pPr>
    </w:p>
    <w:p w14:paraId="14431059" w14:textId="417EE6E7" w:rsidR="00F4728E" w:rsidRPr="00512F79" w:rsidRDefault="00967695">
      <w:pPr>
        <w:jc w:val="center"/>
        <w:rPr>
          <w:rFonts w:ascii="Times New Roman" w:hAnsi="Times New Roman" w:cs="Times New Roman"/>
          <w:sz w:val="22"/>
          <w:szCs w:val="22"/>
          <w:lang w:val="es-ES"/>
        </w:rPr>
      </w:pPr>
      <w:r w:rsidRPr="00512F79">
        <w:rPr>
          <w:rFonts w:ascii="Times New Roman" w:hAnsi="Times New Roman" w:cs="Times New Roman"/>
          <w:sz w:val="22"/>
          <w:szCs w:val="22"/>
          <w:lang w:val="es-ES"/>
        </w:rPr>
        <w:t>INFORME ANUAL DE</w:t>
      </w:r>
      <w:r w:rsidR="009E6514">
        <w:rPr>
          <w:rFonts w:ascii="Times New Roman" w:hAnsi="Times New Roman" w:cs="Times New Roman"/>
          <w:sz w:val="22"/>
          <w:szCs w:val="22"/>
          <w:lang w:val="es-ES"/>
        </w:rPr>
        <w:t xml:space="preserve"> </w:t>
      </w:r>
      <w:r w:rsidRPr="00512F79">
        <w:rPr>
          <w:rFonts w:ascii="Times New Roman" w:hAnsi="Times New Roman" w:cs="Times New Roman"/>
          <w:sz w:val="22"/>
          <w:szCs w:val="22"/>
          <w:lang w:val="es-ES"/>
        </w:rPr>
        <w:t>L</w:t>
      </w:r>
      <w:r w:rsidR="009E6514">
        <w:rPr>
          <w:rFonts w:ascii="Times New Roman" w:hAnsi="Times New Roman" w:cs="Times New Roman"/>
          <w:sz w:val="22"/>
          <w:szCs w:val="22"/>
          <w:lang w:val="es-ES"/>
        </w:rPr>
        <w:t>A</w:t>
      </w:r>
    </w:p>
    <w:p w14:paraId="6BD6F1B5" w14:textId="77777777" w:rsidR="00F4728E" w:rsidRPr="00512F79" w:rsidRDefault="00967695">
      <w:pPr>
        <w:jc w:val="center"/>
        <w:rPr>
          <w:rFonts w:ascii="Times New Roman" w:hAnsi="Times New Roman" w:cs="Times New Roman"/>
          <w:sz w:val="22"/>
          <w:szCs w:val="22"/>
          <w:lang w:val="es-ES"/>
        </w:rPr>
      </w:pPr>
      <w:r w:rsidRPr="00512F79">
        <w:rPr>
          <w:rFonts w:ascii="Times New Roman" w:hAnsi="Times New Roman" w:cs="Times New Roman"/>
          <w:sz w:val="22"/>
          <w:szCs w:val="22"/>
          <w:lang w:val="es-ES"/>
        </w:rPr>
        <w:t>SECRETARÍA EJECUTIVA PARA EL DESARROLLO INTEGRAL (SEDI)</w:t>
      </w:r>
    </w:p>
    <w:p w14:paraId="3003A29E" w14:textId="77777777" w:rsidR="00F4728E" w:rsidRPr="00512F79" w:rsidRDefault="00967695">
      <w:pPr>
        <w:jc w:val="center"/>
        <w:rPr>
          <w:rFonts w:ascii="Times New Roman" w:hAnsi="Times New Roman" w:cs="Times New Roman"/>
          <w:sz w:val="22"/>
          <w:szCs w:val="22"/>
          <w:lang w:val="es-ES"/>
        </w:rPr>
      </w:pPr>
      <w:r w:rsidRPr="00512F79">
        <w:rPr>
          <w:rFonts w:ascii="Times New Roman" w:hAnsi="Times New Roman" w:cs="Times New Roman"/>
          <w:sz w:val="22"/>
          <w:szCs w:val="22"/>
          <w:lang w:val="es-ES"/>
        </w:rPr>
        <w:t>AL CONSEJO INTERAMERICANO PARA EL DESARROLLO INTEGRAL (CIDI)</w:t>
      </w:r>
    </w:p>
    <w:p w14:paraId="44BA31C6" w14:textId="77777777" w:rsidR="0074320E" w:rsidRPr="00512F79" w:rsidRDefault="0074320E" w:rsidP="00CB030B">
      <w:pPr>
        <w:rPr>
          <w:rFonts w:ascii="Times New Roman" w:hAnsi="Times New Roman" w:cs="Times New Roman"/>
          <w:sz w:val="22"/>
          <w:szCs w:val="22"/>
          <w:lang w:val="es-ES"/>
        </w:rPr>
      </w:pPr>
    </w:p>
    <w:p w14:paraId="1682569A" w14:textId="207ECA97" w:rsidR="00F4728E" w:rsidRPr="00512F79" w:rsidRDefault="009209FA">
      <w:pPr>
        <w:jc w:val="center"/>
        <w:rPr>
          <w:rFonts w:ascii="Times New Roman" w:hAnsi="Times New Roman" w:cs="Times New Roman"/>
          <w:sz w:val="22"/>
          <w:szCs w:val="22"/>
          <w:lang w:val="es-ES"/>
        </w:rPr>
      </w:pPr>
      <w:r>
        <w:rPr>
          <w:rFonts w:ascii="Times New Roman" w:hAnsi="Times New Roman" w:cs="Times New Roman"/>
          <w:sz w:val="22"/>
          <w:szCs w:val="22"/>
          <w:lang w:val="es-ES"/>
        </w:rPr>
        <w:t>E</w:t>
      </w:r>
      <w:r w:rsidR="00967695" w:rsidRPr="00512F79">
        <w:rPr>
          <w:rFonts w:ascii="Times New Roman" w:hAnsi="Times New Roman" w:cs="Times New Roman"/>
          <w:sz w:val="22"/>
          <w:szCs w:val="22"/>
          <w:lang w:val="es-ES"/>
        </w:rPr>
        <w:t xml:space="preserve">nero - </w:t>
      </w:r>
      <w:r w:rsidR="00365885">
        <w:rPr>
          <w:rFonts w:ascii="Times New Roman" w:hAnsi="Times New Roman" w:cs="Times New Roman"/>
          <w:sz w:val="22"/>
          <w:szCs w:val="22"/>
          <w:lang w:val="es-ES"/>
        </w:rPr>
        <w:t>d</w:t>
      </w:r>
      <w:r w:rsidR="00967695" w:rsidRPr="00512F79">
        <w:rPr>
          <w:rFonts w:ascii="Times New Roman" w:hAnsi="Times New Roman" w:cs="Times New Roman"/>
          <w:sz w:val="22"/>
          <w:szCs w:val="22"/>
          <w:lang w:val="es-ES"/>
        </w:rPr>
        <w:t>iciembre 2022</w:t>
      </w:r>
    </w:p>
    <w:p w14:paraId="33C0BCEC" w14:textId="77777777" w:rsidR="0074320E" w:rsidRPr="00512F79" w:rsidRDefault="0074320E" w:rsidP="00CB030B">
      <w:pPr>
        <w:rPr>
          <w:rFonts w:ascii="Times New Roman" w:hAnsi="Times New Roman" w:cs="Times New Roman"/>
          <w:b/>
          <w:bCs/>
          <w:sz w:val="22"/>
          <w:szCs w:val="22"/>
          <w:lang w:val="es-ES"/>
        </w:rPr>
      </w:pPr>
    </w:p>
    <w:p w14:paraId="503E89EE" w14:textId="77777777" w:rsidR="0074320E" w:rsidRPr="00512F79" w:rsidRDefault="0074320E" w:rsidP="00CB030B">
      <w:pPr>
        <w:rPr>
          <w:rFonts w:ascii="Times New Roman" w:hAnsi="Times New Roman" w:cs="Times New Roman"/>
          <w:b/>
          <w:bCs/>
          <w:sz w:val="22"/>
          <w:szCs w:val="22"/>
          <w:lang w:val="es-ES"/>
        </w:rPr>
      </w:pPr>
    </w:p>
    <w:p w14:paraId="21410533"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INTRODUCCIÓN</w:t>
      </w:r>
    </w:p>
    <w:p w14:paraId="5671324B" w14:textId="77777777" w:rsidR="00F4728E" w:rsidRPr="00512F79" w:rsidRDefault="00967695">
      <w:pPr>
        <w:pBdr>
          <w:bottom w:val="single" w:sz="6" w:space="1" w:color="auto"/>
        </w:pBdr>
        <w:rPr>
          <w:rFonts w:ascii="Times New Roman" w:hAnsi="Times New Roman" w:cs="Times New Roman"/>
          <w:sz w:val="22"/>
          <w:szCs w:val="22"/>
          <w:lang w:val="es-ES"/>
        </w:rPr>
      </w:pPr>
      <w:r w:rsidRPr="00512F79">
        <w:rPr>
          <w:rFonts w:ascii="Times New Roman" w:hAnsi="Times New Roman" w:cs="Times New Roman"/>
          <w:sz w:val="22"/>
          <w:szCs w:val="22"/>
          <w:lang w:val="es-ES"/>
        </w:rPr>
        <w:t>VISIÓN GENERAL DEL INFORME ANUAL 2022 DE SEDI</w:t>
      </w:r>
    </w:p>
    <w:p w14:paraId="674878DE" w14:textId="6AB5A4A0" w:rsidR="008A5D55" w:rsidRPr="00512F79" w:rsidRDefault="008A5D55" w:rsidP="00CB030B">
      <w:pPr>
        <w:rPr>
          <w:rFonts w:ascii="Times New Roman" w:hAnsi="Times New Roman" w:cs="Times New Roman"/>
          <w:sz w:val="22"/>
          <w:szCs w:val="22"/>
          <w:lang w:val="es-ES"/>
        </w:rPr>
      </w:pPr>
    </w:p>
    <w:p w14:paraId="55797E37" w14:textId="77777777" w:rsidR="0074320E" w:rsidRPr="00512F79" w:rsidRDefault="0074320E" w:rsidP="00CB030B">
      <w:pPr>
        <w:rPr>
          <w:rFonts w:ascii="Times New Roman" w:hAnsi="Times New Roman" w:cs="Times New Roman"/>
          <w:sz w:val="22"/>
          <w:szCs w:val="22"/>
          <w:lang w:val="es-ES"/>
        </w:rPr>
      </w:pPr>
    </w:p>
    <w:p w14:paraId="4FA34D00" w14:textId="0C9B7E7E" w:rsidR="00F4728E" w:rsidRPr="00512F79" w:rsidRDefault="009209FA">
      <w:pPr>
        <w:pStyle w:val="PlainText"/>
        <w:ind w:firstLine="720"/>
        <w:jc w:val="both"/>
        <w:rPr>
          <w:rFonts w:ascii="Times New Roman" w:hAnsi="Times New Roman" w:cs="Times New Roman"/>
          <w:color w:val="000000" w:themeColor="text1"/>
          <w:sz w:val="22"/>
          <w:szCs w:val="22"/>
          <w:lang w:val="es-ES"/>
        </w:rPr>
      </w:pPr>
      <w:r>
        <w:rPr>
          <w:rFonts w:ascii="Times New Roman" w:hAnsi="Times New Roman" w:cs="Times New Roman"/>
          <w:color w:val="000000" w:themeColor="text1"/>
          <w:sz w:val="22"/>
          <w:szCs w:val="22"/>
          <w:lang w:val="es-ES"/>
        </w:rPr>
        <w:t>La labor</w:t>
      </w:r>
      <w:r w:rsidR="00967695" w:rsidRPr="00512F79">
        <w:rPr>
          <w:rFonts w:ascii="Times New Roman" w:hAnsi="Times New Roman" w:cs="Times New Roman"/>
          <w:color w:val="000000" w:themeColor="text1"/>
          <w:sz w:val="22"/>
          <w:szCs w:val="22"/>
          <w:lang w:val="es-ES"/>
        </w:rPr>
        <w:t xml:space="preserve"> de la Secretaría Ejecutiva para el Desarrollo Integral de la Organización de los Estados Americanos (</w:t>
      </w:r>
      <w:r w:rsidR="00B6577B">
        <w:rPr>
          <w:rFonts w:ascii="Times New Roman" w:hAnsi="Times New Roman" w:cs="Times New Roman"/>
          <w:color w:val="000000" w:themeColor="text1"/>
          <w:sz w:val="22"/>
          <w:szCs w:val="22"/>
          <w:lang w:val="es-ES"/>
        </w:rPr>
        <w:t>OEA/SEDI</w:t>
      </w:r>
      <w:r w:rsidR="00967695" w:rsidRPr="00512F79">
        <w:rPr>
          <w:rFonts w:ascii="Times New Roman" w:hAnsi="Times New Roman" w:cs="Times New Roman"/>
          <w:color w:val="000000" w:themeColor="text1"/>
          <w:sz w:val="22"/>
          <w:szCs w:val="22"/>
          <w:lang w:val="es-ES"/>
        </w:rPr>
        <w:t xml:space="preserve">) se </w:t>
      </w:r>
      <w:r w:rsidR="00946D66">
        <w:rPr>
          <w:rFonts w:ascii="Times New Roman" w:hAnsi="Times New Roman" w:cs="Times New Roman"/>
          <w:color w:val="000000" w:themeColor="text1"/>
          <w:sz w:val="22"/>
          <w:szCs w:val="22"/>
          <w:lang w:val="es-ES"/>
        </w:rPr>
        <w:t xml:space="preserve">rige por los principios </w:t>
      </w:r>
      <w:r w:rsidR="00D6268C">
        <w:rPr>
          <w:rFonts w:ascii="Times New Roman" w:hAnsi="Times New Roman" w:cs="Times New Roman"/>
          <w:color w:val="000000" w:themeColor="text1"/>
          <w:sz w:val="22"/>
          <w:szCs w:val="22"/>
          <w:lang w:val="es-ES"/>
        </w:rPr>
        <w:t>básicos</w:t>
      </w:r>
      <w:r w:rsidR="00946D66">
        <w:rPr>
          <w:rFonts w:ascii="Times New Roman" w:hAnsi="Times New Roman" w:cs="Times New Roman"/>
          <w:color w:val="000000" w:themeColor="text1"/>
          <w:sz w:val="22"/>
          <w:szCs w:val="22"/>
          <w:lang w:val="es-ES"/>
        </w:rPr>
        <w:t xml:space="preserve"> expresados en la Carta</w:t>
      </w:r>
      <w:r w:rsidR="00967695" w:rsidRPr="00512F79">
        <w:rPr>
          <w:rFonts w:ascii="Times New Roman" w:hAnsi="Times New Roman" w:cs="Times New Roman"/>
          <w:color w:val="000000" w:themeColor="text1"/>
          <w:sz w:val="22"/>
          <w:szCs w:val="22"/>
          <w:lang w:val="es-ES"/>
        </w:rPr>
        <w:t xml:space="preserve"> de la O</w:t>
      </w:r>
      <w:r w:rsidR="00D6268C">
        <w:rPr>
          <w:rFonts w:ascii="Times New Roman" w:hAnsi="Times New Roman" w:cs="Times New Roman"/>
          <w:color w:val="000000" w:themeColor="text1"/>
          <w:sz w:val="22"/>
          <w:szCs w:val="22"/>
          <w:lang w:val="es-ES"/>
        </w:rPr>
        <w:t>rganización de los Estados Americanos</w:t>
      </w:r>
      <w:r w:rsidR="00967695" w:rsidRPr="00512F79">
        <w:rPr>
          <w:rFonts w:ascii="Times New Roman" w:hAnsi="Times New Roman" w:cs="Times New Roman"/>
          <w:color w:val="000000" w:themeColor="text1"/>
          <w:sz w:val="22"/>
          <w:szCs w:val="22"/>
          <w:lang w:val="es-ES"/>
        </w:rPr>
        <w:t xml:space="preserve"> y la Carta Social de las Américas. La SEDI deriva sus mandatos de la Cumbre de las Américas, la Asamblea General de la OEA y </w:t>
      </w:r>
      <w:r w:rsidR="009475A6">
        <w:rPr>
          <w:rFonts w:ascii="Times New Roman" w:hAnsi="Times New Roman" w:cs="Times New Roman"/>
          <w:color w:val="000000" w:themeColor="text1"/>
          <w:sz w:val="22"/>
          <w:szCs w:val="22"/>
          <w:lang w:val="es-ES"/>
        </w:rPr>
        <w:t xml:space="preserve">las </w:t>
      </w:r>
      <w:r w:rsidR="00967695" w:rsidRPr="00512F79">
        <w:rPr>
          <w:rFonts w:ascii="Times New Roman" w:hAnsi="Times New Roman" w:cs="Times New Roman"/>
          <w:color w:val="000000" w:themeColor="text1"/>
          <w:sz w:val="22"/>
          <w:szCs w:val="22"/>
          <w:lang w:val="es-ES"/>
        </w:rPr>
        <w:t xml:space="preserve">diversas reuniones sectoriales a nivel ministerial. El diálogo político y la cooperación técnica entre </w:t>
      </w:r>
      <w:r w:rsidR="00C67D84" w:rsidRPr="00512F79">
        <w:rPr>
          <w:rFonts w:ascii="Times New Roman" w:hAnsi="Times New Roman" w:cs="Times New Roman"/>
          <w:color w:val="000000" w:themeColor="text1"/>
          <w:sz w:val="22"/>
          <w:szCs w:val="22"/>
          <w:lang w:val="es-ES"/>
        </w:rPr>
        <w:t xml:space="preserve">los </w:t>
      </w:r>
      <w:r w:rsidR="005F30B1" w:rsidRPr="00512F79">
        <w:rPr>
          <w:rFonts w:ascii="Times New Roman" w:hAnsi="Times New Roman" w:cs="Times New Roman"/>
          <w:color w:val="000000" w:themeColor="text1"/>
          <w:sz w:val="22"/>
          <w:szCs w:val="22"/>
          <w:lang w:val="es-ES"/>
        </w:rPr>
        <w:t xml:space="preserve">Estados </w:t>
      </w:r>
      <w:r w:rsidR="00CD3021">
        <w:rPr>
          <w:rFonts w:ascii="Times New Roman" w:hAnsi="Times New Roman" w:cs="Times New Roman"/>
          <w:color w:val="000000" w:themeColor="text1"/>
          <w:sz w:val="22"/>
          <w:szCs w:val="22"/>
          <w:lang w:val="es-ES"/>
        </w:rPr>
        <w:t>M</w:t>
      </w:r>
      <w:r w:rsidR="005F30B1" w:rsidRPr="00512F79">
        <w:rPr>
          <w:rFonts w:ascii="Times New Roman" w:hAnsi="Times New Roman" w:cs="Times New Roman"/>
          <w:color w:val="000000" w:themeColor="text1"/>
          <w:sz w:val="22"/>
          <w:szCs w:val="22"/>
          <w:lang w:val="es-ES"/>
        </w:rPr>
        <w:t xml:space="preserve">iembros </w:t>
      </w:r>
      <w:r w:rsidR="00967695" w:rsidRPr="00512F79">
        <w:rPr>
          <w:rFonts w:ascii="Times New Roman" w:hAnsi="Times New Roman" w:cs="Times New Roman"/>
          <w:color w:val="000000" w:themeColor="text1"/>
          <w:sz w:val="22"/>
          <w:szCs w:val="22"/>
          <w:lang w:val="es-ES"/>
        </w:rPr>
        <w:t xml:space="preserve">que trabajan </w:t>
      </w:r>
      <w:r w:rsidR="0070279C">
        <w:rPr>
          <w:rFonts w:ascii="Times New Roman" w:hAnsi="Times New Roman" w:cs="Times New Roman"/>
          <w:color w:val="000000" w:themeColor="text1"/>
          <w:sz w:val="22"/>
          <w:szCs w:val="22"/>
          <w:lang w:val="es-ES"/>
        </w:rPr>
        <w:t xml:space="preserve">para lograr </w:t>
      </w:r>
      <w:r w:rsidR="00967695" w:rsidRPr="00512F79">
        <w:rPr>
          <w:rFonts w:ascii="Times New Roman" w:hAnsi="Times New Roman" w:cs="Times New Roman"/>
          <w:color w:val="000000" w:themeColor="text1"/>
          <w:sz w:val="22"/>
          <w:szCs w:val="22"/>
          <w:lang w:val="es-ES"/>
        </w:rPr>
        <w:t xml:space="preserve">el desarrollo socioeconómico de la región son fundamentales para la labor de la </w:t>
      </w:r>
      <w:r w:rsidR="00B6577B">
        <w:rPr>
          <w:rFonts w:ascii="Times New Roman" w:hAnsi="Times New Roman" w:cs="Times New Roman"/>
          <w:color w:val="000000" w:themeColor="text1"/>
          <w:sz w:val="22"/>
          <w:szCs w:val="22"/>
          <w:lang w:val="es-ES"/>
        </w:rPr>
        <w:t>OEA/SEDI</w:t>
      </w:r>
      <w:r w:rsidR="00967695" w:rsidRPr="00512F79">
        <w:rPr>
          <w:rFonts w:ascii="Times New Roman" w:hAnsi="Times New Roman" w:cs="Times New Roman"/>
          <w:color w:val="000000" w:themeColor="text1"/>
          <w:sz w:val="22"/>
          <w:szCs w:val="22"/>
          <w:lang w:val="es-ES"/>
        </w:rPr>
        <w:t xml:space="preserve">. A través del diálogo político de alto nivel, la </w:t>
      </w:r>
      <w:r w:rsidR="00B6577B">
        <w:rPr>
          <w:rFonts w:ascii="Times New Roman" w:hAnsi="Times New Roman" w:cs="Times New Roman"/>
          <w:color w:val="000000" w:themeColor="text1"/>
          <w:sz w:val="22"/>
          <w:szCs w:val="22"/>
          <w:lang w:val="es-ES"/>
        </w:rPr>
        <w:t>OEA/SEDI</w:t>
      </w:r>
      <w:r w:rsidR="00967695" w:rsidRPr="00512F79">
        <w:rPr>
          <w:rFonts w:ascii="Times New Roman" w:hAnsi="Times New Roman" w:cs="Times New Roman"/>
          <w:color w:val="000000" w:themeColor="text1"/>
          <w:sz w:val="22"/>
          <w:szCs w:val="22"/>
          <w:lang w:val="es-ES"/>
        </w:rPr>
        <w:t xml:space="preserve"> trabaja con </w:t>
      </w:r>
      <w:r w:rsidR="00C67D84" w:rsidRPr="00512F79">
        <w:rPr>
          <w:rFonts w:ascii="Times New Roman" w:hAnsi="Times New Roman" w:cs="Times New Roman"/>
          <w:color w:val="000000" w:themeColor="text1"/>
          <w:sz w:val="22"/>
          <w:szCs w:val="22"/>
          <w:lang w:val="es-ES"/>
        </w:rPr>
        <w:t xml:space="preserve">los Estados </w:t>
      </w:r>
      <w:r w:rsidR="0070279C">
        <w:rPr>
          <w:rFonts w:ascii="Times New Roman" w:hAnsi="Times New Roman" w:cs="Times New Roman"/>
          <w:color w:val="000000" w:themeColor="text1"/>
          <w:sz w:val="22"/>
          <w:szCs w:val="22"/>
          <w:lang w:val="es-ES"/>
        </w:rPr>
        <w:t>M</w:t>
      </w:r>
      <w:r w:rsidR="005F30B1" w:rsidRPr="00512F79">
        <w:rPr>
          <w:rFonts w:ascii="Times New Roman" w:hAnsi="Times New Roman" w:cs="Times New Roman"/>
          <w:color w:val="000000" w:themeColor="text1"/>
          <w:sz w:val="22"/>
          <w:szCs w:val="22"/>
          <w:lang w:val="es-ES"/>
        </w:rPr>
        <w:t xml:space="preserve">iembros </w:t>
      </w:r>
      <w:r w:rsidR="00967695" w:rsidRPr="00512F79">
        <w:rPr>
          <w:rFonts w:ascii="Times New Roman" w:hAnsi="Times New Roman" w:cs="Times New Roman"/>
          <w:color w:val="000000" w:themeColor="text1"/>
          <w:sz w:val="22"/>
          <w:szCs w:val="22"/>
          <w:lang w:val="es-ES"/>
        </w:rPr>
        <w:t xml:space="preserve">para definir las políticas y prioridades que consideran fundamentales para el alivio de la pobreza y la eliminación de la desigualdad en el Hemisferio. </w:t>
      </w:r>
      <w:r w:rsidR="00875BB5">
        <w:rPr>
          <w:rFonts w:ascii="Times New Roman" w:hAnsi="Times New Roman" w:cs="Times New Roman"/>
          <w:color w:val="000000" w:themeColor="text1"/>
          <w:sz w:val="22"/>
          <w:szCs w:val="22"/>
          <w:lang w:val="es-ES"/>
        </w:rPr>
        <w:t>En efecto,</w:t>
      </w:r>
      <w:r w:rsidR="00967695" w:rsidRPr="00512F79">
        <w:rPr>
          <w:rFonts w:ascii="Times New Roman" w:hAnsi="Times New Roman" w:cs="Times New Roman"/>
          <w:color w:val="000000" w:themeColor="text1"/>
          <w:sz w:val="22"/>
          <w:szCs w:val="22"/>
          <w:lang w:val="es-ES"/>
        </w:rPr>
        <w:t xml:space="preserve"> el mandato </w:t>
      </w:r>
      <w:r w:rsidR="00C6516E" w:rsidRPr="00512F79">
        <w:rPr>
          <w:rFonts w:ascii="Times New Roman" w:hAnsi="Times New Roman" w:cs="Times New Roman"/>
          <w:color w:val="000000" w:themeColor="text1"/>
          <w:sz w:val="22"/>
          <w:szCs w:val="22"/>
          <w:lang w:val="es-ES"/>
        </w:rPr>
        <w:t>de la OEA</w:t>
      </w:r>
      <w:r w:rsidR="00967695" w:rsidRPr="00512F79">
        <w:rPr>
          <w:rFonts w:ascii="Times New Roman" w:hAnsi="Times New Roman" w:cs="Times New Roman"/>
          <w:color w:val="000000" w:themeColor="text1"/>
          <w:sz w:val="22"/>
          <w:szCs w:val="22"/>
          <w:lang w:val="es-ES"/>
        </w:rPr>
        <w:t xml:space="preserve"> </w:t>
      </w:r>
      <w:r w:rsidR="002C024C">
        <w:rPr>
          <w:rFonts w:ascii="Times New Roman" w:hAnsi="Times New Roman" w:cs="Times New Roman"/>
          <w:color w:val="000000" w:themeColor="text1"/>
          <w:sz w:val="22"/>
          <w:szCs w:val="22"/>
          <w:lang w:val="es-ES"/>
        </w:rPr>
        <w:t>“</w:t>
      </w:r>
      <w:r w:rsidR="00967695" w:rsidRPr="00512F79">
        <w:rPr>
          <w:rFonts w:ascii="Times New Roman" w:hAnsi="Times New Roman" w:cs="Times New Roman"/>
          <w:color w:val="000000" w:themeColor="text1"/>
          <w:sz w:val="22"/>
          <w:szCs w:val="22"/>
          <w:lang w:val="es-ES"/>
        </w:rPr>
        <w:t xml:space="preserve">Más derechos para más </w:t>
      </w:r>
      <w:r w:rsidR="006D5A80">
        <w:rPr>
          <w:rFonts w:ascii="Times New Roman" w:hAnsi="Times New Roman" w:cs="Times New Roman"/>
          <w:color w:val="000000" w:themeColor="text1"/>
          <w:sz w:val="22"/>
          <w:szCs w:val="22"/>
          <w:lang w:val="es-ES"/>
        </w:rPr>
        <w:t>gente</w:t>
      </w:r>
      <w:r w:rsidR="002C024C">
        <w:rPr>
          <w:rFonts w:ascii="Times New Roman" w:hAnsi="Times New Roman" w:cs="Times New Roman"/>
          <w:color w:val="000000" w:themeColor="text1"/>
          <w:sz w:val="22"/>
          <w:szCs w:val="22"/>
          <w:lang w:val="es-ES"/>
        </w:rPr>
        <w:t>”</w:t>
      </w:r>
      <w:r w:rsidR="00967695" w:rsidRPr="00512F79">
        <w:rPr>
          <w:rFonts w:ascii="Times New Roman" w:hAnsi="Times New Roman" w:cs="Times New Roman"/>
          <w:color w:val="000000" w:themeColor="text1"/>
          <w:sz w:val="22"/>
          <w:szCs w:val="22"/>
          <w:lang w:val="es-ES"/>
        </w:rPr>
        <w:t xml:space="preserve">, es </w:t>
      </w:r>
      <w:r w:rsidR="0070279C">
        <w:rPr>
          <w:rFonts w:ascii="Times New Roman" w:hAnsi="Times New Roman" w:cs="Times New Roman"/>
          <w:color w:val="000000" w:themeColor="text1"/>
          <w:sz w:val="22"/>
          <w:szCs w:val="22"/>
          <w:lang w:val="es-ES"/>
        </w:rPr>
        <w:t>esencial</w:t>
      </w:r>
      <w:r w:rsidR="00967695" w:rsidRPr="00512F79">
        <w:rPr>
          <w:rFonts w:ascii="Times New Roman" w:hAnsi="Times New Roman" w:cs="Times New Roman"/>
          <w:color w:val="000000" w:themeColor="text1"/>
          <w:sz w:val="22"/>
          <w:szCs w:val="22"/>
          <w:lang w:val="es-ES"/>
        </w:rPr>
        <w:t xml:space="preserve"> para el propio </w:t>
      </w:r>
      <w:r w:rsidR="00967695" w:rsidRPr="0070279C">
        <w:rPr>
          <w:rFonts w:ascii="Times New Roman" w:hAnsi="Times New Roman" w:cs="Times New Roman"/>
          <w:i/>
          <w:iCs/>
          <w:color w:val="000000" w:themeColor="text1"/>
          <w:sz w:val="22"/>
          <w:szCs w:val="22"/>
          <w:lang w:val="es-ES"/>
        </w:rPr>
        <w:t>ethos</w:t>
      </w:r>
      <w:r w:rsidR="00967695" w:rsidRPr="00512F79">
        <w:rPr>
          <w:rFonts w:ascii="Times New Roman" w:hAnsi="Times New Roman" w:cs="Times New Roman"/>
          <w:color w:val="000000" w:themeColor="text1"/>
          <w:sz w:val="22"/>
          <w:szCs w:val="22"/>
          <w:lang w:val="es-ES"/>
        </w:rPr>
        <w:t xml:space="preserve"> </w:t>
      </w:r>
      <w:r w:rsidR="00C6516E" w:rsidRPr="00512F79">
        <w:rPr>
          <w:rFonts w:ascii="Times New Roman" w:hAnsi="Times New Roman" w:cs="Times New Roman"/>
          <w:color w:val="000000" w:themeColor="text1"/>
          <w:sz w:val="22"/>
          <w:szCs w:val="22"/>
          <w:lang w:val="es-ES"/>
        </w:rPr>
        <w:t xml:space="preserve">operativo </w:t>
      </w:r>
      <w:r w:rsidR="00967695" w:rsidRPr="00512F79">
        <w:rPr>
          <w:rFonts w:ascii="Times New Roman" w:hAnsi="Times New Roman" w:cs="Times New Roman"/>
          <w:color w:val="000000" w:themeColor="text1"/>
          <w:sz w:val="22"/>
          <w:szCs w:val="22"/>
          <w:lang w:val="es-ES"/>
        </w:rPr>
        <w:t>de la SEDI</w:t>
      </w:r>
      <w:r w:rsidR="00C6516E" w:rsidRPr="00512F79">
        <w:rPr>
          <w:rFonts w:ascii="Times New Roman" w:hAnsi="Times New Roman" w:cs="Times New Roman"/>
          <w:color w:val="000000" w:themeColor="text1"/>
          <w:sz w:val="22"/>
          <w:szCs w:val="22"/>
          <w:lang w:val="es-ES"/>
        </w:rPr>
        <w:t xml:space="preserve">. Los </w:t>
      </w:r>
      <w:r w:rsidR="00967695" w:rsidRPr="00512F79">
        <w:rPr>
          <w:rFonts w:ascii="Times New Roman" w:hAnsi="Times New Roman" w:cs="Times New Roman"/>
          <w:color w:val="000000" w:themeColor="text1"/>
          <w:sz w:val="22"/>
          <w:szCs w:val="22"/>
          <w:lang w:val="es-ES"/>
        </w:rPr>
        <w:t xml:space="preserve">imperativos políticos se traducen en programas, proyectos y actividades que </w:t>
      </w:r>
      <w:r w:rsidR="00C6516E" w:rsidRPr="00512F79">
        <w:rPr>
          <w:rFonts w:ascii="Times New Roman" w:hAnsi="Times New Roman" w:cs="Times New Roman"/>
          <w:color w:val="000000" w:themeColor="text1"/>
          <w:sz w:val="22"/>
          <w:szCs w:val="22"/>
          <w:lang w:val="es-ES"/>
        </w:rPr>
        <w:t xml:space="preserve">luego se </w:t>
      </w:r>
      <w:r w:rsidR="00655667">
        <w:rPr>
          <w:rFonts w:ascii="Times New Roman" w:hAnsi="Times New Roman" w:cs="Times New Roman"/>
          <w:color w:val="000000" w:themeColor="text1"/>
          <w:sz w:val="22"/>
          <w:szCs w:val="22"/>
          <w:lang w:val="es-ES"/>
        </w:rPr>
        <w:t>ponen en práctica</w:t>
      </w:r>
      <w:r w:rsidR="00967695" w:rsidRPr="00512F79">
        <w:rPr>
          <w:rFonts w:ascii="Times New Roman" w:hAnsi="Times New Roman" w:cs="Times New Roman"/>
          <w:color w:val="000000" w:themeColor="text1"/>
          <w:sz w:val="22"/>
          <w:szCs w:val="22"/>
          <w:lang w:val="es-ES"/>
        </w:rPr>
        <w:t xml:space="preserve"> mediante </w:t>
      </w:r>
      <w:r w:rsidR="0070279C">
        <w:rPr>
          <w:rFonts w:ascii="Times New Roman" w:hAnsi="Times New Roman" w:cs="Times New Roman"/>
          <w:color w:val="000000" w:themeColor="text1"/>
          <w:sz w:val="22"/>
          <w:szCs w:val="22"/>
          <w:lang w:val="es-ES"/>
        </w:rPr>
        <w:t>alianzas</w:t>
      </w:r>
      <w:r w:rsidR="00C6516E" w:rsidRPr="00512F79">
        <w:rPr>
          <w:rFonts w:ascii="Times New Roman" w:hAnsi="Times New Roman" w:cs="Times New Roman"/>
          <w:color w:val="000000" w:themeColor="text1"/>
          <w:sz w:val="22"/>
          <w:szCs w:val="22"/>
          <w:lang w:val="es-ES"/>
        </w:rPr>
        <w:t xml:space="preserve"> </w:t>
      </w:r>
      <w:r w:rsidR="00967695" w:rsidRPr="00512F79">
        <w:rPr>
          <w:rFonts w:ascii="Times New Roman" w:hAnsi="Times New Roman" w:cs="Times New Roman"/>
          <w:color w:val="000000" w:themeColor="text1"/>
          <w:sz w:val="22"/>
          <w:szCs w:val="22"/>
          <w:lang w:val="es-ES"/>
        </w:rPr>
        <w:t xml:space="preserve">con </w:t>
      </w:r>
      <w:r w:rsidR="00E42D96" w:rsidRPr="00512F79">
        <w:rPr>
          <w:rFonts w:ascii="Times New Roman" w:hAnsi="Times New Roman" w:cs="Times New Roman"/>
          <w:color w:val="000000" w:themeColor="text1"/>
          <w:sz w:val="22"/>
          <w:szCs w:val="22"/>
          <w:lang w:val="es-ES"/>
        </w:rPr>
        <w:t xml:space="preserve">organizaciones de la sociedad civil y </w:t>
      </w:r>
      <w:r w:rsidR="00967695" w:rsidRPr="00512F79">
        <w:rPr>
          <w:rFonts w:ascii="Times New Roman" w:hAnsi="Times New Roman" w:cs="Times New Roman"/>
          <w:color w:val="000000" w:themeColor="text1"/>
          <w:sz w:val="22"/>
          <w:szCs w:val="22"/>
          <w:lang w:val="es-ES"/>
        </w:rPr>
        <w:t>otras instituciones regionales</w:t>
      </w:r>
      <w:r w:rsidR="00C6516E" w:rsidRPr="00512F79">
        <w:rPr>
          <w:rFonts w:ascii="Times New Roman" w:hAnsi="Times New Roman" w:cs="Times New Roman"/>
          <w:color w:val="000000" w:themeColor="text1"/>
          <w:sz w:val="22"/>
          <w:szCs w:val="22"/>
          <w:lang w:val="es-ES"/>
        </w:rPr>
        <w:t xml:space="preserve">, </w:t>
      </w:r>
      <w:r w:rsidR="00967695" w:rsidRPr="00512F79">
        <w:rPr>
          <w:rFonts w:ascii="Times New Roman" w:hAnsi="Times New Roman" w:cs="Times New Roman"/>
          <w:color w:val="000000" w:themeColor="text1"/>
          <w:sz w:val="22"/>
          <w:szCs w:val="22"/>
          <w:lang w:val="es-ES"/>
        </w:rPr>
        <w:t>internacionales</w:t>
      </w:r>
      <w:r w:rsidR="00C6516E" w:rsidRPr="00512F79">
        <w:rPr>
          <w:rFonts w:ascii="Times New Roman" w:hAnsi="Times New Roman" w:cs="Times New Roman"/>
          <w:color w:val="000000" w:themeColor="text1"/>
          <w:sz w:val="22"/>
          <w:szCs w:val="22"/>
          <w:lang w:val="es-ES"/>
        </w:rPr>
        <w:t xml:space="preserve">, </w:t>
      </w:r>
      <w:r w:rsidR="006C54A2" w:rsidRPr="00512F79">
        <w:rPr>
          <w:rFonts w:ascii="Times New Roman" w:hAnsi="Times New Roman" w:cs="Times New Roman"/>
          <w:color w:val="000000" w:themeColor="text1"/>
          <w:sz w:val="22"/>
          <w:szCs w:val="22"/>
          <w:lang w:val="es-ES"/>
        </w:rPr>
        <w:t xml:space="preserve">públicas </w:t>
      </w:r>
      <w:r w:rsidR="00967695" w:rsidRPr="00512F79">
        <w:rPr>
          <w:rFonts w:ascii="Times New Roman" w:hAnsi="Times New Roman" w:cs="Times New Roman"/>
          <w:color w:val="000000" w:themeColor="text1"/>
          <w:sz w:val="22"/>
          <w:szCs w:val="22"/>
          <w:lang w:val="es-ES"/>
        </w:rPr>
        <w:t xml:space="preserve">y privadas </w:t>
      </w:r>
      <w:r w:rsidR="00E42D96" w:rsidRPr="00512F79">
        <w:rPr>
          <w:rFonts w:ascii="Times New Roman" w:hAnsi="Times New Roman" w:cs="Times New Roman"/>
          <w:color w:val="000000" w:themeColor="text1"/>
          <w:sz w:val="22"/>
          <w:szCs w:val="22"/>
          <w:lang w:val="es-ES"/>
        </w:rPr>
        <w:t>con objetivos comunes</w:t>
      </w:r>
      <w:r w:rsidR="00967695" w:rsidRPr="00512F79">
        <w:rPr>
          <w:rFonts w:ascii="Times New Roman" w:hAnsi="Times New Roman" w:cs="Times New Roman"/>
          <w:color w:val="000000" w:themeColor="text1"/>
          <w:sz w:val="22"/>
          <w:szCs w:val="22"/>
          <w:lang w:val="es-ES"/>
        </w:rPr>
        <w:t xml:space="preserve">. </w:t>
      </w:r>
    </w:p>
    <w:p w14:paraId="57BA9A3C" w14:textId="77777777" w:rsidR="00C6516E" w:rsidRPr="00512F79" w:rsidRDefault="00C6516E" w:rsidP="00B93932">
      <w:pPr>
        <w:pStyle w:val="PlainText"/>
        <w:jc w:val="both"/>
        <w:rPr>
          <w:rFonts w:ascii="Times New Roman" w:hAnsi="Times New Roman" w:cs="Times New Roman"/>
          <w:color w:val="000000" w:themeColor="text1"/>
          <w:sz w:val="22"/>
          <w:szCs w:val="22"/>
          <w:lang w:val="es-ES"/>
        </w:rPr>
      </w:pPr>
    </w:p>
    <w:p w14:paraId="46CDC61A" w14:textId="39801809" w:rsidR="00F4728E" w:rsidRPr="00512F79" w:rsidRDefault="00967695">
      <w:pPr>
        <w:pStyle w:val="PlainText"/>
        <w:ind w:firstLine="720"/>
        <w:jc w:val="both"/>
        <w:rPr>
          <w:rFonts w:ascii="Times New Roman" w:hAnsi="Times New Roman" w:cs="Times New Roman"/>
          <w:color w:val="000000" w:themeColor="text1"/>
          <w:sz w:val="22"/>
          <w:szCs w:val="22"/>
          <w:lang w:val="es-ES"/>
        </w:rPr>
      </w:pPr>
      <w:r w:rsidRPr="00512F79">
        <w:rPr>
          <w:rFonts w:ascii="Times New Roman" w:hAnsi="Times New Roman" w:cs="Times New Roman"/>
          <w:color w:val="000000" w:themeColor="text1"/>
          <w:sz w:val="22"/>
          <w:szCs w:val="22"/>
          <w:lang w:val="es-ES"/>
        </w:rPr>
        <w:t>El Plan Estratégico Integral de la OEA</w:t>
      </w:r>
      <w:bookmarkStart w:id="1" w:name="_Hlk61351579"/>
      <w:bookmarkEnd w:id="1"/>
      <w:r w:rsidR="00C6516E" w:rsidRPr="00512F79">
        <w:rPr>
          <w:rFonts w:ascii="Times New Roman" w:hAnsi="Times New Roman" w:cs="Times New Roman"/>
          <w:color w:val="000000" w:themeColor="text1"/>
          <w:sz w:val="22"/>
          <w:szCs w:val="22"/>
          <w:lang w:val="es-ES"/>
        </w:rPr>
        <w:t xml:space="preserve">, </w:t>
      </w:r>
      <w:r w:rsidRPr="00512F79">
        <w:rPr>
          <w:rFonts w:ascii="Times New Roman" w:hAnsi="Times New Roman" w:cs="Times New Roman"/>
          <w:color w:val="000000" w:themeColor="text1"/>
          <w:sz w:val="22"/>
          <w:szCs w:val="22"/>
          <w:lang w:val="es-ES"/>
        </w:rPr>
        <w:t>aprobado en 2016</w:t>
      </w:r>
      <w:r w:rsidR="00C6516E" w:rsidRPr="00512F79">
        <w:rPr>
          <w:rFonts w:ascii="Times New Roman" w:hAnsi="Times New Roman" w:cs="Times New Roman"/>
          <w:color w:val="000000" w:themeColor="text1"/>
          <w:sz w:val="22"/>
          <w:szCs w:val="22"/>
          <w:lang w:val="es-ES"/>
        </w:rPr>
        <w:t xml:space="preserve">, </w:t>
      </w:r>
      <w:r w:rsidRPr="00512F79">
        <w:rPr>
          <w:rFonts w:ascii="Times New Roman" w:hAnsi="Times New Roman" w:cs="Times New Roman"/>
          <w:color w:val="000000" w:themeColor="text1"/>
          <w:sz w:val="22"/>
          <w:szCs w:val="22"/>
          <w:lang w:val="es-ES"/>
        </w:rPr>
        <w:t xml:space="preserve">encomendó a la </w:t>
      </w:r>
      <w:r w:rsidR="00B6577B">
        <w:rPr>
          <w:rFonts w:ascii="Times New Roman" w:hAnsi="Times New Roman" w:cs="Times New Roman"/>
          <w:color w:val="000000" w:themeColor="text1"/>
          <w:sz w:val="22"/>
          <w:szCs w:val="22"/>
          <w:lang w:val="es-ES"/>
        </w:rPr>
        <w:t>OEA/SEDI</w:t>
      </w:r>
      <w:r w:rsidRPr="00512F79">
        <w:rPr>
          <w:rFonts w:ascii="Times New Roman" w:hAnsi="Times New Roman" w:cs="Times New Roman"/>
          <w:color w:val="000000" w:themeColor="text1"/>
          <w:sz w:val="22"/>
          <w:szCs w:val="22"/>
          <w:lang w:val="es-ES"/>
        </w:rPr>
        <w:t xml:space="preserve"> objetivos específicos en las </w:t>
      </w:r>
      <w:r w:rsidR="00C6516E" w:rsidRPr="00512F79">
        <w:rPr>
          <w:rFonts w:ascii="Times New Roman" w:hAnsi="Times New Roman" w:cs="Times New Roman"/>
          <w:color w:val="000000" w:themeColor="text1"/>
          <w:sz w:val="22"/>
          <w:szCs w:val="22"/>
          <w:lang w:val="es-ES"/>
        </w:rPr>
        <w:t xml:space="preserve">áreas de </w:t>
      </w:r>
      <w:r w:rsidRPr="00512F79">
        <w:rPr>
          <w:rFonts w:ascii="Times New Roman" w:hAnsi="Times New Roman" w:cs="Times New Roman"/>
          <w:color w:val="000000" w:themeColor="text1"/>
          <w:sz w:val="22"/>
          <w:szCs w:val="22"/>
          <w:lang w:val="es-ES"/>
        </w:rPr>
        <w:t xml:space="preserve">educación, competitividad, pequeñas y medianas empresas, trabajo, cultura, ciencia y tecnología, gestión de recursos, energías renovables y eficiencia energética, </w:t>
      </w:r>
      <w:r w:rsidR="00E42D96" w:rsidRPr="00512F79">
        <w:rPr>
          <w:rFonts w:ascii="Times New Roman" w:hAnsi="Times New Roman" w:cs="Times New Roman"/>
          <w:color w:val="000000" w:themeColor="text1"/>
          <w:sz w:val="22"/>
          <w:szCs w:val="22"/>
          <w:lang w:val="es-ES"/>
        </w:rPr>
        <w:t xml:space="preserve">turismo </w:t>
      </w:r>
      <w:r w:rsidRPr="00512F79">
        <w:rPr>
          <w:rFonts w:ascii="Times New Roman" w:hAnsi="Times New Roman" w:cs="Times New Roman"/>
          <w:color w:val="000000" w:themeColor="text1"/>
          <w:sz w:val="22"/>
          <w:szCs w:val="22"/>
          <w:lang w:val="es-ES"/>
        </w:rPr>
        <w:t xml:space="preserve">y desarrollo sostenible. Las actividades en estas áreas </w:t>
      </w:r>
      <w:r w:rsidR="00092F0D">
        <w:rPr>
          <w:rFonts w:ascii="Times New Roman" w:hAnsi="Times New Roman" w:cs="Times New Roman"/>
          <w:color w:val="000000" w:themeColor="text1"/>
          <w:sz w:val="22"/>
          <w:szCs w:val="22"/>
          <w:lang w:val="es-ES"/>
        </w:rPr>
        <w:t>fundamentales</w:t>
      </w:r>
      <w:r w:rsidRPr="00512F79">
        <w:rPr>
          <w:rFonts w:ascii="Times New Roman" w:hAnsi="Times New Roman" w:cs="Times New Roman"/>
          <w:color w:val="000000" w:themeColor="text1"/>
          <w:sz w:val="22"/>
          <w:szCs w:val="22"/>
          <w:lang w:val="es-ES"/>
        </w:rPr>
        <w:t xml:space="preserve"> se orientan principalmente hacia la creación de capacidades humanas y </w:t>
      </w:r>
      <w:r w:rsidR="00092F0D">
        <w:rPr>
          <w:rFonts w:ascii="Times New Roman" w:hAnsi="Times New Roman" w:cs="Times New Roman"/>
          <w:color w:val="000000" w:themeColor="text1"/>
          <w:sz w:val="22"/>
          <w:szCs w:val="22"/>
          <w:lang w:val="es-ES"/>
        </w:rPr>
        <w:t>e</w:t>
      </w:r>
      <w:r w:rsidRPr="00512F79">
        <w:rPr>
          <w:rFonts w:ascii="Times New Roman" w:hAnsi="Times New Roman" w:cs="Times New Roman"/>
          <w:color w:val="000000" w:themeColor="text1"/>
          <w:sz w:val="22"/>
          <w:szCs w:val="22"/>
          <w:lang w:val="es-ES"/>
        </w:rPr>
        <w:t xml:space="preserve">l fortalecimiento institucional para fomentar un ecosistema socioeconómico fuerte </w:t>
      </w:r>
      <w:r w:rsidR="00C6516E" w:rsidRPr="00512F79">
        <w:rPr>
          <w:rFonts w:ascii="Times New Roman" w:hAnsi="Times New Roman" w:cs="Times New Roman"/>
          <w:color w:val="000000" w:themeColor="text1"/>
          <w:sz w:val="22"/>
          <w:szCs w:val="22"/>
          <w:lang w:val="es-ES"/>
        </w:rPr>
        <w:t xml:space="preserve">y </w:t>
      </w:r>
      <w:r w:rsidRPr="00512F79">
        <w:rPr>
          <w:rFonts w:ascii="Times New Roman" w:hAnsi="Times New Roman" w:cs="Times New Roman"/>
          <w:color w:val="000000" w:themeColor="text1"/>
          <w:sz w:val="22"/>
          <w:szCs w:val="22"/>
          <w:lang w:val="es-ES"/>
        </w:rPr>
        <w:t xml:space="preserve">la ampliación de la gobernabilidad democrática en cada Estado </w:t>
      </w:r>
      <w:r w:rsidR="00A23CEA">
        <w:rPr>
          <w:rFonts w:ascii="Times New Roman" w:hAnsi="Times New Roman" w:cs="Times New Roman"/>
          <w:color w:val="000000" w:themeColor="text1"/>
          <w:sz w:val="22"/>
          <w:szCs w:val="22"/>
          <w:lang w:val="es-ES"/>
        </w:rPr>
        <w:t>M</w:t>
      </w:r>
      <w:r w:rsidRPr="00512F79">
        <w:rPr>
          <w:rFonts w:ascii="Times New Roman" w:hAnsi="Times New Roman" w:cs="Times New Roman"/>
          <w:color w:val="000000" w:themeColor="text1"/>
          <w:sz w:val="22"/>
          <w:szCs w:val="22"/>
          <w:lang w:val="es-ES"/>
        </w:rPr>
        <w:t xml:space="preserve">iembro. Además, la </w:t>
      </w:r>
      <w:r w:rsidR="00B6577B">
        <w:rPr>
          <w:rFonts w:ascii="Times New Roman" w:hAnsi="Times New Roman" w:cs="Times New Roman"/>
          <w:color w:val="000000" w:themeColor="text1"/>
          <w:sz w:val="22"/>
          <w:szCs w:val="22"/>
          <w:lang w:val="es-ES"/>
        </w:rPr>
        <w:t>OEA/SEDI</w:t>
      </w:r>
      <w:r w:rsidRPr="00512F79">
        <w:rPr>
          <w:rFonts w:ascii="Times New Roman" w:hAnsi="Times New Roman" w:cs="Times New Roman"/>
          <w:color w:val="000000" w:themeColor="text1"/>
          <w:sz w:val="22"/>
          <w:szCs w:val="22"/>
          <w:lang w:val="es-ES"/>
        </w:rPr>
        <w:t xml:space="preserve"> promueve un desarrollo portuario competitivo, seguro, sostenible e integrador </w:t>
      </w:r>
      <w:r w:rsidR="00C6516E" w:rsidRPr="00512F79">
        <w:rPr>
          <w:rFonts w:ascii="Times New Roman" w:hAnsi="Times New Roman" w:cs="Times New Roman"/>
          <w:color w:val="000000" w:themeColor="text1"/>
          <w:sz w:val="22"/>
          <w:szCs w:val="22"/>
          <w:lang w:val="es-ES"/>
        </w:rPr>
        <w:t xml:space="preserve">en todos los Estados </w:t>
      </w:r>
      <w:r w:rsidR="007F3655">
        <w:rPr>
          <w:rFonts w:ascii="Times New Roman" w:hAnsi="Times New Roman" w:cs="Times New Roman"/>
          <w:color w:val="000000" w:themeColor="text1"/>
          <w:sz w:val="22"/>
          <w:szCs w:val="22"/>
          <w:lang w:val="es-ES"/>
        </w:rPr>
        <w:t>M</w:t>
      </w:r>
      <w:r w:rsidR="00C6516E" w:rsidRPr="00512F79">
        <w:rPr>
          <w:rFonts w:ascii="Times New Roman" w:hAnsi="Times New Roman" w:cs="Times New Roman"/>
          <w:color w:val="000000" w:themeColor="text1"/>
          <w:sz w:val="22"/>
          <w:szCs w:val="22"/>
          <w:lang w:val="es-ES"/>
        </w:rPr>
        <w:t xml:space="preserve">iembros </w:t>
      </w:r>
      <w:r w:rsidR="00C67D84" w:rsidRPr="00512F79">
        <w:rPr>
          <w:rFonts w:ascii="Times New Roman" w:hAnsi="Times New Roman" w:cs="Times New Roman"/>
          <w:color w:val="000000" w:themeColor="text1"/>
          <w:sz w:val="22"/>
          <w:szCs w:val="22"/>
          <w:lang w:val="es-ES"/>
        </w:rPr>
        <w:t xml:space="preserve">de </w:t>
      </w:r>
      <w:r w:rsidRPr="00512F79">
        <w:rPr>
          <w:rFonts w:ascii="Times New Roman" w:hAnsi="Times New Roman" w:cs="Times New Roman"/>
          <w:color w:val="000000" w:themeColor="text1"/>
          <w:sz w:val="22"/>
          <w:szCs w:val="22"/>
          <w:lang w:val="es-ES"/>
        </w:rPr>
        <w:t>la OEA.</w:t>
      </w:r>
    </w:p>
    <w:p w14:paraId="7A169CB4" w14:textId="77777777" w:rsidR="008A5D55" w:rsidRPr="00512F79" w:rsidRDefault="008A5D55" w:rsidP="00B93932">
      <w:pPr>
        <w:rPr>
          <w:rFonts w:ascii="Times New Roman" w:hAnsi="Times New Roman" w:cs="Times New Roman"/>
          <w:sz w:val="22"/>
          <w:szCs w:val="22"/>
          <w:lang w:val="es-ES"/>
        </w:rPr>
      </w:pPr>
    </w:p>
    <w:p w14:paraId="5F35A9C3" w14:textId="28B1F2E2" w:rsidR="00F4728E" w:rsidRPr="00512F79" w:rsidRDefault="00967695">
      <w:pPr>
        <w:pStyle w:val="PlainText"/>
        <w:ind w:firstLine="720"/>
        <w:jc w:val="both"/>
        <w:rPr>
          <w:rFonts w:ascii="Times New Roman" w:hAnsi="Times New Roman" w:cs="Times New Roman"/>
          <w:color w:val="000000" w:themeColor="text1"/>
          <w:sz w:val="22"/>
          <w:szCs w:val="22"/>
          <w:lang w:val="es-ES"/>
        </w:rPr>
      </w:pPr>
      <w:r w:rsidRPr="00512F79">
        <w:rPr>
          <w:rFonts w:ascii="Times New Roman" w:hAnsi="Times New Roman" w:cs="Times New Roman"/>
          <w:color w:val="000000" w:themeColor="text1"/>
          <w:sz w:val="22"/>
          <w:szCs w:val="22"/>
          <w:lang w:val="es-ES"/>
        </w:rPr>
        <w:t>La estructura organizativa de la SEDI incluye la Oficina del Secretario Ejecutivo (OES), tres departamentos: el Departamento de Desarrollo Humano, Educación y Empleo (DHDEE)</w:t>
      </w:r>
      <w:r w:rsidR="00092F0D">
        <w:rPr>
          <w:rFonts w:ascii="Times New Roman" w:hAnsi="Times New Roman" w:cs="Times New Roman"/>
          <w:color w:val="000000" w:themeColor="text1"/>
          <w:sz w:val="22"/>
          <w:szCs w:val="22"/>
          <w:lang w:val="es-ES"/>
        </w:rPr>
        <w:t>,</w:t>
      </w:r>
      <w:r w:rsidRPr="00512F79">
        <w:rPr>
          <w:rFonts w:ascii="Times New Roman" w:hAnsi="Times New Roman" w:cs="Times New Roman"/>
          <w:color w:val="000000" w:themeColor="text1"/>
          <w:sz w:val="22"/>
          <w:szCs w:val="22"/>
          <w:lang w:val="es-ES"/>
        </w:rPr>
        <w:t xml:space="preserve"> el Departamento de Desarrollo Económico (DD</w:t>
      </w:r>
      <w:r w:rsidR="003C568A">
        <w:rPr>
          <w:rFonts w:ascii="Times New Roman" w:hAnsi="Times New Roman" w:cs="Times New Roman"/>
          <w:color w:val="000000" w:themeColor="text1"/>
          <w:sz w:val="22"/>
          <w:szCs w:val="22"/>
          <w:lang w:val="es-ES"/>
        </w:rPr>
        <w:t>E</w:t>
      </w:r>
      <w:r w:rsidRPr="00512F79">
        <w:rPr>
          <w:rFonts w:ascii="Times New Roman" w:hAnsi="Times New Roman" w:cs="Times New Roman"/>
          <w:color w:val="000000" w:themeColor="text1"/>
          <w:sz w:val="22"/>
          <w:szCs w:val="22"/>
          <w:lang w:val="es-ES"/>
        </w:rPr>
        <w:t>) y el Departamento de Desarrollo Sostenible (DD</w:t>
      </w:r>
      <w:r w:rsidR="003C568A">
        <w:rPr>
          <w:rFonts w:ascii="Times New Roman" w:hAnsi="Times New Roman" w:cs="Times New Roman"/>
          <w:color w:val="000000" w:themeColor="text1"/>
          <w:sz w:val="22"/>
          <w:szCs w:val="22"/>
          <w:lang w:val="es-ES"/>
        </w:rPr>
        <w:t>S</w:t>
      </w:r>
      <w:r w:rsidRPr="00512F79">
        <w:rPr>
          <w:rFonts w:ascii="Times New Roman" w:hAnsi="Times New Roman" w:cs="Times New Roman"/>
          <w:color w:val="000000" w:themeColor="text1"/>
          <w:sz w:val="22"/>
          <w:szCs w:val="22"/>
          <w:lang w:val="es-ES"/>
        </w:rPr>
        <w:t>)</w:t>
      </w:r>
      <w:r w:rsidR="003C568A">
        <w:rPr>
          <w:rFonts w:ascii="Times New Roman" w:hAnsi="Times New Roman" w:cs="Times New Roman"/>
          <w:color w:val="000000" w:themeColor="text1"/>
          <w:sz w:val="22"/>
          <w:szCs w:val="22"/>
          <w:lang w:val="es-ES"/>
        </w:rPr>
        <w:t>,</w:t>
      </w:r>
      <w:r w:rsidR="00E42D96" w:rsidRPr="00512F79">
        <w:rPr>
          <w:rFonts w:ascii="Times New Roman" w:hAnsi="Times New Roman" w:cs="Times New Roman"/>
          <w:color w:val="000000" w:themeColor="text1"/>
          <w:sz w:val="22"/>
          <w:szCs w:val="22"/>
          <w:lang w:val="es-ES"/>
        </w:rPr>
        <w:t xml:space="preserve"> </w:t>
      </w:r>
      <w:r w:rsidRPr="00512F79">
        <w:rPr>
          <w:rFonts w:ascii="Times New Roman" w:hAnsi="Times New Roman" w:cs="Times New Roman"/>
          <w:color w:val="000000" w:themeColor="text1"/>
          <w:sz w:val="22"/>
          <w:szCs w:val="22"/>
          <w:lang w:val="es-ES"/>
        </w:rPr>
        <w:t xml:space="preserve">y la Secretaría de la Comisión Interamericana de Puertos (CIP). </w:t>
      </w:r>
      <w:r w:rsidR="003C568A">
        <w:rPr>
          <w:rFonts w:ascii="Times New Roman" w:hAnsi="Times New Roman" w:cs="Times New Roman"/>
          <w:color w:val="000000" w:themeColor="text1"/>
          <w:sz w:val="22"/>
          <w:szCs w:val="22"/>
          <w:lang w:val="es-ES"/>
        </w:rPr>
        <w:t xml:space="preserve">La </w:t>
      </w:r>
      <w:r w:rsidRPr="00512F79">
        <w:rPr>
          <w:rFonts w:ascii="Times New Roman" w:hAnsi="Times New Roman" w:cs="Times New Roman"/>
          <w:color w:val="000000" w:themeColor="text1"/>
          <w:sz w:val="22"/>
          <w:szCs w:val="22"/>
          <w:lang w:val="es-ES"/>
        </w:rPr>
        <w:t xml:space="preserve">SEDI también trabaja estrechamente </w:t>
      </w:r>
      <w:r w:rsidR="00E42D96" w:rsidRPr="00512F79">
        <w:rPr>
          <w:rFonts w:ascii="Times New Roman" w:hAnsi="Times New Roman" w:cs="Times New Roman"/>
          <w:color w:val="000000" w:themeColor="text1"/>
          <w:sz w:val="22"/>
          <w:szCs w:val="22"/>
          <w:lang w:val="es-ES"/>
        </w:rPr>
        <w:t xml:space="preserve">con </w:t>
      </w:r>
      <w:r w:rsidRPr="00512F79">
        <w:rPr>
          <w:rFonts w:ascii="Times New Roman" w:hAnsi="Times New Roman" w:cs="Times New Roman"/>
          <w:color w:val="000000" w:themeColor="text1"/>
          <w:sz w:val="22"/>
          <w:szCs w:val="22"/>
          <w:lang w:val="es-ES"/>
        </w:rPr>
        <w:t>otras Secretarías dentro de la OEA</w:t>
      </w:r>
      <w:r w:rsidR="00E42D96" w:rsidRPr="00512F79">
        <w:rPr>
          <w:rFonts w:ascii="Times New Roman" w:hAnsi="Times New Roman" w:cs="Times New Roman"/>
          <w:color w:val="000000" w:themeColor="text1"/>
          <w:sz w:val="22"/>
          <w:szCs w:val="22"/>
          <w:lang w:val="es-ES"/>
        </w:rPr>
        <w:t xml:space="preserve">, junto con </w:t>
      </w:r>
      <w:r w:rsidR="007345B3">
        <w:rPr>
          <w:rFonts w:ascii="Times New Roman" w:hAnsi="Times New Roman" w:cs="Times New Roman"/>
          <w:color w:val="000000" w:themeColor="text1"/>
          <w:sz w:val="22"/>
          <w:szCs w:val="22"/>
          <w:lang w:val="es-ES"/>
        </w:rPr>
        <w:t>entidades afiliadas a</w:t>
      </w:r>
      <w:r w:rsidRPr="00512F79">
        <w:rPr>
          <w:rFonts w:ascii="Times New Roman" w:hAnsi="Times New Roman" w:cs="Times New Roman"/>
          <w:color w:val="000000" w:themeColor="text1"/>
          <w:sz w:val="22"/>
          <w:szCs w:val="22"/>
          <w:lang w:val="es-ES"/>
        </w:rPr>
        <w:t xml:space="preserve"> la OEA como el </w:t>
      </w:r>
      <w:r w:rsidRPr="003C568A">
        <w:rPr>
          <w:rFonts w:ascii="Times New Roman" w:hAnsi="Times New Roman" w:cs="Times New Roman"/>
          <w:i/>
          <w:iCs/>
          <w:color w:val="000000" w:themeColor="text1"/>
          <w:sz w:val="22"/>
          <w:szCs w:val="22"/>
          <w:lang w:val="es-ES"/>
        </w:rPr>
        <w:t>Trust for the Americas</w:t>
      </w:r>
      <w:r w:rsidRPr="00512F79">
        <w:rPr>
          <w:rFonts w:ascii="Times New Roman" w:hAnsi="Times New Roman" w:cs="Times New Roman"/>
          <w:color w:val="000000" w:themeColor="text1"/>
          <w:sz w:val="22"/>
          <w:szCs w:val="22"/>
          <w:lang w:val="es-ES"/>
        </w:rPr>
        <w:t xml:space="preserve">, el </w:t>
      </w:r>
      <w:r w:rsidRPr="003C568A">
        <w:rPr>
          <w:rFonts w:ascii="Times New Roman" w:hAnsi="Times New Roman" w:cs="Times New Roman"/>
          <w:i/>
          <w:iCs/>
          <w:color w:val="000000" w:themeColor="text1"/>
          <w:sz w:val="22"/>
          <w:szCs w:val="22"/>
          <w:lang w:val="es-ES"/>
        </w:rPr>
        <w:t>Young Americas Business Trust</w:t>
      </w:r>
      <w:r w:rsidRPr="00512F79">
        <w:rPr>
          <w:rFonts w:ascii="Times New Roman" w:hAnsi="Times New Roman" w:cs="Times New Roman"/>
          <w:color w:val="000000" w:themeColor="text1"/>
          <w:sz w:val="22"/>
          <w:szCs w:val="22"/>
          <w:lang w:val="es-ES"/>
        </w:rPr>
        <w:t xml:space="preserve"> (YABT) y la Fundación Panamericana para el Desarrollo (FUPAD). La SEDI </w:t>
      </w:r>
      <w:r w:rsidR="00E42D96" w:rsidRPr="00512F79">
        <w:rPr>
          <w:rFonts w:ascii="Times New Roman" w:hAnsi="Times New Roman" w:cs="Times New Roman"/>
          <w:color w:val="000000" w:themeColor="text1"/>
          <w:sz w:val="22"/>
          <w:szCs w:val="22"/>
          <w:lang w:val="es-ES"/>
        </w:rPr>
        <w:t xml:space="preserve">también </w:t>
      </w:r>
      <w:r w:rsidRPr="00512F79">
        <w:rPr>
          <w:rFonts w:ascii="Times New Roman" w:hAnsi="Times New Roman" w:cs="Times New Roman"/>
          <w:color w:val="000000" w:themeColor="text1"/>
          <w:sz w:val="22"/>
          <w:szCs w:val="22"/>
          <w:lang w:val="es-ES"/>
        </w:rPr>
        <w:t>ha establecido a</w:t>
      </w:r>
      <w:r w:rsidR="007345B3">
        <w:rPr>
          <w:rFonts w:ascii="Times New Roman" w:hAnsi="Times New Roman" w:cs="Times New Roman"/>
          <w:color w:val="000000" w:themeColor="text1"/>
          <w:sz w:val="22"/>
          <w:szCs w:val="22"/>
          <w:lang w:val="es-ES"/>
        </w:rPr>
        <w:t>lianzas</w:t>
      </w:r>
      <w:r w:rsidRPr="00512F79">
        <w:rPr>
          <w:rFonts w:ascii="Times New Roman" w:hAnsi="Times New Roman" w:cs="Times New Roman"/>
          <w:color w:val="000000" w:themeColor="text1"/>
          <w:sz w:val="22"/>
          <w:szCs w:val="22"/>
          <w:lang w:val="es-ES"/>
        </w:rPr>
        <w:t xml:space="preserve"> con otras organizaciones internacionales</w:t>
      </w:r>
      <w:r w:rsidR="00E42D96" w:rsidRPr="00512F79">
        <w:rPr>
          <w:rFonts w:ascii="Times New Roman" w:hAnsi="Times New Roman" w:cs="Times New Roman"/>
          <w:color w:val="000000" w:themeColor="text1"/>
          <w:sz w:val="22"/>
          <w:szCs w:val="22"/>
          <w:lang w:val="es-ES"/>
        </w:rPr>
        <w:t xml:space="preserve">, </w:t>
      </w:r>
      <w:r w:rsidRPr="00512F79">
        <w:rPr>
          <w:rFonts w:ascii="Times New Roman" w:hAnsi="Times New Roman" w:cs="Times New Roman"/>
          <w:color w:val="000000" w:themeColor="text1"/>
          <w:sz w:val="22"/>
          <w:szCs w:val="22"/>
          <w:lang w:val="es-ES"/>
        </w:rPr>
        <w:t>organizaciones de la sociedad civil, la comunidad académica y el sector privado.</w:t>
      </w:r>
    </w:p>
    <w:p w14:paraId="66E6BC57" w14:textId="77777777" w:rsidR="00B870D5" w:rsidRPr="00512F79" w:rsidRDefault="00B870D5" w:rsidP="00B93932">
      <w:pPr>
        <w:jc w:val="both"/>
        <w:rPr>
          <w:rFonts w:ascii="Times New Roman" w:hAnsi="Times New Roman" w:cs="Times New Roman"/>
          <w:color w:val="000000" w:themeColor="text1"/>
          <w:sz w:val="22"/>
          <w:szCs w:val="22"/>
          <w:lang w:val="es-ES"/>
        </w:rPr>
      </w:pPr>
    </w:p>
    <w:p w14:paraId="28BE8145" w14:textId="411153B8" w:rsidR="00F4728E" w:rsidRPr="00512F79" w:rsidRDefault="00967695">
      <w:pPr>
        <w:pStyle w:val="PlainText"/>
        <w:ind w:firstLine="720"/>
        <w:jc w:val="both"/>
        <w:rPr>
          <w:rFonts w:ascii="Times New Roman" w:hAnsi="Times New Roman" w:cs="Times New Roman"/>
          <w:color w:val="000000" w:themeColor="text1"/>
          <w:sz w:val="22"/>
          <w:szCs w:val="22"/>
          <w:lang w:val="es-ES"/>
        </w:rPr>
      </w:pPr>
      <w:r w:rsidRPr="00512F79">
        <w:rPr>
          <w:rFonts w:ascii="Times New Roman" w:hAnsi="Times New Roman" w:cs="Times New Roman"/>
          <w:color w:val="000000" w:themeColor="text1"/>
          <w:sz w:val="22"/>
          <w:szCs w:val="22"/>
          <w:lang w:val="es-ES"/>
        </w:rPr>
        <w:t xml:space="preserve">Además de </w:t>
      </w:r>
      <w:r w:rsidR="000048D5">
        <w:rPr>
          <w:rFonts w:ascii="Times New Roman" w:hAnsi="Times New Roman" w:cs="Times New Roman"/>
          <w:color w:val="000000" w:themeColor="text1"/>
          <w:sz w:val="22"/>
          <w:szCs w:val="22"/>
          <w:lang w:val="es-ES"/>
        </w:rPr>
        <w:t>actuar</w:t>
      </w:r>
      <w:r w:rsidR="00E42D96" w:rsidRPr="00512F79">
        <w:rPr>
          <w:rFonts w:ascii="Times New Roman" w:hAnsi="Times New Roman" w:cs="Times New Roman"/>
          <w:color w:val="000000" w:themeColor="text1"/>
          <w:sz w:val="22"/>
          <w:szCs w:val="22"/>
          <w:lang w:val="es-ES"/>
        </w:rPr>
        <w:t xml:space="preserve"> como </w:t>
      </w:r>
      <w:r w:rsidRPr="00512F79">
        <w:rPr>
          <w:rFonts w:ascii="Times New Roman" w:hAnsi="Times New Roman" w:cs="Times New Roman"/>
          <w:color w:val="000000" w:themeColor="text1"/>
          <w:sz w:val="22"/>
          <w:szCs w:val="22"/>
          <w:lang w:val="es-ES"/>
        </w:rPr>
        <w:t>Secretaría del Consejo Interamericano para el Desarrollo Integral (CIDI)</w:t>
      </w:r>
      <w:r w:rsidR="00E6451B">
        <w:rPr>
          <w:rFonts w:ascii="Times New Roman" w:hAnsi="Times New Roman" w:cs="Times New Roman"/>
          <w:color w:val="000000" w:themeColor="text1"/>
          <w:sz w:val="22"/>
          <w:szCs w:val="22"/>
          <w:lang w:val="es-ES"/>
        </w:rPr>
        <w:t xml:space="preserve">, </w:t>
      </w:r>
      <w:r w:rsidR="00E42D96" w:rsidRPr="00512F79">
        <w:rPr>
          <w:rFonts w:ascii="Times New Roman" w:hAnsi="Times New Roman" w:cs="Times New Roman"/>
          <w:color w:val="000000" w:themeColor="text1"/>
          <w:sz w:val="22"/>
          <w:szCs w:val="22"/>
          <w:lang w:val="es-ES"/>
        </w:rPr>
        <w:t xml:space="preserve">el </w:t>
      </w:r>
      <w:r w:rsidRPr="00512F79">
        <w:rPr>
          <w:rFonts w:ascii="Times New Roman" w:hAnsi="Times New Roman" w:cs="Times New Roman"/>
          <w:color w:val="000000" w:themeColor="text1"/>
          <w:sz w:val="22"/>
          <w:szCs w:val="22"/>
          <w:lang w:val="es-ES"/>
        </w:rPr>
        <w:t xml:space="preserve">principal foro multilateral para el diálogo sobre los retos </w:t>
      </w:r>
      <w:r w:rsidR="00345BA1">
        <w:rPr>
          <w:rFonts w:ascii="Times New Roman" w:hAnsi="Times New Roman" w:cs="Times New Roman"/>
          <w:color w:val="000000" w:themeColor="text1"/>
          <w:sz w:val="22"/>
          <w:szCs w:val="22"/>
          <w:lang w:val="es-ES"/>
        </w:rPr>
        <w:t>al</w:t>
      </w:r>
      <w:r w:rsidRPr="00512F79">
        <w:rPr>
          <w:rFonts w:ascii="Times New Roman" w:hAnsi="Times New Roman" w:cs="Times New Roman"/>
          <w:color w:val="000000" w:themeColor="text1"/>
          <w:sz w:val="22"/>
          <w:szCs w:val="22"/>
          <w:lang w:val="es-ES"/>
        </w:rPr>
        <w:t xml:space="preserve"> desarrollo que enfrenta la región, </w:t>
      </w:r>
      <w:r w:rsidR="00497018">
        <w:rPr>
          <w:rFonts w:ascii="Times New Roman" w:hAnsi="Times New Roman" w:cs="Times New Roman"/>
          <w:color w:val="000000" w:themeColor="text1"/>
          <w:sz w:val="22"/>
          <w:szCs w:val="22"/>
          <w:lang w:val="es-ES"/>
        </w:rPr>
        <w:t>la SEDI</w:t>
      </w:r>
      <w:r w:rsidRPr="00512F79">
        <w:rPr>
          <w:rFonts w:ascii="Times New Roman" w:hAnsi="Times New Roman" w:cs="Times New Roman"/>
          <w:color w:val="000000" w:themeColor="text1"/>
          <w:sz w:val="22"/>
          <w:szCs w:val="22"/>
          <w:lang w:val="es-ES"/>
        </w:rPr>
        <w:t xml:space="preserve"> presta servicios de asesoramiento y asistencia técnica directa a los </w:t>
      </w:r>
      <w:r w:rsidR="00C67D84" w:rsidRPr="00512F79">
        <w:rPr>
          <w:rFonts w:ascii="Times New Roman" w:hAnsi="Times New Roman" w:cs="Times New Roman"/>
          <w:color w:val="000000" w:themeColor="text1"/>
          <w:sz w:val="22"/>
          <w:szCs w:val="22"/>
          <w:lang w:val="es-ES"/>
        </w:rPr>
        <w:t xml:space="preserve">Estados </w:t>
      </w:r>
      <w:r w:rsidR="003C568A">
        <w:rPr>
          <w:rFonts w:ascii="Times New Roman" w:hAnsi="Times New Roman" w:cs="Times New Roman"/>
          <w:color w:val="000000" w:themeColor="text1"/>
          <w:sz w:val="22"/>
          <w:szCs w:val="22"/>
          <w:lang w:val="es-ES"/>
        </w:rPr>
        <w:t>M</w:t>
      </w:r>
      <w:r w:rsidR="00C67D84" w:rsidRPr="00512F79">
        <w:rPr>
          <w:rFonts w:ascii="Times New Roman" w:hAnsi="Times New Roman" w:cs="Times New Roman"/>
          <w:color w:val="000000" w:themeColor="text1"/>
          <w:sz w:val="22"/>
          <w:szCs w:val="22"/>
          <w:lang w:val="es-ES"/>
        </w:rPr>
        <w:t xml:space="preserve">iembros </w:t>
      </w:r>
      <w:r w:rsidRPr="00512F79">
        <w:rPr>
          <w:rFonts w:ascii="Times New Roman" w:hAnsi="Times New Roman" w:cs="Times New Roman"/>
          <w:color w:val="000000" w:themeColor="text1"/>
          <w:sz w:val="22"/>
          <w:szCs w:val="22"/>
          <w:lang w:val="es-ES"/>
        </w:rPr>
        <w:t xml:space="preserve">sobre </w:t>
      </w:r>
      <w:r w:rsidR="00092F0D">
        <w:rPr>
          <w:rFonts w:ascii="Times New Roman" w:hAnsi="Times New Roman" w:cs="Times New Roman"/>
          <w:color w:val="000000" w:themeColor="text1"/>
          <w:sz w:val="22"/>
          <w:szCs w:val="22"/>
          <w:lang w:val="es-ES"/>
        </w:rPr>
        <w:t>temas específicos</w:t>
      </w:r>
      <w:r w:rsidR="007E6660" w:rsidRPr="00512F79">
        <w:rPr>
          <w:rFonts w:ascii="Times New Roman" w:hAnsi="Times New Roman" w:cs="Times New Roman"/>
          <w:color w:val="000000" w:themeColor="text1"/>
          <w:sz w:val="22"/>
          <w:szCs w:val="22"/>
          <w:lang w:val="es-ES"/>
        </w:rPr>
        <w:t>. A</w:t>
      </w:r>
      <w:r w:rsidR="00497018">
        <w:rPr>
          <w:rFonts w:ascii="Times New Roman" w:hAnsi="Times New Roman" w:cs="Times New Roman"/>
          <w:color w:val="000000" w:themeColor="text1"/>
          <w:sz w:val="22"/>
          <w:szCs w:val="22"/>
          <w:lang w:val="es-ES"/>
        </w:rPr>
        <w:t xml:space="preserve">simismo, </w:t>
      </w:r>
      <w:r w:rsidR="000048D5">
        <w:rPr>
          <w:rFonts w:ascii="Times New Roman" w:hAnsi="Times New Roman" w:cs="Times New Roman"/>
          <w:color w:val="000000" w:themeColor="text1"/>
          <w:sz w:val="22"/>
          <w:szCs w:val="22"/>
          <w:lang w:val="es-ES"/>
        </w:rPr>
        <w:t xml:space="preserve">la </w:t>
      </w:r>
      <w:r w:rsidR="00776959">
        <w:rPr>
          <w:rFonts w:ascii="Times New Roman" w:hAnsi="Times New Roman" w:cs="Times New Roman"/>
          <w:color w:val="000000" w:themeColor="text1"/>
          <w:sz w:val="22"/>
          <w:szCs w:val="22"/>
          <w:lang w:val="es-ES"/>
        </w:rPr>
        <w:t>SEDI</w:t>
      </w:r>
      <w:r w:rsidR="007E6660" w:rsidRPr="00512F79">
        <w:rPr>
          <w:rFonts w:ascii="Times New Roman" w:hAnsi="Times New Roman" w:cs="Times New Roman"/>
          <w:color w:val="000000" w:themeColor="text1"/>
          <w:sz w:val="22"/>
          <w:szCs w:val="22"/>
          <w:lang w:val="es-ES"/>
        </w:rPr>
        <w:t xml:space="preserve"> </w:t>
      </w:r>
      <w:r w:rsidRPr="00512F79">
        <w:rPr>
          <w:rFonts w:ascii="Times New Roman" w:hAnsi="Times New Roman" w:cs="Times New Roman"/>
          <w:color w:val="000000" w:themeColor="text1"/>
          <w:sz w:val="22"/>
          <w:szCs w:val="22"/>
          <w:lang w:val="es-ES"/>
        </w:rPr>
        <w:t xml:space="preserve">financia, </w:t>
      </w:r>
      <w:r w:rsidR="003C375F">
        <w:rPr>
          <w:rFonts w:ascii="Times New Roman" w:hAnsi="Times New Roman" w:cs="Times New Roman"/>
          <w:color w:val="000000" w:themeColor="text1"/>
          <w:sz w:val="22"/>
          <w:szCs w:val="22"/>
          <w:lang w:val="es-ES"/>
        </w:rPr>
        <w:t>implementa</w:t>
      </w:r>
      <w:r w:rsidRPr="00512F79">
        <w:rPr>
          <w:rFonts w:ascii="Times New Roman" w:hAnsi="Times New Roman" w:cs="Times New Roman"/>
          <w:color w:val="000000" w:themeColor="text1"/>
          <w:sz w:val="22"/>
          <w:szCs w:val="22"/>
          <w:lang w:val="es-ES"/>
        </w:rPr>
        <w:t xml:space="preserve"> y coordina proyectos específicos de desarrollo con recursos del Fondo de Cooperación para el Desarrollo (FCD</w:t>
      </w:r>
      <w:r w:rsidR="006C54A2" w:rsidRPr="00512F79">
        <w:rPr>
          <w:rFonts w:ascii="Times New Roman" w:hAnsi="Times New Roman" w:cs="Times New Roman"/>
          <w:color w:val="000000" w:themeColor="text1"/>
          <w:sz w:val="22"/>
          <w:szCs w:val="22"/>
          <w:lang w:val="es-ES"/>
        </w:rPr>
        <w:t xml:space="preserve">) </w:t>
      </w:r>
      <w:r w:rsidRPr="00512F79">
        <w:rPr>
          <w:rFonts w:ascii="Times New Roman" w:hAnsi="Times New Roman" w:cs="Times New Roman"/>
          <w:color w:val="000000" w:themeColor="text1"/>
          <w:sz w:val="22"/>
          <w:szCs w:val="22"/>
          <w:lang w:val="es-ES"/>
        </w:rPr>
        <w:t xml:space="preserve">y con recursos externos de los </w:t>
      </w:r>
      <w:r w:rsidR="00C67D84" w:rsidRPr="00512F79">
        <w:rPr>
          <w:rFonts w:ascii="Times New Roman" w:hAnsi="Times New Roman" w:cs="Times New Roman"/>
          <w:color w:val="000000" w:themeColor="text1"/>
          <w:sz w:val="22"/>
          <w:szCs w:val="22"/>
          <w:lang w:val="es-ES"/>
        </w:rPr>
        <w:t xml:space="preserve">Estados </w:t>
      </w:r>
      <w:r w:rsidR="00E754C9">
        <w:rPr>
          <w:rFonts w:ascii="Times New Roman" w:hAnsi="Times New Roman" w:cs="Times New Roman"/>
          <w:color w:val="000000" w:themeColor="text1"/>
          <w:sz w:val="22"/>
          <w:szCs w:val="22"/>
          <w:lang w:val="es-ES"/>
        </w:rPr>
        <w:t>M</w:t>
      </w:r>
      <w:r w:rsidR="00C67D84" w:rsidRPr="00512F79">
        <w:rPr>
          <w:rFonts w:ascii="Times New Roman" w:hAnsi="Times New Roman" w:cs="Times New Roman"/>
          <w:color w:val="000000" w:themeColor="text1"/>
          <w:sz w:val="22"/>
          <w:szCs w:val="22"/>
          <w:lang w:val="es-ES"/>
        </w:rPr>
        <w:t>iembros</w:t>
      </w:r>
      <w:r w:rsidRPr="00512F79">
        <w:rPr>
          <w:rFonts w:ascii="Times New Roman" w:hAnsi="Times New Roman" w:cs="Times New Roman"/>
          <w:color w:val="000000" w:themeColor="text1"/>
          <w:sz w:val="22"/>
          <w:szCs w:val="22"/>
          <w:lang w:val="es-ES"/>
        </w:rPr>
        <w:t xml:space="preserve">, </w:t>
      </w:r>
      <w:r w:rsidR="005F30B1" w:rsidRPr="00512F79">
        <w:rPr>
          <w:rFonts w:ascii="Times New Roman" w:hAnsi="Times New Roman" w:cs="Times New Roman"/>
          <w:color w:val="000000" w:themeColor="text1"/>
          <w:sz w:val="22"/>
          <w:szCs w:val="22"/>
          <w:lang w:val="es-ES"/>
        </w:rPr>
        <w:t>Estados</w:t>
      </w:r>
      <w:r w:rsidR="00C67D84" w:rsidRPr="00512F79">
        <w:rPr>
          <w:rFonts w:ascii="Times New Roman" w:hAnsi="Times New Roman" w:cs="Times New Roman"/>
          <w:color w:val="000000" w:themeColor="text1"/>
          <w:sz w:val="22"/>
          <w:szCs w:val="22"/>
          <w:lang w:val="es-ES"/>
        </w:rPr>
        <w:t xml:space="preserve"> </w:t>
      </w:r>
      <w:r w:rsidR="00E754C9">
        <w:rPr>
          <w:rFonts w:ascii="Times New Roman" w:hAnsi="Times New Roman" w:cs="Times New Roman"/>
          <w:color w:val="000000" w:themeColor="text1"/>
          <w:sz w:val="22"/>
          <w:szCs w:val="22"/>
          <w:lang w:val="es-ES"/>
        </w:rPr>
        <w:t>M</w:t>
      </w:r>
      <w:r w:rsidR="00C67D84" w:rsidRPr="00512F79">
        <w:rPr>
          <w:rFonts w:ascii="Times New Roman" w:hAnsi="Times New Roman" w:cs="Times New Roman"/>
          <w:color w:val="000000" w:themeColor="text1"/>
          <w:sz w:val="22"/>
          <w:szCs w:val="22"/>
          <w:lang w:val="es-ES"/>
        </w:rPr>
        <w:t xml:space="preserve">iembros </w:t>
      </w:r>
      <w:r w:rsidRPr="00512F79">
        <w:rPr>
          <w:rFonts w:ascii="Times New Roman" w:hAnsi="Times New Roman" w:cs="Times New Roman"/>
          <w:color w:val="000000" w:themeColor="text1"/>
          <w:sz w:val="22"/>
          <w:szCs w:val="22"/>
          <w:lang w:val="es-ES"/>
        </w:rPr>
        <w:t xml:space="preserve">observadores, bancos de desarrollo, </w:t>
      </w:r>
      <w:r w:rsidR="0018686C">
        <w:rPr>
          <w:rFonts w:ascii="Times New Roman" w:hAnsi="Times New Roman" w:cs="Times New Roman"/>
          <w:color w:val="000000" w:themeColor="text1"/>
          <w:sz w:val="22"/>
          <w:szCs w:val="22"/>
          <w:lang w:val="es-ES"/>
        </w:rPr>
        <w:t xml:space="preserve">el </w:t>
      </w:r>
      <w:r w:rsidRPr="00512F79">
        <w:rPr>
          <w:rFonts w:ascii="Times New Roman" w:hAnsi="Times New Roman" w:cs="Times New Roman"/>
          <w:color w:val="000000" w:themeColor="text1"/>
          <w:sz w:val="22"/>
          <w:szCs w:val="22"/>
          <w:lang w:val="es-ES"/>
        </w:rPr>
        <w:t xml:space="preserve">sector privado, </w:t>
      </w:r>
      <w:r w:rsidR="00714250">
        <w:rPr>
          <w:rFonts w:ascii="Times New Roman" w:hAnsi="Times New Roman" w:cs="Times New Roman"/>
          <w:color w:val="000000" w:themeColor="text1"/>
          <w:sz w:val="22"/>
          <w:szCs w:val="22"/>
          <w:lang w:val="es-ES"/>
        </w:rPr>
        <w:t xml:space="preserve">instituciones académicas </w:t>
      </w:r>
      <w:r w:rsidRPr="00512F79">
        <w:rPr>
          <w:rFonts w:ascii="Times New Roman" w:hAnsi="Times New Roman" w:cs="Times New Roman"/>
          <w:color w:val="000000" w:themeColor="text1"/>
          <w:sz w:val="22"/>
          <w:szCs w:val="22"/>
          <w:lang w:val="es-ES"/>
        </w:rPr>
        <w:t xml:space="preserve">y otros socios. El </w:t>
      </w:r>
      <w:r w:rsidR="007E6660" w:rsidRPr="00512F79">
        <w:rPr>
          <w:rFonts w:ascii="Times New Roman" w:hAnsi="Times New Roman" w:cs="Times New Roman"/>
          <w:color w:val="000000" w:themeColor="text1"/>
          <w:sz w:val="22"/>
          <w:szCs w:val="22"/>
          <w:lang w:val="es-ES"/>
        </w:rPr>
        <w:t xml:space="preserve">cometido principal de la SEDI </w:t>
      </w:r>
      <w:r w:rsidR="00E754C9">
        <w:rPr>
          <w:rFonts w:ascii="Times New Roman" w:hAnsi="Times New Roman" w:cs="Times New Roman"/>
          <w:color w:val="000000" w:themeColor="text1"/>
          <w:sz w:val="22"/>
          <w:szCs w:val="22"/>
          <w:lang w:val="es-ES"/>
        </w:rPr>
        <w:t>expresado</w:t>
      </w:r>
      <w:r w:rsidRPr="00512F79">
        <w:rPr>
          <w:rFonts w:ascii="Times New Roman" w:hAnsi="Times New Roman" w:cs="Times New Roman"/>
          <w:color w:val="000000" w:themeColor="text1"/>
          <w:sz w:val="22"/>
          <w:szCs w:val="22"/>
          <w:lang w:val="es-ES"/>
        </w:rPr>
        <w:t xml:space="preserve"> en la Carta de la OEA sigue siendo </w:t>
      </w:r>
      <w:r w:rsidR="007E6660" w:rsidRPr="00512F79">
        <w:rPr>
          <w:rFonts w:ascii="Times New Roman" w:hAnsi="Times New Roman" w:cs="Times New Roman"/>
          <w:color w:val="000000" w:themeColor="text1"/>
          <w:sz w:val="22"/>
          <w:szCs w:val="22"/>
          <w:lang w:val="es-ES"/>
        </w:rPr>
        <w:t xml:space="preserve">un canal eficaz </w:t>
      </w:r>
      <w:r w:rsidRPr="00512F79">
        <w:rPr>
          <w:rFonts w:ascii="Times New Roman" w:hAnsi="Times New Roman" w:cs="Times New Roman"/>
          <w:color w:val="000000" w:themeColor="text1"/>
          <w:sz w:val="22"/>
          <w:szCs w:val="22"/>
          <w:lang w:val="es-ES"/>
        </w:rPr>
        <w:t>para la cooperación triangular, Sur-Sur y horizontal. A través de sus numerosas redes, programas y proyectos, la S</w:t>
      </w:r>
      <w:r w:rsidR="00A2785F">
        <w:rPr>
          <w:rFonts w:ascii="Times New Roman" w:hAnsi="Times New Roman" w:cs="Times New Roman"/>
          <w:color w:val="000000" w:themeColor="text1"/>
          <w:sz w:val="22"/>
          <w:szCs w:val="22"/>
          <w:lang w:val="es-ES"/>
        </w:rPr>
        <w:t>ecretaría Ejecutiva para el Desarrollo Integral</w:t>
      </w:r>
      <w:r w:rsidRPr="00512F79">
        <w:rPr>
          <w:rFonts w:ascii="Times New Roman" w:hAnsi="Times New Roman" w:cs="Times New Roman"/>
          <w:color w:val="000000" w:themeColor="text1"/>
          <w:sz w:val="22"/>
          <w:szCs w:val="22"/>
          <w:lang w:val="es-ES"/>
        </w:rPr>
        <w:t xml:space="preserve"> facilita la transferencia de conocimientos, </w:t>
      </w:r>
      <w:r w:rsidR="00A2785F">
        <w:rPr>
          <w:rFonts w:ascii="Times New Roman" w:hAnsi="Times New Roman" w:cs="Times New Roman"/>
          <w:color w:val="000000" w:themeColor="text1"/>
          <w:sz w:val="22"/>
          <w:szCs w:val="22"/>
          <w:lang w:val="es-ES"/>
        </w:rPr>
        <w:t xml:space="preserve">las </w:t>
      </w:r>
      <w:r w:rsidRPr="00512F79">
        <w:rPr>
          <w:rFonts w:ascii="Times New Roman" w:hAnsi="Times New Roman" w:cs="Times New Roman"/>
          <w:color w:val="000000" w:themeColor="text1"/>
          <w:sz w:val="22"/>
          <w:szCs w:val="22"/>
          <w:lang w:val="es-ES"/>
        </w:rPr>
        <w:t xml:space="preserve">lecciones aprendidas y </w:t>
      </w:r>
      <w:r w:rsidR="00641152">
        <w:rPr>
          <w:rFonts w:ascii="Times New Roman" w:hAnsi="Times New Roman" w:cs="Times New Roman"/>
          <w:color w:val="000000" w:themeColor="text1"/>
          <w:sz w:val="22"/>
          <w:szCs w:val="22"/>
          <w:lang w:val="es-ES"/>
        </w:rPr>
        <w:t xml:space="preserve">las </w:t>
      </w:r>
      <w:r w:rsidR="007E6660" w:rsidRPr="00512F79">
        <w:rPr>
          <w:rFonts w:ascii="Times New Roman" w:hAnsi="Times New Roman" w:cs="Times New Roman"/>
          <w:color w:val="000000" w:themeColor="text1"/>
          <w:sz w:val="22"/>
          <w:szCs w:val="22"/>
          <w:lang w:val="es-ES"/>
        </w:rPr>
        <w:t xml:space="preserve">mejores </w:t>
      </w:r>
      <w:r w:rsidRPr="00512F79">
        <w:rPr>
          <w:rFonts w:ascii="Times New Roman" w:hAnsi="Times New Roman" w:cs="Times New Roman"/>
          <w:color w:val="000000" w:themeColor="text1"/>
          <w:sz w:val="22"/>
          <w:szCs w:val="22"/>
          <w:lang w:val="es-ES"/>
        </w:rPr>
        <w:t>prácticas entre los Estados Miembros a medida que dirigen y gestionan su propio desarrollo socioeconómico.</w:t>
      </w:r>
    </w:p>
    <w:p w14:paraId="5ADE01E8" w14:textId="11FC1739" w:rsidR="00047D85" w:rsidRPr="00512F79" w:rsidRDefault="00047D85" w:rsidP="00B93932">
      <w:pPr>
        <w:pStyle w:val="PlainText"/>
        <w:jc w:val="both"/>
        <w:rPr>
          <w:rFonts w:ascii="Times New Roman" w:hAnsi="Times New Roman" w:cs="Times New Roman"/>
          <w:color w:val="000000" w:themeColor="text1"/>
          <w:sz w:val="22"/>
          <w:szCs w:val="22"/>
          <w:lang w:val="es-ES"/>
        </w:rPr>
      </w:pPr>
    </w:p>
    <w:p w14:paraId="2F720F55" w14:textId="3DA91C97" w:rsidR="00F4728E" w:rsidRPr="00512F79" w:rsidRDefault="00967695">
      <w:pPr>
        <w:pStyle w:val="PlainText"/>
        <w:ind w:firstLine="720"/>
        <w:jc w:val="both"/>
        <w:rPr>
          <w:rFonts w:ascii="Times New Roman" w:hAnsi="Times New Roman" w:cs="Times New Roman"/>
          <w:color w:val="000000" w:themeColor="text1"/>
          <w:sz w:val="22"/>
          <w:szCs w:val="22"/>
          <w:lang w:val="es-ES"/>
        </w:rPr>
      </w:pPr>
      <w:r w:rsidRPr="00512F79">
        <w:rPr>
          <w:rFonts w:ascii="Times New Roman" w:hAnsi="Times New Roman" w:cs="Times New Roman"/>
          <w:color w:val="000000" w:themeColor="text1"/>
          <w:sz w:val="22"/>
          <w:szCs w:val="22"/>
          <w:lang w:val="es-ES"/>
        </w:rPr>
        <w:t xml:space="preserve">Sin embargo, la SEDI sigue siendo plenamente consciente de los </w:t>
      </w:r>
      <w:r w:rsidR="00BD216C">
        <w:rPr>
          <w:rFonts w:ascii="Times New Roman" w:hAnsi="Times New Roman" w:cs="Times New Roman"/>
          <w:color w:val="000000" w:themeColor="text1"/>
          <w:sz w:val="22"/>
          <w:szCs w:val="22"/>
          <w:lang w:val="es-ES"/>
        </w:rPr>
        <w:t>problemas</w:t>
      </w:r>
      <w:r w:rsidRPr="00512F79">
        <w:rPr>
          <w:rFonts w:ascii="Times New Roman" w:hAnsi="Times New Roman" w:cs="Times New Roman"/>
          <w:color w:val="000000" w:themeColor="text1"/>
          <w:sz w:val="22"/>
          <w:szCs w:val="22"/>
          <w:lang w:val="es-ES"/>
        </w:rPr>
        <w:t xml:space="preserve"> </w:t>
      </w:r>
      <w:r w:rsidR="0045238C">
        <w:rPr>
          <w:rFonts w:ascii="Times New Roman" w:hAnsi="Times New Roman" w:cs="Times New Roman"/>
          <w:color w:val="000000" w:themeColor="text1"/>
          <w:sz w:val="22"/>
          <w:szCs w:val="22"/>
          <w:lang w:val="es-ES"/>
        </w:rPr>
        <w:t>que la región enfrenta.</w:t>
      </w:r>
      <w:r w:rsidRPr="00512F79">
        <w:rPr>
          <w:rFonts w:ascii="Times New Roman" w:hAnsi="Times New Roman" w:cs="Times New Roman"/>
          <w:color w:val="000000" w:themeColor="text1"/>
          <w:sz w:val="22"/>
          <w:szCs w:val="22"/>
          <w:lang w:val="es-ES"/>
        </w:rPr>
        <w:t xml:space="preserve"> Un informe de 2020 de la Organización Internacional del Trabajo señala que, debido a</w:t>
      </w:r>
      <w:r w:rsidR="00BD216C">
        <w:rPr>
          <w:rFonts w:ascii="Times New Roman" w:hAnsi="Times New Roman" w:cs="Times New Roman"/>
          <w:color w:val="000000" w:themeColor="text1"/>
          <w:sz w:val="22"/>
          <w:szCs w:val="22"/>
          <w:lang w:val="es-ES"/>
        </w:rPr>
        <w:t>l</w:t>
      </w:r>
      <w:r w:rsidRPr="00512F79">
        <w:rPr>
          <w:rFonts w:ascii="Times New Roman" w:hAnsi="Times New Roman" w:cs="Times New Roman"/>
          <w:color w:val="000000" w:themeColor="text1"/>
          <w:sz w:val="22"/>
          <w:szCs w:val="22"/>
          <w:lang w:val="es-ES"/>
        </w:rPr>
        <w:t xml:space="preserve"> Covid-19, América Latina y el Caribe e</w:t>
      </w:r>
      <w:r w:rsidR="00BD216C">
        <w:rPr>
          <w:rFonts w:ascii="Times New Roman" w:hAnsi="Times New Roman" w:cs="Times New Roman"/>
          <w:color w:val="000000" w:themeColor="text1"/>
          <w:sz w:val="22"/>
          <w:szCs w:val="22"/>
          <w:lang w:val="es-ES"/>
        </w:rPr>
        <w:t>s</w:t>
      </w:r>
      <w:r w:rsidRPr="00512F79">
        <w:rPr>
          <w:rFonts w:ascii="Times New Roman" w:hAnsi="Times New Roman" w:cs="Times New Roman"/>
          <w:color w:val="000000" w:themeColor="text1"/>
          <w:sz w:val="22"/>
          <w:szCs w:val="22"/>
          <w:lang w:val="es-ES"/>
        </w:rPr>
        <w:t xml:space="preserve"> </w:t>
      </w:r>
      <w:r w:rsidR="000B14D0">
        <w:rPr>
          <w:rFonts w:ascii="Times New Roman" w:hAnsi="Times New Roman" w:cs="Times New Roman"/>
          <w:color w:val="000000" w:themeColor="text1"/>
          <w:sz w:val="22"/>
          <w:szCs w:val="22"/>
          <w:lang w:val="es-ES"/>
        </w:rPr>
        <w:t>“</w:t>
      </w:r>
      <w:r w:rsidRPr="00512F79">
        <w:rPr>
          <w:rFonts w:ascii="Times New Roman" w:hAnsi="Times New Roman" w:cs="Times New Roman"/>
          <w:color w:val="000000" w:themeColor="text1"/>
          <w:sz w:val="22"/>
          <w:szCs w:val="22"/>
          <w:lang w:val="es-ES"/>
        </w:rPr>
        <w:t>la región más afectada del mundo en términos de horas trabajadas e ingresos laborales</w:t>
      </w:r>
      <w:r w:rsidR="000B14D0">
        <w:rPr>
          <w:rFonts w:ascii="Times New Roman" w:hAnsi="Times New Roman" w:cs="Times New Roman"/>
          <w:color w:val="000000" w:themeColor="text1"/>
          <w:sz w:val="22"/>
          <w:szCs w:val="22"/>
          <w:lang w:val="es-ES"/>
        </w:rPr>
        <w:t>”</w:t>
      </w:r>
      <w:r w:rsidRPr="00512F79">
        <w:rPr>
          <w:rFonts w:ascii="Times New Roman" w:hAnsi="Times New Roman" w:cs="Times New Roman"/>
          <w:color w:val="000000" w:themeColor="text1"/>
          <w:sz w:val="22"/>
          <w:szCs w:val="22"/>
          <w:lang w:val="es-ES"/>
        </w:rPr>
        <w:t xml:space="preserve">. El </w:t>
      </w:r>
      <w:r w:rsidR="004859C2" w:rsidRPr="00512F79">
        <w:rPr>
          <w:rFonts w:ascii="Times New Roman" w:hAnsi="Times New Roman" w:cs="Times New Roman"/>
          <w:color w:val="000000" w:themeColor="text1"/>
          <w:sz w:val="22"/>
          <w:szCs w:val="22"/>
          <w:lang w:val="es-ES"/>
        </w:rPr>
        <w:t xml:space="preserve">Fondo Monetario Internacional (FMI) </w:t>
      </w:r>
      <w:r w:rsidRPr="00512F79">
        <w:rPr>
          <w:rFonts w:ascii="Times New Roman" w:hAnsi="Times New Roman" w:cs="Times New Roman"/>
          <w:color w:val="000000" w:themeColor="text1"/>
          <w:sz w:val="22"/>
          <w:szCs w:val="22"/>
          <w:lang w:val="es-ES"/>
        </w:rPr>
        <w:t xml:space="preserve">concluyó además en un estudio similar que </w:t>
      </w:r>
      <w:r w:rsidR="000B14D0">
        <w:rPr>
          <w:rFonts w:ascii="Times New Roman" w:hAnsi="Times New Roman" w:cs="Times New Roman"/>
          <w:color w:val="000000" w:themeColor="text1"/>
          <w:sz w:val="22"/>
          <w:szCs w:val="22"/>
          <w:lang w:val="es-ES"/>
        </w:rPr>
        <w:t>“</w:t>
      </w:r>
      <w:r w:rsidRPr="00512F79">
        <w:rPr>
          <w:rFonts w:ascii="Times New Roman" w:hAnsi="Times New Roman" w:cs="Times New Roman"/>
          <w:color w:val="000000" w:themeColor="text1"/>
          <w:sz w:val="22"/>
          <w:szCs w:val="22"/>
          <w:lang w:val="es-ES"/>
        </w:rPr>
        <w:t>la contracción [económica] de la región del 7% en 2020 fue la más aguda del mundo.</w:t>
      </w:r>
      <w:r w:rsidR="000B14D0">
        <w:rPr>
          <w:rFonts w:ascii="Times New Roman" w:hAnsi="Times New Roman" w:cs="Times New Roman"/>
          <w:color w:val="000000" w:themeColor="text1"/>
          <w:sz w:val="22"/>
          <w:szCs w:val="22"/>
          <w:lang w:val="es-ES"/>
        </w:rPr>
        <w:t>”</w:t>
      </w:r>
      <w:r w:rsidRPr="00512F79">
        <w:rPr>
          <w:rFonts w:ascii="Times New Roman" w:hAnsi="Times New Roman" w:cs="Times New Roman"/>
          <w:color w:val="000000" w:themeColor="text1"/>
          <w:sz w:val="22"/>
          <w:szCs w:val="22"/>
          <w:lang w:val="es-ES"/>
        </w:rPr>
        <w:t xml:space="preserve"> </w:t>
      </w:r>
      <w:r w:rsidR="000B14D0">
        <w:rPr>
          <w:rFonts w:ascii="Times New Roman" w:hAnsi="Times New Roman" w:cs="Times New Roman"/>
          <w:color w:val="000000" w:themeColor="text1"/>
          <w:sz w:val="22"/>
          <w:szCs w:val="22"/>
          <w:lang w:val="es-ES"/>
        </w:rPr>
        <w:t>Ante esta situación</w:t>
      </w:r>
      <w:r w:rsidR="004859C2" w:rsidRPr="00512F79">
        <w:rPr>
          <w:rFonts w:ascii="Times New Roman" w:hAnsi="Times New Roman" w:cs="Times New Roman"/>
          <w:color w:val="000000" w:themeColor="text1"/>
          <w:sz w:val="22"/>
          <w:szCs w:val="22"/>
          <w:lang w:val="es-ES"/>
        </w:rPr>
        <w:t xml:space="preserve">, en 2021, enfrentándose a obstáculos sin precedentes, la SEDI reformuló su programación actual para satisfacer las nuevas necesidades de los </w:t>
      </w:r>
      <w:r w:rsidR="005F30B1" w:rsidRPr="00512F79">
        <w:rPr>
          <w:rFonts w:ascii="Times New Roman" w:hAnsi="Times New Roman" w:cs="Times New Roman"/>
          <w:color w:val="000000" w:themeColor="text1"/>
          <w:sz w:val="22"/>
          <w:szCs w:val="22"/>
          <w:lang w:val="es-ES"/>
        </w:rPr>
        <w:t xml:space="preserve">Estados </w:t>
      </w:r>
      <w:r w:rsidR="005C3239">
        <w:rPr>
          <w:rFonts w:ascii="Times New Roman" w:hAnsi="Times New Roman" w:cs="Times New Roman"/>
          <w:color w:val="000000" w:themeColor="text1"/>
          <w:sz w:val="22"/>
          <w:szCs w:val="22"/>
          <w:lang w:val="es-ES"/>
        </w:rPr>
        <w:t>M</w:t>
      </w:r>
      <w:r w:rsidR="005F30B1" w:rsidRPr="00512F79">
        <w:rPr>
          <w:rFonts w:ascii="Times New Roman" w:hAnsi="Times New Roman" w:cs="Times New Roman"/>
          <w:color w:val="000000" w:themeColor="text1"/>
          <w:sz w:val="22"/>
          <w:szCs w:val="22"/>
          <w:lang w:val="es-ES"/>
        </w:rPr>
        <w:t>iembros</w:t>
      </w:r>
      <w:r w:rsidR="004859C2" w:rsidRPr="00512F79">
        <w:rPr>
          <w:rFonts w:ascii="Times New Roman" w:hAnsi="Times New Roman" w:cs="Times New Roman"/>
          <w:color w:val="000000" w:themeColor="text1"/>
          <w:sz w:val="22"/>
          <w:szCs w:val="22"/>
          <w:lang w:val="es-ES"/>
        </w:rPr>
        <w:t xml:space="preserve">. Este año, </w:t>
      </w:r>
      <w:r w:rsidR="00BC32BD" w:rsidRPr="00512F79">
        <w:rPr>
          <w:rFonts w:ascii="Times New Roman" w:hAnsi="Times New Roman" w:cs="Times New Roman"/>
          <w:color w:val="000000" w:themeColor="text1"/>
          <w:sz w:val="22"/>
          <w:szCs w:val="22"/>
          <w:lang w:val="es-ES"/>
        </w:rPr>
        <w:t xml:space="preserve">a pesar de la </w:t>
      </w:r>
      <w:r w:rsidR="004859C2" w:rsidRPr="00512F79">
        <w:rPr>
          <w:rFonts w:ascii="Times New Roman" w:hAnsi="Times New Roman" w:cs="Times New Roman"/>
          <w:color w:val="000000" w:themeColor="text1"/>
          <w:sz w:val="22"/>
          <w:szCs w:val="22"/>
          <w:lang w:val="es-ES"/>
        </w:rPr>
        <w:t xml:space="preserve">prudente transición </w:t>
      </w:r>
      <w:r w:rsidR="00BC32BD" w:rsidRPr="00512F79">
        <w:rPr>
          <w:rFonts w:ascii="Times New Roman" w:hAnsi="Times New Roman" w:cs="Times New Roman"/>
          <w:color w:val="000000" w:themeColor="text1"/>
          <w:sz w:val="22"/>
          <w:szCs w:val="22"/>
          <w:lang w:val="es-ES"/>
        </w:rPr>
        <w:t xml:space="preserve">de la </w:t>
      </w:r>
      <w:r w:rsidR="004859C2" w:rsidRPr="00512F79">
        <w:rPr>
          <w:rFonts w:ascii="Times New Roman" w:hAnsi="Times New Roman" w:cs="Times New Roman"/>
          <w:color w:val="000000" w:themeColor="text1"/>
          <w:sz w:val="22"/>
          <w:szCs w:val="22"/>
          <w:lang w:val="es-ES"/>
        </w:rPr>
        <w:t xml:space="preserve">región </w:t>
      </w:r>
      <w:r w:rsidR="00BC32BD" w:rsidRPr="00512F79">
        <w:rPr>
          <w:rFonts w:ascii="Times New Roman" w:hAnsi="Times New Roman" w:cs="Times New Roman"/>
          <w:color w:val="000000" w:themeColor="text1"/>
          <w:sz w:val="22"/>
          <w:szCs w:val="22"/>
          <w:lang w:val="es-ES"/>
        </w:rPr>
        <w:t xml:space="preserve">hacia </w:t>
      </w:r>
      <w:r w:rsidR="004859C2" w:rsidRPr="00512F79">
        <w:rPr>
          <w:rFonts w:ascii="Times New Roman" w:hAnsi="Times New Roman" w:cs="Times New Roman"/>
          <w:color w:val="000000" w:themeColor="text1"/>
          <w:sz w:val="22"/>
          <w:szCs w:val="22"/>
          <w:lang w:val="es-ES"/>
        </w:rPr>
        <w:t xml:space="preserve">un entorno pospandémico, </w:t>
      </w:r>
      <w:r w:rsidR="00BC32BD" w:rsidRPr="00512F79">
        <w:rPr>
          <w:rFonts w:ascii="Times New Roman" w:hAnsi="Times New Roman" w:cs="Times New Roman"/>
          <w:color w:val="000000" w:themeColor="text1"/>
          <w:sz w:val="22"/>
          <w:szCs w:val="22"/>
          <w:lang w:val="es-ES"/>
        </w:rPr>
        <w:t xml:space="preserve">siguió siendo vulnerable a las difíciles condiciones mundiales. Un informe del Banco Mundial de junio de 2022 </w:t>
      </w:r>
      <w:r w:rsidR="005965A8">
        <w:rPr>
          <w:rFonts w:ascii="Times New Roman" w:hAnsi="Times New Roman" w:cs="Times New Roman"/>
          <w:color w:val="000000" w:themeColor="text1"/>
          <w:sz w:val="22"/>
          <w:szCs w:val="22"/>
          <w:lang w:val="es-ES"/>
        </w:rPr>
        <w:t>previó</w:t>
      </w:r>
      <w:r w:rsidR="00BC32BD" w:rsidRPr="00512F79">
        <w:rPr>
          <w:rFonts w:ascii="Times New Roman" w:hAnsi="Times New Roman" w:cs="Times New Roman"/>
          <w:color w:val="000000" w:themeColor="text1"/>
          <w:sz w:val="22"/>
          <w:szCs w:val="22"/>
          <w:lang w:val="es-ES"/>
        </w:rPr>
        <w:t xml:space="preserve"> que el crecimiento económico de América Latina y el Caribe </w:t>
      </w:r>
      <w:r w:rsidR="00824EA7">
        <w:rPr>
          <w:rFonts w:ascii="Times New Roman" w:hAnsi="Times New Roman" w:cs="Times New Roman"/>
          <w:color w:val="000000" w:themeColor="text1"/>
          <w:sz w:val="22"/>
          <w:szCs w:val="22"/>
          <w:lang w:val="es-ES"/>
        </w:rPr>
        <w:t>“</w:t>
      </w:r>
      <w:r w:rsidR="00BC32BD" w:rsidRPr="00512F79">
        <w:rPr>
          <w:rFonts w:ascii="Times New Roman" w:hAnsi="Times New Roman" w:cs="Times New Roman"/>
          <w:color w:val="000000" w:themeColor="text1"/>
          <w:sz w:val="22"/>
          <w:szCs w:val="22"/>
          <w:lang w:val="es-ES"/>
        </w:rPr>
        <w:t>se desaceleraría bruscamente hasta el 2,5% en 2022, tras un repunte pospandémico del 6,7% en 2021.</w:t>
      </w:r>
      <w:r w:rsidR="00824EA7">
        <w:rPr>
          <w:rFonts w:ascii="Times New Roman" w:hAnsi="Times New Roman" w:cs="Times New Roman"/>
          <w:color w:val="000000" w:themeColor="text1"/>
          <w:sz w:val="22"/>
          <w:szCs w:val="22"/>
          <w:lang w:val="es-ES"/>
        </w:rPr>
        <w:t>”</w:t>
      </w:r>
      <w:r w:rsidR="00BC32BD" w:rsidRPr="00512F79">
        <w:rPr>
          <w:rFonts w:ascii="Times New Roman" w:hAnsi="Times New Roman" w:cs="Times New Roman"/>
          <w:color w:val="000000" w:themeColor="text1"/>
          <w:sz w:val="22"/>
          <w:szCs w:val="22"/>
          <w:lang w:val="es-ES"/>
        </w:rPr>
        <w:t xml:space="preserve"> </w:t>
      </w:r>
    </w:p>
    <w:p w14:paraId="06A0C4D9" w14:textId="60AC5C92" w:rsidR="00BC32BD" w:rsidRPr="00512F79" w:rsidRDefault="00BC32BD" w:rsidP="00CB030B">
      <w:pPr>
        <w:pStyle w:val="PlainText"/>
        <w:jc w:val="both"/>
        <w:rPr>
          <w:rFonts w:ascii="Times New Roman" w:hAnsi="Times New Roman" w:cs="Times New Roman"/>
          <w:color w:val="000000" w:themeColor="text1"/>
          <w:sz w:val="22"/>
          <w:szCs w:val="22"/>
          <w:lang w:val="es-ES"/>
        </w:rPr>
      </w:pPr>
    </w:p>
    <w:p w14:paraId="45C2EC7F" w14:textId="6069C372" w:rsidR="00F4728E" w:rsidRPr="00512F79" w:rsidRDefault="00BE24FB">
      <w:pPr>
        <w:pStyle w:val="PlainText"/>
        <w:ind w:firstLine="720"/>
        <w:jc w:val="both"/>
        <w:rPr>
          <w:rFonts w:ascii="Times New Roman" w:eastAsia="Cambria" w:hAnsi="Times New Roman" w:cs="Times New Roman"/>
          <w:color w:val="000000" w:themeColor="text1"/>
          <w:sz w:val="22"/>
          <w:szCs w:val="22"/>
          <w:lang w:val="es-ES"/>
        </w:rPr>
      </w:pPr>
      <w:r w:rsidRPr="00BE24FB">
        <w:rPr>
          <w:rFonts w:ascii="Times New Roman" w:hAnsi="Times New Roman" w:cs="Times New Roman"/>
          <w:color w:val="000000" w:themeColor="text1"/>
          <w:sz w:val="22"/>
          <w:szCs w:val="22"/>
          <w:lang w:val="es-ES"/>
        </w:rPr>
        <w:t xml:space="preserve">Un componente importante de las actividades de readaptación de la SEDI en 2021 fue la revisión del enfoque para abordar la digitalización en todo el </w:t>
      </w:r>
      <w:r w:rsidR="00617E2A">
        <w:rPr>
          <w:rFonts w:ascii="Times New Roman" w:hAnsi="Times New Roman" w:cs="Times New Roman"/>
          <w:color w:val="000000" w:themeColor="text1"/>
          <w:sz w:val="22"/>
          <w:szCs w:val="22"/>
          <w:lang w:val="es-ES"/>
        </w:rPr>
        <w:t>H</w:t>
      </w:r>
      <w:r w:rsidRPr="00BE24FB">
        <w:rPr>
          <w:rFonts w:ascii="Times New Roman" w:hAnsi="Times New Roman" w:cs="Times New Roman"/>
          <w:color w:val="000000" w:themeColor="text1"/>
          <w:sz w:val="22"/>
          <w:szCs w:val="22"/>
          <w:lang w:val="es-ES"/>
        </w:rPr>
        <w:t>emisferio, un enfoque que se amplió considerablemente en 2022. La pandemia ha hecho evidente la necesidad de un mayor acceso digital -el Banco Mundial señala que unos 170 millones de estudiantes de la región se vieron afectados por el cierre de escuelas</w:t>
      </w:r>
      <w:r w:rsidR="00617E2A">
        <w:rPr>
          <w:rFonts w:ascii="Times New Roman" w:hAnsi="Times New Roman" w:cs="Times New Roman"/>
          <w:color w:val="000000" w:themeColor="text1"/>
          <w:sz w:val="22"/>
          <w:szCs w:val="22"/>
          <w:lang w:val="es-ES"/>
        </w:rPr>
        <w:t xml:space="preserve"> </w:t>
      </w:r>
      <w:r w:rsidRPr="00BE24FB">
        <w:rPr>
          <w:rFonts w:ascii="Times New Roman" w:hAnsi="Times New Roman" w:cs="Times New Roman"/>
          <w:color w:val="000000" w:themeColor="text1"/>
          <w:sz w:val="22"/>
          <w:szCs w:val="22"/>
          <w:lang w:val="es-ES"/>
        </w:rPr>
        <w:t>- y la SEDI respondió con la aceleración de la incorporación de la región a las nuevas tecnologías y facilitando su adaptación a los ecosistemas digitales. Esta transformación digital actual, que se caracteriza por una programación inclusiva en la que participan las pequeñas empresas, las mujeres y las poblaciones indígenas, está dando lugar a economías más competitivas y resilientes para los Estados Miembros de la OEA.</w:t>
      </w:r>
      <w:r w:rsidR="00756B6D" w:rsidRPr="00512F79">
        <w:rPr>
          <w:rFonts w:ascii="Times New Roman" w:eastAsia="Cambria" w:hAnsi="Times New Roman" w:cs="Times New Roman"/>
          <w:color w:val="000000" w:themeColor="text1"/>
          <w:sz w:val="22"/>
          <w:szCs w:val="22"/>
          <w:lang w:val="es-ES"/>
        </w:rPr>
        <w:t xml:space="preserve"> </w:t>
      </w:r>
      <w:r w:rsidR="00BD216C" w:rsidRPr="00BD216C">
        <w:rPr>
          <w:rFonts w:ascii="Times New Roman" w:eastAsia="Cambria" w:hAnsi="Times New Roman" w:cs="Times New Roman"/>
          <w:color w:val="000000" w:themeColor="text1"/>
          <w:sz w:val="22"/>
          <w:szCs w:val="22"/>
          <w:lang w:val="es-ES"/>
        </w:rPr>
        <w:t xml:space="preserve">Además, los ejercicios de desarrollo de capacidades y las alianzas </w:t>
      </w:r>
      <w:r w:rsidR="00617E2A">
        <w:rPr>
          <w:rFonts w:ascii="Times New Roman" w:eastAsia="Cambria" w:hAnsi="Times New Roman" w:cs="Times New Roman"/>
          <w:color w:val="000000" w:themeColor="text1"/>
          <w:sz w:val="22"/>
          <w:szCs w:val="22"/>
          <w:lang w:val="es-ES"/>
        </w:rPr>
        <w:t>importantes</w:t>
      </w:r>
      <w:r w:rsidR="00BD216C" w:rsidRPr="00BD216C">
        <w:rPr>
          <w:rFonts w:ascii="Times New Roman" w:eastAsia="Cambria" w:hAnsi="Times New Roman" w:cs="Times New Roman"/>
          <w:color w:val="000000" w:themeColor="text1"/>
          <w:sz w:val="22"/>
          <w:szCs w:val="22"/>
          <w:lang w:val="es-ES"/>
        </w:rPr>
        <w:t xml:space="preserve"> con instituciones prominentes están trabajando para ampliar l</w:t>
      </w:r>
      <w:r w:rsidR="00D84358">
        <w:rPr>
          <w:rFonts w:ascii="Times New Roman" w:eastAsia="Cambria" w:hAnsi="Times New Roman" w:cs="Times New Roman"/>
          <w:color w:val="000000" w:themeColor="text1"/>
          <w:sz w:val="22"/>
          <w:szCs w:val="22"/>
          <w:lang w:val="es-ES"/>
        </w:rPr>
        <w:t>as iniciativas</w:t>
      </w:r>
      <w:r w:rsidR="00BD216C" w:rsidRPr="00BD216C">
        <w:rPr>
          <w:rFonts w:ascii="Times New Roman" w:eastAsia="Cambria" w:hAnsi="Times New Roman" w:cs="Times New Roman"/>
          <w:color w:val="000000" w:themeColor="text1"/>
          <w:sz w:val="22"/>
          <w:szCs w:val="22"/>
          <w:lang w:val="es-ES"/>
        </w:rPr>
        <w:t xml:space="preserve"> de intercambio de conocimientos en toda la región. Un mayor intercambio de conocimientos -en particular con las poblaciones tradicionalmente desatendidas- permite </w:t>
      </w:r>
      <w:r w:rsidR="00617E2A">
        <w:rPr>
          <w:rFonts w:ascii="Times New Roman" w:eastAsia="Cambria" w:hAnsi="Times New Roman" w:cs="Times New Roman"/>
          <w:color w:val="000000" w:themeColor="text1"/>
          <w:sz w:val="22"/>
          <w:szCs w:val="22"/>
          <w:lang w:val="es-ES"/>
        </w:rPr>
        <w:t xml:space="preserve">que </w:t>
      </w:r>
      <w:r w:rsidR="00BD216C" w:rsidRPr="00BD216C">
        <w:rPr>
          <w:rFonts w:ascii="Times New Roman" w:eastAsia="Cambria" w:hAnsi="Times New Roman" w:cs="Times New Roman"/>
          <w:color w:val="000000" w:themeColor="text1"/>
          <w:sz w:val="22"/>
          <w:szCs w:val="22"/>
          <w:lang w:val="es-ES"/>
        </w:rPr>
        <w:t xml:space="preserve">los Estados </w:t>
      </w:r>
      <w:r w:rsidR="00D84358">
        <w:rPr>
          <w:rFonts w:ascii="Times New Roman" w:eastAsia="Cambria" w:hAnsi="Times New Roman" w:cs="Times New Roman"/>
          <w:color w:val="000000" w:themeColor="text1"/>
          <w:sz w:val="22"/>
          <w:szCs w:val="22"/>
          <w:lang w:val="es-ES"/>
        </w:rPr>
        <w:t>M</w:t>
      </w:r>
      <w:r w:rsidR="00BD216C" w:rsidRPr="00BD216C">
        <w:rPr>
          <w:rFonts w:ascii="Times New Roman" w:eastAsia="Cambria" w:hAnsi="Times New Roman" w:cs="Times New Roman"/>
          <w:color w:val="000000" w:themeColor="text1"/>
          <w:sz w:val="22"/>
          <w:szCs w:val="22"/>
          <w:lang w:val="es-ES"/>
        </w:rPr>
        <w:t>iembros avan</w:t>
      </w:r>
      <w:r w:rsidR="00617E2A">
        <w:rPr>
          <w:rFonts w:ascii="Times New Roman" w:eastAsia="Cambria" w:hAnsi="Times New Roman" w:cs="Times New Roman"/>
          <w:color w:val="000000" w:themeColor="text1"/>
          <w:sz w:val="22"/>
          <w:szCs w:val="22"/>
          <w:lang w:val="es-ES"/>
        </w:rPr>
        <w:t>cen</w:t>
      </w:r>
      <w:r w:rsidR="00BD216C" w:rsidRPr="00BD216C">
        <w:rPr>
          <w:rFonts w:ascii="Times New Roman" w:eastAsia="Cambria" w:hAnsi="Times New Roman" w:cs="Times New Roman"/>
          <w:color w:val="000000" w:themeColor="text1"/>
          <w:sz w:val="22"/>
          <w:szCs w:val="22"/>
          <w:lang w:val="es-ES"/>
        </w:rPr>
        <w:t xml:space="preserve"> más eficazmente hacia un desarrollo económico sostenible e integrador.</w:t>
      </w:r>
    </w:p>
    <w:p w14:paraId="56EEE7C8" w14:textId="77777777" w:rsidR="00756B6D" w:rsidRPr="00512F79" w:rsidRDefault="00756B6D" w:rsidP="00B93932">
      <w:pPr>
        <w:pStyle w:val="PlainText"/>
        <w:jc w:val="both"/>
        <w:rPr>
          <w:rFonts w:ascii="Times New Roman" w:hAnsi="Times New Roman" w:cs="Times New Roman"/>
          <w:color w:val="000000" w:themeColor="text1"/>
          <w:sz w:val="22"/>
          <w:szCs w:val="22"/>
          <w:lang w:val="es-ES"/>
        </w:rPr>
      </w:pPr>
    </w:p>
    <w:p w14:paraId="61F79BF3" w14:textId="56A3ACE7" w:rsidR="00F4728E" w:rsidRPr="00512F79" w:rsidRDefault="00967695">
      <w:pPr>
        <w:pStyle w:val="PlainText"/>
        <w:ind w:firstLine="720"/>
        <w:jc w:val="both"/>
        <w:rPr>
          <w:rFonts w:ascii="Times New Roman" w:hAnsi="Times New Roman" w:cs="Times New Roman"/>
          <w:bCs/>
          <w:sz w:val="22"/>
          <w:szCs w:val="22"/>
          <w:lang w:val="es-ES"/>
        </w:rPr>
      </w:pPr>
      <w:r w:rsidRPr="00512F79">
        <w:rPr>
          <w:rFonts w:ascii="Times New Roman" w:hAnsi="Times New Roman" w:cs="Times New Roman"/>
          <w:color w:val="000000" w:themeColor="text1"/>
          <w:sz w:val="22"/>
          <w:szCs w:val="22"/>
          <w:lang w:val="es-ES"/>
        </w:rPr>
        <w:t xml:space="preserve">En 2022, la SEDI </w:t>
      </w:r>
      <w:r w:rsidR="00865C2E">
        <w:rPr>
          <w:rFonts w:ascii="Times New Roman" w:hAnsi="Times New Roman" w:cs="Times New Roman"/>
          <w:color w:val="000000" w:themeColor="text1"/>
          <w:sz w:val="22"/>
          <w:szCs w:val="22"/>
          <w:lang w:val="es-ES"/>
        </w:rPr>
        <w:t>aportó un enfoque renovado</w:t>
      </w:r>
      <w:r w:rsidRPr="00512F79">
        <w:rPr>
          <w:rFonts w:ascii="Times New Roman" w:hAnsi="Times New Roman" w:cs="Times New Roman"/>
          <w:color w:val="000000" w:themeColor="text1"/>
          <w:sz w:val="22"/>
          <w:szCs w:val="22"/>
          <w:lang w:val="es-ES"/>
        </w:rPr>
        <w:t xml:space="preserve"> a la resiliencia ambiental, al tiempo que siguió ofreciendo </w:t>
      </w:r>
      <w:r w:rsidR="005D7FBC">
        <w:rPr>
          <w:rFonts w:ascii="Times New Roman" w:hAnsi="Times New Roman" w:cs="Times New Roman"/>
          <w:color w:val="000000" w:themeColor="text1"/>
          <w:sz w:val="22"/>
          <w:szCs w:val="22"/>
          <w:lang w:val="es-ES"/>
        </w:rPr>
        <w:t>programas de vital importancia para fortalecer</w:t>
      </w:r>
      <w:r w:rsidRPr="00512F79">
        <w:rPr>
          <w:rFonts w:ascii="Times New Roman" w:hAnsi="Times New Roman" w:cs="Times New Roman"/>
          <w:bCs/>
          <w:sz w:val="22"/>
          <w:szCs w:val="22"/>
          <w:lang w:val="es-ES"/>
        </w:rPr>
        <w:t xml:space="preserve"> la sostenibilidad de </w:t>
      </w:r>
      <w:r w:rsidR="00C67D84" w:rsidRPr="00512F79">
        <w:rPr>
          <w:rFonts w:ascii="Times New Roman" w:hAnsi="Times New Roman" w:cs="Times New Roman"/>
          <w:bCs/>
          <w:sz w:val="22"/>
          <w:szCs w:val="22"/>
          <w:lang w:val="es-ES"/>
        </w:rPr>
        <w:t xml:space="preserve">los </w:t>
      </w:r>
      <w:r w:rsidR="005F30B1" w:rsidRPr="00512F79">
        <w:rPr>
          <w:rFonts w:ascii="Times New Roman" w:hAnsi="Times New Roman" w:cs="Times New Roman"/>
          <w:bCs/>
          <w:sz w:val="22"/>
          <w:szCs w:val="22"/>
          <w:lang w:val="es-ES"/>
        </w:rPr>
        <w:t xml:space="preserve">Estados </w:t>
      </w:r>
      <w:r w:rsidR="005D7FBC">
        <w:rPr>
          <w:rFonts w:ascii="Times New Roman" w:hAnsi="Times New Roman" w:cs="Times New Roman"/>
          <w:bCs/>
          <w:sz w:val="22"/>
          <w:szCs w:val="22"/>
          <w:lang w:val="es-ES"/>
        </w:rPr>
        <w:t>M</w:t>
      </w:r>
      <w:r w:rsidR="005F30B1" w:rsidRPr="00512F79">
        <w:rPr>
          <w:rFonts w:ascii="Times New Roman" w:hAnsi="Times New Roman" w:cs="Times New Roman"/>
          <w:bCs/>
          <w:sz w:val="22"/>
          <w:szCs w:val="22"/>
          <w:lang w:val="es-ES"/>
        </w:rPr>
        <w:t>iembros</w:t>
      </w:r>
      <w:r w:rsidRPr="00512F79">
        <w:rPr>
          <w:rFonts w:ascii="Times New Roman" w:hAnsi="Times New Roman" w:cs="Times New Roman"/>
          <w:bCs/>
          <w:sz w:val="22"/>
          <w:szCs w:val="22"/>
          <w:lang w:val="es-ES"/>
        </w:rPr>
        <w:t>.</w:t>
      </w:r>
      <w:r w:rsidR="00BF49B3" w:rsidRPr="00512F79">
        <w:rPr>
          <w:rFonts w:ascii="Times New Roman" w:hAnsi="Times New Roman" w:cs="Times New Roman"/>
          <w:bCs/>
          <w:sz w:val="22"/>
          <w:szCs w:val="22"/>
          <w:lang w:val="es-ES"/>
        </w:rPr>
        <w:t xml:space="preserve"> La amenaza </w:t>
      </w:r>
      <w:r w:rsidR="00A51759">
        <w:rPr>
          <w:rFonts w:ascii="Times New Roman" w:hAnsi="Times New Roman" w:cs="Times New Roman"/>
          <w:bCs/>
          <w:sz w:val="22"/>
          <w:szCs w:val="22"/>
          <w:lang w:val="es-ES"/>
        </w:rPr>
        <w:t xml:space="preserve">latente de desastres relacionados </w:t>
      </w:r>
      <w:r w:rsidR="00BF49B3" w:rsidRPr="00512F79">
        <w:rPr>
          <w:rFonts w:ascii="Times New Roman" w:hAnsi="Times New Roman" w:cs="Times New Roman"/>
          <w:bCs/>
          <w:sz w:val="22"/>
          <w:szCs w:val="22"/>
          <w:lang w:val="es-ES"/>
        </w:rPr>
        <w:t xml:space="preserve">con el clima o de otro tipo, </w:t>
      </w:r>
      <w:r w:rsidR="00D84358">
        <w:rPr>
          <w:rFonts w:ascii="Times New Roman" w:hAnsi="Times New Roman" w:cs="Times New Roman"/>
          <w:bCs/>
          <w:sz w:val="22"/>
          <w:szCs w:val="22"/>
          <w:lang w:val="es-ES"/>
        </w:rPr>
        <w:t>enmarca</w:t>
      </w:r>
      <w:r w:rsidR="00BF49B3" w:rsidRPr="00512F79">
        <w:rPr>
          <w:rFonts w:ascii="Times New Roman" w:hAnsi="Times New Roman" w:cs="Times New Roman"/>
          <w:bCs/>
          <w:sz w:val="22"/>
          <w:szCs w:val="22"/>
          <w:lang w:val="es-ES"/>
        </w:rPr>
        <w:t xml:space="preserve"> esta área prioritaria en particular</w:t>
      </w:r>
      <w:r w:rsidR="00D84358">
        <w:rPr>
          <w:rFonts w:ascii="Times New Roman" w:hAnsi="Times New Roman" w:cs="Times New Roman"/>
          <w:bCs/>
          <w:sz w:val="22"/>
          <w:szCs w:val="22"/>
          <w:lang w:val="es-ES"/>
        </w:rPr>
        <w:t>. E</w:t>
      </w:r>
      <w:r w:rsidR="00BF49B3" w:rsidRPr="00512F79">
        <w:rPr>
          <w:rFonts w:ascii="Times New Roman" w:hAnsi="Times New Roman" w:cs="Times New Roman"/>
          <w:bCs/>
          <w:sz w:val="22"/>
          <w:szCs w:val="22"/>
          <w:lang w:val="es-ES"/>
        </w:rPr>
        <w:t xml:space="preserve">l Banco Mundial estima que, en las dos últimas décadas, la región </w:t>
      </w:r>
      <w:r w:rsidR="00D84358">
        <w:rPr>
          <w:rFonts w:ascii="Times New Roman" w:hAnsi="Times New Roman" w:cs="Times New Roman"/>
          <w:bCs/>
          <w:sz w:val="22"/>
          <w:szCs w:val="22"/>
          <w:lang w:val="es-ES"/>
        </w:rPr>
        <w:t>“</w:t>
      </w:r>
      <w:r w:rsidR="00BF49B3" w:rsidRPr="00512F79">
        <w:rPr>
          <w:rFonts w:ascii="Times New Roman" w:hAnsi="Times New Roman" w:cs="Times New Roman"/>
          <w:bCs/>
          <w:sz w:val="22"/>
          <w:szCs w:val="22"/>
          <w:lang w:val="es-ES"/>
        </w:rPr>
        <w:t xml:space="preserve">perdió el equivalente al 1,7% del PIB de un año debido a </w:t>
      </w:r>
      <w:r w:rsidR="00A34AF3">
        <w:rPr>
          <w:rFonts w:ascii="Times New Roman" w:hAnsi="Times New Roman" w:cs="Times New Roman"/>
          <w:bCs/>
          <w:sz w:val="22"/>
          <w:szCs w:val="22"/>
          <w:lang w:val="es-ES"/>
        </w:rPr>
        <w:t>desastres</w:t>
      </w:r>
      <w:r w:rsidR="00BF49B3" w:rsidRPr="00512F79">
        <w:rPr>
          <w:rFonts w:ascii="Times New Roman" w:hAnsi="Times New Roman" w:cs="Times New Roman"/>
          <w:bCs/>
          <w:sz w:val="22"/>
          <w:szCs w:val="22"/>
          <w:lang w:val="es-ES"/>
        </w:rPr>
        <w:t xml:space="preserve"> relacionad</w:t>
      </w:r>
      <w:r w:rsidR="00A34AF3">
        <w:rPr>
          <w:rFonts w:ascii="Times New Roman" w:hAnsi="Times New Roman" w:cs="Times New Roman"/>
          <w:bCs/>
          <w:sz w:val="22"/>
          <w:szCs w:val="22"/>
          <w:lang w:val="es-ES"/>
        </w:rPr>
        <w:t>o</w:t>
      </w:r>
      <w:r w:rsidR="00BF49B3" w:rsidRPr="00512F79">
        <w:rPr>
          <w:rFonts w:ascii="Times New Roman" w:hAnsi="Times New Roman" w:cs="Times New Roman"/>
          <w:bCs/>
          <w:sz w:val="22"/>
          <w:szCs w:val="22"/>
          <w:lang w:val="es-ES"/>
        </w:rPr>
        <w:t>s con el clima</w:t>
      </w:r>
      <w:r w:rsidR="00D84358">
        <w:rPr>
          <w:rFonts w:ascii="Times New Roman" w:hAnsi="Times New Roman" w:cs="Times New Roman"/>
          <w:bCs/>
          <w:sz w:val="22"/>
          <w:szCs w:val="22"/>
          <w:lang w:val="es-ES"/>
        </w:rPr>
        <w:t>”</w:t>
      </w:r>
      <w:r w:rsidR="00BF49B3" w:rsidRPr="00512F79">
        <w:rPr>
          <w:rFonts w:ascii="Times New Roman" w:hAnsi="Times New Roman" w:cs="Times New Roman"/>
          <w:bCs/>
          <w:sz w:val="22"/>
          <w:szCs w:val="22"/>
          <w:lang w:val="es-ES"/>
        </w:rPr>
        <w:t xml:space="preserve">. En </w:t>
      </w:r>
      <w:r w:rsidR="00344D52" w:rsidRPr="00512F79">
        <w:rPr>
          <w:rFonts w:ascii="Times New Roman" w:hAnsi="Times New Roman" w:cs="Times New Roman"/>
          <w:bCs/>
          <w:sz w:val="22"/>
          <w:szCs w:val="22"/>
          <w:lang w:val="es-ES"/>
        </w:rPr>
        <w:t xml:space="preserve">consecuencia, </w:t>
      </w:r>
      <w:r w:rsidR="00A34AF3">
        <w:rPr>
          <w:rFonts w:ascii="Times New Roman" w:hAnsi="Times New Roman" w:cs="Times New Roman"/>
          <w:bCs/>
          <w:sz w:val="22"/>
          <w:szCs w:val="22"/>
          <w:lang w:val="es-ES"/>
        </w:rPr>
        <w:t xml:space="preserve">los </w:t>
      </w:r>
      <w:r w:rsidR="00344D52" w:rsidRPr="00512F79">
        <w:rPr>
          <w:rFonts w:ascii="Times New Roman" w:hAnsi="Times New Roman" w:cs="Times New Roman"/>
          <w:bCs/>
          <w:sz w:val="22"/>
          <w:szCs w:val="22"/>
          <w:lang w:val="es-ES"/>
        </w:rPr>
        <w:t xml:space="preserve">proyectos </w:t>
      </w:r>
      <w:r w:rsidR="00A34AF3">
        <w:rPr>
          <w:rFonts w:ascii="Times New Roman" w:hAnsi="Times New Roman" w:cs="Times New Roman"/>
          <w:bCs/>
          <w:sz w:val="22"/>
          <w:szCs w:val="22"/>
          <w:lang w:val="es-ES"/>
        </w:rPr>
        <w:t xml:space="preserve">tales </w:t>
      </w:r>
      <w:r w:rsidR="00344D52" w:rsidRPr="00512F79">
        <w:rPr>
          <w:rFonts w:ascii="Times New Roman" w:hAnsi="Times New Roman" w:cs="Times New Roman"/>
          <w:bCs/>
          <w:sz w:val="22"/>
          <w:szCs w:val="22"/>
          <w:lang w:val="es-ES"/>
        </w:rPr>
        <w:t>como</w:t>
      </w:r>
      <w:r w:rsidR="00A34AF3">
        <w:rPr>
          <w:rFonts w:ascii="Times New Roman" w:hAnsi="Times New Roman" w:cs="Times New Roman"/>
          <w:bCs/>
          <w:sz w:val="22"/>
          <w:szCs w:val="22"/>
          <w:lang w:val="es-ES"/>
        </w:rPr>
        <w:t>:</w:t>
      </w:r>
      <w:r w:rsidR="00344D52" w:rsidRPr="00512F79">
        <w:rPr>
          <w:rFonts w:ascii="Times New Roman" w:hAnsi="Times New Roman" w:cs="Times New Roman"/>
          <w:bCs/>
          <w:sz w:val="22"/>
          <w:szCs w:val="22"/>
          <w:lang w:val="es-ES"/>
        </w:rPr>
        <w:t xml:space="preserve"> </w:t>
      </w:r>
      <w:r w:rsidR="00D84358">
        <w:rPr>
          <w:rFonts w:ascii="Times New Roman" w:hAnsi="Times New Roman" w:cs="Times New Roman"/>
          <w:bCs/>
          <w:sz w:val="22"/>
          <w:szCs w:val="22"/>
          <w:lang w:val="es-ES"/>
        </w:rPr>
        <w:t>“</w:t>
      </w:r>
      <w:r w:rsidR="0045238C">
        <w:rPr>
          <w:rFonts w:ascii="Times New Roman" w:hAnsi="Times New Roman" w:cs="Times New Roman"/>
          <w:bCs/>
          <w:sz w:val="22"/>
          <w:szCs w:val="22"/>
          <w:lang w:val="es-ES"/>
        </w:rPr>
        <w:t>Fortalecimiento</w:t>
      </w:r>
      <w:r w:rsidR="00344D52" w:rsidRPr="00512F79">
        <w:rPr>
          <w:rFonts w:ascii="Times New Roman" w:hAnsi="Times New Roman" w:cs="Times New Roman"/>
          <w:bCs/>
          <w:sz w:val="22"/>
          <w:szCs w:val="22"/>
          <w:lang w:val="es-ES"/>
        </w:rPr>
        <w:t xml:space="preserve"> de la resiliencia de las pequeñas empresas turísticas del Caribe ante los desastres</w:t>
      </w:r>
      <w:r w:rsidR="003973BE">
        <w:rPr>
          <w:rFonts w:ascii="Times New Roman" w:hAnsi="Times New Roman" w:cs="Times New Roman"/>
          <w:bCs/>
          <w:sz w:val="22"/>
          <w:szCs w:val="22"/>
          <w:lang w:val="es-ES"/>
        </w:rPr>
        <w:t>”</w:t>
      </w:r>
      <w:r w:rsidR="00C67D84" w:rsidRPr="00512F79">
        <w:rPr>
          <w:rFonts w:ascii="Times New Roman" w:hAnsi="Times New Roman" w:cs="Times New Roman"/>
          <w:bCs/>
          <w:sz w:val="22"/>
          <w:szCs w:val="22"/>
          <w:lang w:val="es-ES"/>
        </w:rPr>
        <w:t xml:space="preserve"> </w:t>
      </w:r>
      <w:r w:rsidR="00385C63" w:rsidRPr="00512F79">
        <w:rPr>
          <w:rFonts w:ascii="Times New Roman" w:hAnsi="Times New Roman" w:cs="Times New Roman"/>
          <w:bCs/>
          <w:sz w:val="22"/>
          <w:szCs w:val="22"/>
          <w:lang w:val="es-ES"/>
        </w:rPr>
        <w:t xml:space="preserve">son de vital importancia y representan </w:t>
      </w:r>
      <w:r w:rsidR="003973BE">
        <w:rPr>
          <w:rFonts w:ascii="Times New Roman" w:hAnsi="Times New Roman" w:cs="Times New Roman"/>
          <w:bCs/>
          <w:sz w:val="22"/>
          <w:szCs w:val="22"/>
          <w:lang w:val="es-ES"/>
        </w:rPr>
        <w:t>una pieza clave</w:t>
      </w:r>
      <w:r w:rsidR="00385C63" w:rsidRPr="00512F79">
        <w:rPr>
          <w:rFonts w:ascii="Times New Roman" w:hAnsi="Times New Roman" w:cs="Times New Roman"/>
          <w:bCs/>
          <w:sz w:val="22"/>
          <w:szCs w:val="22"/>
          <w:lang w:val="es-ES"/>
        </w:rPr>
        <w:t xml:space="preserve"> de la agenda de sostenibilidad </w:t>
      </w:r>
      <w:r w:rsidR="00347F16" w:rsidRPr="00512F79">
        <w:rPr>
          <w:rFonts w:ascii="Times New Roman" w:hAnsi="Times New Roman" w:cs="Times New Roman"/>
          <w:bCs/>
          <w:sz w:val="22"/>
          <w:szCs w:val="22"/>
          <w:lang w:val="es-ES"/>
        </w:rPr>
        <w:t>de SEDI</w:t>
      </w:r>
      <w:r w:rsidR="00385C63" w:rsidRPr="00512F79">
        <w:rPr>
          <w:rFonts w:ascii="Times New Roman" w:hAnsi="Times New Roman" w:cs="Times New Roman"/>
          <w:bCs/>
          <w:sz w:val="22"/>
          <w:szCs w:val="22"/>
          <w:lang w:val="es-ES"/>
        </w:rPr>
        <w:t xml:space="preserve">. </w:t>
      </w:r>
    </w:p>
    <w:p w14:paraId="3ECB128D" w14:textId="0F9386A3" w:rsidR="00344D52" w:rsidRPr="00512F79" w:rsidRDefault="00344D52" w:rsidP="00B93932">
      <w:pPr>
        <w:pStyle w:val="PlainText"/>
        <w:jc w:val="both"/>
        <w:rPr>
          <w:rFonts w:ascii="Times New Roman" w:hAnsi="Times New Roman" w:cs="Times New Roman"/>
          <w:bCs/>
          <w:i/>
          <w:iCs/>
          <w:sz w:val="22"/>
          <w:szCs w:val="22"/>
          <w:lang w:val="es-ES"/>
        </w:rPr>
      </w:pPr>
    </w:p>
    <w:p w14:paraId="7326B4FB" w14:textId="4C3C6451" w:rsidR="00F4728E" w:rsidRPr="00512F79" w:rsidRDefault="00E93DE7">
      <w:pPr>
        <w:pStyle w:val="PlainText"/>
        <w:ind w:firstLine="720"/>
        <w:jc w:val="both"/>
        <w:rPr>
          <w:rFonts w:ascii="Times New Roman" w:hAnsi="Times New Roman" w:cs="Times New Roman"/>
          <w:bCs/>
          <w:sz w:val="22"/>
          <w:szCs w:val="22"/>
          <w:lang w:val="es-ES"/>
        </w:rPr>
      </w:pPr>
      <w:r>
        <w:rPr>
          <w:rFonts w:ascii="Times New Roman" w:hAnsi="Times New Roman" w:cs="Times New Roman"/>
          <w:bCs/>
          <w:sz w:val="22"/>
          <w:szCs w:val="22"/>
          <w:lang w:val="es-ES"/>
        </w:rPr>
        <w:t xml:space="preserve">El </w:t>
      </w:r>
      <w:r w:rsidR="00A34AF3">
        <w:rPr>
          <w:rFonts w:ascii="Times New Roman" w:hAnsi="Times New Roman" w:cs="Times New Roman"/>
          <w:bCs/>
          <w:sz w:val="22"/>
          <w:szCs w:val="22"/>
          <w:lang w:val="es-ES"/>
        </w:rPr>
        <w:t>C</w:t>
      </w:r>
      <w:r w:rsidR="00967695" w:rsidRPr="00512F79">
        <w:rPr>
          <w:rFonts w:ascii="Times New Roman" w:hAnsi="Times New Roman" w:cs="Times New Roman"/>
          <w:bCs/>
          <w:sz w:val="22"/>
          <w:szCs w:val="22"/>
          <w:lang w:val="es-ES"/>
        </w:rPr>
        <w:t xml:space="preserve">ovid-19 exacerbó las brechas preexistentes tanto en el acceso a una educación de calidad como en la disponibilidad de trabajo decente en todo el Hemisferio. La SEDI ha respondido a ambos retos </w:t>
      </w:r>
      <w:r w:rsidR="00773A84">
        <w:rPr>
          <w:rFonts w:ascii="Times New Roman" w:hAnsi="Times New Roman" w:cs="Times New Roman"/>
          <w:bCs/>
          <w:sz w:val="22"/>
          <w:szCs w:val="22"/>
          <w:lang w:val="es-ES"/>
        </w:rPr>
        <w:t>a través del fortalecimiento de</w:t>
      </w:r>
      <w:r w:rsidR="00967695" w:rsidRPr="00512F79">
        <w:rPr>
          <w:rFonts w:ascii="Times New Roman" w:hAnsi="Times New Roman" w:cs="Times New Roman"/>
          <w:bCs/>
          <w:sz w:val="22"/>
          <w:szCs w:val="22"/>
          <w:lang w:val="es-ES"/>
        </w:rPr>
        <w:t xml:space="preserve"> las oportunidades de </w:t>
      </w:r>
      <w:r w:rsidR="00773A84">
        <w:rPr>
          <w:rFonts w:ascii="Times New Roman" w:hAnsi="Times New Roman" w:cs="Times New Roman"/>
          <w:bCs/>
          <w:sz w:val="22"/>
          <w:szCs w:val="22"/>
          <w:lang w:val="es-ES"/>
        </w:rPr>
        <w:t>desarrollo</w:t>
      </w:r>
      <w:r w:rsidR="00967695" w:rsidRPr="00512F79">
        <w:rPr>
          <w:rFonts w:ascii="Times New Roman" w:hAnsi="Times New Roman" w:cs="Times New Roman"/>
          <w:bCs/>
          <w:sz w:val="22"/>
          <w:szCs w:val="22"/>
          <w:lang w:val="es-ES"/>
        </w:rPr>
        <w:t xml:space="preserve"> de capacidades entre sus principales partes interesadas. Su programación para 2022 (a través de socios estratégicos) incluyó instituciones de formación docente, talleres virtuales, seminarios, </w:t>
      </w:r>
      <w:r w:rsidR="00B31F3D" w:rsidRPr="00512F79">
        <w:rPr>
          <w:rFonts w:ascii="Times New Roman" w:hAnsi="Times New Roman" w:cs="Times New Roman"/>
          <w:bCs/>
          <w:sz w:val="22"/>
          <w:szCs w:val="22"/>
          <w:lang w:val="es-ES"/>
        </w:rPr>
        <w:t xml:space="preserve">publicaciones, acuerdos, programas de formación y oportunidades de becas como parte de un enfoque </w:t>
      </w:r>
      <w:r w:rsidR="00773A84">
        <w:rPr>
          <w:rFonts w:ascii="Times New Roman" w:hAnsi="Times New Roman" w:cs="Times New Roman"/>
          <w:bCs/>
          <w:sz w:val="22"/>
          <w:szCs w:val="22"/>
          <w:lang w:val="es-ES"/>
        </w:rPr>
        <w:t>de conjunto</w:t>
      </w:r>
      <w:r w:rsidR="00B31F3D" w:rsidRPr="00512F79">
        <w:rPr>
          <w:rFonts w:ascii="Times New Roman" w:hAnsi="Times New Roman" w:cs="Times New Roman"/>
          <w:bCs/>
          <w:sz w:val="22"/>
          <w:szCs w:val="22"/>
          <w:lang w:val="es-ES"/>
        </w:rPr>
        <w:t xml:space="preserve"> para promover la educación y el desarrollo humano en las Américas. Para promover oportunidades de trabajo decente, digno y productivo, las acciones de la SEDI durante el año pasado </w:t>
      </w:r>
      <w:r w:rsidR="00B31F3D" w:rsidRPr="00512F79">
        <w:rPr>
          <w:rFonts w:ascii="Times New Roman" w:hAnsi="Times New Roman" w:cs="Times New Roman"/>
          <w:sz w:val="22"/>
          <w:szCs w:val="22"/>
          <w:lang w:val="es-ES"/>
        </w:rPr>
        <w:t xml:space="preserve">se centraron en profundizar el diálogo social entre </w:t>
      </w:r>
      <w:r w:rsidR="00773A84">
        <w:rPr>
          <w:rFonts w:ascii="Times New Roman" w:hAnsi="Times New Roman" w:cs="Times New Roman"/>
          <w:sz w:val="22"/>
          <w:szCs w:val="22"/>
          <w:lang w:val="es-ES"/>
        </w:rPr>
        <w:t>G</w:t>
      </w:r>
      <w:r w:rsidR="00B31F3D" w:rsidRPr="00512F79">
        <w:rPr>
          <w:rFonts w:ascii="Times New Roman" w:hAnsi="Times New Roman" w:cs="Times New Roman"/>
          <w:sz w:val="22"/>
          <w:szCs w:val="22"/>
          <w:lang w:val="es-ES"/>
        </w:rPr>
        <w:t xml:space="preserve">obiernos, trabajadores y empleadores, </w:t>
      </w:r>
      <w:r w:rsidR="00773A84">
        <w:rPr>
          <w:rFonts w:ascii="Times New Roman" w:hAnsi="Times New Roman" w:cs="Times New Roman"/>
          <w:sz w:val="22"/>
          <w:szCs w:val="22"/>
          <w:lang w:val="es-ES"/>
        </w:rPr>
        <w:t>así como</w:t>
      </w:r>
      <w:r w:rsidR="00B31F3D" w:rsidRPr="00512F79">
        <w:rPr>
          <w:rFonts w:ascii="Times New Roman" w:hAnsi="Times New Roman" w:cs="Times New Roman"/>
          <w:sz w:val="22"/>
          <w:szCs w:val="22"/>
          <w:lang w:val="es-ES"/>
        </w:rPr>
        <w:t xml:space="preserve"> en fortalecer las capacidades de los Ministerios de Trabajo de la región. Además, varios ejercicios de cooperación bilateral han proporcionado a los trabajadores de la economía tradicionalmente informal los conocimientos necesarios para la transición a la economía formal. </w:t>
      </w:r>
    </w:p>
    <w:p w14:paraId="1575E92C" w14:textId="677F0B82" w:rsidR="00344D52" w:rsidRPr="00512F79" w:rsidRDefault="00344D52" w:rsidP="00CB030B">
      <w:pPr>
        <w:pStyle w:val="PlainText"/>
        <w:ind w:firstLine="720"/>
        <w:jc w:val="both"/>
        <w:rPr>
          <w:rFonts w:ascii="Times New Roman" w:hAnsi="Times New Roman" w:cs="Times New Roman"/>
          <w:bCs/>
          <w:i/>
          <w:iCs/>
          <w:sz w:val="22"/>
          <w:szCs w:val="22"/>
          <w:lang w:val="es-ES"/>
        </w:rPr>
      </w:pPr>
    </w:p>
    <w:p w14:paraId="2EF9FD1E" w14:textId="2A9C9350" w:rsidR="00F4728E" w:rsidRPr="00512F79" w:rsidRDefault="00967695">
      <w:pPr>
        <w:pStyle w:val="PlainText"/>
        <w:ind w:firstLine="720"/>
        <w:jc w:val="both"/>
        <w:rPr>
          <w:rFonts w:ascii="Times New Roman" w:hAnsi="Times New Roman" w:cs="Times New Roman"/>
          <w:bCs/>
          <w:sz w:val="22"/>
          <w:szCs w:val="22"/>
          <w:lang w:val="es-ES"/>
        </w:rPr>
      </w:pPr>
      <w:r w:rsidRPr="00512F79">
        <w:rPr>
          <w:rFonts w:ascii="Times New Roman" w:hAnsi="Times New Roman" w:cs="Times New Roman"/>
          <w:bCs/>
          <w:sz w:val="22"/>
          <w:szCs w:val="22"/>
          <w:lang w:val="es-ES"/>
        </w:rPr>
        <w:t xml:space="preserve">El mandato de la SEDI es muy amplio y, sobre todo, depende en gran medida de </w:t>
      </w:r>
      <w:r w:rsidR="00C05579" w:rsidRPr="00512F79">
        <w:rPr>
          <w:rFonts w:ascii="Times New Roman" w:hAnsi="Times New Roman" w:cs="Times New Roman"/>
          <w:bCs/>
          <w:sz w:val="22"/>
          <w:szCs w:val="22"/>
          <w:lang w:val="es-ES"/>
        </w:rPr>
        <w:t xml:space="preserve">las </w:t>
      </w:r>
      <w:r w:rsidR="00E93DE7">
        <w:rPr>
          <w:rFonts w:ascii="Times New Roman" w:hAnsi="Times New Roman" w:cs="Times New Roman"/>
          <w:bCs/>
          <w:sz w:val="22"/>
          <w:szCs w:val="22"/>
          <w:lang w:val="es-ES"/>
        </w:rPr>
        <w:t>alianzas</w:t>
      </w:r>
      <w:r w:rsidR="00C05579" w:rsidRPr="00512F79">
        <w:rPr>
          <w:rFonts w:ascii="Times New Roman" w:hAnsi="Times New Roman" w:cs="Times New Roman"/>
          <w:bCs/>
          <w:sz w:val="22"/>
          <w:szCs w:val="22"/>
          <w:lang w:val="es-ES"/>
        </w:rPr>
        <w:t xml:space="preserve"> y las </w:t>
      </w:r>
      <w:r w:rsidRPr="00512F79">
        <w:rPr>
          <w:rFonts w:ascii="Times New Roman" w:hAnsi="Times New Roman" w:cs="Times New Roman"/>
          <w:bCs/>
          <w:sz w:val="22"/>
          <w:szCs w:val="22"/>
          <w:lang w:val="es-ES"/>
        </w:rPr>
        <w:t xml:space="preserve">contribuciones voluntarias de los </w:t>
      </w:r>
      <w:r w:rsidR="005F30B1" w:rsidRPr="00512F79">
        <w:rPr>
          <w:rFonts w:ascii="Times New Roman" w:hAnsi="Times New Roman" w:cs="Times New Roman"/>
          <w:bCs/>
          <w:sz w:val="22"/>
          <w:szCs w:val="22"/>
          <w:lang w:val="es-ES"/>
        </w:rPr>
        <w:t xml:space="preserve">Estados </w:t>
      </w:r>
      <w:r w:rsidR="00E93DE7">
        <w:rPr>
          <w:rFonts w:ascii="Times New Roman" w:hAnsi="Times New Roman" w:cs="Times New Roman"/>
          <w:bCs/>
          <w:sz w:val="22"/>
          <w:szCs w:val="22"/>
          <w:lang w:val="es-ES"/>
        </w:rPr>
        <w:t>M</w:t>
      </w:r>
      <w:r w:rsidR="00C67D84" w:rsidRPr="00512F79">
        <w:rPr>
          <w:rFonts w:ascii="Times New Roman" w:hAnsi="Times New Roman" w:cs="Times New Roman"/>
          <w:bCs/>
          <w:sz w:val="22"/>
          <w:szCs w:val="22"/>
          <w:lang w:val="es-ES"/>
        </w:rPr>
        <w:t xml:space="preserve">iembros </w:t>
      </w:r>
      <w:r w:rsidRPr="00512F79">
        <w:rPr>
          <w:rFonts w:ascii="Times New Roman" w:hAnsi="Times New Roman" w:cs="Times New Roman"/>
          <w:bCs/>
          <w:sz w:val="22"/>
          <w:szCs w:val="22"/>
          <w:lang w:val="es-ES"/>
        </w:rPr>
        <w:t xml:space="preserve">y otros donantes. En un escenario de prioridades y agendas </w:t>
      </w:r>
      <w:r w:rsidR="00F37A5C">
        <w:rPr>
          <w:rFonts w:ascii="Times New Roman" w:hAnsi="Times New Roman" w:cs="Times New Roman"/>
          <w:bCs/>
          <w:sz w:val="22"/>
          <w:szCs w:val="22"/>
          <w:lang w:val="es-ES"/>
        </w:rPr>
        <w:t>que compiten entre sí</w:t>
      </w:r>
      <w:r w:rsidRPr="00512F79">
        <w:rPr>
          <w:rFonts w:ascii="Times New Roman" w:hAnsi="Times New Roman" w:cs="Times New Roman"/>
          <w:bCs/>
          <w:sz w:val="22"/>
          <w:szCs w:val="22"/>
          <w:lang w:val="es-ES"/>
        </w:rPr>
        <w:t xml:space="preserve">, y en medio de </w:t>
      </w:r>
      <w:r w:rsidR="00E93DE7">
        <w:rPr>
          <w:rFonts w:ascii="Times New Roman" w:hAnsi="Times New Roman" w:cs="Times New Roman"/>
          <w:bCs/>
          <w:sz w:val="22"/>
          <w:szCs w:val="22"/>
          <w:lang w:val="es-ES"/>
        </w:rPr>
        <w:t xml:space="preserve">los niveles de inflación mundial </w:t>
      </w:r>
      <w:r w:rsidR="00E86ACB">
        <w:rPr>
          <w:rFonts w:ascii="Times New Roman" w:hAnsi="Times New Roman" w:cs="Times New Roman"/>
          <w:bCs/>
          <w:sz w:val="22"/>
          <w:szCs w:val="22"/>
          <w:lang w:val="es-ES"/>
        </w:rPr>
        <w:t>excepcionalmente</w:t>
      </w:r>
      <w:r w:rsidR="00E93DE7">
        <w:rPr>
          <w:rFonts w:ascii="Times New Roman" w:hAnsi="Times New Roman" w:cs="Times New Roman"/>
          <w:bCs/>
          <w:sz w:val="22"/>
          <w:szCs w:val="22"/>
          <w:lang w:val="es-ES"/>
        </w:rPr>
        <w:t xml:space="preserve"> altos</w:t>
      </w:r>
      <w:r w:rsidRPr="00512F79">
        <w:rPr>
          <w:rFonts w:ascii="Times New Roman" w:hAnsi="Times New Roman" w:cs="Times New Roman"/>
          <w:bCs/>
          <w:sz w:val="22"/>
          <w:szCs w:val="22"/>
          <w:lang w:val="es-ES"/>
        </w:rPr>
        <w:t xml:space="preserve"> de 2022, se ha producido una disminución de los recursos para el desarrollo disponibles para América Latina y el Caribe. </w:t>
      </w:r>
      <w:r w:rsidR="00C05579" w:rsidRPr="00512F79">
        <w:rPr>
          <w:rFonts w:ascii="Times New Roman" w:hAnsi="Times New Roman" w:cs="Times New Roman"/>
          <w:bCs/>
          <w:sz w:val="22"/>
          <w:szCs w:val="22"/>
          <w:lang w:val="es-ES"/>
        </w:rPr>
        <w:t xml:space="preserve">Esto ha puesto aún más a prueba la capacidad de la SEDI </w:t>
      </w:r>
      <w:r w:rsidR="00BD27E7">
        <w:rPr>
          <w:rFonts w:ascii="Times New Roman" w:hAnsi="Times New Roman" w:cs="Times New Roman"/>
          <w:bCs/>
          <w:sz w:val="22"/>
          <w:szCs w:val="22"/>
          <w:lang w:val="es-ES"/>
        </w:rPr>
        <w:t>de</w:t>
      </w:r>
      <w:r w:rsidR="00C05579" w:rsidRPr="00512F79">
        <w:rPr>
          <w:rFonts w:ascii="Times New Roman" w:hAnsi="Times New Roman" w:cs="Times New Roman"/>
          <w:bCs/>
          <w:sz w:val="22"/>
          <w:szCs w:val="22"/>
          <w:lang w:val="es-ES"/>
        </w:rPr>
        <w:t xml:space="preserve"> responder a las </w:t>
      </w:r>
      <w:r w:rsidR="004E265C">
        <w:rPr>
          <w:rFonts w:ascii="Times New Roman" w:hAnsi="Times New Roman" w:cs="Times New Roman"/>
          <w:bCs/>
          <w:sz w:val="22"/>
          <w:szCs w:val="22"/>
          <w:lang w:val="es-ES"/>
        </w:rPr>
        <w:t xml:space="preserve">nuevas </w:t>
      </w:r>
      <w:r w:rsidR="00C05579" w:rsidRPr="00512F79">
        <w:rPr>
          <w:rFonts w:ascii="Times New Roman" w:hAnsi="Times New Roman" w:cs="Times New Roman"/>
          <w:bCs/>
          <w:sz w:val="22"/>
          <w:szCs w:val="22"/>
          <w:lang w:val="es-ES"/>
        </w:rPr>
        <w:t xml:space="preserve">necesidades de los </w:t>
      </w:r>
      <w:r w:rsidR="005F30B1" w:rsidRPr="00512F79">
        <w:rPr>
          <w:rFonts w:ascii="Times New Roman" w:hAnsi="Times New Roman" w:cs="Times New Roman"/>
          <w:bCs/>
          <w:sz w:val="22"/>
          <w:szCs w:val="22"/>
          <w:lang w:val="es-ES"/>
        </w:rPr>
        <w:t xml:space="preserve">Estados </w:t>
      </w:r>
      <w:r w:rsidR="00E93DE7">
        <w:rPr>
          <w:rFonts w:ascii="Times New Roman" w:hAnsi="Times New Roman" w:cs="Times New Roman"/>
          <w:bCs/>
          <w:sz w:val="22"/>
          <w:szCs w:val="22"/>
          <w:lang w:val="es-ES"/>
        </w:rPr>
        <w:t>M</w:t>
      </w:r>
      <w:r w:rsidR="005F30B1" w:rsidRPr="00512F79">
        <w:rPr>
          <w:rFonts w:ascii="Times New Roman" w:hAnsi="Times New Roman" w:cs="Times New Roman"/>
          <w:bCs/>
          <w:sz w:val="22"/>
          <w:szCs w:val="22"/>
          <w:lang w:val="es-ES"/>
        </w:rPr>
        <w:t xml:space="preserve">iembros </w:t>
      </w:r>
      <w:r w:rsidR="00C05579" w:rsidRPr="00512F79">
        <w:rPr>
          <w:rFonts w:ascii="Times New Roman" w:hAnsi="Times New Roman" w:cs="Times New Roman"/>
          <w:bCs/>
          <w:sz w:val="22"/>
          <w:szCs w:val="22"/>
          <w:lang w:val="es-ES"/>
        </w:rPr>
        <w:t>y ha puesto en peligro gran parte de</w:t>
      </w:r>
      <w:r w:rsidR="00BD27E7">
        <w:rPr>
          <w:rFonts w:ascii="Times New Roman" w:hAnsi="Times New Roman" w:cs="Times New Roman"/>
          <w:bCs/>
          <w:sz w:val="22"/>
          <w:szCs w:val="22"/>
          <w:lang w:val="es-ES"/>
        </w:rPr>
        <w:t xml:space="preserve"> su labor</w:t>
      </w:r>
      <w:r w:rsidR="00C05579" w:rsidRPr="00512F79">
        <w:rPr>
          <w:rFonts w:ascii="Times New Roman" w:hAnsi="Times New Roman" w:cs="Times New Roman"/>
          <w:bCs/>
          <w:sz w:val="22"/>
          <w:szCs w:val="22"/>
          <w:lang w:val="es-ES"/>
        </w:rPr>
        <w:t xml:space="preserve"> de programación. La movilización de recursos sigue siendo un componente importante de la labor de la SEDI, razón por la cual </w:t>
      </w:r>
      <w:r w:rsidR="00BD27E7">
        <w:rPr>
          <w:rFonts w:ascii="Times New Roman" w:hAnsi="Times New Roman" w:cs="Times New Roman"/>
          <w:bCs/>
          <w:sz w:val="22"/>
          <w:szCs w:val="22"/>
          <w:lang w:val="es-ES"/>
        </w:rPr>
        <w:t xml:space="preserve">las </w:t>
      </w:r>
      <w:r w:rsidR="00654357">
        <w:rPr>
          <w:rFonts w:ascii="Times New Roman" w:hAnsi="Times New Roman" w:cs="Times New Roman"/>
          <w:bCs/>
          <w:sz w:val="22"/>
          <w:szCs w:val="22"/>
          <w:lang w:val="es-ES"/>
        </w:rPr>
        <w:t>alianzas</w:t>
      </w:r>
      <w:r w:rsidR="00C05579" w:rsidRPr="00512F79">
        <w:rPr>
          <w:rFonts w:ascii="Times New Roman" w:hAnsi="Times New Roman" w:cs="Times New Roman"/>
          <w:bCs/>
          <w:sz w:val="22"/>
          <w:szCs w:val="22"/>
          <w:lang w:val="es-ES"/>
        </w:rPr>
        <w:t xml:space="preserve"> con importantes organizaciones internacionales y regionales: Amazon, la </w:t>
      </w:r>
      <w:r w:rsidR="00BE52A2">
        <w:rPr>
          <w:rFonts w:ascii="Times New Roman" w:hAnsi="Times New Roman" w:cs="Times New Roman"/>
          <w:bCs/>
          <w:sz w:val="22"/>
          <w:szCs w:val="22"/>
          <w:lang w:val="es-ES"/>
        </w:rPr>
        <w:t>Agencia</w:t>
      </w:r>
      <w:r w:rsidR="00932362">
        <w:rPr>
          <w:rFonts w:ascii="Times New Roman" w:hAnsi="Times New Roman" w:cs="Times New Roman"/>
          <w:bCs/>
          <w:sz w:val="22"/>
          <w:szCs w:val="22"/>
          <w:lang w:val="es-ES"/>
        </w:rPr>
        <w:t xml:space="preserve"> Alemana</w:t>
      </w:r>
      <w:r w:rsidR="00C05579" w:rsidRPr="00512F79">
        <w:rPr>
          <w:rFonts w:ascii="Times New Roman" w:hAnsi="Times New Roman" w:cs="Times New Roman"/>
          <w:bCs/>
          <w:sz w:val="22"/>
          <w:szCs w:val="22"/>
          <w:lang w:val="es-ES"/>
        </w:rPr>
        <w:t xml:space="preserve"> </w:t>
      </w:r>
      <w:r w:rsidR="00BE52A2">
        <w:rPr>
          <w:rFonts w:ascii="Times New Roman" w:hAnsi="Times New Roman" w:cs="Times New Roman"/>
          <w:bCs/>
          <w:sz w:val="22"/>
          <w:szCs w:val="22"/>
          <w:lang w:val="es-ES"/>
        </w:rPr>
        <w:t>de</w:t>
      </w:r>
      <w:r w:rsidR="00932362">
        <w:rPr>
          <w:rFonts w:ascii="Times New Roman" w:hAnsi="Times New Roman" w:cs="Times New Roman"/>
          <w:bCs/>
          <w:sz w:val="22"/>
          <w:szCs w:val="22"/>
          <w:lang w:val="es-ES"/>
        </w:rPr>
        <w:t xml:space="preserve"> Cooperación </w:t>
      </w:r>
      <w:r w:rsidR="00C05579" w:rsidRPr="00512F79">
        <w:rPr>
          <w:rFonts w:ascii="Times New Roman" w:hAnsi="Times New Roman" w:cs="Times New Roman"/>
          <w:bCs/>
          <w:sz w:val="22"/>
          <w:szCs w:val="22"/>
          <w:lang w:val="es-ES"/>
        </w:rPr>
        <w:t xml:space="preserve">Internacional (GIZ), el Banco de Desarrollo de América Latina (CAF), la Internet Society, IBM, el Banco Interamericano de Desarrollo (BID), la </w:t>
      </w:r>
      <w:r w:rsidR="00CC36FF">
        <w:rPr>
          <w:rFonts w:ascii="Times New Roman" w:hAnsi="Times New Roman" w:cs="Times New Roman"/>
          <w:bCs/>
          <w:sz w:val="22"/>
          <w:szCs w:val="22"/>
          <w:lang w:val="es-ES"/>
        </w:rPr>
        <w:t>Fundación del Espacio</w:t>
      </w:r>
      <w:r w:rsidR="00C05579" w:rsidRPr="00512F79">
        <w:rPr>
          <w:rFonts w:ascii="Times New Roman" w:hAnsi="Times New Roman" w:cs="Times New Roman"/>
          <w:bCs/>
          <w:sz w:val="22"/>
          <w:szCs w:val="22"/>
          <w:lang w:val="es-ES"/>
        </w:rPr>
        <w:t xml:space="preserve">, la Agencia Suiza para el Desarrollo y la Cooperación, WhatsApp (META), </w:t>
      </w:r>
      <w:r w:rsidR="00CC36FF">
        <w:rPr>
          <w:rFonts w:ascii="Times New Roman" w:hAnsi="Times New Roman" w:cs="Times New Roman"/>
          <w:bCs/>
          <w:sz w:val="22"/>
          <w:szCs w:val="22"/>
          <w:lang w:val="es-ES"/>
        </w:rPr>
        <w:t>la Agencia de los Estados Unidos para el Desarrollo Internacional (</w:t>
      </w:r>
      <w:r w:rsidR="00C05579" w:rsidRPr="00512F79">
        <w:rPr>
          <w:rFonts w:ascii="Times New Roman" w:hAnsi="Times New Roman" w:cs="Times New Roman"/>
          <w:bCs/>
          <w:sz w:val="22"/>
          <w:szCs w:val="22"/>
          <w:lang w:val="es-ES"/>
        </w:rPr>
        <w:t>USAID</w:t>
      </w:r>
      <w:r w:rsidR="00CC36FF">
        <w:rPr>
          <w:rFonts w:ascii="Times New Roman" w:hAnsi="Times New Roman" w:cs="Times New Roman"/>
          <w:bCs/>
          <w:sz w:val="22"/>
          <w:szCs w:val="22"/>
          <w:lang w:val="es-ES"/>
        </w:rPr>
        <w:t>)</w:t>
      </w:r>
      <w:r w:rsidR="00C05579" w:rsidRPr="00512F79">
        <w:rPr>
          <w:rFonts w:ascii="Times New Roman" w:hAnsi="Times New Roman" w:cs="Times New Roman"/>
          <w:bCs/>
          <w:sz w:val="22"/>
          <w:szCs w:val="22"/>
          <w:lang w:val="es-ES"/>
        </w:rPr>
        <w:t xml:space="preserve"> </w:t>
      </w:r>
      <w:r w:rsidR="00674601" w:rsidRPr="00512F79">
        <w:rPr>
          <w:rFonts w:ascii="Times New Roman" w:hAnsi="Times New Roman" w:cs="Times New Roman"/>
          <w:bCs/>
          <w:sz w:val="22"/>
          <w:szCs w:val="22"/>
          <w:lang w:val="es-ES"/>
        </w:rPr>
        <w:t xml:space="preserve">y el Departamento de Comercio de los Estados </w:t>
      </w:r>
      <w:r w:rsidR="00C05579" w:rsidRPr="00512F79">
        <w:rPr>
          <w:rFonts w:ascii="Times New Roman" w:hAnsi="Times New Roman" w:cs="Times New Roman"/>
          <w:bCs/>
          <w:sz w:val="22"/>
          <w:szCs w:val="22"/>
          <w:lang w:val="es-ES"/>
        </w:rPr>
        <w:t>Unidos, entre otros</w:t>
      </w:r>
      <w:r w:rsidR="007010A5">
        <w:rPr>
          <w:rFonts w:ascii="Times New Roman" w:hAnsi="Times New Roman" w:cs="Times New Roman"/>
          <w:bCs/>
          <w:sz w:val="22"/>
          <w:szCs w:val="22"/>
          <w:lang w:val="es-ES"/>
        </w:rPr>
        <w:t xml:space="preserve">, </w:t>
      </w:r>
      <w:r w:rsidR="00773A84">
        <w:rPr>
          <w:rFonts w:ascii="Times New Roman" w:hAnsi="Times New Roman" w:cs="Times New Roman"/>
          <w:bCs/>
          <w:sz w:val="22"/>
          <w:szCs w:val="22"/>
          <w:lang w:val="es-ES"/>
        </w:rPr>
        <w:t>así como</w:t>
      </w:r>
      <w:r w:rsidR="00BE52A2">
        <w:rPr>
          <w:rFonts w:ascii="Times New Roman" w:hAnsi="Times New Roman" w:cs="Times New Roman"/>
          <w:bCs/>
          <w:sz w:val="22"/>
          <w:szCs w:val="22"/>
          <w:lang w:val="es-ES"/>
        </w:rPr>
        <w:t xml:space="preserve"> </w:t>
      </w:r>
      <w:r w:rsidR="007010A5">
        <w:rPr>
          <w:rFonts w:ascii="Times New Roman" w:hAnsi="Times New Roman" w:cs="Times New Roman"/>
          <w:bCs/>
          <w:sz w:val="22"/>
          <w:szCs w:val="22"/>
          <w:lang w:val="es-ES"/>
        </w:rPr>
        <w:t>la</w:t>
      </w:r>
      <w:r w:rsidR="00C05579" w:rsidRPr="00512F79">
        <w:rPr>
          <w:rFonts w:ascii="Times New Roman" w:hAnsi="Times New Roman" w:cs="Times New Roman"/>
          <w:bCs/>
          <w:sz w:val="22"/>
          <w:szCs w:val="22"/>
          <w:lang w:val="es-ES"/>
        </w:rPr>
        <w:t xml:space="preserve">s </w:t>
      </w:r>
      <w:r w:rsidR="00674601" w:rsidRPr="00512F79">
        <w:rPr>
          <w:rFonts w:ascii="Times New Roman" w:hAnsi="Times New Roman" w:cs="Times New Roman"/>
          <w:bCs/>
          <w:sz w:val="22"/>
          <w:szCs w:val="22"/>
          <w:lang w:val="es-ES"/>
        </w:rPr>
        <w:t>principales instituciones académicas</w:t>
      </w:r>
      <w:r w:rsidR="00BE52A2">
        <w:rPr>
          <w:rFonts w:ascii="Times New Roman" w:hAnsi="Times New Roman" w:cs="Times New Roman"/>
          <w:bCs/>
          <w:sz w:val="22"/>
          <w:szCs w:val="22"/>
          <w:lang w:val="es-ES"/>
        </w:rPr>
        <w:t xml:space="preserve">, tales como </w:t>
      </w:r>
      <w:r w:rsidR="00674601" w:rsidRPr="00512F79">
        <w:rPr>
          <w:rFonts w:ascii="Times New Roman" w:hAnsi="Times New Roman" w:cs="Times New Roman"/>
          <w:bCs/>
          <w:sz w:val="22"/>
          <w:szCs w:val="22"/>
          <w:lang w:val="es-ES"/>
        </w:rPr>
        <w:t xml:space="preserve">Duke University, Georgetown University, Texas A&amp;M University, University of California Riverside y University of Chicago- siguen siendo de vital importancia. </w:t>
      </w:r>
    </w:p>
    <w:p w14:paraId="0CACC6BA" w14:textId="55FBDEA1" w:rsidR="00C05579" w:rsidRPr="00512F79" w:rsidRDefault="00C05579" w:rsidP="00CB030B">
      <w:pPr>
        <w:pStyle w:val="PlainText"/>
        <w:jc w:val="both"/>
        <w:rPr>
          <w:rFonts w:ascii="Times New Roman" w:hAnsi="Times New Roman" w:cs="Times New Roman"/>
          <w:bCs/>
          <w:sz w:val="22"/>
          <w:szCs w:val="22"/>
          <w:lang w:val="es-ES"/>
        </w:rPr>
      </w:pPr>
    </w:p>
    <w:p w14:paraId="47702C28" w14:textId="2A8078D9" w:rsidR="00F4728E" w:rsidRPr="00512F79" w:rsidRDefault="00967695">
      <w:pPr>
        <w:ind w:firstLine="720"/>
        <w:jc w:val="both"/>
        <w:rPr>
          <w:rFonts w:ascii="Times New Roman" w:eastAsia="Calibri" w:hAnsi="Times New Roman" w:cs="Times New Roman"/>
          <w:bCs/>
          <w:sz w:val="22"/>
          <w:szCs w:val="22"/>
          <w:lang w:val="es-ES"/>
        </w:rPr>
      </w:pPr>
      <w:r w:rsidRPr="00512F79">
        <w:rPr>
          <w:rFonts w:ascii="Times New Roman" w:eastAsia="Calibri" w:hAnsi="Times New Roman" w:cs="Times New Roman"/>
          <w:bCs/>
          <w:sz w:val="22"/>
          <w:szCs w:val="22"/>
          <w:lang w:val="es-ES"/>
        </w:rPr>
        <w:t>E</w:t>
      </w:r>
      <w:r w:rsidR="00BE52A2">
        <w:rPr>
          <w:rFonts w:ascii="Times New Roman" w:eastAsia="Calibri" w:hAnsi="Times New Roman" w:cs="Times New Roman"/>
          <w:bCs/>
          <w:sz w:val="22"/>
          <w:szCs w:val="22"/>
          <w:lang w:val="es-ES"/>
        </w:rPr>
        <w:t>l presente</w:t>
      </w:r>
      <w:r w:rsidRPr="00512F79">
        <w:rPr>
          <w:rFonts w:ascii="Times New Roman" w:eastAsia="Calibri" w:hAnsi="Times New Roman" w:cs="Times New Roman"/>
          <w:bCs/>
          <w:sz w:val="22"/>
          <w:szCs w:val="22"/>
          <w:lang w:val="es-ES"/>
        </w:rPr>
        <w:t xml:space="preserve"> informe corresponde a una visión general de la programación, los proyectos y las iniciativas de la SEDI en 2022. Está organizado en función de las cinco líneas estratégicas y objetivos, tal y como se recogen en el pilar de desarrollo del Plan Estratégico Integral de la Organización. </w:t>
      </w:r>
    </w:p>
    <w:p w14:paraId="382F7CD0" w14:textId="10D3F66E" w:rsidR="00674601" w:rsidRPr="00512F79" w:rsidRDefault="00674601" w:rsidP="00CB030B">
      <w:pPr>
        <w:jc w:val="both"/>
        <w:rPr>
          <w:rFonts w:ascii="Times New Roman" w:eastAsia="Calibri" w:hAnsi="Times New Roman" w:cs="Times New Roman"/>
          <w:bCs/>
          <w:sz w:val="22"/>
          <w:szCs w:val="22"/>
          <w:lang w:val="es-ES"/>
        </w:rPr>
      </w:pPr>
    </w:p>
    <w:p w14:paraId="355AE694" w14:textId="1FB1E5F1" w:rsidR="00F4728E" w:rsidRPr="00512F79" w:rsidRDefault="00967695">
      <w:pPr>
        <w:ind w:firstLine="720"/>
        <w:jc w:val="both"/>
        <w:rPr>
          <w:rFonts w:ascii="Times New Roman" w:eastAsia="Calibri" w:hAnsi="Times New Roman" w:cs="Times New Roman"/>
          <w:b/>
          <w:sz w:val="22"/>
          <w:szCs w:val="22"/>
          <w:lang w:val="es-ES"/>
        </w:rPr>
      </w:pPr>
      <w:r w:rsidRPr="00512F79">
        <w:rPr>
          <w:rFonts w:ascii="Times New Roman" w:eastAsia="Calibri" w:hAnsi="Times New Roman" w:cs="Times New Roman"/>
          <w:b/>
          <w:sz w:val="22"/>
          <w:szCs w:val="22"/>
          <w:lang w:val="es-ES"/>
        </w:rPr>
        <w:t xml:space="preserve">La SEDI desea </w:t>
      </w:r>
      <w:r w:rsidR="00D44B52">
        <w:rPr>
          <w:rFonts w:ascii="Times New Roman" w:eastAsia="Calibri" w:hAnsi="Times New Roman" w:cs="Times New Roman"/>
          <w:b/>
          <w:sz w:val="22"/>
          <w:szCs w:val="22"/>
          <w:lang w:val="es-ES"/>
        </w:rPr>
        <w:t>agradecer</w:t>
      </w:r>
      <w:r w:rsidRPr="00512F79">
        <w:rPr>
          <w:rFonts w:ascii="Times New Roman" w:eastAsia="Calibri" w:hAnsi="Times New Roman" w:cs="Times New Roman"/>
          <w:b/>
          <w:sz w:val="22"/>
          <w:szCs w:val="22"/>
          <w:lang w:val="es-ES"/>
        </w:rPr>
        <w:t xml:space="preserve"> a todos sus socios y partes interesadas por otro año de compromiso y servicio al Hemisferio.</w:t>
      </w:r>
    </w:p>
    <w:p w14:paraId="628D2C94" w14:textId="30EBF9FE" w:rsidR="004113B4" w:rsidRPr="00512F79" w:rsidRDefault="004113B4" w:rsidP="00CB030B">
      <w:pPr>
        <w:rPr>
          <w:rFonts w:ascii="Times New Roman" w:hAnsi="Times New Roman" w:cs="Times New Roman"/>
          <w:b/>
          <w:bCs/>
          <w:sz w:val="22"/>
          <w:szCs w:val="22"/>
          <w:lang w:val="es-ES"/>
        </w:rPr>
      </w:pPr>
    </w:p>
    <w:p w14:paraId="67E26255" w14:textId="77777777" w:rsidR="0074320E" w:rsidRPr="00512F79" w:rsidRDefault="0074320E" w:rsidP="00CB030B">
      <w:pPr>
        <w:rPr>
          <w:rFonts w:ascii="Times New Roman" w:hAnsi="Times New Roman" w:cs="Times New Roman"/>
          <w:b/>
          <w:bCs/>
          <w:sz w:val="22"/>
          <w:szCs w:val="22"/>
          <w:lang w:val="es-ES"/>
        </w:rPr>
      </w:pPr>
    </w:p>
    <w:p w14:paraId="7B4C92C1"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1</w:t>
      </w:r>
    </w:p>
    <w:p w14:paraId="43A6F1E5" w14:textId="331CF944" w:rsidR="00F4728E" w:rsidRPr="00512F79" w:rsidRDefault="00967695">
      <w:pPr>
        <w:pBdr>
          <w:bottom w:val="single" w:sz="6" w:space="1" w:color="auto"/>
        </w:pBdr>
        <w:rPr>
          <w:rFonts w:ascii="Times New Roman" w:hAnsi="Times New Roman" w:cs="Times New Roman"/>
          <w:sz w:val="22"/>
          <w:szCs w:val="22"/>
          <w:lang w:val="es-ES"/>
        </w:rPr>
      </w:pPr>
      <w:r w:rsidRPr="00512F79">
        <w:rPr>
          <w:rFonts w:ascii="Times New Roman" w:hAnsi="Times New Roman" w:cs="Times New Roman"/>
          <w:sz w:val="22"/>
          <w:szCs w:val="22"/>
          <w:lang w:val="es-ES"/>
        </w:rPr>
        <w:t>PROMOVER ECONOMÍAS INCLU</w:t>
      </w:r>
      <w:r w:rsidR="009C30FE">
        <w:rPr>
          <w:rFonts w:ascii="Times New Roman" w:hAnsi="Times New Roman" w:cs="Times New Roman"/>
          <w:sz w:val="22"/>
          <w:szCs w:val="22"/>
          <w:lang w:val="es-ES"/>
        </w:rPr>
        <w:t>YENTES</w:t>
      </w:r>
      <w:r w:rsidRPr="00512F79">
        <w:rPr>
          <w:rFonts w:ascii="Times New Roman" w:hAnsi="Times New Roman" w:cs="Times New Roman"/>
          <w:sz w:val="22"/>
          <w:szCs w:val="22"/>
          <w:lang w:val="es-ES"/>
        </w:rPr>
        <w:t xml:space="preserve"> Y COMPETITIVAS</w:t>
      </w:r>
    </w:p>
    <w:p w14:paraId="4402405D" w14:textId="256C0EA5" w:rsidR="00ED78BF" w:rsidRPr="00512F79" w:rsidRDefault="00ED78BF" w:rsidP="00CB030B">
      <w:pPr>
        <w:rPr>
          <w:rFonts w:ascii="Times New Roman" w:hAnsi="Times New Roman" w:cs="Times New Roman"/>
          <w:b/>
          <w:bCs/>
          <w:sz w:val="22"/>
          <w:szCs w:val="22"/>
          <w:lang w:val="es-ES"/>
        </w:rPr>
      </w:pPr>
    </w:p>
    <w:p w14:paraId="769ABABA" w14:textId="38ABA382" w:rsidR="00F4728E" w:rsidRPr="00512F79" w:rsidRDefault="001A640B">
      <w:pPr>
        <w:ind w:firstLine="720"/>
        <w:contextualSpacing/>
        <w:jc w:val="both"/>
        <w:rPr>
          <w:rFonts w:ascii="Times New Roman" w:eastAsia="Cambria" w:hAnsi="Times New Roman" w:cs="Times New Roman"/>
          <w:color w:val="000000" w:themeColor="text1"/>
          <w:sz w:val="22"/>
          <w:szCs w:val="22"/>
          <w:lang w:val="es-ES"/>
        </w:rPr>
      </w:pPr>
      <w:r w:rsidRPr="001A640B">
        <w:rPr>
          <w:rFonts w:ascii="Times New Roman" w:eastAsia="Cambria" w:hAnsi="Times New Roman" w:cs="Times New Roman"/>
          <w:color w:val="000000" w:themeColor="text1"/>
          <w:sz w:val="22"/>
          <w:szCs w:val="22"/>
          <w:lang w:val="es-ES"/>
        </w:rPr>
        <w:t xml:space="preserve">A medida que la región realiza la transición a un entorno posterior a la pandemia, la SEDI mantiene su compromiso de promover economías inclusivas y competitivas en todo el Hemisferio. Su labor, caracterizada por ejercicios de capacitación y cooperación entre los Estados Miembros, ha acelerado la adopción de nuevas tecnologías por parte de la región y ha facilitado su adaptación a los ecosistemas digitales. Un enfoque </w:t>
      </w:r>
      <w:r w:rsidR="00ED0D45">
        <w:rPr>
          <w:rFonts w:ascii="Times New Roman" w:eastAsia="Cambria" w:hAnsi="Times New Roman" w:cs="Times New Roman"/>
          <w:color w:val="000000" w:themeColor="text1"/>
          <w:sz w:val="22"/>
          <w:szCs w:val="22"/>
          <w:lang w:val="es-ES"/>
        </w:rPr>
        <w:t>concreto</w:t>
      </w:r>
      <w:r w:rsidRPr="001A640B">
        <w:rPr>
          <w:rFonts w:ascii="Times New Roman" w:eastAsia="Cambria" w:hAnsi="Times New Roman" w:cs="Times New Roman"/>
          <w:color w:val="000000" w:themeColor="text1"/>
          <w:sz w:val="22"/>
          <w:szCs w:val="22"/>
          <w:lang w:val="es-ES"/>
        </w:rPr>
        <w:t xml:space="preserve"> en las micro</w:t>
      </w:r>
      <w:r w:rsidR="00DA6C51">
        <w:rPr>
          <w:rFonts w:ascii="Times New Roman" w:eastAsia="Cambria" w:hAnsi="Times New Roman" w:cs="Times New Roman"/>
          <w:color w:val="000000" w:themeColor="text1"/>
          <w:sz w:val="22"/>
          <w:szCs w:val="22"/>
          <w:lang w:val="es-ES"/>
        </w:rPr>
        <w:t>empresas y</w:t>
      </w:r>
      <w:r w:rsidRPr="001A640B">
        <w:rPr>
          <w:rFonts w:ascii="Times New Roman" w:eastAsia="Cambria" w:hAnsi="Times New Roman" w:cs="Times New Roman"/>
          <w:color w:val="000000" w:themeColor="text1"/>
          <w:sz w:val="22"/>
          <w:szCs w:val="22"/>
          <w:lang w:val="es-ES"/>
        </w:rPr>
        <w:t xml:space="preserve"> pequeñas y medianas empresas (MIPYME</w:t>
      </w:r>
      <w:r w:rsidR="004B2206">
        <w:rPr>
          <w:rFonts w:ascii="Times New Roman" w:eastAsia="Cambria" w:hAnsi="Times New Roman" w:cs="Times New Roman"/>
          <w:color w:val="000000" w:themeColor="text1"/>
          <w:sz w:val="22"/>
          <w:szCs w:val="22"/>
          <w:lang w:val="es-ES"/>
        </w:rPr>
        <w:t>S</w:t>
      </w:r>
      <w:r w:rsidRPr="001A640B">
        <w:rPr>
          <w:rFonts w:ascii="Times New Roman" w:eastAsia="Cambria" w:hAnsi="Times New Roman" w:cs="Times New Roman"/>
          <w:color w:val="000000" w:themeColor="text1"/>
          <w:sz w:val="22"/>
          <w:szCs w:val="22"/>
          <w:lang w:val="es-ES"/>
        </w:rPr>
        <w:t>) ha demostrado ser fundamental en la programación de la SEDI. Reconociendo que las MIPYME</w:t>
      </w:r>
      <w:r w:rsidR="004B2206">
        <w:rPr>
          <w:rFonts w:ascii="Times New Roman" w:eastAsia="Cambria" w:hAnsi="Times New Roman" w:cs="Times New Roman"/>
          <w:color w:val="000000" w:themeColor="text1"/>
          <w:sz w:val="22"/>
          <w:szCs w:val="22"/>
          <w:lang w:val="es-ES"/>
        </w:rPr>
        <w:t>S</w:t>
      </w:r>
      <w:r w:rsidRPr="001A640B">
        <w:rPr>
          <w:rFonts w:ascii="Times New Roman" w:eastAsia="Cambria" w:hAnsi="Times New Roman" w:cs="Times New Roman"/>
          <w:color w:val="000000" w:themeColor="text1"/>
          <w:sz w:val="22"/>
          <w:szCs w:val="22"/>
          <w:lang w:val="es-ES"/>
        </w:rPr>
        <w:t xml:space="preserve"> representan la columna vertebral estructural de las economías de los Estados Miembros de la OEA</w:t>
      </w:r>
      <w:r w:rsidR="00DA6C51">
        <w:rPr>
          <w:rFonts w:ascii="Times New Roman" w:eastAsia="Cambria" w:hAnsi="Times New Roman" w:cs="Times New Roman"/>
          <w:color w:val="000000" w:themeColor="text1"/>
          <w:sz w:val="22"/>
          <w:szCs w:val="22"/>
          <w:lang w:val="es-ES"/>
        </w:rPr>
        <w:t xml:space="preserve"> </w:t>
      </w:r>
      <w:r w:rsidRPr="001A640B">
        <w:rPr>
          <w:rFonts w:ascii="Times New Roman" w:eastAsia="Cambria" w:hAnsi="Times New Roman" w:cs="Times New Roman"/>
          <w:color w:val="000000" w:themeColor="text1"/>
          <w:sz w:val="22"/>
          <w:szCs w:val="22"/>
          <w:lang w:val="es-ES"/>
        </w:rPr>
        <w:t>y emplean al 75% de la mano de obra, la SEDI ha continuado su labor de digitalización para ayudar a estas empresas a aprovechar las nuevas oportunidades económicas. Las alianzas en marcha con el Gobierno de Chile, WhatsApp y pequeñas empresas de todos los Estados Miembros de la OEA también apoyan las iniciativas de crecimiento de las MIPYME</w:t>
      </w:r>
      <w:r w:rsidR="004B2206">
        <w:rPr>
          <w:rFonts w:ascii="Times New Roman" w:eastAsia="Cambria" w:hAnsi="Times New Roman" w:cs="Times New Roman"/>
          <w:color w:val="000000" w:themeColor="text1"/>
          <w:sz w:val="22"/>
          <w:szCs w:val="22"/>
          <w:lang w:val="es-ES"/>
        </w:rPr>
        <w:t>S</w:t>
      </w:r>
      <w:r w:rsidRPr="001A640B">
        <w:rPr>
          <w:rFonts w:ascii="Times New Roman" w:eastAsia="Cambria" w:hAnsi="Times New Roman" w:cs="Times New Roman"/>
          <w:color w:val="000000" w:themeColor="text1"/>
          <w:sz w:val="22"/>
          <w:szCs w:val="22"/>
          <w:lang w:val="es-ES"/>
        </w:rPr>
        <w:t xml:space="preserve">. Además, la SEDI lanzó el proyecto </w:t>
      </w:r>
      <w:r w:rsidR="00616531">
        <w:rPr>
          <w:rFonts w:ascii="Times New Roman" w:eastAsia="Cambria" w:hAnsi="Times New Roman" w:cs="Times New Roman"/>
          <w:color w:val="000000" w:themeColor="text1"/>
          <w:sz w:val="22"/>
          <w:szCs w:val="22"/>
          <w:lang w:val="es-ES"/>
        </w:rPr>
        <w:t>“</w:t>
      </w:r>
      <w:r w:rsidRPr="001A640B">
        <w:rPr>
          <w:rFonts w:ascii="Times New Roman" w:eastAsia="Cambria" w:hAnsi="Times New Roman" w:cs="Times New Roman"/>
          <w:color w:val="000000" w:themeColor="text1"/>
          <w:sz w:val="22"/>
          <w:szCs w:val="22"/>
          <w:lang w:val="es-ES"/>
        </w:rPr>
        <w:t>Mujeres económicamente</w:t>
      </w:r>
      <w:r w:rsidR="00616531">
        <w:rPr>
          <w:rFonts w:ascii="Times New Roman" w:eastAsia="Cambria" w:hAnsi="Times New Roman" w:cs="Times New Roman"/>
          <w:color w:val="000000" w:themeColor="text1"/>
          <w:sz w:val="22"/>
          <w:szCs w:val="22"/>
          <w:lang w:val="es-ES"/>
        </w:rPr>
        <w:t xml:space="preserve"> empoderadas</w:t>
      </w:r>
      <w:r w:rsidRPr="001A640B">
        <w:rPr>
          <w:rFonts w:ascii="Times New Roman" w:eastAsia="Cambria" w:hAnsi="Times New Roman" w:cs="Times New Roman"/>
          <w:color w:val="000000" w:themeColor="text1"/>
          <w:sz w:val="22"/>
          <w:szCs w:val="22"/>
          <w:lang w:val="es-ES"/>
        </w:rPr>
        <w:t xml:space="preserve"> para sociedades equitativas y resilientes</w:t>
      </w:r>
      <w:r w:rsidR="00616531">
        <w:rPr>
          <w:rFonts w:ascii="Times New Roman" w:eastAsia="Cambria" w:hAnsi="Times New Roman" w:cs="Times New Roman"/>
          <w:color w:val="000000" w:themeColor="text1"/>
          <w:sz w:val="22"/>
          <w:szCs w:val="22"/>
          <w:lang w:val="es-ES"/>
        </w:rPr>
        <w:t>”</w:t>
      </w:r>
      <w:r w:rsidRPr="001A640B">
        <w:rPr>
          <w:rFonts w:ascii="Times New Roman" w:eastAsia="Cambria" w:hAnsi="Times New Roman" w:cs="Times New Roman"/>
          <w:color w:val="000000" w:themeColor="text1"/>
          <w:sz w:val="22"/>
          <w:szCs w:val="22"/>
          <w:lang w:val="es-ES"/>
        </w:rPr>
        <w:t xml:space="preserve"> con el fin de aumentar la participación de la</w:t>
      </w:r>
      <w:r w:rsidR="00282A33">
        <w:rPr>
          <w:rFonts w:ascii="Times New Roman" w:eastAsia="Cambria" w:hAnsi="Times New Roman" w:cs="Times New Roman"/>
          <w:color w:val="000000" w:themeColor="text1"/>
          <w:sz w:val="22"/>
          <w:szCs w:val="22"/>
          <w:lang w:val="es-ES"/>
        </w:rPr>
        <w:t xml:space="preserve"> mujer en</w:t>
      </w:r>
      <w:r w:rsidRPr="001A640B">
        <w:rPr>
          <w:rFonts w:ascii="Times New Roman" w:eastAsia="Cambria" w:hAnsi="Times New Roman" w:cs="Times New Roman"/>
          <w:color w:val="000000" w:themeColor="text1"/>
          <w:sz w:val="22"/>
          <w:szCs w:val="22"/>
          <w:lang w:val="es-ES"/>
        </w:rPr>
        <w:t xml:space="preserve"> la creciente economía digital de la región.</w:t>
      </w:r>
    </w:p>
    <w:p w14:paraId="3B13FD7D" w14:textId="08F0672D" w:rsidR="00ED7A8E" w:rsidRPr="00512F79" w:rsidRDefault="00ED7A8E" w:rsidP="00B93932">
      <w:pPr>
        <w:contextualSpacing/>
        <w:jc w:val="both"/>
        <w:rPr>
          <w:rFonts w:ascii="Times New Roman" w:eastAsia="Cambria" w:hAnsi="Times New Roman" w:cs="Times New Roman"/>
          <w:color w:val="000000" w:themeColor="text1"/>
          <w:sz w:val="22"/>
          <w:szCs w:val="22"/>
          <w:lang w:val="es-ES"/>
        </w:rPr>
      </w:pPr>
    </w:p>
    <w:p w14:paraId="28FA57ED" w14:textId="48CF5E17" w:rsidR="00F4728E" w:rsidRPr="00512F79" w:rsidRDefault="00282A33">
      <w:pPr>
        <w:ind w:firstLine="720"/>
        <w:contextualSpacing/>
        <w:jc w:val="both"/>
        <w:rPr>
          <w:rFonts w:ascii="Times New Roman" w:eastAsia="Cambria" w:hAnsi="Times New Roman" w:cs="Times New Roman"/>
          <w:color w:val="000000" w:themeColor="text1"/>
          <w:sz w:val="22"/>
          <w:szCs w:val="22"/>
          <w:lang w:val="es-ES"/>
        </w:rPr>
      </w:pPr>
      <w:r w:rsidRPr="00282A33">
        <w:rPr>
          <w:rFonts w:ascii="Times New Roman" w:eastAsia="Cambria" w:hAnsi="Times New Roman" w:cs="Times New Roman"/>
          <w:color w:val="000000" w:themeColor="text1"/>
          <w:sz w:val="22"/>
          <w:szCs w:val="22"/>
          <w:lang w:val="es-ES"/>
        </w:rPr>
        <w:t xml:space="preserve">Existen otras iniciativas que apoyan el intercambio de conocimientos y la colaboración intersectorial, especialmente en materia de recuperación económica inclusiva, desarrollo económico y transformación digital. La continua cooperación con la Comisión Interamericana de Ciencia y Tecnología (COMCYT) ha producido importantes logros en la preparación económica inclusiva para las poblaciones jóvenes y, a menudo, en situación de riesgo </w:t>
      </w:r>
      <w:r w:rsidR="00773A84">
        <w:rPr>
          <w:rFonts w:ascii="Times New Roman" w:eastAsia="Cambria" w:hAnsi="Times New Roman" w:cs="Times New Roman"/>
          <w:color w:val="000000" w:themeColor="text1"/>
          <w:sz w:val="22"/>
          <w:szCs w:val="22"/>
          <w:lang w:val="es-ES"/>
        </w:rPr>
        <w:t>en todas las Américas.</w:t>
      </w:r>
      <w:r w:rsidRPr="00282A33">
        <w:rPr>
          <w:rFonts w:ascii="Times New Roman" w:eastAsia="Cambria" w:hAnsi="Times New Roman" w:cs="Times New Roman"/>
          <w:color w:val="000000" w:themeColor="text1"/>
          <w:sz w:val="22"/>
          <w:szCs w:val="22"/>
          <w:lang w:val="es-ES"/>
        </w:rPr>
        <w:t xml:space="preserve"> Además, el trabajo de la SEDI que consolida </w:t>
      </w:r>
      <w:r w:rsidR="00773A84">
        <w:rPr>
          <w:rFonts w:ascii="Times New Roman" w:eastAsia="Cambria" w:hAnsi="Times New Roman" w:cs="Times New Roman"/>
          <w:color w:val="000000" w:themeColor="text1"/>
          <w:sz w:val="22"/>
          <w:szCs w:val="22"/>
          <w:lang w:val="es-ES"/>
        </w:rPr>
        <w:t>el Diálogo sobre Turismo Indígena en las Américas</w:t>
      </w:r>
      <w:r w:rsidRPr="00282A33">
        <w:rPr>
          <w:rFonts w:ascii="Times New Roman" w:eastAsia="Cambria" w:hAnsi="Times New Roman" w:cs="Times New Roman"/>
          <w:color w:val="000000" w:themeColor="text1"/>
          <w:sz w:val="22"/>
          <w:szCs w:val="22"/>
          <w:lang w:val="es-ES"/>
        </w:rPr>
        <w:t xml:space="preserve"> (ITCA) sigue siendo un </w:t>
      </w:r>
      <w:r w:rsidR="00177E01">
        <w:rPr>
          <w:rFonts w:ascii="Times New Roman" w:eastAsia="Cambria" w:hAnsi="Times New Roman" w:cs="Times New Roman"/>
          <w:color w:val="000000" w:themeColor="text1"/>
          <w:sz w:val="22"/>
          <w:szCs w:val="22"/>
          <w:lang w:val="es-ES"/>
        </w:rPr>
        <w:t>elemento</w:t>
      </w:r>
      <w:r w:rsidRPr="00282A33">
        <w:rPr>
          <w:rFonts w:ascii="Times New Roman" w:eastAsia="Cambria" w:hAnsi="Times New Roman" w:cs="Times New Roman"/>
          <w:color w:val="000000" w:themeColor="text1"/>
          <w:sz w:val="22"/>
          <w:szCs w:val="22"/>
          <w:lang w:val="es-ES"/>
        </w:rPr>
        <w:t xml:space="preserve"> importante </w:t>
      </w:r>
      <w:r w:rsidR="00773A84">
        <w:rPr>
          <w:rFonts w:ascii="Times New Roman" w:eastAsia="Cambria" w:hAnsi="Times New Roman" w:cs="Times New Roman"/>
          <w:color w:val="000000" w:themeColor="text1"/>
          <w:sz w:val="22"/>
          <w:szCs w:val="22"/>
          <w:lang w:val="es-ES"/>
        </w:rPr>
        <w:t>de la labor</w:t>
      </w:r>
      <w:r w:rsidRPr="00282A33">
        <w:rPr>
          <w:rFonts w:ascii="Times New Roman" w:eastAsia="Cambria" w:hAnsi="Times New Roman" w:cs="Times New Roman"/>
          <w:color w:val="000000" w:themeColor="text1"/>
          <w:sz w:val="22"/>
          <w:szCs w:val="22"/>
          <w:lang w:val="es-ES"/>
        </w:rPr>
        <w:t xml:space="preserve"> de otros socios estratégicos.</w:t>
      </w:r>
      <w:r w:rsidR="00392C24" w:rsidRPr="00512F79">
        <w:rPr>
          <w:rFonts w:ascii="Times New Roman" w:hAnsi="Times New Roman" w:cs="Times New Roman"/>
          <w:sz w:val="22"/>
          <w:szCs w:val="22"/>
          <w:lang w:val="es-ES"/>
        </w:rPr>
        <w:t xml:space="preserve"> </w:t>
      </w:r>
    </w:p>
    <w:p w14:paraId="6C504B9F" w14:textId="77777777" w:rsidR="00E01782" w:rsidRPr="00512F79" w:rsidRDefault="00E01782" w:rsidP="00B93932">
      <w:pPr>
        <w:contextualSpacing/>
        <w:jc w:val="both"/>
        <w:rPr>
          <w:rFonts w:ascii="Times New Roman" w:eastAsia="Cambria" w:hAnsi="Times New Roman" w:cs="Times New Roman"/>
          <w:b/>
          <w:bCs/>
          <w:color w:val="000000" w:themeColor="text1"/>
          <w:sz w:val="22"/>
          <w:szCs w:val="22"/>
          <w:lang w:val="es-ES"/>
        </w:rPr>
      </w:pPr>
    </w:p>
    <w:p w14:paraId="270BD75F" w14:textId="77777777" w:rsidR="00F4728E" w:rsidRPr="00512F79" w:rsidRDefault="00967695">
      <w:pPr>
        <w:contextualSpacing/>
        <w:rPr>
          <w:rFonts w:ascii="Times New Roman" w:eastAsia="Cambria" w:hAnsi="Times New Roman" w:cs="Times New Roman"/>
          <w:b/>
          <w:bCs/>
          <w:color w:val="000000" w:themeColor="text1"/>
          <w:sz w:val="22"/>
          <w:szCs w:val="22"/>
          <w:u w:val="single"/>
          <w:lang w:val="es-ES"/>
        </w:rPr>
      </w:pPr>
      <w:r w:rsidRPr="00512F79">
        <w:rPr>
          <w:rFonts w:ascii="Times New Roman" w:eastAsia="Cambria" w:hAnsi="Times New Roman" w:cs="Times New Roman"/>
          <w:b/>
          <w:bCs/>
          <w:color w:val="000000" w:themeColor="text1"/>
          <w:sz w:val="22"/>
          <w:szCs w:val="22"/>
          <w:u w:val="single"/>
          <w:lang w:val="es-ES"/>
        </w:rPr>
        <w:t>OBJETIVO 1.1</w:t>
      </w:r>
    </w:p>
    <w:p w14:paraId="4685982C" w14:textId="77777777" w:rsidR="0027642A" w:rsidRPr="00512F79" w:rsidRDefault="0027642A" w:rsidP="00CB030B">
      <w:pPr>
        <w:contextualSpacing/>
        <w:rPr>
          <w:rFonts w:ascii="Times New Roman" w:eastAsia="Cambria" w:hAnsi="Times New Roman" w:cs="Times New Roman"/>
          <w:b/>
          <w:bCs/>
          <w:color w:val="000000" w:themeColor="text1"/>
          <w:sz w:val="22"/>
          <w:szCs w:val="22"/>
          <w:u w:val="single"/>
          <w:lang w:val="es-ES"/>
        </w:rPr>
      </w:pPr>
    </w:p>
    <w:p w14:paraId="0C521ACD" w14:textId="06540FCF" w:rsidR="00F4728E" w:rsidRPr="00AE16D5" w:rsidRDefault="00AE16D5">
      <w:pPr>
        <w:ind w:firstLine="720"/>
        <w:contextualSpacing/>
        <w:jc w:val="both"/>
        <w:rPr>
          <w:rFonts w:ascii="Times New Roman" w:eastAsia="Cambria" w:hAnsi="Times New Roman" w:cs="Times New Roman"/>
          <w:color w:val="000000" w:themeColor="text1"/>
          <w:sz w:val="22"/>
          <w:szCs w:val="22"/>
          <w:lang w:val="es-ES"/>
        </w:rPr>
      </w:pPr>
      <w:r w:rsidRPr="00AE16D5">
        <w:rPr>
          <w:rFonts w:ascii="Times New Roman" w:hAnsi="Times New Roman" w:cs="Times New Roman"/>
          <w:noProof/>
          <w:sz w:val="22"/>
          <w:szCs w:val="22"/>
          <w:lang w:val="es-ES"/>
        </w:rPr>
        <w:t>Aumentar la capacidad de las instituciones en los Estados Miembros que apoyan la implementación de políticas y programas que fomenten la productividad, el emprendimiento y la innovación e internacionalización de las micro</w:t>
      </w:r>
      <w:r w:rsidR="00DA6C51">
        <w:rPr>
          <w:rFonts w:ascii="Times New Roman" w:hAnsi="Times New Roman" w:cs="Times New Roman"/>
          <w:noProof/>
          <w:sz w:val="22"/>
          <w:szCs w:val="22"/>
          <w:lang w:val="es-ES"/>
        </w:rPr>
        <w:t>empresas y</w:t>
      </w:r>
      <w:r w:rsidR="00716DC3">
        <w:rPr>
          <w:rFonts w:ascii="Times New Roman" w:hAnsi="Times New Roman" w:cs="Times New Roman"/>
          <w:noProof/>
          <w:sz w:val="22"/>
          <w:szCs w:val="22"/>
          <w:lang w:val="es-ES"/>
        </w:rPr>
        <w:t xml:space="preserve"> las</w:t>
      </w:r>
      <w:r w:rsidRPr="00AE16D5">
        <w:rPr>
          <w:rFonts w:ascii="Times New Roman" w:hAnsi="Times New Roman" w:cs="Times New Roman"/>
          <w:noProof/>
          <w:sz w:val="22"/>
          <w:szCs w:val="22"/>
          <w:lang w:val="es-ES"/>
        </w:rPr>
        <w:t xml:space="preserve"> pequeñas y medianas empresas (MIP</w:t>
      </w:r>
      <w:r w:rsidR="00DA6C51">
        <w:rPr>
          <w:rFonts w:ascii="Times New Roman" w:hAnsi="Times New Roman" w:cs="Times New Roman"/>
          <w:noProof/>
          <w:sz w:val="22"/>
          <w:szCs w:val="22"/>
          <w:lang w:val="es-ES"/>
        </w:rPr>
        <w:t>Y</w:t>
      </w:r>
      <w:r w:rsidRPr="00AE16D5">
        <w:rPr>
          <w:rFonts w:ascii="Times New Roman" w:hAnsi="Times New Roman" w:cs="Times New Roman"/>
          <w:noProof/>
          <w:sz w:val="22"/>
          <w:szCs w:val="22"/>
          <w:lang w:val="es-ES"/>
        </w:rPr>
        <w:t>ME</w:t>
      </w:r>
      <w:r w:rsidR="00F84F01">
        <w:rPr>
          <w:rFonts w:ascii="Times New Roman" w:hAnsi="Times New Roman" w:cs="Times New Roman"/>
          <w:noProof/>
          <w:sz w:val="22"/>
          <w:szCs w:val="22"/>
          <w:lang w:val="es-ES"/>
        </w:rPr>
        <w:t>S</w:t>
      </w:r>
      <w:r w:rsidRPr="00AE16D5">
        <w:rPr>
          <w:rFonts w:ascii="Times New Roman" w:hAnsi="Times New Roman" w:cs="Times New Roman"/>
          <w:noProof/>
          <w:sz w:val="22"/>
          <w:szCs w:val="22"/>
          <w:lang w:val="es-ES"/>
        </w:rPr>
        <w:t>), así como de las cooperativas y otras unidades de producción.</w:t>
      </w:r>
      <w:r w:rsidR="00967695" w:rsidRPr="00AE16D5">
        <w:rPr>
          <w:rFonts w:ascii="Times New Roman" w:eastAsia="Cambria" w:hAnsi="Times New Roman" w:cs="Times New Roman"/>
          <w:color w:val="000000" w:themeColor="text1"/>
          <w:sz w:val="22"/>
          <w:szCs w:val="22"/>
          <w:lang w:val="es-ES"/>
        </w:rPr>
        <w:t xml:space="preserve"> </w:t>
      </w:r>
    </w:p>
    <w:p w14:paraId="7B93417B" w14:textId="77777777" w:rsidR="00ED78BF" w:rsidRPr="00AE16D5" w:rsidRDefault="00ED78BF" w:rsidP="00CB030B">
      <w:pPr>
        <w:jc w:val="both"/>
        <w:rPr>
          <w:rFonts w:ascii="Times New Roman" w:hAnsi="Times New Roman" w:cs="Times New Roman"/>
          <w:iCs/>
          <w:color w:val="000000" w:themeColor="text1"/>
          <w:sz w:val="22"/>
          <w:szCs w:val="22"/>
          <w:lang w:val="es-ES"/>
        </w:rPr>
      </w:pPr>
    </w:p>
    <w:p w14:paraId="44DAE24B" w14:textId="2B111CB8" w:rsidR="00F4728E" w:rsidRPr="00512F79" w:rsidRDefault="00967695">
      <w:pPr>
        <w:ind w:firstLine="720"/>
        <w:jc w:val="both"/>
        <w:rPr>
          <w:rFonts w:ascii="Times New Roman" w:hAnsi="Times New Roman" w:cs="Times New Roman"/>
          <w:b/>
          <w:bCs/>
          <w:color w:val="000000"/>
          <w:sz w:val="22"/>
          <w:szCs w:val="22"/>
          <w:lang w:val="es-ES"/>
        </w:rPr>
      </w:pPr>
      <w:r w:rsidRPr="00512F79">
        <w:rPr>
          <w:rFonts w:ascii="Times New Roman" w:hAnsi="Times New Roman" w:cs="Times New Roman"/>
          <w:b/>
          <w:bCs/>
          <w:color w:val="000000"/>
          <w:sz w:val="22"/>
          <w:szCs w:val="22"/>
          <w:lang w:val="es-ES"/>
        </w:rPr>
        <w:t xml:space="preserve">Fortalecimiento de las </w:t>
      </w:r>
      <w:r w:rsidR="00DA6C51">
        <w:rPr>
          <w:rFonts w:ascii="Times New Roman" w:hAnsi="Times New Roman" w:cs="Times New Roman"/>
          <w:b/>
          <w:bCs/>
          <w:color w:val="000000"/>
          <w:sz w:val="22"/>
          <w:szCs w:val="22"/>
          <w:lang w:val="es-ES"/>
        </w:rPr>
        <w:t>MI</w:t>
      </w:r>
      <w:r w:rsidRPr="00512F79">
        <w:rPr>
          <w:rFonts w:ascii="Times New Roman" w:hAnsi="Times New Roman" w:cs="Times New Roman"/>
          <w:b/>
          <w:bCs/>
          <w:color w:val="000000"/>
          <w:sz w:val="22"/>
          <w:szCs w:val="22"/>
          <w:lang w:val="es-ES"/>
        </w:rPr>
        <w:t>PYME y cooperación regional</w:t>
      </w:r>
    </w:p>
    <w:p w14:paraId="5964105A" w14:textId="77777777" w:rsidR="00ED78BF" w:rsidRPr="00512F79" w:rsidRDefault="00ED78BF" w:rsidP="00CB030B">
      <w:pPr>
        <w:jc w:val="both"/>
        <w:rPr>
          <w:rFonts w:ascii="Times New Roman" w:hAnsi="Times New Roman" w:cs="Times New Roman"/>
          <w:b/>
          <w:bCs/>
          <w:color w:val="000000"/>
          <w:sz w:val="22"/>
          <w:szCs w:val="22"/>
          <w:lang w:val="es-ES"/>
        </w:rPr>
      </w:pPr>
    </w:p>
    <w:p w14:paraId="1C283D73" w14:textId="1239B35C" w:rsidR="00F4728E" w:rsidRPr="00512F79" w:rsidRDefault="00967695">
      <w:pPr>
        <w:pStyle w:val="ListParagraph"/>
        <w:numPr>
          <w:ilvl w:val="0"/>
          <w:numId w:val="6"/>
        </w:numPr>
        <w:ind w:left="1440" w:hanging="720"/>
        <w:contextualSpacing/>
        <w:jc w:val="both"/>
        <w:rPr>
          <w:color w:val="000000" w:themeColor="text1"/>
          <w:sz w:val="22"/>
          <w:szCs w:val="22"/>
          <w:lang w:val="es-ES"/>
        </w:rPr>
      </w:pPr>
      <w:r w:rsidRPr="00512F79">
        <w:rPr>
          <w:color w:val="000000" w:themeColor="text1"/>
          <w:sz w:val="22"/>
          <w:szCs w:val="22"/>
          <w:lang w:val="es-ES"/>
        </w:rPr>
        <w:t xml:space="preserve">En </w:t>
      </w:r>
      <w:r w:rsidR="000A2918">
        <w:rPr>
          <w:color w:val="000000" w:themeColor="text1"/>
          <w:sz w:val="22"/>
          <w:szCs w:val="22"/>
          <w:lang w:val="es-ES"/>
        </w:rPr>
        <w:t>colaboración</w:t>
      </w:r>
      <w:r w:rsidRPr="00512F79">
        <w:rPr>
          <w:color w:val="000000" w:themeColor="text1"/>
          <w:sz w:val="22"/>
          <w:szCs w:val="22"/>
          <w:lang w:val="es-ES"/>
        </w:rPr>
        <w:t xml:space="preserve"> con el organismo del Gobierno de Chile que presta asistencia a las microempresas y pequeñas empresas (SERCOTEC), se impartieron cuatro seminarios </w:t>
      </w:r>
      <w:r w:rsidR="00DA6C51" w:rsidRPr="00512F79">
        <w:rPr>
          <w:color w:val="000000" w:themeColor="text1"/>
          <w:sz w:val="22"/>
          <w:szCs w:val="22"/>
          <w:lang w:val="es-ES"/>
        </w:rPr>
        <w:t>webs personalizados</w:t>
      </w:r>
      <w:r w:rsidRPr="00512F79">
        <w:rPr>
          <w:color w:val="000000" w:themeColor="text1"/>
          <w:sz w:val="22"/>
          <w:szCs w:val="22"/>
          <w:lang w:val="es-ES"/>
        </w:rPr>
        <w:t xml:space="preserve"> (instituciones de apoyo a las MIPYME</w:t>
      </w:r>
      <w:r w:rsidR="00F84F01">
        <w:rPr>
          <w:color w:val="000000" w:themeColor="text1"/>
          <w:sz w:val="22"/>
          <w:szCs w:val="22"/>
          <w:lang w:val="es-ES"/>
        </w:rPr>
        <w:t>S</w:t>
      </w:r>
      <w:r w:rsidRPr="00512F79">
        <w:rPr>
          <w:color w:val="000000" w:themeColor="text1"/>
          <w:sz w:val="22"/>
          <w:szCs w:val="22"/>
          <w:lang w:val="es-ES"/>
        </w:rPr>
        <w:t>, ecosistema empresarial chileno, comercio local y comercio electrónico) en el marco del Acuerdo de Cooperación entre la OEA y el Gobierno de Perú para apoyar a las MIPYME</w:t>
      </w:r>
      <w:r w:rsidR="00F84F01">
        <w:rPr>
          <w:color w:val="000000" w:themeColor="text1"/>
          <w:sz w:val="22"/>
          <w:szCs w:val="22"/>
          <w:lang w:val="es-ES"/>
        </w:rPr>
        <w:t>S</w:t>
      </w:r>
      <w:r w:rsidRPr="00512F79">
        <w:rPr>
          <w:color w:val="000000" w:themeColor="text1"/>
          <w:sz w:val="22"/>
          <w:szCs w:val="22"/>
          <w:lang w:val="es-ES"/>
        </w:rPr>
        <w:t>.</w:t>
      </w:r>
    </w:p>
    <w:p w14:paraId="5ADD12B1" w14:textId="77777777" w:rsidR="00ED78BF" w:rsidRPr="00512F79" w:rsidRDefault="00ED78BF" w:rsidP="00CB030B">
      <w:pPr>
        <w:pStyle w:val="paragraph"/>
        <w:spacing w:before="0" w:beforeAutospacing="0" w:after="0" w:afterAutospacing="0"/>
        <w:ind w:left="1440" w:hanging="720"/>
        <w:jc w:val="both"/>
        <w:textAlignment w:val="baseline"/>
        <w:rPr>
          <w:color w:val="000000"/>
          <w:sz w:val="22"/>
          <w:szCs w:val="22"/>
          <w:lang w:val="es-ES"/>
        </w:rPr>
      </w:pPr>
    </w:p>
    <w:p w14:paraId="4ECA3553" w14:textId="77777777" w:rsidR="00F4728E" w:rsidRPr="00512F79" w:rsidRDefault="00967695">
      <w:pPr>
        <w:pStyle w:val="paragraph"/>
        <w:spacing w:before="0" w:beforeAutospacing="0" w:after="0" w:afterAutospacing="0"/>
        <w:ind w:left="1440" w:hanging="720"/>
        <w:jc w:val="both"/>
        <w:textAlignment w:val="baseline"/>
        <w:rPr>
          <w:b/>
          <w:bCs/>
          <w:color w:val="000000"/>
          <w:sz w:val="22"/>
          <w:szCs w:val="22"/>
          <w:lang w:val="es-ES"/>
        </w:rPr>
      </w:pPr>
      <w:r w:rsidRPr="00512F79">
        <w:rPr>
          <w:b/>
          <w:bCs/>
          <w:color w:val="000000"/>
          <w:sz w:val="22"/>
          <w:szCs w:val="22"/>
          <w:lang w:val="es-ES"/>
        </w:rPr>
        <w:t>Programa de digitalización de MIPYME de la OEA</w:t>
      </w:r>
    </w:p>
    <w:p w14:paraId="4E6BA281" w14:textId="77777777" w:rsidR="00ED78BF" w:rsidRPr="00512F79" w:rsidRDefault="00ED78BF" w:rsidP="00CB030B">
      <w:pPr>
        <w:pStyle w:val="paragraph"/>
        <w:spacing w:before="0" w:beforeAutospacing="0" w:after="0" w:afterAutospacing="0"/>
        <w:ind w:left="1440" w:hanging="720"/>
        <w:jc w:val="both"/>
        <w:textAlignment w:val="baseline"/>
        <w:rPr>
          <w:b/>
          <w:bCs/>
          <w:color w:val="000000"/>
          <w:sz w:val="22"/>
          <w:szCs w:val="22"/>
          <w:lang w:val="es-ES"/>
        </w:rPr>
      </w:pPr>
    </w:p>
    <w:p w14:paraId="3E6C951B" w14:textId="59D88723" w:rsidR="00F4728E" w:rsidRPr="00512F79" w:rsidRDefault="00967695">
      <w:pPr>
        <w:pStyle w:val="ListParagraph"/>
        <w:numPr>
          <w:ilvl w:val="0"/>
          <w:numId w:val="6"/>
        </w:numPr>
        <w:ind w:left="1440" w:hanging="720"/>
        <w:contextualSpacing/>
        <w:jc w:val="both"/>
        <w:rPr>
          <w:color w:val="000000" w:themeColor="text1"/>
          <w:sz w:val="22"/>
          <w:szCs w:val="22"/>
          <w:lang w:val="es-ES"/>
        </w:rPr>
      </w:pPr>
      <w:r w:rsidRPr="00512F79">
        <w:rPr>
          <w:color w:val="000000" w:themeColor="text1"/>
          <w:sz w:val="22"/>
          <w:szCs w:val="22"/>
          <w:lang w:val="es-ES"/>
        </w:rPr>
        <w:t xml:space="preserve">En el marco de la alianza </w:t>
      </w:r>
      <w:r w:rsidR="00DA6C51">
        <w:rPr>
          <w:color w:val="000000" w:themeColor="text1"/>
          <w:sz w:val="22"/>
          <w:szCs w:val="22"/>
          <w:lang w:val="es-ES"/>
        </w:rPr>
        <w:t xml:space="preserve">entre la OEA y </w:t>
      </w:r>
      <w:r w:rsidRPr="00512F79">
        <w:rPr>
          <w:color w:val="000000" w:themeColor="text1"/>
          <w:sz w:val="22"/>
          <w:szCs w:val="22"/>
          <w:lang w:val="es-ES"/>
        </w:rPr>
        <w:t>WhatsApp</w:t>
      </w:r>
      <w:r w:rsidR="00DA6C51">
        <w:rPr>
          <w:color w:val="000000" w:themeColor="text1"/>
          <w:sz w:val="22"/>
          <w:szCs w:val="22"/>
          <w:lang w:val="es-ES"/>
        </w:rPr>
        <w:t xml:space="preserve"> Business</w:t>
      </w:r>
      <w:r w:rsidRPr="00512F79">
        <w:rPr>
          <w:color w:val="000000" w:themeColor="text1"/>
          <w:sz w:val="22"/>
          <w:szCs w:val="22"/>
          <w:lang w:val="es-ES"/>
        </w:rPr>
        <w:t xml:space="preserve"> para </w:t>
      </w:r>
      <w:r w:rsidR="00DA6C51">
        <w:rPr>
          <w:color w:val="000000" w:themeColor="text1"/>
          <w:sz w:val="22"/>
          <w:szCs w:val="22"/>
          <w:lang w:val="es-ES"/>
        </w:rPr>
        <w:t xml:space="preserve">las </w:t>
      </w:r>
      <w:r w:rsidRPr="00512F79">
        <w:rPr>
          <w:color w:val="000000" w:themeColor="text1"/>
          <w:sz w:val="22"/>
          <w:szCs w:val="22"/>
          <w:lang w:val="es-ES"/>
        </w:rPr>
        <w:t>MIPYMES, WhatsApp ofreció colaborar con la OEA para impartir una serie de sesiones de capacitación a autoridades y otros funcionarios encargados de apoyar el desarrollo del sector MIPYME</w:t>
      </w:r>
      <w:r w:rsidR="00F84F01">
        <w:rPr>
          <w:color w:val="000000" w:themeColor="text1"/>
          <w:sz w:val="22"/>
          <w:szCs w:val="22"/>
          <w:lang w:val="es-ES"/>
        </w:rPr>
        <w:t>S</w:t>
      </w:r>
      <w:r w:rsidRPr="00512F79">
        <w:rPr>
          <w:color w:val="000000" w:themeColor="text1"/>
          <w:sz w:val="22"/>
          <w:szCs w:val="22"/>
          <w:lang w:val="es-ES"/>
        </w:rPr>
        <w:t xml:space="preserve"> en el uso de las herramientas de WhatsApp Business para permitir a las MIPYME</w:t>
      </w:r>
      <w:r w:rsidR="00F84F01">
        <w:rPr>
          <w:color w:val="000000" w:themeColor="text1"/>
          <w:sz w:val="22"/>
          <w:szCs w:val="22"/>
          <w:lang w:val="es-ES"/>
        </w:rPr>
        <w:t>S</w:t>
      </w:r>
      <w:r w:rsidRPr="00512F79">
        <w:rPr>
          <w:color w:val="000000" w:themeColor="text1"/>
          <w:sz w:val="22"/>
          <w:szCs w:val="22"/>
          <w:lang w:val="es-ES"/>
        </w:rPr>
        <w:t xml:space="preserve"> conectarse directamente con los clientes y llegar a nuevos mercados con una tecnología gratuita, sencilla, </w:t>
      </w:r>
      <w:r w:rsidR="00E01782" w:rsidRPr="00512F79">
        <w:rPr>
          <w:color w:val="000000" w:themeColor="text1"/>
          <w:sz w:val="22"/>
          <w:szCs w:val="22"/>
          <w:lang w:val="es-ES"/>
        </w:rPr>
        <w:t xml:space="preserve">confiable </w:t>
      </w:r>
      <w:r w:rsidRPr="00512F79">
        <w:rPr>
          <w:color w:val="000000" w:themeColor="text1"/>
          <w:sz w:val="22"/>
          <w:szCs w:val="22"/>
          <w:lang w:val="es-ES"/>
        </w:rPr>
        <w:t>y segura.</w:t>
      </w:r>
    </w:p>
    <w:p w14:paraId="26BF90EC" w14:textId="4BA686E1" w:rsidR="0074320E" w:rsidRPr="00512F79" w:rsidRDefault="0074320E" w:rsidP="00CB030B">
      <w:pPr>
        <w:ind w:left="1440" w:hanging="720"/>
        <w:jc w:val="both"/>
        <w:rPr>
          <w:rFonts w:ascii="Times New Roman" w:hAnsi="Times New Roman" w:cs="Times New Roman"/>
          <w:color w:val="000000"/>
          <w:sz w:val="22"/>
          <w:szCs w:val="22"/>
          <w:lang w:val="es-ES"/>
        </w:rPr>
      </w:pPr>
    </w:p>
    <w:p w14:paraId="66A1127C" w14:textId="7E57141E" w:rsidR="00F4728E" w:rsidRPr="00F1200E" w:rsidRDefault="00967695">
      <w:pPr>
        <w:ind w:left="1440" w:hanging="720"/>
        <w:jc w:val="both"/>
        <w:rPr>
          <w:rFonts w:ascii="Times New Roman" w:hAnsi="Times New Roman" w:cs="Times New Roman"/>
          <w:b/>
          <w:bCs/>
          <w:color w:val="000000"/>
          <w:sz w:val="22"/>
          <w:szCs w:val="22"/>
          <w:lang w:val="es-ES"/>
        </w:rPr>
      </w:pPr>
      <w:r w:rsidRPr="00F1200E">
        <w:rPr>
          <w:rFonts w:ascii="Times New Roman" w:hAnsi="Times New Roman" w:cs="Times New Roman"/>
          <w:b/>
          <w:bCs/>
          <w:color w:val="000000"/>
          <w:sz w:val="22"/>
          <w:szCs w:val="22"/>
          <w:lang w:val="es-ES"/>
        </w:rPr>
        <w:t>Capacitación económica de la</w:t>
      </w:r>
      <w:r w:rsidR="00F1200E" w:rsidRPr="00F1200E">
        <w:rPr>
          <w:rFonts w:ascii="Times New Roman" w:hAnsi="Times New Roman" w:cs="Times New Roman"/>
          <w:b/>
          <w:bCs/>
          <w:color w:val="000000"/>
          <w:sz w:val="22"/>
          <w:szCs w:val="22"/>
          <w:lang w:val="es-ES"/>
        </w:rPr>
        <w:t xml:space="preserve"> </w:t>
      </w:r>
      <w:r w:rsidR="00F1200E">
        <w:rPr>
          <w:rFonts w:ascii="Times New Roman" w:hAnsi="Times New Roman" w:cs="Times New Roman"/>
          <w:b/>
          <w:bCs/>
          <w:color w:val="000000"/>
          <w:sz w:val="22"/>
          <w:szCs w:val="22"/>
          <w:lang w:val="es-ES"/>
        </w:rPr>
        <w:t>mujer</w:t>
      </w:r>
    </w:p>
    <w:p w14:paraId="6B66BCA5" w14:textId="77777777" w:rsidR="00ED78BF" w:rsidRPr="00F1200E" w:rsidRDefault="00ED78BF" w:rsidP="00CB030B">
      <w:pPr>
        <w:jc w:val="both"/>
        <w:rPr>
          <w:rFonts w:ascii="Times New Roman" w:hAnsi="Times New Roman" w:cs="Times New Roman"/>
          <w:b/>
          <w:bCs/>
          <w:color w:val="000000"/>
          <w:sz w:val="22"/>
          <w:szCs w:val="22"/>
          <w:lang w:val="es-ES"/>
        </w:rPr>
      </w:pPr>
    </w:p>
    <w:p w14:paraId="7E633304" w14:textId="07D988D4" w:rsidR="00ED78BF" w:rsidRDefault="00323677" w:rsidP="00426895">
      <w:pPr>
        <w:pStyle w:val="ListParagraph"/>
        <w:numPr>
          <w:ilvl w:val="0"/>
          <w:numId w:val="6"/>
        </w:numPr>
        <w:ind w:left="1440" w:hanging="720"/>
        <w:contextualSpacing/>
        <w:jc w:val="both"/>
        <w:rPr>
          <w:color w:val="000000" w:themeColor="text1"/>
          <w:sz w:val="22"/>
          <w:szCs w:val="22"/>
          <w:lang w:val="es-ES"/>
        </w:rPr>
      </w:pPr>
      <w:r>
        <w:rPr>
          <w:color w:val="000000" w:themeColor="text1"/>
          <w:sz w:val="22"/>
          <w:szCs w:val="22"/>
          <w:lang w:val="es-ES"/>
        </w:rPr>
        <w:t>Se p</w:t>
      </w:r>
      <w:r w:rsidR="00967695" w:rsidRPr="00A02402">
        <w:rPr>
          <w:color w:val="000000" w:themeColor="text1"/>
          <w:sz w:val="22"/>
          <w:szCs w:val="22"/>
          <w:lang w:val="es-ES"/>
        </w:rPr>
        <w:t xml:space="preserve">uso en marcha el proyecto </w:t>
      </w:r>
      <w:r w:rsidR="00967695" w:rsidRPr="00A02402">
        <w:rPr>
          <w:b/>
          <w:bCs/>
          <w:color w:val="000000" w:themeColor="text1"/>
          <w:sz w:val="22"/>
          <w:szCs w:val="22"/>
          <w:lang w:val="es-ES"/>
        </w:rPr>
        <w:t xml:space="preserve">"Mujeres económicamente </w:t>
      </w:r>
      <w:r w:rsidR="002C024C" w:rsidRPr="00A02402">
        <w:rPr>
          <w:b/>
          <w:bCs/>
          <w:color w:val="000000" w:themeColor="text1"/>
          <w:sz w:val="22"/>
          <w:szCs w:val="22"/>
          <w:lang w:val="es-ES"/>
        </w:rPr>
        <w:t xml:space="preserve">empoderadas </w:t>
      </w:r>
      <w:r w:rsidR="00967695" w:rsidRPr="00A02402">
        <w:rPr>
          <w:b/>
          <w:bCs/>
          <w:color w:val="000000" w:themeColor="text1"/>
          <w:sz w:val="22"/>
          <w:szCs w:val="22"/>
          <w:lang w:val="es-ES"/>
        </w:rPr>
        <w:t xml:space="preserve">para sociedades equitativas y resilientes" </w:t>
      </w:r>
      <w:r w:rsidR="00967695" w:rsidRPr="00A02402">
        <w:rPr>
          <w:color w:val="000000" w:themeColor="text1"/>
          <w:sz w:val="22"/>
          <w:szCs w:val="22"/>
          <w:lang w:val="es-ES"/>
        </w:rPr>
        <w:t xml:space="preserve">en </w:t>
      </w:r>
      <w:r w:rsidR="00E01782" w:rsidRPr="00A02402">
        <w:rPr>
          <w:color w:val="000000" w:themeColor="text1"/>
          <w:sz w:val="22"/>
          <w:szCs w:val="22"/>
          <w:lang w:val="es-ES"/>
        </w:rPr>
        <w:t xml:space="preserve">tres </w:t>
      </w:r>
      <w:r w:rsidR="005F30B1" w:rsidRPr="00A02402">
        <w:rPr>
          <w:color w:val="000000" w:themeColor="text1"/>
          <w:sz w:val="22"/>
          <w:szCs w:val="22"/>
          <w:lang w:val="es-ES"/>
        </w:rPr>
        <w:t xml:space="preserve">Estados </w:t>
      </w:r>
      <w:r w:rsidR="00ED0D45" w:rsidRPr="00A02402">
        <w:rPr>
          <w:color w:val="000000" w:themeColor="text1"/>
          <w:sz w:val="22"/>
          <w:szCs w:val="22"/>
          <w:lang w:val="es-ES"/>
        </w:rPr>
        <w:t>M</w:t>
      </w:r>
      <w:r w:rsidR="00C67D84" w:rsidRPr="00A02402">
        <w:rPr>
          <w:color w:val="000000" w:themeColor="text1"/>
          <w:sz w:val="22"/>
          <w:szCs w:val="22"/>
          <w:lang w:val="es-ES"/>
        </w:rPr>
        <w:t xml:space="preserve">iembros </w:t>
      </w:r>
      <w:r w:rsidR="00967695" w:rsidRPr="00A02402">
        <w:rPr>
          <w:color w:val="000000" w:themeColor="text1"/>
          <w:sz w:val="22"/>
          <w:szCs w:val="22"/>
          <w:lang w:val="es-ES"/>
        </w:rPr>
        <w:t xml:space="preserve">del Triángulo Norte (El Salvador, Guatemala y Honduras) y en los </w:t>
      </w:r>
      <w:r w:rsidR="00E01782" w:rsidRPr="00A02402">
        <w:rPr>
          <w:color w:val="000000" w:themeColor="text1"/>
          <w:sz w:val="22"/>
          <w:szCs w:val="22"/>
          <w:lang w:val="es-ES"/>
        </w:rPr>
        <w:t xml:space="preserve">seis </w:t>
      </w:r>
      <w:r w:rsidR="00967695" w:rsidRPr="00A02402">
        <w:rPr>
          <w:color w:val="000000" w:themeColor="text1"/>
          <w:sz w:val="22"/>
          <w:szCs w:val="22"/>
          <w:lang w:val="es-ES"/>
        </w:rPr>
        <w:t>países del Caribe Oriental (</w:t>
      </w:r>
      <w:r w:rsidR="00E01782" w:rsidRPr="00A02402">
        <w:rPr>
          <w:color w:val="000000" w:themeColor="text1"/>
          <w:sz w:val="22"/>
          <w:szCs w:val="22"/>
          <w:lang w:val="es-ES"/>
        </w:rPr>
        <w:t xml:space="preserve">OECO) que son </w:t>
      </w:r>
      <w:r w:rsidR="00E05025" w:rsidRPr="00A02402">
        <w:rPr>
          <w:color w:val="000000" w:themeColor="text1"/>
          <w:sz w:val="22"/>
          <w:szCs w:val="22"/>
          <w:lang w:val="es-ES"/>
        </w:rPr>
        <w:t xml:space="preserve">Estados </w:t>
      </w:r>
      <w:r w:rsidR="00ED0D45" w:rsidRPr="00A02402">
        <w:rPr>
          <w:color w:val="000000" w:themeColor="text1"/>
          <w:sz w:val="22"/>
          <w:szCs w:val="22"/>
          <w:lang w:val="es-ES"/>
        </w:rPr>
        <w:t>M</w:t>
      </w:r>
      <w:r w:rsidR="00E05025" w:rsidRPr="00A02402">
        <w:rPr>
          <w:color w:val="000000" w:themeColor="text1"/>
          <w:sz w:val="22"/>
          <w:szCs w:val="22"/>
          <w:lang w:val="es-ES"/>
        </w:rPr>
        <w:t xml:space="preserve">iembros </w:t>
      </w:r>
      <w:r w:rsidR="00E01782" w:rsidRPr="00A02402">
        <w:rPr>
          <w:color w:val="000000" w:themeColor="text1"/>
          <w:sz w:val="22"/>
          <w:szCs w:val="22"/>
          <w:lang w:val="es-ES"/>
        </w:rPr>
        <w:t xml:space="preserve">de la OEA </w:t>
      </w:r>
      <w:r w:rsidR="00967695" w:rsidRPr="00A02402">
        <w:rPr>
          <w:color w:val="000000" w:themeColor="text1"/>
          <w:sz w:val="22"/>
          <w:szCs w:val="22"/>
          <w:lang w:val="es-ES"/>
        </w:rPr>
        <w:t>(Antigua y Barbuda, Saint Kitts y Nevis, Dominica, Santa Lucía, San Vicente y las Granadinas y Gr</w:t>
      </w:r>
      <w:r w:rsidR="00ED0D45" w:rsidRPr="00A02402">
        <w:rPr>
          <w:color w:val="000000" w:themeColor="text1"/>
          <w:sz w:val="22"/>
          <w:szCs w:val="22"/>
          <w:lang w:val="es-ES"/>
        </w:rPr>
        <w:t>e</w:t>
      </w:r>
      <w:r w:rsidR="00967695" w:rsidRPr="00A02402">
        <w:rPr>
          <w:color w:val="000000" w:themeColor="text1"/>
          <w:sz w:val="22"/>
          <w:szCs w:val="22"/>
          <w:lang w:val="es-ES"/>
        </w:rPr>
        <w:t xml:space="preserve">nada) con financiación de la Misión Permanente de </w:t>
      </w:r>
      <w:r w:rsidR="00A02402" w:rsidRPr="00A02402">
        <w:rPr>
          <w:color w:val="000000" w:themeColor="text1"/>
          <w:sz w:val="22"/>
          <w:szCs w:val="22"/>
          <w:lang w:val="es-ES"/>
        </w:rPr>
        <w:t>Estados Unidos</w:t>
      </w:r>
      <w:r w:rsidR="00967695" w:rsidRPr="00A02402">
        <w:rPr>
          <w:color w:val="000000" w:themeColor="text1"/>
          <w:sz w:val="22"/>
          <w:szCs w:val="22"/>
          <w:lang w:val="es-ES"/>
        </w:rPr>
        <w:t xml:space="preserve"> ante la OEA y META, para mejorar la capacidad de la</w:t>
      </w:r>
      <w:r w:rsidR="00A02402">
        <w:rPr>
          <w:color w:val="000000" w:themeColor="text1"/>
          <w:sz w:val="22"/>
          <w:szCs w:val="22"/>
          <w:lang w:val="es-ES"/>
        </w:rPr>
        <w:t xml:space="preserve"> mujer</w:t>
      </w:r>
      <w:r w:rsidR="00967695" w:rsidRPr="00A02402">
        <w:rPr>
          <w:color w:val="000000" w:themeColor="text1"/>
          <w:sz w:val="22"/>
          <w:szCs w:val="22"/>
          <w:lang w:val="es-ES"/>
        </w:rPr>
        <w:t xml:space="preserve"> de funcionar eficazmente en la economía, crear medios de vida sostenibles y aumentar su participación en la formulación de políticas y el liderazgo en sus sociedades.</w:t>
      </w:r>
    </w:p>
    <w:p w14:paraId="7CA09912" w14:textId="77777777" w:rsidR="00A02402" w:rsidRPr="00A02402" w:rsidRDefault="00A02402" w:rsidP="00A02402">
      <w:pPr>
        <w:pStyle w:val="ListParagraph"/>
        <w:ind w:left="1440"/>
        <w:contextualSpacing/>
        <w:jc w:val="both"/>
        <w:rPr>
          <w:color w:val="000000" w:themeColor="text1"/>
          <w:sz w:val="22"/>
          <w:szCs w:val="22"/>
          <w:lang w:val="es-ES"/>
        </w:rPr>
      </w:pPr>
    </w:p>
    <w:p w14:paraId="0F7AADF0" w14:textId="77777777" w:rsidR="00F4728E" w:rsidRPr="00512F79" w:rsidRDefault="00967695">
      <w:pPr>
        <w:tabs>
          <w:tab w:val="left" w:pos="720"/>
        </w:tabs>
        <w:ind w:left="720"/>
        <w:jc w:val="both"/>
        <w:rPr>
          <w:rFonts w:ascii="Times New Roman" w:hAnsi="Times New Roman" w:cs="Times New Roman"/>
          <w:b/>
          <w:bCs/>
          <w:color w:val="000000" w:themeColor="text1"/>
          <w:sz w:val="22"/>
          <w:szCs w:val="22"/>
          <w:lang w:val="es-ES"/>
        </w:rPr>
      </w:pPr>
      <w:bookmarkStart w:id="2" w:name="_Hlk87013042"/>
      <w:r w:rsidRPr="00512F79">
        <w:rPr>
          <w:rFonts w:ascii="Times New Roman" w:hAnsi="Times New Roman" w:cs="Times New Roman"/>
          <w:b/>
          <w:bCs/>
          <w:color w:val="000000" w:themeColor="text1"/>
          <w:sz w:val="22"/>
          <w:szCs w:val="22"/>
          <w:lang w:val="es-ES"/>
        </w:rPr>
        <w:t>Programa de Centros de Desarrollo de la Pequeña Empresa (SBDC) del Caribe</w:t>
      </w:r>
    </w:p>
    <w:p w14:paraId="7ACF2DE8" w14:textId="77777777" w:rsidR="00ED78BF" w:rsidRPr="00512F79" w:rsidRDefault="00ED78BF" w:rsidP="00CB030B">
      <w:pPr>
        <w:tabs>
          <w:tab w:val="left" w:pos="720"/>
        </w:tabs>
        <w:ind w:left="720"/>
        <w:contextualSpacing/>
        <w:jc w:val="both"/>
        <w:rPr>
          <w:rFonts w:ascii="Times New Roman" w:hAnsi="Times New Roman" w:cs="Times New Roman"/>
          <w:color w:val="000000" w:themeColor="text1"/>
          <w:sz w:val="22"/>
          <w:szCs w:val="22"/>
          <w:lang w:val="es-ES"/>
        </w:rPr>
      </w:pPr>
    </w:p>
    <w:bookmarkEnd w:id="2"/>
    <w:p w14:paraId="642A5A01" w14:textId="69D803B7" w:rsidR="001F41F5" w:rsidRDefault="001F41F5">
      <w:pPr>
        <w:pStyle w:val="ListParagraph"/>
        <w:numPr>
          <w:ilvl w:val="0"/>
          <w:numId w:val="6"/>
        </w:numPr>
        <w:tabs>
          <w:tab w:val="left" w:pos="720"/>
        </w:tabs>
        <w:ind w:left="1440" w:hanging="720"/>
        <w:contextualSpacing/>
        <w:jc w:val="both"/>
        <w:rPr>
          <w:color w:val="000000" w:themeColor="text1"/>
          <w:sz w:val="22"/>
          <w:szCs w:val="22"/>
          <w:lang w:val="es-ES"/>
        </w:rPr>
      </w:pPr>
      <w:r w:rsidRPr="001F41F5">
        <w:rPr>
          <w:color w:val="000000" w:themeColor="text1"/>
          <w:sz w:val="22"/>
          <w:szCs w:val="22"/>
          <w:lang w:val="es-ES"/>
        </w:rPr>
        <w:t>El programa SBDC cimentó sus relaciones con la ejecución de varios Memorandos de Entendimiento con el Gobierno de Ecuador y con SEBRAE</w:t>
      </w:r>
      <w:r w:rsidR="0026369A">
        <w:rPr>
          <w:color w:val="000000" w:themeColor="text1"/>
          <w:sz w:val="22"/>
          <w:szCs w:val="22"/>
          <w:lang w:val="es-ES"/>
        </w:rPr>
        <w:t xml:space="preserve"> [</w:t>
      </w:r>
      <w:r w:rsidR="0026369A" w:rsidRPr="0026369A">
        <w:rPr>
          <w:color w:val="000000" w:themeColor="text1"/>
          <w:sz w:val="20"/>
          <w:szCs w:val="20"/>
          <w:lang w:val="es-ES"/>
        </w:rPr>
        <w:t>Servicio de apoyo a las micro y pequeñas empresas de Brasil</w:t>
      </w:r>
      <w:r w:rsidR="0026369A">
        <w:rPr>
          <w:color w:val="000000" w:themeColor="text1"/>
          <w:sz w:val="22"/>
          <w:szCs w:val="22"/>
          <w:lang w:val="es-ES"/>
        </w:rPr>
        <w:t>]</w:t>
      </w:r>
      <w:r w:rsidRPr="001F41F5">
        <w:rPr>
          <w:color w:val="000000" w:themeColor="text1"/>
          <w:sz w:val="22"/>
          <w:szCs w:val="22"/>
          <w:lang w:val="es-ES"/>
        </w:rPr>
        <w:t>, la entidad nacional de apoyo a las MIPYME de Brasil. La firma de estos Memorandos de Entendimiento (MOU) con los nuevos países del proyecto es un paso crítico en la puesta en marcha del proyecto, ya que permite definir las funciones y responsabilidades entre la OEA, las partes interesadas del país beneficiario y los consultores para formalizar los compromisos gubernamentales en la adaptación del modelo de SBDC en el país.</w:t>
      </w:r>
    </w:p>
    <w:p w14:paraId="4858E24C" w14:textId="3045AD88" w:rsidR="00603D26" w:rsidRPr="00512F79" w:rsidRDefault="001F41F5" w:rsidP="001F41F5">
      <w:pPr>
        <w:pStyle w:val="ListParagraph"/>
        <w:tabs>
          <w:tab w:val="left" w:pos="720"/>
        </w:tabs>
        <w:ind w:left="1440"/>
        <w:contextualSpacing/>
        <w:jc w:val="both"/>
        <w:rPr>
          <w:color w:val="000000" w:themeColor="text1"/>
          <w:sz w:val="22"/>
          <w:szCs w:val="22"/>
          <w:lang w:val="es-ES"/>
        </w:rPr>
      </w:pPr>
      <w:r>
        <w:rPr>
          <w:color w:val="000000" w:themeColor="text1"/>
          <w:sz w:val="22"/>
          <w:szCs w:val="22"/>
          <w:lang w:val="es-ES"/>
        </w:rPr>
        <w:t xml:space="preserve"> </w:t>
      </w:r>
    </w:p>
    <w:p w14:paraId="027C7287" w14:textId="7C7A5926" w:rsidR="00F4728E" w:rsidRPr="00512F79" w:rsidRDefault="00967695">
      <w:pPr>
        <w:pStyle w:val="ListParagraph"/>
        <w:numPr>
          <w:ilvl w:val="0"/>
          <w:numId w:val="6"/>
        </w:numPr>
        <w:tabs>
          <w:tab w:val="left" w:pos="1440"/>
        </w:tabs>
        <w:ind w:left="1440" w:hanging="720"/>
        <w:contextualSpacing/>
        <w:jc w:val="both"/>
        <w:rPr>
          <w:color w:val="000000" w:themeColor="text1"/>
          <w:sz w:val="22"/>
          <w:szCs w:val="22"/>
          <w:lang w:val="es-ES"/>
        </w:rPr>
      </w:pPr>
      <w:r w:rsidRPr="00512F79">
        <w:rPr>
          <w:color w:val="000000" w:themeColor="text1"/>
          <w:sz w:val="22"/>
          <w:szCs w:val="22"/>
          <w:lang w:val="es-ES"/>
        </w:rPr>
        <w:t>Con este fin</w:t>
      </w:r>
      <w:r w:rsidR="00891A67" w:rsidRPr="00512F79">
        <w:rPr>
          <w:color w:val="000000" w:themeColor="text1"/>
          <w:sz w:val="22"/>
          <w:szCs w:val="22"/>
          <w:lang w:val="es-ES"/>
        </w:rPr>
        <w:t xml:space="preserve">, SEBRAE </w:t>
      </w:r>
      <w:r w:rsidRPr="00512F79">
        <w:rPr>
          <w:color w:val="000000" w:themeColor="text1"/>
          <w:sz w:val="22"/>
          <w:szCs w:val="22"/>
          <w:lang w:val="es-ES"/>
        </w:rPr>
        <w:t>co</w:t>
      </w:r>
      <w:r w:rsidR="00A02402">
        <w:rPr>
          <w:color w:val="000000" w:themeColor="text1"/>
          <w:sz w:val="22"/>
          <w:szCs w:val="22"/>
          <w:lang w:val="es-ES"/>
        </w:rPr>
        <w:t>ncluyó</w:t>
      </w:r>
      <w:r w:rsidRPr="00512F79">
        <w:rPr>
          <w:color w:val="000000" w:themeColor="text1"/>
          <w:sz w:val="22"/>
          <w:szCs w:val="22"/>
          <w:lang w:val="es-ES"/>
        </w:rPr>
        <w:t xml:space="preserve"> la implementación de varias actividades de iniciación en la </w:t>
      </w:r>
      <w:r w:rsidR="000C3B16">
        <w:rPr>
          <w:color w:val="000000" w:themeColor="text1"/>
          <w:sz w:val="22"/>
          <w:szCs w:val="22"/>
          <w:lang w:val="es-ES"/>
        </w:rPr>
        <w:t>f</w:t>
      </w:r>
      <w:r w:rsidRPr="00512F79">
        <w:rPr>
          <w:color w:val="000000" w:themeColor="text1"/>
          <w:sz w:val="22"/>
          <w:szCs w:val="22"/>
          <w:lang w:val="es-ES"/>
        </w:rPr>
        <w:t xml:space="preserve">ase de </w:t>
      </w:r>
      <w:r w:rsidR="000C3B16">
        <w:rPr>
          <w:color w:val="000000" w:themeColor="text1"/>
          <w:sz w:val="22"/>
          <w:szCs w:val="22"/>
          <w:lang w:val="es-ES"/>
        </w:rPr>
        <w:t>t</w:t>
      </w:r>
      <w:r w:rsidRPr="00512F79">
        <w:rPr>
          <w:color w:val="000000" w:themeColor="text1"/>
          <w:sz w:val="22"/>
          <w:szCs w:val="22"/>
          <w:lang w:val="es-ES"/>
        </w:rPr>
        <w:t>ransferencia del modelo</w:t>
      </w:r>
      <w:r w:rsidR="00E01782" w:rsidRPr="00512F79">
        <w:rPr>
          <w:color w:val="000000" w:themeColor="text1"/>
          <w:sz w:val="22"/>
          <w:szCs w:val="22"/>
          <w:lang w:val="es-ES"/>
        </w:rPr>
        <w:t xml:space="preserve">, </w:t>
      </w:r>
      <w:r w:rsidR="000C3B16">
        <w:rPr>
          <w:color w:val="000000" w:themeColor="text1"/>
          <w:sz w:val="22"/>
          <w:szCs w:val="22"/>
          <w:lang w:val="es-ES"/>
        </w:rPr>
        <w:t>incluida</w:t>
      </w:r>
      <w:r w:rsidRPr="00512F79">
        <w:rPr>
          <w:color w:val="000000" w:themeColor="text1"/>
          <w:sz w:val="22"/>
          <w:szCs w:val="22"/>
          <w:lang w:val="es-ES"/>
        </w:rPr>
        <w:t xml:space="preserve"> la creación de un equipo administrativo de la red nacional de SBDC, </w:t>
      </w:r>
      <w:r w:rsidR="001F41F5">
        <w:rPr>
          <w:color w:val="000000" w:themeColor="text1"/>
          <w:sz w:val="22"/>
          <w:szCs w:val="22"/>
          <w:lang w:val="es-ES"/>
        </w:rPr>
        <w:t xml:space="preserve">así como </w:t>
      </w:r>
      <w:r w:rsidRPr="00512F79">
        <w:rPr>
          <w:color w:val="000000" w:themeColor="text1"/>
          <w:sz w:val="22"/>
          <w:szCs w:val="22"/>
          <w:lang w:val="es-ES"/>
        </w:rPr>
        <w:t>consultas con las principales partes interesadas en el apoyo a las MIPYME</w:t>
      </w:r>
      <w:r w:rsidR="00CC73E5">
        <w:rPr>
          <w:color w:val="000000" w:themeColor="text1"/>
          <w:sz w:val="22"/>
          <w:szCs w:val="22"/>
          <w:lang w:val="es-ES"/>
        </w:rPr>
        <w:t>S</w:t>
      </w:r>
      <w:r w:rsidRPr="00512F79">
        <w:rPr>
          <w:color w:val="000000" w:themeColor="text1"/>
          <w:sz w:val="22"/>
          <w:szCs w:val="22"/>
          <w:lang w:val="es-ES"/>
        </w:rPr>
        <w:t xml:space="preserve"> para asegurar su aceptación. El equipo de SEBRAE también participó en </w:t>
      </w:r>
      <w:r w:rsidR="00214438" w:rsidRPr="00512F79">
        <w:rPr>
          <w:color w:val="000000" w:themeColor="text1"/>
          <w:sz w:val="22"/>
          <w:szCs w:val="22"/>
          <w:lang w:val="es-ES"/>
        </w:rPr>
        <w:t xml:space="preserve">visitas técnicas </w:t>
      </w:r>
      <w:r w:rsidRPr="00512F79">
        <w:rPr>
          <w:color w:val="000000" w:themeColor="text1"/>
          <w:sz w:val="22"/>
          <w:szCs w:val="22"/>
          <w:lang w:val="es-ES"/>
        </w:rPr>
        <w:t>al</w:t>
      </w:r>
      <w:r w:rsidR="00E44A51">
        <w:rPr>
          <w:color w:val="000000" w:themeColor="text1"/>
          <w:sz w:val="22"/>
          <w:szCs w:val="22"/>
          <w:lang w:val="es-ES"/>
        </w:rPr>
        <w:t xml:space="preserve"> </w:t>
      </w:r>
      <w:r w:rsidRPr="00E44A51">
        <w:rPr>
          <w:i/>
          <w:iCs/>
          <w:color w:val="000000" w:themeColor="text1"/>
          <w:sz w:val="22"/>
          <w:szCs w:val="22"/>
          <w:lang w:val="es-ES"/>
        </w:rPr>
        <w:t>S</w:t>
      </w:r>
      <w:r w:rsidR="00E44A51" w:rsidRPr="00E44A51">
        <w:rPr>
          <w:i/>
          <w:iCs/>
          <w:color w:val="000000" w:themeColor="text1"/>
          <w:sz w:val="22"/>
          <w:szCs w:val="22"/>
          <w:lang w:val="es-ES"/>
        </w:rPr>
        <w:t>mall Business Development Center</w:t>
      </w:r>
      <w:r w:rsidR="00E44A51">
        <w:rPr>
          <w:color w:val="000000" w:themeColor="text1"/>
          <w:sz w:val="22"/>
          <w:szCs w:val="22"/>
          <w:lang w:val="es-ES"/>
        </w:rPr>
        <w:t xml:space="preserve"> (S</w:t>
      </w:r>
      <w:r w:rsidRPr="00512F79">
        <w:rPr>
          <w:color w:val="000000" w:themeColor="text1"/>
          <w:sz w:val="22"/>
          <w:szCs w:val="22"/>
          <w:lang w:val="es-ES"/>
        </w:rPr>
        <w:t>BDC</w:t>
      </w:r>
      <w:r w:rsidR="00E44A51">
        <w:rPr>
          <w:color w:val="000000" w:themeColor="text1"/>
          <w:sz w:val="22"/>
          <w:szCs w:val="22"/>
          <w:lang w:val="es-ES"/>
        </w:rPr>
        <w:t>)</w:t>
      </w:r>
      <w:r w:rsidRPr="00512F79">
        <w:rPr>
          <w:color w:val="000000" w:themeColor="text1"/>
          <w:sz w:val="22"/>
          <w:szCs w:val="22"/>
          <w:lang w:val="es-ES"/>
        </w:rPr>
        <w:t xml:space="preserve"> de la </w:t>
      </w:r>
      <w:r w:rsidR="00214438" w:rsidRPr="00512F79">
        <w:rPr>
          <w:color w:val="000000" w:themeColor="text1"/>
          <w:sz w:val="22"/>
          <w:szCs w:val="22"/>
          <w:lang w:val="es-ES"/>
        </w:rPr>
        <w:t xml:space="preserve">Universidad de Texas en San Antonio (UTSA) </w:t>
      </w:r>
      <w:r w:rsidRPr="00512F79">
        <w:rPr>
          <w:color w:val="000000" w:themeColor="text1"/>
          <w:sz w:val="22"/>
          <w:szCs w:val="22"/>
          <w:lang w:val="es-ES"/>
        </w:rPr>
        <w:t xml:space="preserve">y </w:t>
      </w:r>
      <w:r w:rsidR="00E44A51">
        <w:rPr>
          <w:color w:val="000000" w:themeColor="text1"/>
          <w:sz w:val="22"/>
          <w:szCs w:val="22"/>
          <w:lang w:val="es-ES"/>
        </w:rPr>
        <w:t>a</w:t>
      </w:r>
      <w:r w:rsidRPr="00512F79">
        <w:rPr>
          <w:color w:val="000000" w:themeColor="text1"/>
          <w:sz w:val="22"/>
          <w:szCs w:val="22"/>
          <w:lang w:val="es-ES"/>
        </w:rPr>
        <w:t xml:space="preserve"> Washington</w:t>
      </w:r>
      <w:r w:rsidR="00E01782" w:rsidRPr="00512F79">
        <w:rPr>
          <w:color w:val="000000" w:themeColor="text1"/>
          <w:sz w:val="22"/>
          <w:szCs w:val="22"/>
          <w:lang w:val="es-ES"/>
        </w:rPr>
        <w:t>,</w:t>
      </w:r>
      <w:r w:rsidRPr="00512F79">
        <w:rPr>
          <w:color w:val="000000" w:themeColor="text1"/>
          <w:sz w:val="22"/>
          <w:szCs w:val="22"/>
          <w:lang w:val="es-ES"/>
        </w:rPr>
        <w:t xml:space="preserve"> DC</w:t>
      </w:r>
      <w:r w:rsidR="00E01782" w:rsidRPr="00512F79">
        <w:rPr>
          <w:color w:val="000000" w:themeColor="text1"/>
          <w:sz w:val="22"/>
          <w:szCs w:val="22"/>
          <w:lang w:val="es-ES"/>
        </w:rPr>
        <w:t xml:space="preserve"> </w:t>
      </w:r>
      <w:r w:rsidRPr="00512F79">
        <w:rPr>
          <w:color w:val="000000" w:themeColor="text1"/>
          <w:sz w:val="22"/>
          <w:szCs w:val="22"/>
          <w:lang w:val="es-ES"/>
        </w:rPr>
        <w:t xml:space="preserve">para profundizar en el conocimiento del funcionamiento del modelo SBDC en el contexto estadounidense. Además de las consultas con la dirección del SBDC de </w:t>
      </w:r>
      <w:r w:rsidR="00E44A51">
        <w:rPr>
          <w:color w:val="000000" w:themeColor="text1"/>
          <w:sz w:val="22"/>
          <w:szCs w:val="22"/>
          <w:lang w:val="es-ES"/>
        </w:rPr>
        <w:t>la Universidad de Texas en San Antonio</w:t>
      </w:r>
      <w:r w:rsidR="00E01782" w:rsidRPr="00512F79">
        <w:rPr>
          <w:color w:val="000000" w:themeColor="text1"/>
          <w:sz w:val="22"/>
          <w:szCs w:val="22"/>
          <w:lang w:val="es-ES"/>
        </w:rPr>
        <w:t xml:space="preserve">, </w:t>
      </w:r>
      <w:r w:rsidRPr="00512F79">
        <w:rPr>
          <w:color w:val="000000" w:themeColor="text1"/>
          <w:sz w:val="22"/>
          <w:szCs w:val="22"/>
          <w:lang w:val="es-ES"/>
        </w:rPr>
        <w:t xml:space="preserve">la </w:t>
      </w:r>
      <w:r w:rsidR="009717F4">
        <w:rPr>
          <w:color w:val="000000" w:themeColor="text1"/>
          <w:sz w:val="22"/>
          <w:szCs w:val="22"/>
          <w:lang w:val="es-ES"/>
        </w:rPr>
        <w:t>D</w:t>
      </w:r>
      <w:r w:rsidRPr="00512F79">
        <w:rPr>
          <w:color w:val="000000" w:themeColor="text1"/>
          <w:sz w:val="22"/>
          <w:szCs w:val="22"/>
          <w:lang w:val="es-ES"/>
        </w:rPr>
        <w:t xml:space="preserve">elegación de alto nivel de Brasil </w:t>
      </w:r>
      <w:r w:rsidR="009717F4">
        <w:rPr>
          <w:color w:val="000000" w:themeColor="text1"/>
          <w:sz w:val="22"/>
          <w:szCs w:val="22"/>
          <w:lang w:val="es-ES"/>
        </w:rPr>
        <w:t>participó en</w:t>
      </w:r>
      <w:r w:rsidRPr="00512F79">
        <w:rPr>
          <w:color w:val="000000" w:themeColor="text1"/>
          <w:sz w:val="22"/>
          <w:szCs w:val="22"/>
          <w:lang w:val="es-ES"/>
        </w:rPr>
        <w:t xml:space="preserve"> las reuniones con los representantes de la Asociación de Pequeñas Empresas de E</w:t>
      </w:r>
      <w:r w:rsidR="001F41F5">
        <w:rPr>
          <w:color w:val="000000" w:themeColor="text1"/>
          <w:sz w:val="22"/>
          <w:szCs w:val="22"/>
          <w:lang w:val="es-ES"/>
        </w:rPr>
        <w:t>stados Unidos</w:t>
      </w:r>
      <w:r w:rsidR="001A4D59" w:rsidRPr="001A4D59">
        <w:rPr>
          <w:color w:val="000000" w:themeColor="text1"/>
          <w:sz w:val="22"/>
          <w:szCs w:val="22"/>
          <w:lang w:val="es-ES"/>
        </w:rPr>
        <w:t xml:space="preserve"> </w:t>
      </w:r>
      <w:r w:rsidR="001A4D59">
        <w:rPr>
          <w:color w:val="000000" w:themeColor="text1"/>
          <w:sz w:val="22"/>
          <w:szCs w:val="22"/>
          <w:lang w:val="es-ES"/>
        </w:rPr>
        <w:t>[</w:t>
      </w:r>
      <w:r w:rsidR="001A4D59" w:rsidRPr="001A4D59">
        <w:rPr>
          <w:i/>
          <w:iCs/>
          <w:color w:val="000000" w:themeColor="text1"/>
          <w:sz w:val="20"/>
          <w:szCs w:val="20"/>
          <w:lang w:val="es-ES"/>
        </w:rPr>
        <w:t>U.S. Small Business Association</w:t>
      </w:r>
      <w:r w:rsidR="001A4D59">
        <w:rPr>
          <w:color w:val="000000" w:themeColor="text1"/>
          <w:sz w:val="22"/>
          <w:szCs w:val="22"/>
          <w:lang w:val="es-ES"/>
        </w:rPr>
        <w:t>]</w:t>
      </w:r>
      <w:r w:rsidR="001F41F5">
        <w:rPr>
          <w:color w:val="000000" w:themeColor="text1"/>
          <w:sz w:val="22"/>
          <w:szCs w:val="22"/>
          <w:lang w:val="es-ES"/>
        </w:rPr>
        <w:t>,</w:t>
      </w:r>
      <w:r w:rsidRPr="00512F79">
        <w:rPr>
          <w:color w:val="000000" w:themeColor="text1"/>
          <w:sz w:val="22"/>
          <w:szCs w:val="22"/>
          <w:lang w:val="es-ES"/>
        </w:rPr>
        <w:t xml:space="preserve"> el Departamento de Estado, </w:t>
      </w:r>
      <w:r w:rsidR="00E01782" w:rsidRPr="00512F79">
        <w:rPr>
          <w:color w:val="000000" w:themeColor="text1"/>
          <w:sz w:val="22"/>
          <w:szCs w:val="22"/>
          <w:lang w:val="es-ES"/>
        </w:rPr>
        <w:t xml:space="preserve">el Senado de </w:t>
      </w:r>
      <w:r w:rsidR="0025359A">
        <w:rPr>
          <w:color w:val="000000" w:themeColor="text1"/>
          <w:sz w:val="22"/>
          <w:szCs w:val="22"/>
          <w:lang w:val="es-ES"/>
        </w:rPr>
        <w:t>Estados Unidos</w:t>
      </w:r>
      <w:r w:rsidRPr="00512F79">
        <w:rPr>
          <w:color w:val="000000" w:themeColor="text1"/>
          <w:sz w:val="22"/>
          <w:szCs w:val="22"/>
          <w:lang w:val="es-ES"/>
        </w:rPr>
        <w:t xml:space="preserve"> y el Comité de Pequeñas Empresas del Congreso</w:t>
      </w:r>
      <w:r w:rsidR="001A4D59" w:rsidRPr="001A4D59">
        <w:rPr>
          <w:color w:val="000000" w:themeColor="text1"/>
          <w:sz w:val="22"/>
          <w:szCs w:val="22"/>
          <w:lang w:val="es-ES"/>
        </w:rPr>
        <w:t xml:space="preserve"> </w:t>
      </w:r>
      <w:r w:rsidR="001A4D59" w:rsidRPr="001A4D59">
        <w:rPr>
          <w:color w:val="000000" w:themeColor="text1"/>
          <w:sz w:val="20"/>
          <w:szCs w:val="20"/>
          <w:lang w:val="es-ES"/>
        </w:rPr>
        <w:t>[</w:t>
      </w:r>
      <w:r w:rsidR="001A4D59" w:rsidRPr="001A4D59">
        <w:rPr>
          <w:i/>
          <w:iCs/>
          <w:color w:val="000000" w:themeColor="text1"/>
          <w:sz w:val="20"/>
          <w:szCs w:val="20"/>
          <w:lang w:val="es-ES"/>
        </w:rPr>
        <w:t>Congress Small Business Committee</w:t>
      </w:r>
      <w:r w:rsidR="001A4D59">
        <w:rPr>
          <w:color w:val="000000" w:themeColor="text1"/>
          <w:sz w:val="22"/>
          <w:szCs w:val="22"/>
          <w:lang w:val="es-ES"/>
        </w:rPr>
        <w:t>]</w:t>
      </w:r>
      <w:r w:rsidRPr="00512F79">
        <w:rPr>
          <w:color w:val="000000" w:themeColor="text1"/>
          <w:sz w:val="22"/>
          <w:szCs w:val="22"/>
          <w:lang w:val="es-ES"/>
        </w:rPr>
        <w:t xml:space="preserve"> para </w:t>
      </w:r>
      <w:r w:rsidR="001F41F5">
        <w:rPr>
          <w:color w:val="000000" w:themeColor="text1"/>
          <w:sz w:val="22"/>
          <w:szCs w:val="22"/>
          <w:lang w:val="es-ES"/>
        </w:rPr>
        <w:t>intercambiar</w:t>
      </w:r>
      <w:r w:rsidRPr="00512F79">
        <w:rPr>
          <w:color w:val="000000" w:themeColor="text1"/>
          <w:sz w:val="22"/>
          <w:szCs w:val="22"/>
          <w:lang w:val="es-ES"/>
        </w:rPr>
        <w:t xml:space="preserve"> las buenas prácticas de la administración de la red SBDC de</w:t>
      </w:r>
      <w:r w:rsidR="001F41F5">
        <w:rPr>
          <w:color w:val="000000" w:themeColor="text1"/>
          <w:sz w:val="22"/>
          <w:szCs w:val="22"/>
          <w:lang w:val="es-ES"/>
        </w:rPr>
        <w:t xml:space="preserve"> Estados Unidos </w:t>
      </w:r>
      <w:r w:rsidRPr="00512F79">
        <w:rPr>
          <w:color w:val="000000" w:themeColor="text1"/>
          <w:sz w:val="22"/>
          <w:szCs w:val="22"/>
          <w:lang w:val="es-ES"/>
        </w:rPr>
        <w:t xml:space="preserve">y la </w:t>
      </w:r>
      <w:r w:rsidR="009717F4">
        <w:rPr>
          <w:color w:val="000000" w:themeColor="text1"/>
          <w:sz w:val="22"/>
          <w:szCs w:val="22"/>
          <w:lang w:val="es-ES"/>
        </w:rPr>
        <w:t>formulación</w:t>
      </w:r>
      <w:r w:rsidRPr="00512F79">
        <w:rPr>
          <w:color w:val="000000" w:themeColor="text1"/>
          <w:sz w:val="22"/>
          <w:szCs w:val="22"/>
          <w:lang w:val="es-ES"/>
        </w:rPr>
        <w:t xml:space="preserve"> y </w:t>
      </w:r>
      <w:r w:rsidR="009717F4">
        <w:rPr>
          <w:color w:val="000000" w:themeColor="text1"/>
          <w:sz w:val="22"/>
          <w:szCs w:val="22"/>
          <w:lang w:val="es-ES"/>
        </w:rPr>
        <w:t>el seguimiento</w:t>
      </w:r>
      <w:r w:rsidRPr="00512F79">
        <w:rPr>
          <w:color w:val="000000" w:themeColor="text1"/>
          <w:sz w:val="22"/>
          <w:szCs w:val="22"/>
          <w:lang w:val="es-ES"/>
        </w:rPr>
        <w:t xml:space="preserve"> de políticas </w:t>
      </w:r>
      <w:r w:rsidR="001F41F5">
        <w:rPr>
          <w:color w:val="000000" w:themeColor="text1"/>
          <w:sz w:val="22"/>
          <w:szCs w:val="22"/>
          <w:lang w:val="es-ES"/>
        </w:rPr>
        <w:t>en materia de</w:t>
      </w:r>
      <w:r w:rsidRPr="00512F79">
        <w:rPr>
          <w:color w:val="000000" w:themeColor="text1"/>
          <w:sz w:val="22"/>
          <w:szCs w:val="22"/>
          <w:lang w:val="es-ES"/>
        </w:rPr>
        <w:t xml:space="preserve"> MIPYME</w:t>
      </w:r>
      <w:r w:rsidR="00CC73E5">
        <w:rPr>
          <w:color w:val="000000" w:themeColor="text1"/>
          <w:sz w:val="22"/>
          <w:szCs w:val="22"/>
          <w:lang w:val="es-ES"/>
        </w:rPr>
        <w:t>S</w:t>
      </w:r>
      <w:r w:rsidRPr="00512F79">
        <w:rPr>
          <w:color w:val="000000" w:themeColor="text1"/>
          <w:sz w:val="22"/>
          <w:szCs w:val="22"/>
          <w:lang w:val="es-ES"/>
        </w:rPr>
        <w:t>.</w:t>
      </w:r>
    </w:p>
    <w:p w14:paraId="3F8A4D90" w14:textId="77777777" w:rsidR="004C5116" w:rsidRPr="00512F79" w:rsidRDefault="004C5116" w:rsidP="00CB030B">
      <w:pPr>
        <w:pStyle w:val="ListParagraph"/>
        <w:tabs>
          <w:tab w:val="left" w:pos="1440"/>
        </w:tabs>
        <w:ind w:left="1440" w:hanging="720"/>
        <w:contextualSpacing/>
        <w:jc w:val="both"/>
        <w:rPr>
          <w:color w:val="000000" w:themeColor="text1"/>
          <w:sz w:val="22"/>
          <w:szCs w:val="22"/>
          <w:lang w:val="es-ES"/>
        </w:rPr>
      </w:pPr>
    </w:p>
    <w:p w14:paraId="7B424FF9" w14:textId="56F13112" w:rsidR="00F4728E" w:rsidRPr="00512F79" w:rsidRDefault="002060AB">
      <w:pPr>
        <w:pStyle w:val="ListParagraph"/>
        <w:numPr>
          <w:ilvl w:val="0"/>
          <w:numId w:val="6"/>
        </w:numPr>
        <w:tabs>
          <w:tab w:val="left" w:pos="1440"/>
        </w:tabs>
        <w:ind w:left="1440" w:hanging="720"/>
        <w:contextualSpacing/>
        <w:jc w:val="both"/>
        <w:rPr>
          <w:color w:val="000000" w:themeColor="text1"/>
          <w:sz w:val="22"/>
          <w:szCs w:val="22"/>
          <w:lang w:val="es-ES"/>
        </w:rPr>
      </w:pPr>
      <w:r w:rsidRPr="002060AB">
        <w:rPr>
          <w:color w:val="000000" w:themeColor="text1"/>
          <w:sz w:val="22"/>
          <w:szCs w:val="22"/>
          <w:lang w:val="es-ES"/>
        </w:rPr>
        <w:t xml:space="preserve">Efectos económicos globales: se atendió a 4628 clientes, se crearon 91 nuevas empresas, se crearon 2158 puestos de trabajo y se </w:t>
      </w:r>
      <w:r w:rsidR="0068298C">
        <w:rPr>
          <w:color w:val="000000" w:themeColor="text1"/>
          <w:sz w:val="22"/>
          <w:szCs w:val="22"/>
          <w:lang w:val="es-ES"/>
        </w:rPr>
        <w:t>prestó apoyo a</w:t>
      </w:r>
      <w:r w:rsidRPr="002060AB">
        <w:rPr>
          <w:color w:val="000000" w:themeColor="text1"/>
          <w:sz w:val="22"/>
          <w:szCs w:val="22"/>
          <w:lang w:val="es-ES"/>
        </w:rPr>
        <w:t xml:space="preserve"> 6678 empleos a través de las intervenciones de los SBDC, se generaron ingresos por ventas por valor de $96.078.265,25 y beneficios por valor de $7.645.798,50, se ampliaron </w:t>
      </w:r>
      <w:r w:rsidR="00553DF7">
        <w:rPr>
          <w:color w:val="000000" w:themeColor="text1"/>
          <w:sz w:val="22"/>
          <w:szCs w:val="22"/>
          <w:lang w:val="es-ES"/>
        </w:rPr>
        <w:t xml:space="preserve">once </w:t>
      </w:r>
      <w:r w:rsidRPr="002060AB">
        <w:rPr>
          <w:color w:val="000000" w:themeColor="text1"/>
          <w:sz w:val="22"/>
          <w:szCs w:val="22"/>
          <w:lang w:val="es-ES"/>
        </w:rPr>
        <w:t xml:space="preserve">empresas y se movilizaron $61.425.554,63 en aportaciones de capital a través de préstamos y capital social en cinco Estados </w:t>
      </w:r>
      <w:r w:rsidR="0062385F">
        <w:rPr>
          <w:color w:val="000000" w:themeColor="text1"/>
          <w:sz w:val="22"/>
          <w:szCs w:val="22"/>
          <w:lang w:val="es-ES"/>
        </w:rPr>
        <w:t>M</w:t>
      </w:r>
      <w:r w:rsidRPr="002060AB">
        <w:rPr>
          <w:color w:val="000000" w:themeColor="text1"/>
          <w:sz w:val="22"/>
          <w:szCs w:val="22"/>
          <w:lang w:val="es-ES"/>
        </w:rPr>
        <w:t>iembros del Caribe.</w:t>
      </w:r>
      <w:r>
        <w:rPr>
          <w:color w:val="000000" w:themeColor="text1"/>
          <w:sz w:val="22"/>
          <w:szCs w:val="22"/>
          <w:lang w:val="es-ES"/>
        </w:rPr>
        <w:t xml:space="preserve">  </w:t>
      </w:r>
    </w:p>
    <w:p w14:paraId="61745C9F" w14:textId="77777777" w:rsidR="00ED78BF" w:rsidRPr="00512F79" w:rsidRDefault="00ED78BF" w:rsidP="00CB030B">
      <w:pPr>
        <w:tabs>
          <w:tab w:val="left" w:pos="720"/>
        </w:tabs>
        <w:ind w:left="720"/>
        <w:jc w:val="both"/>
        <w:rPr>
          <w:rFonts w:ascii="Times New Roman" w:hAnsi="Times New Roman" w:cs="Times New Roman"/>
          <w:color w:val="000000"/>
          <w:sz w:val="22"/>
          <w:szCs w:val="22"/>
          <w:lang w:val="es-ES"/>
        </w:rPr>
      </w:pPr>
    </w:p>
    <w:p w14:paraId="3A0306BC" w14:textId="6960CCDF" w:rsidR="00F4728E" w:rsidRPr="00512F79" w:rsidRDefault="00967695">
      <w:pPr>
        <w:tabs>
          <w:tab w:val="left" w:pos="720"/>
        </w:tabs>
        <w:ind w:left="720"/>
        <w:jc w:val="both"/>
        <w:rPr>
          <w:rFonts w:ascii="Times New Roman" w:hAnsi="Times New Roman" w:cs="Times New Roman"/>
          <w:b/>
          <w:bCs/>
          <w:color w:val="000000"/>
          <w:sz w:val="22"/>
          <w:szCs w:val="22"/>
          <w:lang w:val="es-ES"/>
        </w:rPr>
      </w:pPr>
      <w:r w:rsidRPr="00512F79">
        <w:rPr>
          <w:rFonts w:ascii="Times New Roman" w:hAnsi="Times New Roman" w:cs="Times New Roman"/>
          <w:b/>
          <w:bCs/>
          <w:color w:val="000000"/>
          <w:sz w:val="22"/>
          <w:szCs w:val="22"/>
          <w:lang w:val="es-ES"/>
        </w:rPr>
        <w:t xml:space="preserve">Sistema de Información </w:t>
      </w:r>
      <w:r w:rsidR="00E05A69">
        <w:rPr>
          <w:rFonts w:ascii="Times New Roman" w:hAnsi="Times New Roman" w:cs="Times New Roman"/>
          <w:b/>
          <w:bCs/>
          <w:color w:val="000000"/>
          <w:sz w:val="22"/>
          <w:szCs w:val="22"/>
          <w:lang w:val="es-ES"/>
        </w:rPr>
        <w:t>d</w:t>
      </w:r>
      <w:r w:rsidRPr="00512F79">
        <w:rPr>
          <w:rFonts w:ascii="Times New Roman" w:hAnsi="Times New Roman" w:cs="Times New Roman"/>
          <w:b/>
          <w:bCs/>
          <w:color w:val="000000"/>
          <w:sz w:val="22"/>
          <w:szCs w:val="22"/>
          <w:lang w:val="es-ES"/>
        </w:rPr>
        <w:t>e Comercio Exterior de la OEA (SICE)</w:t>
      </w:r>
    </w:p>
    <w:p w14:paraId="7DF3667F" w14:textId="77777777" w:rsidR="00ED78BF" w:rsidRPr="00512F79" w:rsidRDefault="00ED78BF" w:rsidP="00CB030B">
      <w:pPr>
        <w:pStyle w:val="ListParagraph"/>
        <w:tabs>
          <w:tab w:val="left" w:pos="720"/>
        </w:tabs>
        <w:contextualSpacing/>
        <w:jc w:val="both"/>
        <w:rPr>
          <w:color w:val="000000" w:themeColor="text1"/>
          <w:sz w:val="22"/>
          <w:szCs w:val="22"/>
          <w:lang w:val="es-ES"/>
        </w:rPr>
      </w:pPr>
    </w:p>
    <w:p w14:paraId="21262DD8" w14:textId="115DD473" w:rsidR="00F4728E" w:rsidRPr="00512F79" w:rsidRDefault="00576B75">
      <w:pPr>
        <w:pStyle w:val="ListParagraph"/>
        <w:numPr>
          <w:ilvl w:val="0"/>
          <w:numId w:val="7"/>
        </w:numPr>
        <w:tabs>
          <w:tab w:val="left" w:pos="1440"/>
        </w:tabs>
        <w:ind w:left="1440" w:hanging="720"/>
        <w:contextualSpacing/>
        <w:jc w:val="both"/>
        <w:rPr>
          <w:color w:val="000000" w:themeColor="text1"/>
          <w:sz w:val="22"/>
          <w:szCs w:val="22"/>
          <w:lang w:val="es-ES"/>
        </w:rPr>
      </w:pPr>
      <w:r>
        <w:rPr>
          <w:sz w:val="22"/>
          <w:szCs w:val="22"/>
          <w:lang w:val="es-ES_tradnl"/>
        </w:rPr>
        <w:t xml:space="preserve">Se </w:t>
      </w:r>
      <w:r w:rsidRPr="003C15F1">
        <w:rPr>
          <w:sz w:val="22"/>
          <w:szCs w:val="22"/>
          <w:lang w:val="es-ES_tradnl"/>
        </w:rPr>
        <w:t xml:space="preserve">actualizó el </w:t>
      </w:r>
      <w:r w:rsidR="001B7EEA">
        <w:rPr>
          <w:sz w:val="22"/>
          <w:szCs w:val="22"/>
          <w:lang w:val="es-ES_tradnl"/>
        </w:rPr>
        <w:t>c</w:t>
      </w:r>
      <w:r w:rsidRPr="003C15F1">
        <w:rPr>
          <w:sz w:val="22"/>
          <w:szCs w:val="22"/>
          <w:lang w:val="es-ES_tradnl"/>
        </w:rPr>
        <w:t>entro de intercambio de información en línea para las MIPYME</w:t>
      </w:r>
      <w:r w:rsidR="005021EE">
        <w:rPr>
          <w:sz w:val="22"/>
          <w:szCs w:val="22"/>
          <w:lang w:val="es-ES_tradnl"/>
        </w:rPr>
        <w:t>S</w:t>
      </w:r>
      <w:r w:rsidRPr="003C15F1">
        <w:rPr>
          <w:sz w:val="22"/>
          <w:szCs w:val="22"/>
          <w:lang w:val="es-ES_tradnl"/>
        </w:rPr>
        <w:t xml:space="preserve"> y se publicaron </w:t>
      </w:r>
      <w:r w:rsidR="005021EE">
        <w:rPr>
          <w:sz w:val="22"/>
          <w:szCs w:val="22"/>
          <w:lang w:val="es-ES_tradnl"/>
        </w:rPr>
        <w:t>once</w:t>
      </w:r>
      <w:r w:rsidRPr="003C15F1">
        <w:rPr>
          <w:sz w:val="22"/>
          <w:szCs w:val="22"/>
          <w:lang w:val="es-ES_tradnl"/>
        </w:rPr>
        <w:t xml:space="preserve"> ediciones especiales del Boletín MIPYME de la OEA para mejorar el intercambio de buenas prácticas, iniciativas de cooperación horizontal, políticas, programas y proyectos que apoyan al sector de las MIPYME</w:t>
      </w:r>
      <w:r w:rsidR="005021EE">
        <w:rPr>
          <w:sz w:val="22"/>
          <w:szCs w:val="22"/>
          <w:lang w:val="es-ES_tradnl"/>
        </w:rPr>
        <w:t>S</w:t>
      </w:r>
      <w:r w:rsidRPr="003C15F1">
        <w:rPr>
          <w:sz w:val="22"/>
          <w:szCs w:val="22"/>
          <w:lang w:val="es-ES_tradnl"/>
        </w:rPr>
        <w:t xml:space="preserve"> en los Estados </w:t>
      </w:r>
      <w:r w:rsidR="005021EE">
        <w:rPr>
          <w:sz w:val="22"/>
          <w:szCs w:val="22"/>
          <w:lang w:val="es-ES_tradnl"/>
        </w:rPr>
        <w:t>M</w:t>
      </w:r>
      <w:r w:rsidRPr="003C15F1">
        <w:rPr>
          <w:sz w:val="22"/>
          <w:szCs w:val="22"/>
          <w:lang w:val="es-ES_tradnl"/>
        </w:rPr>
        <w:t xml:space="preserve">iembros de la </w:t>
      </w:r>
      <w:r>
        <w:rPr>
          <w:sz w:val="22"/>
          <w:szCs w:val="22"/>
          <w:lang w:val="es-ES_tradnl"/>
        </w:rPr>
        <w:t>OEA.</w:t>
      </w:r>
    </w:p>
    <w:p w14:paraId="65984D52" w14:textId="77777777" w:rsidR="00ED78BF" w:rsidRPr="00512F79" w:rsidRDefault="00ED78BF" w:rsidP="00CB030B">
      <w:pPr>
        <w:pStyle w:val="ListParagraph"/>
        <w:tabs>
          <w:tab w:val="left" w:pos="720"/>
        </w:tabs>
        <w:contextualSpacing/>
        <w:jc w:val="both"/>
        <w:rPr>
          <w:color w:val="000000" w:themeColor="text1"/>
          <w:sz w:val="22"/>
          <w:szCs w:val="22"/>
          <w:lang w:val="es-ES"/>
        </w:rPr>
      </w:pPr>
    </w:p>
    <w:p w14:paraId="221A9027" w14:textId="11D34A06" w:rsidR="005021EE" w:rsidRPr="003C15F1" w:rsidRDefault="006C41E2" w:rsidP="005021EE">
      <w:pPr>
        <w:pStyle w:val="BodyA"/>
        <w:numPr>
          <w:ilvl w:val="0"/>
          <w:numId w:val="43"/>
        </w:numPr>
        <w:ind w:left="1440" w:hanging="720"/>
        <w:jc w:val="both"/>
        <w:rPr>
          <w:rFonts w:cs="Times New Roman"/>
          <w:sz w:val="22"/>
          <w:szCs w:val="22"/>
          <w:lang w:val="es-ES_tradnl"/>
        </w:rPr>
      </w:pPr>
      <w:r>
        <w:rPr>
          <w:rFonts w:cs="Times New Roman"/>
          <w:sz w:val="22"/>
          <w:szCs w:val="22"/>
          <w:lang w:val="es-ES_tradnl"/>
        </w:rPr>
        <w:t>Se mejor</w:t>
      </w:r>
      <w:r>
        <w:rPr>
          <w:rFonts w:cs="Times New Roman"/>
          <w:sz w:val="22"/>
          <w:szCs w:val="22"/>
          <w:lang w:val="es-ES"/>
        </w:rPr>
        <w:t>ó el p</w:t>
      </w:r>
      <w:r w:rsidR="005021EE" w:rsidRPr="003C15F1">
        <w:rPr>
          <w:rFonts w:cs="Times New Roman"/>
          <w:sz w:val="22"/>
          <w:szCs w:val="22"/>
          <w:lang w:val="es-ES_tradnl"/>
        </w:rPr>
        <w:t>ortal de política comercial en línea (SICE): más de 37.000 documentos oficiales y 37 millones de visitas.</w:t>
      </w:r>
    </w:p>
    <w:p w14:paraId="1F57906C" w14:textId="4E9130E4" w:rsidR="00ED78BF" w:rsidRPr="00512F79" w:rsidRDefault="00ED78BF" w:rsidP="00CB030B">
      <w:pPr>
        <w:jc w:val="both"/>
        <w:rPr>
          <w:rFonts w:ascii="Times New Roman" w:hAnsi="Times New Roman" w:cs="Times New Roman"/>
          <w:iCs/>
          <w:color w:val="000000" w:themeColor="text1"/>
          <w:sz w:val="22"/>
          <w:szCs w:val="22"/>
          <w:lang w:val="es-ES"/>
        </w:rPr>
      </w:pPr>
    </w:p>
    <w:p w14:paraId="330D7BC9" w14:textId="77777777" w:rsidR="005F2C83" w:rsidRPr="00512F79" w:rsidRDefault="005F2C83" w:rsidP="00CB030B">
      <w:pPr>
        <w:jc w:val="both"/>
        <w:rPr>
          <w:rFonts w:ascii="Times New Roman" w:hAnsi="Times New Roman" w:cs="Times New Roman"/>
          <w:iCs/>
          <w:color w:val="000000" w:themeColor="text1"/>
          <w:sz w:val="22"/>
          <w:szCs w:val="22"/>
          <w:lang w:val="es-ES"/>
        </w:rPr>
      </w:pPr>
    </w:p>
    <w:p w14:paraId="77539489" w14:textId="77777777" w:rsidR="00F4728E" w:rsidRPr="00512F79" w:rsidRDefault="00967695">
      <w:pPr>
        <w:contextualSpacing/>
        <w:jc w:val="both"/>
        <w:rPr>
          <w:rFonts w:ascii="Times New Roman" w:eastAsia="Cambria" w:hAnsi="Times New Roman" w:cs="Times New Roman"/>
          <w:b/>
          <w:bCs/>
          <w:color w:val="000000" w:themeColor="text1"/>
          <w:sz w:val="22"/>
          <w:szCs w:val="22"/>
          <w:u w:val="single"/>
          <w:lang w:val="es-ES"/>
        </w:rPr>
      </w:pPr>
      <w:r w:rsidRPr="00512F79">
        <w:rPr>
          <w:rFonts w:ascii="Times New Roman" w:eastAsia="Cambria" w:hAnsi="Times New Roman" w:cs="Times New Roman"/>
          <w:b/>
          <w:bCs/>
          <w:color w:val="000000" w:themeColor="text1"/>
          <w:sz w:val="22"/>
          <w:szCs w:val="22"/>
          <w:u w:val="single"/>
          <w:lang w:val="es-ES"/>
        </w:rPr>
        <w:t>OBJETIVO 1.2</w:t>
      </w:r>
    </w:p>
    <w:p w14:paraId="75A61063" w14:textId="77777777" w:rsidR="0074320E" w:rsidRPr="00512F79" w:rsidRDefault="0074320E" w:rsidP="00CB030B">
      <w:pPr>
        <w:contextualSpacing/>
        <w:jc w:val="both"/>
        <w:rPr>
          <w:rFonts w:ascii="Times New Roman" w:eastAsia="Cambria" w:hAnsi="Times New Roman" w:cs="Times New Roman"/>
          <w:b/>
          <w:bCs/>
          <w:color w:val="000000" w:themeColor="text1"/>
          <w:sz w:val="22"/>
          <w:szCs w:val="22"/>
          <w:u w:val="single"/>
          <w:lang w:val="es-ES"/>
        </w:rPr>
      </w:pPr>
    </w:p>
    <w:p w14:paraId="5C764740" w14:textId="515CA4F1" w:rsidR="00F4728E" w:rsidRPr="00487AAA" w:rsidRDefault="00487AAA">
      <w:pPr>
        <w:ind w:firstLine="720"/>
        <w:contextualSpacing/>
        <w:jc w:val="both"/>
        <w:rPr>
          <w:rFonts w:ascii="Times New Roman" w:eastAsia="Cambria" w:hAnsi="Times New Roman" w:cs="Times New Roman"/>
          <w:color w:val="000000" w:themeColor="text1"/>
          <w:sz w:val="22"/>
          <w:szCs w:val="22"/>
          <w:lang w:val="es-ES"/>
        </w:rPr>
      </w:pPr>
      <w:r w:rsidRPr="00487AAA">
        <w:rPr>
          <w:rFonts w:ascii="Times New Roman" w:hAnsi="Times New Roman" w:cs="Times New Roman"/>
          <w:sz w:val="22"/>
          <w:szCs w:val="22"/>
          <w:lang w:val="es-ES_tradnl"/>
        </w:rPr>
        <w:t>Incrementar la cooperación regional, el intercambio de conocimientos, la transferencia de tecnología en términos y condiciones mutuamente acordados</w:t>
      </w:r>
      <w:r w:rsidR="00FF7014">
        <w:rPr>
          <w:rFonts w:ascii="Times New Roman" w:hAnsi="Times New Roman" w:cs="Times New Roman"/>
          <w:sz w:val="22"/>
          <w:szCs w:val="22"/>
          <w:lang w:val="es-ES_tradnl"/>
        </w:rPr>
        <w:t>, así como</w:t>
      </w:r>
      <w:r w:rsidRPr="00487AAA">
        <w:rPr>
          <w:rFonts w:ascii="Times New Roman" w:hAnsi="Times New Roman" w:cs="Times New Roman"/>
          <w:sz w:val="22"/>
          <w:szCs w:val="22"/>
          <w:lang w:val="es-ES_tradnl"/>
        </w:rPr>
        <w:t xml:space="preserve"> la colaboración intersectorial </w:t>
      </w:r>
      <w:r w:rsidR="00FF7014">
        <w:rPr>
          <w:rFonts w:ascii="Times New Roman" w:hAnsi="Times New Roman" w:cs="Times New Roman"/>
          <w:sz w:val="22"/>
          <w:szCs w:val="22"/>
          <w:lang w:val="es-ES_tradnl"/>
        </w:rPr>
        <w:t>entre los</w:t>
      </w:r>
      <w:r w:rsidRPr="00487AAA">
        <w:rPr>
          <w:rFonts w:ascii="Times New Roman" w:hAnsi="Times New Roman" w:cs="Times New Roman"/>
          <w:sz w:val="22"/>
          <w:szCs w:val="22"/>
          <w:lang w:val="es-ES_tradnl"/>
        </w:rPr>
        <w:t xml:space="preserve"> Estados Miembros </w:t>
      </w:r>
      <w:r w:rsidR="00FF7014">
        <w:rPr>
          <w:rFonts w:ascii="Times New Roman" w:hAnsi="Times New Roman" w:cs="Times New Roman"/>
          <w:sz w:val="22"/>
          <w:szCs w:val="22"/>
          <w:lang w:val="es-ES_tradnl"/>
        </w:rPr>
        <w:t xml:space="preserve">y dentro de ellos </w:t>
      </w:r>
      <w:r w:rsidRPr="00487AAA">
        <w:rPr>
          <w:rFonts w:ascii="Times New Roman" w:hAnsi="Times New Roman" w:cs="Times New Roman"/>
          <w:sz w:val="22"/>
          <w:szCs w:val="22"/>
          <w:lang w:val="es-ES_tradnl"/>
        </w:rPr>
        <w:t>en materia de competitividad, productividad e innovación</w:t>
      </w:r>
      <w:r w:rsidR="00967695" w:rsidRPr="00487AAA">
        <w:rPr>
          <w:rFonts w:ascii="Times New Roman" w:eastAsia="Cambria" w:hAnsi="Times New Roman" w:cs="Times New Roman"/>
          <w:color w:val="000000" w:themeColor="text1"/>
          <w:sz w:val="22"/>
          <w:szCs w:val="22"/>
          <w:lang w:val="es-ES"/>
        </w:rPr>
        <w:t>.</w:t>
      </w:r>
    </w:p>
    <w:p w14:paraId="746F662B" w14:textId="77777777" w:rsidR="00ED78BF" w:rsidRPr="00512F79" w:rsidRDefault="00ED78BF" w:rsidP="00B93932">
      <w:pPr>
        <w:jc w:val="both"/>
        <w:rPr>
          <w:rFonts w:ascii="Times New Roman" w:hAnsi="Times New Roman" w:cs="Times New Roman"/>
          <w:b/>
          <w:bCs/>
          <w:color w:val="000000" w:themeColor="text1"/>
          <w:sz w:val="22"/>
          <w:szCs w:val="22"/>
          <w:lang w:val="es-ES"/>
        </w:rPr>
      </w:pPr>
    </w:p>
    <w:p w14:paraId="432ECFCB" w14:textId="77777777" w:rsidR="007B659A" w:rsidRPr="003C15F1" w:rsidRDefault="00967695" w:rsidP="007B659A">
      <w:pPr>
        <w:pStyle w:val="Body"/>
        <w:ind w:left="720"/>
        <w:jc w:val="both"/>
        <w:rPr>
          <w:b/>
          <w:bCs/>
          <w:sz w:val="22"/>
          <w:szCs w:val="22"/>
          <w:lang w:val="es-ES"/>
        </w:rPr>
      </w:pPr>
      <w:r w:rsidRPr="007B659A">
        <w:rPr>
          <w:b/>
          <w:bCs/>
          <w:color w:val="000000" w:themeColor="text1"/>
          <w:sz w:val="22"/>
          <w:szCs w:val="22"/>
          <w:lang w:val="es-ES"/>
        </w:rPr>
        <w:t xml:space="preserve">Red Interamericana de Competitividad (RIAC), </w:t>
      </w:r>
      <w:r w:rsidR="007B659A" w:rsidRPr="003C15F1">
        <w:rPr>
          <w:b/>
          <w:bCs/>
          <w:sz w:val="22"/>
          <w:szCs w:val="22"/>
          <w:lang w:val="es-ES_tradnl"/>
        </w:rPr>
        <w:t>Intercambios para la Competitividad de las Américas (ACE)</w:t>
      </w:r>
    </w:p>
    <w:p w14:paraId="14B9B694" w14:textId="77777777" w:rsidR="00ED78BF" w:rsidRPr="00337821" w:rsidRDefault="00ED78BF" w:rsidP="00CB030B">
      <w:pPr>
        <w:ind w:left="1440" w:hanging="720"/>
        <w:contextualSpacing/>
        <w:jc w:val="both"/>
        <w:rPr>
          <w:rFonts w:ascii="Times New Roman" w:eastAsia="Cambria" w:hAnsi="Times New Roman" w:cs="Times New Roman"/>
          <w:b/>
          <w:bCs/>
          <w:color w:val="000000" w:themeColor="text1"/>
          <w:sz w:val="22"/>
          <w:szCs w:val="22"/>
          <w:lang w:val="es-ES"/>
        </w:rPr>
      </w:pPr>
    </w:p>
    <w:p w14:paraId="2D3FF944" w14:textId="7EFEA1D2" w:rsidR="00F4728E" w:rsidRPr="00512F79" w:rsidRDefault="00967695">
      <w:pPr>
        <w:pStyle w:val="NormalWeb"/>
        <w:numPr>
          <w:ilvl w:val="0"/>
          <w:numId w:val="8"/>
        </w:numPr>
        <w:spacing w:before="0" w:beforeAutospacing="0" w:after="0" w:afterAutospacing="0"/>
        <w:ind w:left="1440" w:hanging="720"/>
        <w:jc w:val="both"/>
        <w:rPr>
          <w:color w:val="000000" w:themeColor="text1"/>
          <w:sz w:val="22"/>
          <w:szCs w:val="22"/>
          <w:lang w:val="es-ES"/>
        </w:rPr>
      </w:pPr>
      <w:r w:rsidRPr="00512F79">
        <w:rPr>
          <w:color w:val="000000" w:themeColor="text1"/>
          <w:sz w:val="22"/>
          <w:szCs w:val="22"/>
          <w:bdr w:val="none" w:sz="0" w:space="0" w:color="auto" w:frame="1"/>
          <w:shd w:val="clear" w:color="auto" w:fill="FFFFFF"/>
          <w:lang w:val="es-ES"/>
        </w:rPr>
        <w:t xml:space="preserve">Se </w:t>
      </w:r>
      <w:r w:rsidR="00337087">
        <w:rPr>
          <w:color w:val="000000" w:themeColor="text1"/>
          <w:sz w:val="22"/>
          <w:szCs w:val="22"/>
          <w:bdr w:val="none" w:sz="0" w:space="0" w:color="auto" w:frame="1"/>
          <w:shd w:val="clear" w:color="auto" w:fill="FFFFFF"/>
          <w:lang w:val="es-ES"/>
        </w:rPr>
        <w:t>intercambiaron</w:t>
      </w:r>
      <w:r w:rsidRPr="00512F79">
        <w:rPr>
          <w:color w:val="000000" w:themeColor="text1"/>
          <w:sz w:val="22"/>
          <w:szCs w:val="22"/>
          <w:bdr w:val="none" w:sz="0" w:space="0" w:color="auto" w:frame="1"/>
          <w:shd w:val="clear" w:color="auto" w:fill="FFFFFF"/>
          <w:lang w:val="es-ES"/>
        </w:rPr>
        <w:t xml:space="preserve"> más de 30 buenas prácticas </w:t>
      </w:r>
      <w:r w:rsidRPr="00512F79">
        <w:rPr>
          <w:color w:val="000000" w:themeColor="text1"/>
          <w:sz w:val="22"/>
          <w:szCs w:val="22"/>
          <w:bdr w:val="none" w:sz="0" w:space="0" w:color="auto" w:frame="1"/>
          <w:lang w:val="es-ES"/>
        </w:rPr>
        <w:t xml:space="preserve">relacionadas con el desarrollo económico inclusivo y la recuperación económica de </w:t>
      </w:r>
      <w:r w:rsidRPr="00512F79">
        <w:rPr>
          <w:color w:val="000000" w:themeColor="text1"/>
          <w:sz w:val="22"/>
          <w:szCs w:val="22"/>
          <w:bdr w:val="none" w:sz="0" w:space="0" w:color="auto" w:frame="1"/>
          <w:shd w:val="clear" w:color="auto" w:fill="FFFFFF"/>
          <w:lang w:val="es-ES"/>
        </w:rPr>
        <w:t xml:space="preserve">centros de innovación, centros de investigación, empresas, universidades y entidades públicas de Nueva Orleans, Baton Rouge, Lafayette y Acadiana, Luisiana, en el </w:t>
      </w:r>
      <w:r w:rsidR="00580689">
        <w:rPr>
          <w:color w:val="000000" w:themeColor="text1"/>
          <w:sz w:val="22"/>
          <w:szCs w:val="22"/>
          <w:bdr w:val="none" w:sz="0" w:space="0" w:color="auto" w:frame="1"/>
          <w:shd w:val="clear" w:color="auto" w:fill="FFFFFF"/>
          <w:lang w:val="es-ES"/>
        </w:rPr>
        <w:t>décimo cuarto Intercambio para la Competitividad de las Américas</w:t>
      </w:r>
      <w:r w:rsidR="00A96C7C">
        <w:rPr>
          <w:color w:val="000000" w:themeColor="text1"/>
          <w:sz w:val="22"/>
          <w:szCs w:val="22"/>
          <w:bdr w:val="none" w:sz="0" w:space="0" w:color="auto" w:frame="1"/>
          <w:shd w:val="clear" w:color="auto" w:fill="FFFFFF"/>
          <w:lang w:val="es-ES"/>
        </w:rPr>
        <w:t xml:space="preserve"> (ACE)</w:t>
      </w:r>
      <w:r w:rsidR="00891A67" w:rsidRPr="00512F79">
        <w:rPr>
          <w:color w:val="000000" w:themeColor="text1"/>
          <w:sz w:val="22"/>
          <w:szCs w:val="22"/>
          <w:lang w:val="es-ES"/>
        </w:rPr>
        <w:t xml:space="preserve"> </w:t>
      </w:r>
      <w:r w:rsidRPr="00512F79">
        <w:rPr>
          <w:color w:val="000000" w:themeColor="text1"/>
          <w:sz w:val="22"/>
          <w:szCs w:val="22"/>
          <w:lang w:val="es-ES"/>
        </w:rPr>
        <w:t xml:space="preserve">celebrado </w:t>
      </w:r>
      <w:r w:rsidR="000276C7">
        <w:rPr>
          <w:color w:val="000000" w:themeColor="text1"/>
          <w:sz w:val="22"/>
          <w:szCs w:val="22"/>
          <w:lang w:val="es-ES"/>
        </w:rPr>
        <w:t>del</w:t>
      </w:r>
      <w:r w:rsidRPr="00512F79">
        <w:rPr>
          <w:color w:val="000000" w:themeColor="text1"/>
          <w:sz w:val="22"/>
          <w:szCs w:val="22"/>
          <w:lang w:val="es-ES"/>
        </w:rPr>
        <w:t xml:space="preserve"> 27 de marzo </w:t>
      </w:r>
      <w:r w:rsidR="000276C7">
        <w:rPr>
          <w:color w:val="000000" w:themeColor="text1"/>
          <w:sz w:val="22"/>
          <w:szCs w:val="22"/>
          <w:lang w:val="es-ES"/>
        </w:rPr>
        <w:t xml:space="preserve">al </w:t>
      </w:r>
      <w:r w:rsidRPr="00512F79">
        <w:rPr>
          <w:color w:val="000000" w:themeColor="text1"/>
          <w:sz w:val="22"/>
          <w:szCs w:val="22"/>
          <w:lang w:val="es-ES"/>
        </w:rPr>
        <w:t>2 de abril de 2022</w:t>
      </w:r>
      <w:r w:rsidRPr="00512F79">
        <w:rPr>
          <w:color w:val="000000" w:themeColor="text1"/>
          <w:sz w:val="22"/>
          <w:szCs w:val="22"/>
          <w:bdr w:val="none" w:sz="0" w:space="0" w:color="auto" w:frame="1"/>
          <w:shd w:val="clear" w:color="auto" w:fill="FFFFFF"/>
          <w:lang w:val="es-ES"/>
        </w:rPr>
        <w:t xml:space="preserve">, lo que dio lugar a más de 30 pistas de colaboración concretas entre más de 60 </w:t>
      </w:r>
      <w:r w:rsidR="001B7EEA">
        <w:rPr>
          <w:color w:val="000000" w:themeColor="text1"/>
          <w:sz w:val="22"/>
          <w:szCs w:val="22"/>
          <w:bdr w:val="none" w:sz="0" w:space="0" w:color="auto" w:frame="1"/>
          <w:shd w:val="clear" w:color="auto" w:fill="FFFFFF"/>
          <w:lang w:val="es-ES"/>
        </w:rPr>
        <w:t>líderes</w:t>
      </w:r>
      <w:r w:rsidRPr="00512F79">
        <w:rPr>
          <w:color w:val="000000" w:themeColor="text1"/>
          <w:sz w:val="22"/>
          <w:szCs w:val="22"/>
          <w:bdr w:val="none" w:sz="0" w:space="0" w:color="auto" w:frame="1"/>
          <w:shd w:val="clear" w:color="auto" w:fill="FFFFFF"/>
          <w:lang w:val="es-ES"/>
        </w:rPr>
        <w:t xml:space="preserve"> de los sectores privado, público y académico de los </w:t>
      </w:r>
      <w:r w:rsidR="005F30B1" w:rsidRPr="00512F79">
        <w:rPr>
          <w:color w:val="000000" w:themeColor="text1"/>
          <w:sz w:val="22"/>
          <w:szCs w:val="22"/>
          <w:lang w:val="es-ES"/>
        </w:rPr>
        <w:t xml:space="preserve">Estados </w:t>
      </w:r>
      <w:r w:rsidR="00A05B4E">
        <w:rPr>
          <w:color w:val="000000" w:themeColor="text1"/>
          <w:sz w:val="22"/>
          <w:szCs w:val="22"/>
          <w:lang w:val="es-ES"/>
        </w:rPr>
        <w:t>M</w:t>
      </w:r>
      <w:r w:rsidR="00C67D84" w:rsidRPr="00512F79">
        <w:rPr>
          <w:color w:val="000000" w:themeColor="text1"/>
          <w:sz w:val="22"/>
          <w:szCs w:val="22"/>
          <w:lang w:val="es-ES"/>
        </w:rPr>
        <w:t xml:space="preserve">iembros de </w:t>
      </w:r>
      <w:r w:rsidRPr="00512F79">
        <w:rPr>
          <w:color w:val="000000" w:themeColor="text1"/>
          <w:sz w:val="22"/>
          <w:szCs w:val="22"/>
          <w:bdr w:val="none" w:sz="0" w:space="0" w:color="auto" w:frame="1"/>
          <w:shd w:val="clear" w:color="auto" w:fill="FFFFFF"/>
          <w:lang w:val="es-ES"/>
        </w:rPr>
        <w:t>la OEA y socios.</w:t>
      </w:r>
    </w:p>
    <w:p w14:paraId="5194A554" w14:textId="77777777" w:rsidR="00ED78BF" w:rsidRPr="00512F79" w:rsidRDefault="00ED78BF" w:rsidP="00CB030B">
      <w:pPr>
        <w:pStyle w:val="NormalWeb"/>
        <w:spacing w:before="0" w:beforeAutospacing="0" w:after="0" w:afterAutospacing="0"/>
        <w:ind w:left="1440" w:hanging="720"/>
        <w:jc w:val="both"/>
        <w:rPr>
          <w:color w:val="000000" w:themeColor="text1"/>
          <w:sz w:val="22"/>
          <w:szCs w:val="22"/>
          <w:lang w:val="es-ES"/>
        </w:rPr>
      </w:pPr>
    </w:p>
    <w:p w14:paraId="0A4A82B1" w14:textId="487B3DBA" w:rsidR="00F4728E" w:rsidRPr="00512F79" w:rsidRDefault="007A5AAD">
      <w:pPr>
        <w:pStyle w:val="NormalWeb"/>
        <w:numPr>
          <w:ilvl w:val="0"/>
          <w:numId w:val="8"/>
        </w:numPr>
        <w:spacing w:before="0" w:beforeAutospacing="0" w:after="0" w:afterAutospacing="0"/>
        <w:ind w:left="1440" w:hanging="720"/>
        <w:jc w:val="both"/>
        <w:rPr>
          <w:color w:val="000000" w:themeColor="text1"/>
          <w:sz w:val="22"/>
          <w:szCs w:val="22"/>
          <w:lang w:val="es-ES"/>
        </w:rPr>
      </w:pPr>
      <w:r>
        <w:rPr>
          <w:color w:val="000000" w:themeColor="text1"/>
          <w:sz w:val="22"/>
          <w:szCs w:val="22"/>
          <w:bdr w:val="none" w:sz="0" w:space="0" w:color="auto" w:frame="1"/>
          <w:shd w:val="clear" w:color="auto" w:fill="FFFFFF"/>
          <w:lang w:val="es-ES"/>
        </w:rPr>
        <w:t>Se intercambiaron</w:t>
      </w:r>
      <w:r w:rsidR="00967695" w:rsidRPr="00512F79">
        <w:rPr>
          <w:color w:val="000000" w:themeColor="text1"/>
          <w:sz w:val="22"/>
          <w:szCs w:val="22"/>
          <w:bdr w:val="none" w:sz="0" w:space="0" w:color="auto" w:frame="1"/>
          <w:shd w:val="clear" w:color="auto" w:fill="FFFFFF"/>
          <w:lang w:val="es-ES"/>
        </w:rPr>
        <w:t xml:space="preserve"> más de 20 buenas prácticas </w:t>
      </w:r>
      <w:r w:rsidR="00967695" w:rsidRPr="00512F79">
        <w:rPr>
          <w:color w:val="000000" w:themeColor="text1"/>
          <w:sz w:val="22"/>
          <w:szCs w:val="22"/>
          <w:bdr w:val="none" w:sz="0" w:space="0" w:color="auto" w:frame="1"/>
          <w:lang w:val="es-ES"/>
        </w:rPr>
        <w:t xml:space="preserve">relacionadas con el desarrollo económico sostenible, inclusivo y equitativo, la innovación y el emprendimiento por parte de </w:t>
      </w:r>
      <w:r w:rsidR="004446FD">
        <w:rPr>
          <w:color w:val="000000" w:themeColor="text1"/>
          <w:sz w:val="22"/>
          <w:szCs w:val="22"/>
          <w:bdr w:val="none" w:sz="0" w:space="0" w:color="auto" w:frame="1"/>
          <w:lang w:val="es-ES"/>
        </w:rPr>
        <w:t>espacios de trabajo compartidos</w:t>
      </w:r>
      <w:r w:rsidR="00967695" w:rsidRPr="00512F79">
        <w:rPr>
          <w:color w:val="000000" w:themeColor="text1"/>
          <w:sz w:val="22"/>
          <w:szCs w:val="22"/>
          <w:bdr w:val="none" w:sz="0" w:space="0" w:color="auto" w:frame="1"/>
          <w:lang w:val="es-ES"/>
        </w:rPr>
        <w:t xml:space="preserve">, empresas de rápido crecimiento, </w:t>
      </w:r>
      <w:r w:rsidR="00230029">
        <w:rPr>
          <w:color w:val="000000" w:themeColor="text1"/>
          <w:sz w:val="22"/>
          <w:szCs w:val="22"/>
          <w:bdr w:val="none" w:sz="0" w:space="0" w:color="auto" w:frame="1"/>
          <w:lang w:val="es-ES"/>
        </w:rPr>
        <w:t>aglomeraciones industriales</w:t>
      </w:r>
      <w:r w:rsidR="00967695" w:rsidRPr="00512F79">
        <w:rPr>
          <w:color w:val="000000" w:themeColor="text1"/>
          <w:sz w:val="22"/>
          <w:szCs w:val="22"/>
          <w:bdr w:val="none" w:sz="0" w:space="0" w:color="auto" w:frame="1"/>
          <w:lang w:val="es-ES"/>
        </w:rPr>
        <w:t xml:space="preserve">, iniciativas empresariales, instituciones académicas y otros centros de innovación </w:t>
      </w:r>
      <w:r w:rsidR="00967695" w:rsidRPr="00512F79">
        <w:rPr>
          <w:color w:val="000000" w:themeColor="text1"/>
          <w:sz w:val="22"/>
          <w:szCs w:val="22"/>
          <w:bdr w:val="none" w:sz="0" w:space="0" w:color="auto" w:frame="1"/>
          <w:shd w:val="clear" w:color="auto" w:fill="FFFFFF"/>
          <w:lang w:val="es-ES"/>
        </w:rPr>
        <w:t xml:space="preserve">en Quito, Ecuador, en </w:t>
      </w:r>
      <w:r w:rsidR="00535DFC">
        <w:rPr>
          <w:color w:val="000000" w:themeColor="text1"/>
          <w:sz w:val="22"/>
          <w:szCs w:val="22"/>
          <w:bdr w:val="none" w:sz="0" w:space="0" w:color="auto" w:frame="1"/>
          <w:shd w:val="clear" w:color="auto" w:fill="FFFFFF"/>
          <w:lang w:val="es-ES"/>
        </w:rPr>
        <w:t xml:space="preserve">la </w:t>
      </w:r>
      <w:r w:rsidR="00E44A51">
        <w:rPr>
          <w:color w:val="000000" w:themeColor="text1"/>
          <w:sz w:val="22"/>
          <w:szCs w:val="22"/>
          <w:bdr w:val="none" w:sz="0" w:space="0" w:color="auto" w:frame="1"/>
          <w:shd w:val="clear" w:color="auto" w:fill="FFFFFF"/>
          <w:lang w:val="es-ES"/>
        </w:rPr>
        <w:t>decimoquinta</w:t>
      </w:r>
      <w:r w:rsidR="00535DFC">
        <w:rPr>
          <w:color w:val="000000" w:themeColor="text1"/>
          <w:sz w:val="22"/>
          <w:szCs w:val="22"/>
          <w:bdr w:val="none" w:sz="0" w:space="0" w:color="auto" w:frame="1"/>
          <w:shd w:val="clear" w:color="auto" w:fill="FFFFFF"/>
          <w:lang w:val="es-ES"/>
        </w:rPr>
        <w:t xml:space="preserve"> edición del</w:t>
      </w:r>
      <w:r w:rsidR="00967695" w:rsidRPr="00512F79">
        <w:rPr>
          <w:color w:val="000000" w:themeColor="text1"/>
          <w:sz w:val="22"/>
          <w:szCs w:val="22"/>
          <w:lang w:val="es-ES"/>
        </w:rPr>
        <w:t xml:space="preserve"> </w:t>
      </w:r>
      <w:r w:rsidR="00882AE6">
        <w:rPr>
          <w:color w:val="000000" w:themeColor="text1"/>
          <w:sz w:val="22"/>
          <w:szCs w:val="22"/>
          <w:lang w:val="es-ES"/>
        </w:rPr>
        <w:t xml:space="preserve">Intercambio para la Competitividad de las Américas </w:t>
      </w:r>
      <w:r w:rsidR="00967695" w:rsidRPr="00512F79">
        <w:rPr>
          <w:color w:val="000000" w:themeColor="text1"/>
          <w:sz w:val="22"/>
          <w:szCs w:val="22"/>
          <w:lang w:val="es-ES"/>
        </w:rPr>
        <w:t xml:space="preserve">celebrado del 13 al 17 de noviembre </w:t>
      </w:r>
      <w:r w:rsidR="00967695" w:rsidRPr="00512F79">
        <w:rPr>
          <w:color w:val="000000" w:themeColor="text1"/>
          <w:sz w:val="22"/>
          <w:szCs w:val="22"/>
          <w:bdr w:val="none" w:sz="0" w:space="0" w:color="auto" w:frame="1"/>
          <w:shd w:val="clear" w:color="auto" w:fill="FFFFFF"/>
          <w:lang w:val="es-ES"/>
        </w:rPr>
        <w:t>de 2022,</w:t>
      </w:r>
      <w:r w:rsidR="00535DFC">
        <w:rPr>
          <w:color w:val="000000" w:themeColor="text1"/>
          <w:sz w:val="22"/>
          <w:szCs w:val="22"/>
          <w:bdr w:val="none" w:sz="0" w:space="0" w:color="auto" w:frame="1"/>
          <w:shd w:val="clear" w:color="auto" w:fill="FFFFFF"/>
          <w:lang w:val="es-ES"/>
        </w:rPr>
        <w:t xml:space="preserve"> con el resultado de</w:t>
      </w:r>
      <w:r w:rsidR="00967695" w:rsidRPr="00512F79">
        <w:rPr>
          <w:color w:val="000000" w:themeColor="text1"/>
          <w:sz w:val="22"/>
          <w:szCs w:val="22"/>
          <w:bdr w:val="none" w:sz="0" w:space="0" w:color="auto" w:frame="1"/>
          <w:shd w:val="clear" w:color="auto" w:fill="FFFFFF"/>
          <w:lang w:val="es-ES"/>
        </w:rPr>
        <w:t xml:space="preserve"> más de 25 pistas de colaboración concretas entre más de 60 líderes de los sectores privado, público y académico de los </w:t>
      </w:r>
      <w:r w:rsidR="005F30B1" w:rsidRPr="00512F79">
        <w:rPr>
          <w:color w:val="000000" w:themeColor="text1"/>
          <w:sz w:val="22"/>
          <w:szCs w:val="22"/>
          <w:lang w:val="es-ES"/>
        </w:rPr>
        <w:t xml:space="preserve">Estados </w:t>
      </w:r>
      <w:r w:rsidR="00B979CA">
        <w:rPr>
          <w:color w:val="000000" w:themeColor="text1"/>
          <w:sz w:val="22"/>
          <w:szCs w:val="22"/>
          <w:lang w:val="es-ES"/>
        </w:rPr>
        <w:t>M</w:t>
      </w:r>
      <w:r w:rsidR="00C67D84" w:rsidRPr="00512F79">
        <w:rPr>
          <w:color w:val="000000" w:themeColor="text1"/>
          <w:sz w:val="22"/>
          <w:szCs w:val="22"/>
          <w:lang w:val="es-ES"/>
        </w:rPr>
        <w:t xml:space="preserve">iembros de </w:t>
      </w:r>
      <w:r w:rsidR="00967695" w:rsidRPr="00512F79">
        <w:rPr>
          <w:color w:val="000000" w:themeColor="text1"/>
          <w:sz w:val="22"/>
          <w:szCs w:val="22"/>
          <w:bdr w:val="none" w:sz="0" w:space="0" w:color="auto" w:frame="1"/>
          <w:shd w:val="clear" w:color="auto" w:fill="FFFFFF"/>
          <w:lang w:val="es-ES"/>
        </w:rPr>
        <w:t>la OEA y socios.</w:t>
      </w:r>
    </w:p>
    <w:p w14:paraId="2364505E" w14:textId="77777777" w:rsidR="00ED78BF" w:rsidRPr="00512F79" w:rsidRDefault="00ED78BF" w:rsidP="00CB030B">
      <w:pPr>
        <w:pStyle w:val="ListParagraph"/>
        <w:ind w:left="1440" w:hanging="720"/>
        <w:rPr>
          <w:color w:val="000000" w:themeColor="text1"/>
          <w:sz w:val="22"/>
          <w:szCs w:val="22"/>
          <w:bdr w:val="none" w:sz="0" w:space="0" w:color="auto" w:frame="1"/>
          <w:shd w:val="clear" w:color="auto" w:fill="FFFFFF"/>
          <w:lang w:val="es-ES"/>
        </w:rPr>
      </w:pPr>
    </w:p>
    <w:p w14:paraId="678483BC" w14:textId="11B92BE6" w:rsidR="00F4728E" w:rsidRPr="00512F79" w:rsidRDefault="00967695">
      <w:pPr>
        <w:pStyle w:val="NormalWeb"/>
        <w:numPr>
          <w:ilvl w:val="0"/>
          <w:numId w:val="8"/>
        </w:numPr>
        <w:spacing w:before="0" w:beforeAutospacing="0" w:after="0" w:afterAutospacing="0"/>
        <w:ind w:left="1440" w:hanging="720"/>
        <w:jc w:val="both"/>
        <w:rPr>
          <w:color w:val="000000" w:themeColor="text1"/>
          <w:sz w:val="22"/>
          <w:szCs w:val="22"/>
          <w:lang w:val="es-ES"/>
        </w:rPr>
      </w:pPr>
      <w:r w:rsidRPr="00512F79">
        <w:rPr>
          <w:color w:val="000000" w:themeColor="text1"/>
          <w:sz w:val="22"/>
          <w:szCs w:val="22"/>
          <w:bdr w:val="none" w:sz="0" w:space="0" w:color="auto" w:frame="1"/>
          <w:shd w:val="clear" w:color="auto" w:fill="FFFFFF"/>
          <w:lang w:val="es-ES"/>
        </w:rPr>
        <w:t xml:space="preserve">Programas, </w:t>
      </w:r>
      <w:r w:rsidR="00AE1875">
        <w:rPr>
          <w:color w:val="000000" w:themeColor="text1"/>
          <w:sz w:val="22"/>
          <w:szCs w:val="22"/>
          <w:bdr w:val="none" w:sz="0" w:space="0" w:color="auto" w:frame="1"/>
          <w:shd w:val="clear" w:color="auto" w:fill="FFFFFF"/>
          <w:lang w:val="es-ES"/>
        </w:rPr>
        <w:t>alianzas</w:t>
      </w:r>
      <w:r w:rsidRPr="00512F79">
        <w:rPr>
          <w:color w:val="000000" w:themeColor="text1"/>
          <w:sz w:val="22"/>
          <w:szCs w:val="22"/>
          <w:bdr w:val="none" w:sz="0" w:space="0" w:color="auto" w:frame="1"/>
          <w:shd w:val="clear" w:color="auto" w:fill="FFFFFF"/>
          <w:lang w:val="es-ES"/>
        </w:rPr>
        <w:t xml:space="preserve"> e iniciativas desarrolladas por las partes interesadas del programa ACE </w:t>
      </w:r>
      <w:r w:rsidR="003C2BE7" w:rsidRPr="00512F79">
        <w:rPr>
          <w:color w:val="000000" w:themeColor="text1"/>
          <w:sz w:val="22"/>
          <w:szCs w:val="22"/>
          <w:bdr w:val="none" w:sz="0" w:space="0" w:color="auto" w:frame="1"/>
          <w:shd w:val="clear" w:color="auto" w:fill="FFFFFF"/>
          <w:lang w:val="es-ES"/>
        </w:rPr>
        <w:t>2021/2022</w:t>
      </w:r>
      <w:r w:rsidRPr="00512F79">
        <w:rPr>
          <w:color w:val="000000" w:themeColor="text1"/>
          <w:sz w:val="22"/>
          <w:szCs w:val="22"/>
          <w:bdr w:val="none" w:sz="0" w:space="0" w:color="auto" w:frame="1"/>
          <w:shd w:val="clear" w:color="auto" w:fill="FFFFFF"/>
          <w:lang w:val="es-ES"/>
        </w:rPr>
        <w:t>:</w:t>
      </w:r>
    </w:p>
    <w:p w14:paraId="5E4A8A63" w14:textId="77777777" w:rsidR="003C2BE7" w:rsidRPr="00512F79" w:rsidRDefault="003C2BE7" w:rsidP="00CB030B">
      <w:pPr>
        <w:pStyle w:val="NormalWeb"/>
        <w:spacing w:before="0" w:beforeAutospacing="0" w:after="0" w:afterAutospacing="0"/>
        <w:ind w:left="720"/>
        <w:jc w:val="both"/>
        <w:rPr>
          <w:color w:val="000000" w:themeColor="text1"/>
          <w:sz w:val="22"/>
          <w:szCs w:val="22"/>
          <w:lang w:val="es-ES"/>
        </w:rPr>
      </w:pPr>
    </w:p>
    <w:p w14:paraId="61BEAF6B" w14:textId="036CF35F" w:rsidR="00F4728E" w:rsidRPr="00512F79" w:rsidRDefault="00967695">
      <w:pPr>
        <w:pStyle w:val="NormalWeb"/>
        <w:numPr>
          <w:ilvl w:val="1"/>
          <w:numId w:val="8"/>
        </w:numPr>
        <w:spacing w:before="0" w:beforeAutospacing="0" w:after="0" w:afterAutospacing="0"/>
        <w:ind w:left="1980" w:hanging="540"/>
        <w:jc w:val="both"/>
        <w:rPr>
          <w:color w:val="000000" w:themeColor="text1"/>
          <w:sz w:val="22"/>
          <w:szCs w:val="22"/>
          <w:lang w:val="es-ES"/>
        </w:rPr>
      </w:pPr>
      <w:r w:rsidRPr="00512F79">
        <w:rPr>
          <w:color w:val="000000" w:themeColor="text1"/>
          <w:sz w:val="22"/>
          <w:szCs w:val="22"/>
          <w:bdr w:val="none" w:sz="0" w:space="0" w:color="auto" w:frame="1"/>
          <w:shd w:val="clear" w:color="auto" w:fill="FFFFFF"/>
          <w:lang w:val="es-ES"/>
        </w:rPr>
        <w:t xml:space="preserve">Durante el período que abarca el informe se documentaron más de 40 nuevas colaboraciones entre partes interesadas </w:t>
      </w:r>
      <w:r w:rsidR="001B7EEA">
        <w:rPr>
          <w:color w:val="000000" w:themeColor="text1"/>
          <w:sz w:val="22"/>
          <w:szCs w:val="22"/>
          <w:bdr w:val="none" w:sz="0" w:space="0" w:color="auto" w:frame="1"/>
          <w:shd w:val="clear" w:color="auto" w:fill="FFFFFF"/>
          <w:lang w:val="es-ES"/>
        </w:rPr>
        <w:t xml:space="preserve">de ACE </w:t>
      </w:r>
      <w:r w:rsidRPr="00512F79">
        <w:rPr>
          <w:color w:val="000000" w:themeColor="text1"/>
          <w:sz w:val="22"/>
          <w:szCs w:val="22"/>
          <w:bdr w:val="none" w:sz="0" w:space="0" w:color="auto" w:frame="1"/>
          <w:shd w:val="clear" w:color="auto" w:fill="FFFFFF"/>
          <w:lang w:val="es-ES"/>
        </w:rPr>
        <w:t xml:space="preserve">nuevas y anteriores de </w:t>
      </w:r>
      <w:r w:rsidR="005F30B1" w:rsidRPr="00512F79">
        <w:rPr>
          <w:color w:val="000000" w:themeColor="text1"/>
          <w:sz w:val="22"/>
          <w:szCs w:val="22"/>
          <w:bdr w:val="none" w:sz="0" w:space="0" w:color="auto" w:frame="1"/>
          <w:shd w:val="clear" w:color="auto" w:fill="FFFFFF"/>
          <w:lang w:val="es-ES"/>
        </w:rPr>
        <w:t xml:space="preserve">los Estados </w:t>
      </w:r>
      <w:r w:rsidR="002C5D85">
        <w:rPr>
          <w:color w:val="000000" w:themeColor="text1"/>
          <w:sz w:val="22"/>
          <w:szCs w:val="22"/>
          <w:bdr w:val="none" w:sz="0" w:space="0" w:color="auto" w:frame="1"/>
          <w:shd w:val="clear" w:color="auto" w:fill="FFFFFF"/>
          <w:lang w:val="es-ES"/>
        </w:rPr>
        <w:t>M</w:t>
      </w:r>
      <w:r w:rsidR="00C67D84" w:rsidRPr="00512F79">
        <w:rPr>
          <w:color w:val="000000" w:themeColor="text1"/>
          <w:sz w:val="22"/>
          <w:szCs w:val="22"/>
          <w:bdr w:val="none" w:sz="0" w:space="0" w:color="auto" w:frame="1"/>
          <w:shd w:val="clear" w:color="auto" w:fill="FFFFFF"/>
          <w:lang w:val="es-ES"/>
        </w:rPr>
        <w:t xml:space="preserve">iembros de </w:t>
      </w:r>
      <w:r w:rsidRPr="00512F79">
        <w:rPr>
          <w:color w:val="000000" w:themeColor="text1"/>
          <w:sz w:val="22"/>
          <w:szCs w:val="22"/>
          <w:bdr w:val="none" w:sz="0" w:space="0" w:color="auto" w:frame="1"/>
          <w:shd w:val="clear" w:color="auto" w:fill="FFFFFF"/>
          <w:lang w:val="es-ES"/>
        </w:rPr>
        <w:t xml:space="preserve">la OEA con el objetivo de promover la innovación, el espíritu empresarial y la innovación. </w:t>
      </w:r>
    </w:p>
    <w:p w14:paraId="6B5C79D4" w14:textId="5B5E0783" w:rsidR="00F4728E" w:rsidRPr="00512F79" w:rsidRDefault="00967695">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es-ES"/>
        </w:rPr>
      </w:pPr>
      <w:r w:rsidRPr="00512F79">
        <w:rPr>
          <w:color w:val="000000" w:themeColor="text1"/>
          <w:sz w:val="22"/>
          <w:szCs w:val="22"/>
          <w:bdr w:val="none" w:sz="0" w:space="0" w:color="auto" w:frame="1"/>
          <w:shd w:val="clear" w:color="auto" w:fill="FFFFFF"/>
          <w:lang w:val="es-ES"/>
        </w:rPr>
        <w:t xml:space="preserve">El Programa </w:t>
      </w:r>
      <w:r w:rsidRPr="002C5D85">
        <w:rPr>
          <w:i/>
          <w:iCs/>
          <w:color w:val="000000" w:themeColor="text1"/>
          <w:sz w:val="22"/>
          <w:szCs w:val="22"/>
          <w:bdr w:val="none" w:sz="0" w:space="0" w:color="auto" w:frame="1"/>
          <w:shd w:val="clear" w:color="auto" w:fill="FFFFFF"/>
          <w:lang w:val="es-ES"/>
        </w:rPr>
        <w:t>Córdoba Acelera</w:t>
      </w:r>
      <w:r w:rsidRPr="00512F79">
        <w:rPr>
          <w:color w:val="000000" w:themeColor="text1"/>
          <w:sz w:val="22"/>
          <w:szCs w:val="22"/>
          <w:bdr w:val="none" w:sz="0" w:space="0" w:color="auto" w:frame="1"/>
          <w:shd w:val="clear" w:color="auto" w:fill="FFFFFF"/>
          <w:lang w:val="es-ES"/>
        </w:rPr>
        <w:t xml:space="preserve"> -diseñado e implementado en la Municipalidad de Córdoba, Argentina- tiene </w:t>
      </w:r>
      <w:r w:rsidR="00D52DFF">
        <w:rPr>
          <w:color w:val="000000" w:themeColor="text1"/>
          <w:sz w:val="22"/>
          <w:szCs w:val="22"/>
          <w:bdr w:val="none" w:sz="0" w:space="0" w:color="auto" w:frame="1"/>
          <w:shd w:val="clear" w:color="auto" w:fill="FFFFFF"/>
          <w:lang w:val="es-ES"/>
        </w:rPr>
        <w:t>el</w:t>
      </w:r>
      <w:r w:rsidRPr="00512F79">
        <w:rPr>
          <w:color w:val="000000" w:themeColor="text1"/>
          <w:sz w:val="22"/>
          <w:szCs w:val="22"/>
          <w:bdr w:val="none" w:sz="0" w:space="0" w:color="auto" w:frame="1"/>
          <w:shd w:val="clear" w:color="auto" w:fill="FFFFFF"/>
          <w:lang w:val="es-ES"/>
        </w:rPr>
        <w:t xml:space="preserve"> objetivo </w:t>
      </w:r>
      <w:r w:rsidR="00D52DFF">
        <w:rPr>
          <w:color w:val="000000" w:themeColor="text1"/>
          <w:sz w:val="22"/>
          <w:szCs w:val="22"/>
          <w:bdr w:val="none" w:sz="0" w:space="0" w:color="auto" w:frame="1"/>
          <w:shd w:val="clear" w:color="auto" w:fill="FFFFFF"/>
          <w:lang w:val="es-ES"/>
        </w:rPr>
        <w:t xml:space="preserve">de </w:t>
      </w:r>
      <w:r w:rsidRPr="00512F79">
        <w:rPr>
          <w:color w:val="000000" w:themeColor="text1"/>
          <w:sz w:val="22"/>
          <w:szCs w:val="22"/>
          <w:bdr w:val="none" w:sz="0" w:space="0" w:color="auto" w:frame="1"/>
          <w:shd w:val="clear" w:color="auto" w:fill="FFFFFF"/>
          <w:lang w:val="es-ES"/>
        </w:rPr>
        <w:t xml:space="preserve">apoyar proyectos emprendedores innovadores y tecnológicos para la mejora del desempeño socioeconómico de la región. </w:t>
      </w:r>
      <w:r w:rsidRPr="00512F79">
        <w:rPr>
          <w:i/>
          <w:iCs/>
          <w:color w:val="000000" w:themeColor="text1"/>
          <w:sz w:val="22"/>
          <w:szCs w:val="22"/>
          <w:bdr w:val="none" w:sz="0" w:space="0" w:color="auto" w:frame="1"/>
          <w:shd w:val="clear" w:color="auto" w:fill="FFFFFF"/>
          <w:lang w:val="es-ES"/>
        </w:rPr>
        <w:t xml:space="preserve">Córdoba Acelera </w:t>
      </w:r>
      <w:r w:rsidRPr="002C5D85">
        <w:rPr>
          <w:color w:val="000000" w:themeColor="text1"/>
          <w:sz w:val="22"/>
          <w:szCs w:val="22"/>
          <w:bdr w:val="none" w:sz="0" w:space="0" w:color="auto" w:frame="1"/>
          <w:shd w:val="clear" w:color="auto" w:fill="FFFFFF"/>
          <w:lang w:val="es-ES"/>
        </w:rPr>
        <w:t>cuenta con el</w:t>
      </w:r>
      <w:r w:rsidRPr="00512F79">
        <w:rPr>
          <w:i/>
          <w:iCs/>
          <w:color w:val="000000" w:themeColor="text1"/>
          <w:sz w:val="22"/>
          <w:szCs w:val="22"/>
          <w:bdr w:val="none" w:sz="0" w:space="0" w:color="auto" w:frame="1"/>
          <w:shd w:val="clear" w:color="auto" w:fill="FFFFFF"/>
          <w:lang w:val="es-ES"/>
        </w:rPr>
        <w:t xml:space="preserve"> </w:t>
      </w:r>
      <w:r w:rsidRPr="00512F79">
        <w:rPr>
          <w:color w:val="000000" w:themeColor="text1"/>
          <w:sz w:val="22"/>
          <w:szCs w:val="22"/>
          <w:bdr w:val="none" w:sz="0" w:space="0" w:color="auto" w:frame="1"/>
          <w:shd w:val="clear" w:color="auto" w:fill="FFFFFF"/>
          <w:lang w:val="es-ES"/>
        </w:rPr>
        <w:t>apoyo de los actores regionales del sector público, privado y académico y busca posicionar a Córdoba como una región innovadora y moderna, preparada para atraer talento e inversiones.</w:t>
      </w:r>
    </w:p>
    <w:p w14:paraId="55BAB1AD" w14:textId="77777777" w:rsidR="00F4728E" w:rsidRPr="00512F79" w:rsidRDefault="00967695">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es-ES"/>
        </w:rPr>
      </w:pPr>
      <w:r w:rsidRPr="00512F79">
        <w:rPr>
          <w:color w:val="000000" w:themeColor="text1"/>
          <w:sz w:val="22"/>
          <w:szCs w:val="22"/>
          <w:bdr w:val="none" w:sz="0" w:space="0" w:color="auto" w:frame="1"/>
          <w:shd w:val="clear" w:color="auto" w:fill="FFFFFF"/>
          <w:lang w:val="es-ES"/>
        </w:rPr>
        <w:t>El Observatorio de Competitividad de la Universidad Santiago de Guayaquil fue diseñado y puesto en marcha en colaboración con EPICO, la empresa privada de la ciudad dedicada a la promoción de la competitividad y la innovación.</w:t>
      </w:r>
    </w:p>
    <w:p w14:paraId="763F16D5" w14:textId="3DC4EE35" w:rsidR="00F4728E" w:rsidRPr="00512F79" w:rsidRDefault="00967695">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es-ES"/>
        </w:rPr>
      </w:pPr>
      <w:r w:rsidRPr="00512F79">
        <w:rPr>
          <w:i/>
          <w:iCs/>
          <w:color w:val="000000" w:themeColor="text1"/>
          <w:sz w:val="22"/>
          <w:szCs w:val="22"/>
          <w:bdr w:val="none" w:sz="0" w:space="0" w:color="auto" w:frame="1"/>
          <w:shd w:val="clear" w:color="auto" w:fill="FFFFFF"/>
          <w:lang w:val="es-ES"/>
        </w:rPr>
        <w:t xml:space="preserve">Orbital Engenharia </w:t>
      </w:r>
      <w:r w:rsidRPr="00512F79">
        <w:rPr>
          <w:color w:val="000000" w:themeColor="text1"/>
          <w:sz w:val="22"/>
          <w:szCs w:val="22"/>
          <w:bdr w:val="none" w:sz="0" w:space="0" w:color="auto" w:frame="1"/>
          <w:shd w:val="clear" w:color="auto" w:fill="FFFFFF"/>
          <w:lang w:val="es-ES"/>
        </w:rPr>
        <w:t xml:space="preserve">(empresa brasileña) firmó un </w:t>
      </w:r>
      <w:r w:rsidR="002C5D85">
        <w:rPr>
          <w:color w:val="000000" w:themeColor="text1"/>
          <w:sz w:val="22"/>
          <w:szCs w:val="22"/>
          <w:bdr w:val="none" w:sz="0" w:space="0" w:color="auto" w:frame="1"/>
          <w:shd w:val="clear" w:color="auto" w:fill="FFFFFF"/>
          <w:lang w:val="es-ES"/>
        </w:rPr>
        <w:t>a</w:t>
      </w:r>
      <w:r w:rsidRPr="00512F79">
        <w:rPr>
          <w:color w:val="000000" w:themeColor="text1"/>
          <w:sz w:val="22"/>
          <w:szCs w:val="22"/>
          <w:bdr w:val="none" w:sz="0" w:space="0" w:color="auto" w:frame="1"/>
          <w:shd w:val="clear" w:color="auto" w:fill="FFFFFF"/>
          <w:lang w:val="es-ES"/>
        </w:rPr>
        <w:t xml:space="preserve">cuerdo </w:t>
      </w:r>
      <w:r w:rsidR="002C5D85">
        <w:rPr>
          <w:color w:val="000000" w:themeColor="text1"/>
          <w:sz w:val="22"/>
          <w:szCs w:val="22"/>
          <w:bdr w:val="none" w:sz="0" w:space="0" w:color="auto" w:frame="1"/>
          <w:shd w:val="clear" w:color="auto" w:fill="FFFFFF"/>
          <w:lang w:val="es-ES"/>
        </w:rPr>
        <w:t>c</w:t>
      </w:r>
      <w:r w:rsidRPr="00512F79">
        <w:rPr>
          <w:color w:val="000000" w:themeColor="text1"/>
          <w:sz w:val="22"/>
          <w:szCs w:val="22"/>
          <w:bdr w:val="none" w:sz="0" w:space="0" w:color="auto" w:frame="1"/>
          <w:shd w:val="clear" w:color="auto" w:fill="FFFFFF"/>
          <w:lang w:val="es-ES"/>
        </w:rPr>
        <w:t xml:space="preserve">omercial y </w:t>
      </w:r>
      <w:r w:rsidR="002C5D85">
        <w:rPr>
          <w:color w:val="000000" w:themeColor="text1"/>
          <w:sz w:val="22"/>
          <w:szCs w:val="22"/>
          <w:bdr w:val="none" w:sz="0" w:space="0" w:color="auto" w:frame="1"/>
          <w:shd w:val="clear" w:color="auto" w:fill="FFFFFF"/>
          <w:lang w:val="es-ES"/>
        </w:rPr>
        <w:t>t</w:t>
      </w:r>
      <w:r w:rsidRPr="00512F79">
        <w:rPr>
          <w:color w:val="000000" w:themeColor="text1"/>
          <w:sz w:val="22"/>
          <w:szCs w:val="22"/>
          <w:bdr w:val="none" w:sz="0" w:space="0" w:color="auto" w:frame="1"/>
          <w:shd w:val="clear" w:color="auto" w:fill="FFFFFF"/>
          <w:lang w:val="es-ES"/>
        </w:rPr>
        <w:t>ecnológico con Cubesat (empresa estadounidense</w:t>
      </w:r>
      <w:r w:rsidR="009D5152" w:rsidRPr="00512F79">
        <w:rPr>
          <w:color w:val="000000" w:themeColor="text1"/>
          <w:sz w:val="22"/>
          <w:szCs w:val="22"/>
          <w:bdr w:val="none" w:sz="0" w:space="0" w:color="auto" w:frame="1"/>
          <w:shd w:val="clear" w:color="auto" w:fill="FFFFFF"/>
          <w:lang w:val="es-ES"/>
        </w:rPr>
        <w:t xml:space="preserve">) y </w:t>
      </w:r>
      <w:r w:rsidRPr="00512F79">
        <w:rPr>
          <w:color w:val="000000" w:themeColor="text1"/>
          <w:sz w:val="22"/>
          <w:szCs w:val="22"/>
          <w:bdr w:val="none" w:sz="0" w:space="0" w:color="auto" w:frame="1"/>
          <w:shd w:val="clear" w:color="auto" w:fill="FFFFFF"/>
          <w:lang w:val="es-ES"/>
        </w:rPr>
        <w:t xml:space="preserve">diseñó e implementó una serie de </w:t>
      </w:r>
      <w:r w:rsidR="002C5D85">
        <w:rPr>
          <w:color w:val="000000" w:themeColor="text1"/>
          <w:sz w:val="22"/>
          <w:szCs w:val="22"/>
          <w:bdr w:val="none" w:sz="0" w:space="0" w:color="auto" w:frame="1"/>
          <w:shd w:val="clear" w:color="auto" w:fill="FFFFFF"/>
          <w:lang w:val="es-ES"/>
        </w:rPr>
        <w:t>t</w:t>
      </w:r>
      <w:r w:rsidRPr="00512F79">
        <w:rPr>
          <w:color w:val="000000" w:themeColor="text1"/>
          <w:sz w:val="22"/>
          <w:szCs w:val="22"/>
          <w:bdr w:val="none" w:sz="0" w:space="0" w:color="auto" w:frame="1"/>
          <w:shd w:val="clear" w:color="auto" w:fill="FFFFFF"/>
          <w:lang w:val="es-ES"/>
        </w:rPr>
        <w:t xml:space="preserve">alleres de </w:t>
      </w:r>
      <w:r w:rsidR="002C5D85">
        <w:rPr>
          <w:color w:val="000000" w:themeColor="text1"/>
          <w:sz w:val="22"/>
          <w:szCs w:val="22"/>
          <w:bdr w:val="none" w:sz="0" w:space="0" w:color="auto" w:frame="1"/>
          <w:shd w:val="clear" w:color="auto" w:fill="FFFFFF"/>
          <w:lang w:val="es-ES"/>
        </w:rPr>
        <w:t>t</w:t>
      </w:r>
      <w:r w:rsidRPr="00512F79">
        <w:rPr>
          <w:color w:val="000000" w:themeColor="text1"/>
          <w:sz w:val="22"/>
          <w:szCs w:val="22"/>
          <w:bdr w:val="none" w:sz="0" w:space="0" w:color="auto" w:frame="1"/>
          <w:shd w:val="clear" w:color="auto" w:fill="FFFFFF"/>
          <w:lang w:val="es-ES"/>
        </w:rPr>
        <w:t xml:space="preserve">ecnologías </w:t>
      </w:r>
      <w:r w:rsidR="002C5D85">
        <w:rPr>
          <w:color w:val="000000" w:themeColor="text1"/>
          <w:sz w:val="22"/>
          <w:szCs w:val="22"/>
          <w:bdr w:val="none" w:sz="0" w:space="0" w:color="auto" w:frame="1"/>
          <w:shd w:val="clear" w:color="auto" w:fill="FFFFFF"/>
          <w:lang w:val="es-ES"/>
        </w:rPr>
        <w:t>e</w:t>
      </w:r>
      <w:r w:rsidRPr="00512F79">
        <w:rPr>
          <w:color w:val="000000" w:themeColor="text1"/>
          <w:sz w:val="22"/>
          <w:szCs w:val="22"/>
          <w:bdr w:val="none" w:sz="0" w:space="0" w:color="auto" w:frame="1"/>
          <w:shd w:val="clear" w:color="auto" w:fill="FFFFFF"/>
          <w:lang w:val="es-ES"/>
        </w:rPr>
        <w:t>spaciales en Tucumán, Argentina</w:t>
      </w:r>
      <w:r w:rsidR="00892092">
        <w:rPr>
          <w:color w:val="000000" w:themeColor="text1"/>
          <w:sz w:val="22"/>
          <w:szCs w:val="22"/>
          <w:bdr w:val="none" w:sz="0" w:space="0" w:color="auto" w:frame="1"/>
          <w:shd w:val="clear" w:color="auto" w:fill="FFFFFF"/>
          <w:lang w:val="es-ES"/>
        </w:rPr>
        <w:t>,</w:t>
      </w:r>
      <w:r w:rsidR="00D52DFF">
        <w:rPr>
          <w:color w:val="000000" w:themeColor="text1"/>
          <w:sz w:val="22"/>
          <w:szCs w:val="22"/>
          <w:bdr w:val="none" w:sz="0" w:space="0" w:color="auto" w:frame="1"/>
          <w:shd w:val="clear" w:color="auto" w:fill="FFFFFF"/>
          <w:lang w:val="es-ES"/>
        </w:rPr>
        <w:t xml:space="preserve"> durante</w:t>
      </w:r>
      <w:r w:rsidR="003C2BE7" w:rsidRPr="00512F79">
        <w:rPr>
          <w:color w:val="000000" w:themeColor="text1"/>
          <w:sz w:val="22"/>
          <w:szCs w:val="22"/>
          <w:bdr w:val="none" w:sz="0" w:space="0" w:color="auto" w:frame="1"/>
          <w:shd w:val="clear" w:color="auto" w:fill="FFFFFF"/>
          <w:lang w:val="es-ES"/>
        </w:rPr>
        <w:t xml:space="preserve"> </w:t>
      </w:r>
      <w:r w:rsidRPr="00512F79">
        <w:rPr>
          <w:color w:val="000000" w:themeColor="text1"/>
          <w:sz w:val="22"/>
          <w:szCs w:val="22"/>
          <w:bdr w:val="none" w:sz="0" w:space="0" w:color="auto" w:frame="1"/>
          <w:shd w:val="clear" w:color="auto" w:fill="FFFFFF"/>
          <w:lang w:val="es-ES"/>
        </w:rPr>
        <w:t xml:space="preserve">2022. </w:t>
      </w:r>
    </w:p>
    <w:p w14:paraId="6D5BD32D" w14:textId="746E4000" w:rsidR="00F4728E" w:rsidRPr="00512F79" w:rsidRDefault="00967695">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es-ES"/>
        </w:rPr>
      </w:pPr>
      <w:r w:rsidRPr="00512F79">
        <w:rPr>
          <w:color w:val="000000" w:themeColor="text1"/>
          <w:sz w:val="22"/>
          <w:szCs w:val="22"/>
          <w:bdr w:val="none" w:sz="0" w:space="0" w:color="auto" w:frame="1"/>
          <w:shd w:val="clear" w:color="auto" w:fill="FFFFFF"/>
          <w:lang w:val="es-ES"/>
        </w:rPr>
        <w:t xml:space="preserve">La Primera Unidad ACE fue creada por la </w:t>
      </w:r>
      <w:r w:rsidR="007D202F">
        <w:rPr>
          <w:color w:val="000000" w:themeColor="text1"/>
          <w:sz w:val="22"/>
          <w:szCs w:val="22"/>
          <w:bdr w:val="none" w:sz="0" w:space="0" w:color="auto" w:frame="1"/>
          <w:shd w:val="clear" w:color="auto" w:fill="FFFFFF"/>
          <w:lang w:val="es-ES"/>
        </w:rPr>
        <w:t>r</w:t>
      </w:r>
      <w:r w:rsidRPr="00512F79">
        <w:rPr>
          <w:color w:val="000000" w:themeColor="text1"/>
          <w:sz w:val="22"/>
          <w:szCs w:val="22"/>
          <w:bdr w:val="none" w:sz="0" w:space="0" w:color="auto" w:frame="1"/>
          <w:shd w:val="clear" w:color="auto" w:fill="FFFFFF"/>
          <w:lang w:val="es-ES"/>
        </w:rPr>
        <w:t xml:space="preserve">egión 9 de Minnesota, Estados Unidos, como un grupo de trabajo especial </w:t>
      </w:r>
      <w:r w:rsidR="003C2BE7" w:rsidRPr="00512F79">
        <w:rPr>
          <w:color w:val="000000" w:themeColor="text1"/>
          <w:sz w:val="22"/>
          <w:szCs w:val="22"/>
          <w:bdr w:val="none" w:sz="0" w:space="0" w:color="auto" w:frame="1"/>
          <w:shd w:val="clear" w:color="auto" w:fill="FFFFFF"/>
          <w:lang w:val="es-ES"/>
        </w:rPr>
        <w:t xml:space="preserve">con el objetivo </w:t>
      </w:r>
      <w:r w:rsidR="00D52DFF">
        <w:rPr>
          <w:color w:val="000000" w:themeColor="text1"/>
          <w:sz w:val="22"/>
          <w:szCs w:val="22"/>
          <w:bdr w:val="none" w:sz="0" w:space="0" w:color="auto" w:frame="1"/>
          <w:shd w:val="clear" w:color="auto" w:fill="FFFFFF"/>
          <w:lang w:val="es-ES"/>
        </w:rPr>
        <w:t>principal</w:t>
      </w:r>
      <w:r w:rsidR="003C2BE7" w:rsidRPr="00512F79">
        <w:rPr>
          <w:color w:val="000000" w:themeColor="text1"/>
          <w:sz w:val="22"/>
          <w:szCs w:val="22"/>
          <w:bdr w:val="none" w:sz="0" w:space="0" w:color="auto" w:frame="1"/>
          <w:shd w:val="clear" w:color="auto" w:fill="FFFFFF"/>
          <w:lang w:val="es-ES"/>
        </w:rPr>
        <w:t xml:space="preserve"> de aumentar las </w:t>
      </w:r>
      <w:r w:rsidR="007D202F">
        <w:rPr>
          <w:color w:val="000000" w:themeColor="text1"/>
          <w:sz w:val="22"/>
          <w:szCs w:val="22"/>
          <w:bdr w:val="none" w:sz="0" w:space="0" w:color="auto" w:frame="1"/>
          <w:shd w:val="clear" w:color="auto" w:fill="FFFFFF"/>
          <w:lang w:val="es-ES"/>
        </w:rPr>
        <w:t>alianzas</w:t>
      </w:r>
      <w:r w:rsidRPr="00512F79">
        <w:rPr>
          <w:color w:val="000000" w:themeColor="text1"/>
          <w:sz w:val="22"/>
          <w:szCs w:val="22"/>
          <w:bdr w:val="none" w:sz="0" w:space="0" w:color="auto" w:frame="1"/>
          <w:shd w:val="clear" w:color="auto" w:fill="FFFFFF"/>
          <w:lang w:val="es-ES"/>
        </w:rPr>
        <w:t xml:space="preserve"> internacionales en coordinación con las redes locales, estatales y federales para </w:t>
      </w:r>
      <w:r w:rsidR="003C2BE7" w:rsidRPr="00512F79">
        <w:rPr>
          <w:color w:val="000000" w:themeColor="text1"/>
          <w:sz w:val="22"/>
          <w:szCs w:val="22"/>
          <w:bdr w:val="none" w:sz="0" w:space="0" w:color="auto" w:frame="1"/>
          <w:shd w:val="clear" w:color="auto" w:fill="FFFFFF"/>
          <w:lang w:val="es-ES"/>
        </w:rPr>
        <w:t xml:space="preserve">mejorar los </w:t>
      </w:r>
      <w:r w:rsidRPr="00512F79">
        <w:rPr>
          <w:color w:val="000000" w:themeColor="text1"/>
          <w:sz w:val="22"/>
          <w:szCs w:val="22"/>
          <w:bdr w:val="none" w:sz="0" w:space="0" w:color="auto" w:frame="1"/>
          <w:shd w:val="clear" w:color="auto" w:fill="FFFFFF"/>
          <w:lang w:val="es-ES"/>
        </w:rPr>
        <w:t>resultados económicos de la región. Una de las prioridades de la Unidad ACE es optimizar el desarrollo y la retención de la mano de obra local cualificada, la creación de puestos de trabajo bien remunerados y las iniciativas empresariales facilitando y aprovechando las oportunidades de Inversión Extranjera Directa (IED).</w:t>
      </w:r>
    </w:p>
    <w:p w14:paraId="76C15177" w14:textId="3E5C4897" w:rsidR="00F4728E" w:rsidRPr="00512F79" w:rsidRDefault="007D6664">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es-ES"/>
        </w:rPr>
      </w:pPr>
      <w:r>
        <w:rPr>
          <w:color w:val="000000" w:themeColor="text1"/>
          <w:sz w:val="22"/>
          <w:szCs w:val="22"/>
          <w:bdr w:val="none" w:sz="0" w:space="0" w:color="auto" w:frame="1"/>
          <w:shd w:val="clear" w:color="auto" w:fill="FFFFFF"/>
          <w:lang w:val="es-ES"/>
        </w:rPr>
        <w:t>Con el apoyo del Ministerio de Educación, se lanzó en Trinidad y Tobago e</w:t>
      </w:r>
      <w:r w:rsidR="00967695" w:rsidRPr="00512F79">
        <w:rPr>
          <w:color w:val="000000" w:themeColor="text1"/>
          <w:sz w:val="22"/>
          <w:szCs w:val="22"/>
          <w:bdr w:val="none" w:sz="0" w:space="0" w:color="auto" w:frame="1"/>
          <w:shd w:val="clear" w:color="auto" w:fill="FFFFFF"/>
          <w:lang w:val="es-ES"/>
        </w:rPr>
        <w:t xml:space="preserve">l Desafío de Resiliencia Empresarial del Caribe Oriental </w:t>
      </w:r>
      <w:r w:rsidR="007D202F">
        <w:rPr>
          <w:color w:val="000000" w:themeColor="text1"/>
          <w:sz w:val="22"/>
          <w:szCs w:val="22"/>
          <w:bdr w:val="none" w:sz="0" w:space="0" w:color="auto" w:frame="1"/>
          <w:shd w:val="clear" w:color="auto" w:fill="FFFFFF"/>
          <w:lang w:val="es-ES"/>
        </w:rPr>
        <w:t>[</w:t>
      </w:r>
      <w:r w:rsidR="007D202F" w:rsidRPr="007D202F">
        <w:rPr>
          <w:i/>
          <w:iCs/>
          <w:color w:val="000000" w:themeColor="text1"/>
          <w:sz w:val="20"/>
          <w:szCs w:val="20"/>
          <w:bdr w:val="none" w:sz="0" w:space="0" w:color="auto" w:frame="1"/>
          <w:shd w:val="clear" w:color="auto" w:fill="FFFFFF"/>
          <w:lang w:val="es-ES"/>
        </w:rPr>
        <w:t>Eastern Caribbean Business Resilience Challenge</w:t>
      </w:r>
      <w:r w:rsidR="007D202F">
        <w:rPr>
          <w:color w:val="000000" w:themeColor="text1"/>
          <w:sz w:val="22"/>
          <w:szCs w:val="22"/>
          <w:bdr w:val="none" w:sz="0" w:space="0" w:color="auto" w:frame="1"/>
          <w:shd w:val="clear" w:color="auto" w:fill="FFFFFF"/>
          <w:lang w:val="es-ES"/>
        </w:rPr>
        <w:t>]</w:t>
      </w:r>
      <w:r>
        <w:rPr>
          <w:color w:val="000000" w:themeColor="text1"/>
          <w:sz w:val="22"/>
          <w:szCs w:val="22"/>
          <w:bdr w:val="none" w:sz="0" w:space="0" w:color="auto" w:frame="1"/>
          <w:shd w:val="clear" w:color="auto" w:fill="FFFFFF"/>
          <w:lang w:val="es-ES"/>
        </w:rPr>
        <w:t xml:space="preserve"> </w:t>
      </w:r>
      <w:r w:rsidR="003C2BE7" w:rsidRPr="00512F79">
        <w:rPr>
          <w:color w:val="000000" w:themeColor="text1"/>
          <w:sz w:val="22"/>
          <w:szCs w:val="22"/>
          <w:bdr w:val="none" w:sz="0" w:space="0" w:color="auto" w:frame="1"/>
          <w:shd w:val="clear" w:color="auto" w:fill="FFFFFF"/>
          <w:lang w:val="es-ES"/>
        </w:rPr>
        <w:t xml:space="preserve">y </w:t>
      </w:r>
      <w:r w:rsidR="00967695" w:rsidRPr="00512F79">
        <w:rPr>
          <w:color w:val="000000" w:themeColor="text1"/>
          <w:sz w:val="22"/>
          <w:szCs w:val="22"/>
          <w:bdr w:val="none" w:sz="0" w:space="0" w:color="auto" w:frame="1"/>
          <w:shd w:val="clear" w:color="auto" w:fill="FFFFFF"/>
          <w:lang w:val="es-ES"/>
        </w:rPr>
        <w:t xml:space="preserve">contrató a empresarios locales en colaboración con la </w:t>
      </w:r>
      <w:r w:rsidR="00755D7C" w:rsidRPr="00512F79">
        <w:rPr>
          <w:color w:val="000000" w:themeColor="text1"/>
          <w:sz w:val="22"/>
          <w:szCs w:val="22"/>
          <w:bdr w:val="none" w:sz="0" w:space="0" w:color="auto" w:frame="1"/>
          <w:shd w:val="clear" w:color="auto" w:fill="FFFFFF"/>
          <w:lang w:val="es-ES"/>
        </w:rPr>
        <w:t>FUPAD.</w:t>
      </w:r>
    </w:p>
    <w:p w14:paraId="715F46A0" w14:textId="044E35F9" w:rsidR="00F4728E" w:rsidRPr="00512F79" w:rsidRDefault="00967695">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es-ES"/>
        </w:rPr>
      </w:pPr>
      <w:r w:rsidRPr="00512F79">
        <w:rPr>
          <w:color w:val="000000" w:themeColor="text1"/>
          <w:sz w:val="22"/>
          <w:szCs w:val="22"/>
          <w:bdr w:val="none" w:sz="0" w:space="0" w:color="auto" w:frame="1"/>
          <w:shd w:val="clear" w:color="auto" w:fill="FFFFFF"/>
          <w:lang w:val="es-ES"/>
        </w:rPr>
        <w:t xml:space="preserve">La Universidad Estatal de Fort Valley (FVSU) estableció </w:t>
      </w:r>
      <w:r w:rsidR="003C2BE7" w:rsidRPr="00512F79">
        <w:rPr>
          <w:color w:val="000000" w:themeColor="text1"/>
          <w:sz w:val="22"/>
          <w:szCs w:val="22"/>
          <w:bdr w:val="none" w:sz="0" w:space="0" w:color="auto" w:frame="1"/>
          <w:shd w:val="clear" w:color="auto" w:fill="FFFFFF"/>
          <w:lang w:val="es-ES"/>
        </w:rPr>
        <w:t xml:space="preserve">una </w:t>
      </w:r>
      <w:r w:rsidRPr="00512F79">
        <w:rPr>
          <w:color w:val="000000" w:themeColor="text1"/>
          <w:sz w:val="22"/>
          <w:szCs w:val="22"/>
          <w:bdr w:val="none" w:sz="0" w:space="0" w:color="auto" w:frame="1"/>
          <w:shd w:val="clear" w:color="auto" w:fill="FFFFFF"/>
          <w:lang w:val="es-ES"/>
        </w:rPr>
        <w:t xml:space="preserve">asociación con Georgia Tech que </w:t>
      </w:r>
      <w:r w:rsidR="00A21485">
        <w:rPr>
          <w:color w:val="000000" w:themeColor="text1"/>
          <w:sz w:val="22"/>
          <w:szCs w:val="22"/>
          <w:bdr w:val="none" w:sz="0" w:space="0" w:color="auto" w:frame="1"/>
          <w:shd w:val="clear" w:color="auto" w:fill="FFFFFF"/>
          <w:lang w:val="es-ES"/>
        </w:rPr>
        <w:t>permitió impartir</w:t>
      </w:r>
      <w:r w:rsidRPr="00512F79">
        <w:rPr>
          <w:color w:val="000000" w:themeColor="text1"/>
          <w:sz w:val="22"/>
          <w:szCs w:val="22"/>
          <w:bdr w:val="none" w:sz="0" w:space="0" w:color="auto" w:frame="1"/>
          <w:shd w:val="clear" w:color="auto" w:fill="FFFFFF"/>
          <w:lang w:val="es-ES"/>
        </w:rPr>
        <w:t xml:space="preserve"> talleres sobre iniciativa empresarial en la FVSU. Además, la FVSU, en el marco del Proyecto de Innovación de Georgia Central, recibió una subvención del Departamento de Comercio de Estados Unidos.</w:t>
      </w:r>
    </w:p>
    <w:p w14:paraId="6F2566D4" w14:textId="0A6BA7D6" w:rsidR="00F4728E" w:rsidRPr="00512F79" w:rsidRDefault="00967695">
      <w:pPr>
        <w:pStyle w:val="ListParagraph"/>
        <w:numPr>
          <w:ilvl w:val="1"/>
          <w:numId w:val="8"/>
        </w:numPr>
        <w:ind w:left="1980" w:hanging="540"/>
        <w:contextualSpacing/>
        <w:jc w:val="both"/>
        <w:rPr>
          <w:rFonts w:eastAsia="Cambria"/>
          <w:b/>
          <w:bCs/>
          <w:color w:val="000000" w:themeColor="text1"/>
          <w:sz w:val="22"/>
          <w:szCs w:val="22"/>
          <w:lang w:val="es-ES"/>
        </w:rPr>
      </w:pPr>
      <w:r w:rsidRPr="00512F79">
        <w:rPr>
          <w:sz w:val="22"/>
          <w:szCs w:val="22"/>
          <w:lang w:val="es-ES"/>
        </w:rPr>
        <w:t xml:space="preserve">South Hive, una empresa de Córdoba (Argentina), fue seleccionada para el </w:t>
      </w:r>
      <w:r w:rsidR="002C7BEE" w:rsidRPr="00512F79">
        <w:rPr>
          <w:sz w:val="22"/>
          <w:szCs w:val="22"/>
          <w:lang w:val="es-ES"/>
        </w:rPr>
        <w:t>programa Denver</w:t>
      </w:r>
      <w:r w:rsidRPr="00512F79">
        <w:rPr>
          <w:sz w:val="22"/>
          <w:szCs w:val="22"/>
          <w:lang w:val="es-ES"/>
        </w:rPr>
        <w:t xml:space="preserve"> Global Landing Pad</w:t>
      </w:r>
      <w:r w:rsidR="006C16E6">
        <w:rPr>
          <w:sz w:val="22"/>
          <w:szCs w:val="22"/>
          <w:lang w:val="es-ES"/>
        </w:rPr>
        <w:t xml:space="preserve"> </w:t>
      </w:r>
      <w:r w:rsidR="006C16E6" w:rsidRPr="00512F79">
        <w:rPr>
          <w:sz w:val="22"/>
          <w:szCs w:val="22"/>
          <w:lang w:val="es-ES"/>
        </w:rPr>
        <w:t>2022</w:t>
      </w:r>
      <w:r w:rsidRPr="00512F79">
        <w:rPr>
          <w:sz w:val="22"/>
          <w:szCs w:val="22"/>
          <w:lang w:val="es-ES"/>
        </w:rPr>
        <w:t xml:space="preserve"> </w:t>
      </w:r>
      <w:r w:rsidR="003C2BE7" w:rsidRPr="00512F79">
        <w:rPr>
          <w:sz w:val="22"/>
          <w:szCs w:val="22"/>
          <w:lang w:val="es-ES"/>
        </w:rPr>
        <w:t xml:space="preserve">(un programa de aceleración empresarial de ocho semanas) </w:t>
      </w:r>
      <w:r w:rsidRPr="00512F79">
        <w:rPr>
          <w:sz w:val="22"/>
          <w:szCs w:val="22"/>
          <w:lang w:val="es-ES"/>
        </w:rPr>
        <w:t xml:space="preserve">como resultado </w:t>
      </w:r>
      <w:r w:rsidR="003C2BE7" w:rsidRPr="00512F79">
        <w:rPr>
          <w:sz w:val="22"/>
          <w:szCs w:val="22"/>
          <w:lang w:val="es-ES"/>
        </w:rPr>
        <w:t xml:space="preserve">de su participación en </w:t>
      </w:r>
      <w:r w:rsidRPr="00512F79">
        <w:rPr>
          <w:sz w:val="22"/>
          <w:szCs w:val="22"/>
          <w:lang w:val="es-ES"/>
        </w:rPr>
        <w:t xml:space="preserve">ACE Colorado. </w:t>
      </w:r>
    </w:p>
    <w:p w14:paraId="15F5DA16" w14:textId="77777777" w:rsidR="003C2BE7" w:rsidRPr="00512F79" w:rsidRDefault="003C2BE7" w:rsidP="00CB030B">
      <w:pPr>
        <w:contextualSpacing/>
        <w:jc w:val="both"/>
        <w:rPr>
          <w:rFonts w:ascii="Times New Roman" w:eastAsia="Cambria" w:hAnsi="Times New Roman" w:cs="Times New Roman"/>
          <w:b/>
          <w:bCs/>
          <w:color w:val="000000" w:themeColor="text1"/>
          <w:sz w:val="22"/>
          <w:szCs w:val="22"/>
          <w:lang w:val="es-ES"/>
        </w:rPr>
      </w:pPr>
    </w:p>
    <w:p w14:paraId="08E6B2DA" w14:textId="7424D791" w:rsidR="00F4728E" w:rsidRPr="00512F79" w:rsidRDefault="00967695">
      <w:pPr>
        <w:ind w:firstLine="720"/>
        <w:contextualSpacing/>
        <w:jc w:val="both"/>
        <w:rPr>
          <w:rFonts w:ascii="Times New Roman" w:eastAsia="Cambria" w:hAnsi="Times New Roman" w:cs="Times New Roman"/>
          <w:b/>
          <w:bCs/>
          <w:iCs/>
          <w:color w:val="000000" w:themeColor="text1"/>
          <w:sz w:val="22"/>
          <w:szCs w:val="22"/>
          <w:lang w:val="es-ES"/>
        </w:rPr>
      </w:pPr>
      <w:bookmarkStart w:id="3" w:name="_Hlk87264737"/>
      <w:r w:rsidRPr="00512F79">
        <w:rPr>
          <w:rFonts w:ascii="Times New Roman" w:eastAsia="Cambria" w:hAnsi="Times New Roman" w:cs="Times New Roman"/>
          <w:b/>
          <w:bCs/>
          <w:iCs/>
          <w:color w:val="000000" w:themeColor="text1"/>
          <w:sz w:val="22"/>
          <w:szCs w:val="22"/>
          <w:lang w:val="es-ES"/>
        </w:rPr>
        <w:t xml:space="preserve">Grupo de Expertos en Competitividad Subnacional </w:t>
      </w:r>
    </w:p>
    <w:p w14:paraId="4792AEDB" w14:textId="77777777" w:rsidR="00ED78BF" w:rsidRPr="00512F79" w:rsidRDefault="00ED78BF" w:rsidP="00CB030B">
      <w:pPr>
        <w:ind w:firstLine="720"/>
        <w:contextualSpacing/>
        <w:jc w:val="both"/>
        <w:rPr>
          <w:rFonts w:ascii="Times New Roman" w:eastAsia="Cambria" w:hAnsi="Times New Roman" w:cs="Times New Roman"/>
          <w:b/>
          <w:color w:val="000000" w:themeColor="text1"/>
          <w:sz w:val="22"/>
          <w:szCs w:val="22"/>
          <w:lang w:val="es-ES"/>
        </w:rPr>
      </w:pPr>
    </w:p>
    <w:p w14:paraId="156814F6" w14:textId="4279D373" w:rsidR="00F4728E" w:rsidRPr="00512F79" w:rsidRDefault="004C5EA2">
      <w:pPr>
        <w:pStyle w:val="ListParagraph"/>
        <w:numPr>
          <w:ilvl w:val="0"/>
          <w:numId w:val="9"/>
        </w:numPr>
        <w:ind w:left="1440" w:hanging="720"/>
        <w:contextualSpacing/>
        <w:jc w:val="both"/>
        <w:rPr>
          <w:color w:val="000000" w:themeColor="text1"/>
          <w:sz w:val="22"/>
          <w:szCs w:val="22"/>
          <w:bdr w:val="none" w:sz="0" w:space="0" w:color="auto" w:frame="1"/>
          <w:shd w:val="clear" w:color="auto" w:fill="FFFFFF"/>
          <w:lang w:val="es-ES"/>
        </w:rPr>
      </w:pPr>
      <w:r>
        <w:rPr>
          <w:color w:val="000000" w:themeColor="text1"/>
          <w:sz w:val="22"/>
          <w:szCs w:val="22"/>
          <w:bdr w:val="none" w:sz="0" w:space="0" w:color="auto" w:frame="1"/>
          <w:shd w:val="clear" w:color="auto" w:fill="FFFFFF"/>
          <w:lang w:val="es-ES"/>
        </w:rPr>
        <w:t>Se documentaron y compartieron</w:t>
      </w:r>
      <w:r w:rsidR="00967695" w:rsidRPr="00512F79">
        <w:rPr>
          <w:color w:val="000000" w:themeColor="text1"/>
          <w:sz w:val="22"/>
          <w:szCs w:val="22"/>
          <w:bdr w:val="none" w:sz="0" w:space="0" w:color="auto" w:frame="1"/>
          <w:shd w:val="clear" w:color="auto" w:fill="FFFFFF"/>
          <w:lang w:val="es-ES"/>
        </w:rPr>
        <w:t xml:space="preserve"> </w:t>
      </w:r>
      <w:r w:rsidR="003C2BE7" w:rsidRPr="00512F79">
        <w:rPr>
          <w:color w:val="000000" w:themeColor="text1"/>
          <w:sz w:val="22"/>
          <w:szCs w:val="22"/>
          <w:bdr w:val="none" w:sz="0" w:space="0" w:color="auto" w:frame="1"/>
          <w:shd w:val="clear" w:color="auto" w:fill="FFFFFF"/>
          <w:lang w:val="es-ES"/>
        </w:rPr>
        <w:t xml:space="preserve">diez </w:t>
      </w:r>
      <w:r w:rsidR="00967695" w:rsidRPr="00512F79">
        <w:rPr>
          <w:color w:val="000000" w:themeColor="text1"/>
          <w:sz w:val="22"/>
          <w:szCs w:val="22"/>
          <w:bdr w:val="none" w:sz="0" w:space="0" w:color="auto" w:frame="1"/>
          <w:shd w:val="clear" w:color="auto" w:fill="FFFFFF"/>
          <w:lang w:val="es-ES"/>
        </w:rPr>
        <w:t xml:space="preserve">buenas prácticas y directrices para promover la transformación digital a través del Grupo de Trabajo sobre Indicadores y el Grupo de Trabajo sobre Permisos de Construcción entre las partes interesadas de los </w:t>
      </w:r>
      <w:r w:rsidR="005F30B1" w:rsidRPr="00512F79">
        <w:rPr>
          <w:color w:val="000000" w:themeColor="text1"/>
          <w:sz w:val="22"/>
          <w:szCs w:val="22"/>
          <w:bdr w:val="none" w:sz="0" w:space="0" w:color="auto" w:frame="1"/>
          <w:shd w:val="clear" w:color="auto" w:fill="FFFFFF"/>
          <w:lang w:val="es-ES"/>
        </w:rPr>
        <w:t xml:space="preserve">Estados </w:t>
      </w:r>
      <w:r w:rsidR="002C7BEE">
        <w:rPr>
          <w:color w:val="000000" w:themeColor="text1"/>
          <w:sz w:val="22"/>
          <w:szCs w:val="22"/>
          <w:bdr w:val="none" w:sz="0" w:space="0" w:color="auto" w:frame="1"/>
          <w:shd w:val="clear" w:color="auto" w:fill="FFFFFF"/>
          <w:lang w:val="es-ES"/>
        </w:rPr>
        <w:t>M</w:t>
      </w:r>
      <w:r w:rsidR="00C67D84" w:rsidRPr="00512F79">
        <w:rPr>
          <w:color w:val="000000" w:themeColor="text1"/>
          <w:sz w:val="22"/>
          <w:szCs w:val="22"/>
          <w:bdr w:val="none" w:sz="0" w:space="0" w:color="auto" w:frame="1"/>
          <w:shd w:val="clear" w:color="auto" w:fill="FFFFFF"/>
          <w:lang w:val="es-ES"/>
        </w:rPr>
        <w:t xml:space="preserve">iembros de </w:t>
      </w:r>
      <w:r w:rsidR="00967695" w:rsidRPr="00512F79">
        <w:rPr>
          <w:color w:val="000000" w:themeColor="text1"/>
          <w:sz w:val="22"/>
          <w:szCs w:val="22"/>
          <w:bdr w:val="none" w:sz="0" w:space="0" w:color="auto" w:frame="1"/>
          <w:shd w:val="clear" w:color="auto" w:fill="FFFFFF"/>
          <w:lang w:val="es-ES"/>
        </w:rPr>
        <w:t>la OEA.</w:t>
      </w:r>
    </w:p>
    <w:p w14:paraId="115C903B" w14:textId="77777777" w:rsidR="00ED78BF" w:rsidRPr="00512F79" w:rsidRDefault="00ED78BF" w:rsidP="00CB030B">
      <w:pPr>
        <w:pStyle w:val="ListParagraph"/>
        <w:ind w:left="1440" w:hanging="720"/>
        <w:contextualSpacing/>
        <w:jc w:val="both"/>
        <w:rPr>
          <w:color w:val="000000" w:themeColor="text1"/>
          <w:sz w:val="22"/>
          <w:szCs w:val="22"/>
          <w:bdr w:val="none" w:sz="0" w:space="0" w:color="auto" w:frame="1"/>
          <w:shd w:val="clear" w:color="auto" w:fill="FFFFFF"/>
          <w:lang w:val="es-ES"/>
        </w:rPr>
      </w:pPr>
    </w:p>
    <w:p w14:paraId="54F8EAF2" w14:textId="532B0485" w:rsidR="00F4728E" w:rsidRPr="00512F79" w:rsidRDefault="00967695">
      <w:pPr>
        <w:pStyle w:val="ListParagraph"/>
        <w:numPr>
          <w:ilvl w:val="0"/>
          <w:numId w:val="9"/>
        </w:numPr>
        <w:ind w:left="1440" w:hanging="720"/>
        <w:contextualSpacing/>
        <w:jc w:val="both"/>
        <w:rPr>
          <w:color w:val="000000" w:themeColor="text1"/>
          <w:sz w:val="22"/>
          <w:szCs w:val="22"/>
          <w:bdr w:val="none" w:sz="0" w:space="0" w:color="auto" w:frame="1"/>
          <w:shd w:val="clear" w:color="auto" w:fill="FFFFFF"/>
          <w:lang w:val="es-ES"/>
        </w:rPr>
      </w:pPr>
      <w:r w:rsidRPr="00512F79">
        <w:rPr>
          <w:color w:val="000000" w:themeColor="text1"/>
          <w:sz w:val="22"/>
          <w:szCs w:val="22"/>
          <w:bdr w:val="none" w:sz="0" w:space="0" w:color="auto" w:frame="1"/>
          <w:shd w:val="clear" w:color="auto" w:fill="FFFFFF"/>
          <w:lang w:val="es-ES"/>
        </w:rPr>
        <w:t xml:space="preserve">Curso Internacional sobre Indicadores Subnacionales y Progreso Social diseñado e implementado por la Universidad Católica del Uruguay en colaboración con la Pontificia Universidad Católica del Perú para </w:t>
      </w:r>
      <w:r w:rsidR="002C7BEE">
        <w:rPr>
          <w:color w:val="000000" w:themeColor="text1"/>
          <w:sz w:val="22"/>
          <w:szCs w:val="22"/>
          <w:bdr w:val="none" w:sz="0" w:space="0" w:color="auto" w:frame="1"/>
          <w:shd w:val="clear" w:color="auto" w:fill="FFFFFF"/>
          <w:lang w:val="es-ES"/>
        </w:rPr>
        <w:t>partes interesadas</w:t>
      </w:r>
      <w:r w:rsidR="003C2BE7" w:rsidRPr="00512F79">
        <w:rPr>
          <w:color w:val="000000" w:themeColor="text1"/>
          <w:sz w:val="22"/>
          <w:szCs w:val="22"/>
          <w:bdr w:val="none" w:sz="0" w:space="0" w:color="auto" w:frame="1"/>
          <w:shd w:val="clear" w:color="auto" w:fill="FFFFFF"/>
          <w:lang w:val="es-ES"/>
        </w:rPr>
        <w:t xml:space="preserve">, </w:t>
      </w:r>
      <w:r w:rsidR="002C7BEE">
        <w:rPr>
          <w:color w:val="000000" w:themeColor="text1"/>
          <w:sz w:val="22"/>
          <w:szCs w:val="22"/>
          <w:bdr w:val="none" w:sz="0" w:space="0" w:color="auto" w:frame="1"/>
          <w:shd w:val="clear" w:color="auto" w:fill="FFFFFF"/>
          <w:lang w:val="es-ES"/>
        </w:rPr>
        <w:t>responsables de la toma de decisiones</w:t>
      </w:r>
      <w:r w:rsidRPr="00512F79">
        <w:rPr>
          <w:color w:val="000000" w:themeColor="text1"/>
          <w:sz w:val="22"/>
          <w:szCs w:val="22"/>
          <w:bdr w:val="none" w:sz="0" w:space="0" w:color="auto" w:frame="1"/>
          <w:shd w:val="clear" w:color="auto" w:fill="FFFFFF"/>
          <w:lang w:val="es-ES"/>
        </w:rPr>
        <w:t xml:space="preserve"> </w:t>
      </w:r>
      <w:r w:rsidR="008B60EF">
        <w:rPr>
          <w:color w:val="000000" w:themeColor="text1"/>
          <w:sz w:val="22"/>
          <w:szCs w:val="22"/>
          <w:bdr w:val="none" w:sz="0" w:space="0" w:color="auto" w:frame="1"/>
          <w:shd w:val="clear" w:color="auto" w:fill="FFFFFF"/>
          <w:lang w:val="es-ES"/>
        </w:rPr>
        <w:t>sobre</w:t>
      </w:r>
      <w:r w:rsidRPr="00512F79">
        <w:rPr>
          <w:color w:val="000000" w:themeColor="text1"/>
          <w:sz w:val="22"/>
          <w:szCs w:val="22"/>
          <w:bdr w:val="none" w:sz="0" w:space="0" w:color="auto" w:frame="1"/>
          <w:shd w:val="clear" w:color="auto" w:fill="FFFFFF"/>
          <w:lang w:val="es-ES"/>
        </w:rPr>
        <w:t xml:space="preserve"> competitividad e investigadores </w:t>
      </w:r>
      <w:r w:rsidR="003C2BE7" w:rsidRPr="00512F79">
        <w:rPr>
          <w:color w:val="000000" w:themeColor="text1"/>
          <w:sz w:val="22"/>
          <w:szCs w:val="22"/>
          <w:bdr w:val="none" w:sz="0" w:space="0" w:color="auto" w:frame="1"/>
          <w:shd w:val="clear" w:color="auto" w:fill="FFFFFF"/>
          <w:lang w:val="es-ES"/>
        </w:rPr>
        <w:t xml:space="preserve">de </w:t>
      </w:r>
      <w:r w:rsidRPr="00512F79">
        <w:rPr>
          <w:color w:val="000000" w:themeColor="text1"/>
          <w:sz w:val="22"/>
          <w:szCs w:val="22"/>
          <w:bdr w:val="none" w:sz="0" w:space="0" w:color="auto" w:frame="1"/>
          <w:shd w:val="clear" w:color="auto" w:fill="FFFFFF"/>
          <w:lang w:val="es-ES"/>
        </w:rPr>
        <w:t xml:space="preserve">las Américas. </w:t>
      </w:r>
    </w:p>
    <w:bookmarkEnd w:id="3"/>
    <w:p w14:paraId="0B58514B" w14:textId="77777777" w:rsidR="00A21485" w:rsidRDefault="00A21485">
      <w:pPr>
        <w:contextualSpacing/>
        <w:jc w:val="both"/>
        <w:rPr>
          <w:rFonts w:ascii="Times New Roman" w:eastAsia="Cambria" w:hAnsi="Times New Roman" w:cs="Times New Roman"/>
          <w:b/>
          <w:bCs/>
          <w:color w:val="000000" w:themeColor="text1"/>
          <w:sz w:val="22"/>
          <w:szCs w:val="22"/>
          <w:u w:val="single"/>
          <w:lang w:val="es-ES"/>
        </w:rPr>
      </w:pPr>
    </w:p>
    <w:p w14:paraId="7B0CBECC" w14:textId="77777777" w:rsidR="00892092" w:rsidRDefault="00892092">
      <w:pPr>
        <w:contextualSpacing/>
        <w:jc w:val="both"/>
        <w:rPr>
          <w:rFonts w:ascii="Times New Roman" w:eastAsia="Cambria" w:hAnsi="Times New Roman" w:cs="Times New Roman"/>
          <w:b/>
          <w:bCs/>
          <w:color w:val="000000" w:themeColor="text1"/>
          <w:sz w:val="22"/>
          <w:szCs w:val="22"/>
          <w:u w:val="single"/>
          <w:lang w:val="es-ES"/>
        </w:rPr>
      </w:pPr>
    </w:p>
    <w:p w14:paraId="6C5A2DFD" w14:textId="33008282" w:rsidR="00F4728E" w:rsidRPr="00512F79" w:rsidRDefault="00967695">
      <w:pPr>
        <w:contextualSpacing/>
        <w:jc w:val="both"/>
        <w:rPr>
          <w:rFonts w:ascii="Times New Roman" w:eastAsia="Cambria" w:hAnsi="Times New Roman" w:cs="Times New Roman"/>
          <w:b/>
          <w:bCs/>
          <w:color w:val="000000" w:themeColor="text1"/>
          <w:sz w:val="22"/>
          <w:szCs w:val="22"/>
          <w:u w:val="single"/>
          <w:lang w:val="es-ES"/>
        </w:rPr>
      </w:pPr>
      <w:r w:rsidRPr="00512F79">
        <w:rPr>
          <w:rFonts w:ascii="Times New Roman" w:eastAsia="Cambria" w:hAnsi="Times New Roman" w:cs="Times New Roman"/>
          <w:b/>
          <w:bCs/>
          <w:color w:val="000000" w:themeColor="text1"/>
          <w:sz w:val="22"/>
          <w:szCs w:val="22"/>
          <w:u w:val="single"/>
          <w:lang w:val="es-ES"/>
        </w:rPr>
        <w:t>OBJETIVO 1.3</w:t>
      </w:r>
    </w:p>
    <w:p w14:paraId="43BB0DAD" w14:textId="77777777" w:rsidR="0074320E" w:rsidRPr="00512F79" w:rsidRDefault="0074320E" w:rsidP="00CB030B">
      <w:pPr>
        <w:contextualSpacing/>
        <w:jc w:val="both"/>
        <w:rPr>
          <w:rFonts w:ascii="Times New Roman" w:eastAsia="Cambria" w:hAnsi="Times New Roman" w:cs="Times New Roman"/>
          <w:b/>
          <w:bCs/>
          <w:color w:val="000000" w:themeColor="text1"/>
          <w:sz w:val="22"/>
          <w:szCs w:val="22"/>
          <w:u w:val="single"/>
          <w:lang w:val="es-ES"/>
        </w:rPr>
      </w:pPr>
    </w:p>
    <w:p w14:paraId="721A3645" w14:textId="5A51DC9A" w:rsidR="00487AAA" w:rsidRPr="00487AAA" w:rsidRDefault="00487AAA" w:rsidP="00487AAA">
      <w:pPr>
        <w:pStyle w:val="Body"/>
        <w:ind w:firstLine="720"/>
        <w:jc w:val="both"/>
        <w:rPr>
          <w:sz w:val="22"/>
          <w:szCs w:val="22"/>
          <w:lang w:val="es-ES"/>
        </w:rPr>
      </w:pPr>
      <w:r w:rsidRPr="00487AAA">
        <w:rPr>
          <w:sz w:val="22"/>
          <w:szCs w:val="22"/>
          <w:lang w:val="es-ES_tradnl"/>
        </w:rPr>
        <w:t xml:space="preserve">Incrementar la cooperación para fortalecer las capacidades institucionales de los Estados Miembros de incorporar innovación y tecnología transformadoras para generar valor agregado y diversificación de sus economías de forma sostenible e incluyente. </w:t>
      </w:r>
    </w:p>
    <w:p w14:paraId="47F7742A" w14:textId="77777777" w:rsidR="00ED78BF" w:rsidRPr="00512F79" w:rsidRDefault="00ED78BF" w:rsidP="00CB030B">
      <w:pPr>
        <w:jc w:val="both"/>
        <w:rPr>
          <w:rFonts w:ascii="Times New Roman" w:hAnsi="Times New Roman" w:cs="Times New Roman"/>
          <w:b/>
          <w:bCs/>
          <w:color w:val="000000" w:themeColor="text1"/>
          <w:sz w:val="22"/>
          <w:szCs w:val="22"/>
          <w:lang w:val="es-ES"/>
        </w:rPr>
      </w:pPr>
    </w:p>
    <w:p w14:paraId="404A8FA3" w14:textId="1901CCFE" w:rsidR="00F4728E" w:rsidRPr="00512F79" w:rsidRDefault="00967695">
      <w:pPr>
        <w:ind w:left="1440" w:hanging="720"/>
        <w:jc w:val="both"/>
        <w:rPr>
          <w:rFonts w:ascii="Times New Roman" w:hAnsi="Times New Roman" w:cs="Times New Roman"/>
          <w:b/>
          <w:bCs/>
          <w:color w:val="000000" w:themeColor="text1"/>
          <w:sz w:val="22"/>
          <w:szCs w:val="22"/>
          <w:lang w:val="es-ES"/>
        </w:rPr>
      </w:pPr>
      <w:r w:rsidRPr="00512F79">
        <w:rPr>
          <w:rFonts w:ascii="Times New Roman" w:hAnsi="Times New Roman" w:cs="Times New Roman"/>
          <w:b/>
          <w:bCs/>
          <w:color w:val="000000" w:themeColor="text1"/>
          <w:sz w:val="22"/>
          <w:szCs w:val="22"/>
          <w:lang w:val="es-ES"/>
        </w:rPr>
        <w:t xml:space="preserve">Ciencia, </w:t>
      </w:r>
      <w:r w:rsidR="00D44C06">
        <w:rPr>
          <w:rFonts w:ascii="Times New Roman" w:hAnsi="Times New Roman" w:cs="Times New Roman"/>
          <w:b/>
          <w:bCs/>
          <w:color w:val="000000" w:themeColor="text1"/>
          <w:sz w:val="22"/>
          <w:szCs w:val="22"/>
          <w:lang w:val="es-ES"/>
        </w:rPr>
        <w:t>t</w:t>
      </w:r>
      <w:r w:rsidR="003549D7" w:rsidRPr="00512F79">
        <w:rPr>
          <w:rFonts w:ascii="Times New Roman" w:hAnsi="Times New Roman" w:cs="Times New Roman"/>
          <w:b/>
          <w:bCs/>
          <w:color w:val="000000" w:themeColor="text1"/>
          <w:sz w:val="22"/>
          <w:szCs w:val="22"/>
          <w:lang w:val="es-ES"/>
        </w:rPr>
        <w:t xml:space="preserve">ecnología </w:t>
      </w:r>
      <w:r w:rsidRPr="00512F79">
        <w:rPr>
          <w:rFonts w:ascii="Times New Roman" w:hAnsi="Times New Roman" w:cs="Times New Roman"/>
          <w:b/>
          <w:bCs/>
          <w:color w:val="000000" w:themeColor="text1"/>
          <w:sz w:val="22"/>
          <w:szCs w:val="22"/>
          <w:lang w:val="es-ES"/>
        </w:rPr>
        <w:t xml:space="preserve">e </w:t>
      </w:r>
      <w:r w:rsidR="00D44C06">
        <w:rPr>
          <w:rFonts w:ascii="Times New Roman" w:hAnsi="Times New Roman" w:cs="Times New Roman"/>
          <w:b/>
          <w:bCs/>
          <w:color w:val="000000" w:themeColor="text1"/>
          <w:sz w:val="22"/>
          <w:szCs w:val="22"/>
          <w:lang w:val="es-ES"/>
        </w:rPr>
        <w:t>i</w:t>
      </w:r>
      <w:r w:rsidRPr="00512F79">
        <w:rPr>
          <w:rFonts w:ascii="Times New Roman" w:hAnsi="Times New Roman" w:cs="Times New Roman"/>
          <w:b/>
          <w:bCs/>
          <w:color w:val="000000" w:themeColor="text1"/>
          <w:sz w:val="22"/>
          <w:szCs w:val="22"/>
          <w:lang w:val="es-ES"/>
        </w:rPr>
        <w:t>nnovación (CTI)</w:t>
      </w:r>
    </w:p>
    <w:p w14:paraId="07D585B9" w14:textId="77777777" w:rsidR="00ED78BF" w:rsidRPr="00512F79" w:rsidRDefault="00ED78BF" w:rsidP="00CB030B">
      <w:pPr>
        <w:ind w:left="1440" w:hanging="720"/>
        <w:contextualSpacing/>
        <w:jc w:val="both"/>
        <w:rPr>
          <w:rFonts w:ascii="Times New Roman" w:hAnsi="Times New Roman" w:cs="Times New Roman"/>
          <w:color w:val="000000" w:themeColor="text1"/>
          <w:sz w:val="22"/>
          <w:szCs w:val="22"/>
          <w:lang w:val="es-ES"/>
        </w:rPr>
      </w:pPr>
    </w:p>
    <w:p w14:paraId="077528E6" w14:textId="56F84BC9" w:rsidR="00F4728E" w:rsidRPr="00512F79" w:rsidRDefault="00967695">
      <w:pPr>
        <w:pStyle w:val="ListParagraph"/>
        <w:numPr>
          <w:ilvl w:val="0"/>
          <w:numId w:val="10"/>
        </w:numPr>
        <w:ind w:left="1440" w:hanging="720"/>
        <w:contextualSpacing/>
        <w:jc w:val="both"/>
        <w:rPr>
          <w:color w:val="000000" w:themeColor="text1"/>
          <w:sz w:val="22"/>
          <w:szCs w:val="22"/>
          <w:lang w:val="es-ES"/>
        </w:rPr>
      </w:pPr>
      <w:r w:rsidRPr="00512F79">
        <w:rPr>
          <w:color w:val="000000" w:themeColor="text1"/>
          <w:sz w:val="22"/>
          <w:szCs w:val="22"/>
          <w:lang w:val="es-ES"/>
        </w:rPr>
        <w:t xml:space="preserve">Durante el período cubierto por </w:t>
      </w:r>
      <w:r w:rsidR="002C7BEE">
        <w:rPr>
          <w:color w:val="000000" w:themeColor="text1"/>
          <w:sz w:val="22"/>
          <w:szCs w:val="22"/>
          <w:lang w:val="es-ES"/>
        </w:rPr>
        <w:t>el presente</w:t>
      </w:r>
      <w:r w:rsidRPr="00512F79">
        <w:rPr>
          <w:color w:val="000000" w:themeColor="text1"/>
          <w:sz w:val="22"/>
          <w:szCs w:val="22"/>
          <w:lang w:val="es-ES"/>
        </w:rPr>
        <w:t xml:space="preserve"> informe, las </w:t>
      </w:r>
      <w:r w:rsidR="00C9711E" w:rsidRPr="00512F79">
        <w:rPr>
          <w:color w:val="000000" w:themeColor="text1"/>
          <w:sz w:val="22"/>
          <w:szCs w:val="22"/>
          <w:lang w:val="es-ES"/>
        </w:rPr>
        <w:t xml:space="preserve">autoridades de la COMCYT </w:t>
      </w:r>
      <w:r w:rsidR="002C7BEE">
        <w:rPr>
          <w:color w:val="000000" w:themeColor="text1"/>
          <w:sz w:val="22"/>
          <w:szCs w:val="22"/>
          <w:lang w:val="es-ES"/>
        </w:rPr>
        <w:t>fueron elegidas durante</w:t>
      </w:r>
      <w:r w:rsidRPr="00512F79">
        <w:rPr>
          <w:color w:val="000000" w:themeColor="text1"/>
          <w:sz w:val="22"/>
          <w:szCs w:val="22"/>
          <w:lang w:val="es-ES"/>
        </w:rPr>
        <w:t xml:space="preserve"> la reunión ordinaria del CIDI celebrada el 30 de agosto de 2022. </w:t>
      </w:r>
      <w:r w:rsidR="002C7BEE">
        <w:rPr>
          <w:color w:val="000000" w:themeColor="text1"/>
          <w:sz w:val="22"/>
          <w:szCs w:val="22"/>
          <w:lang w:val="es-ES"/>
        </w:rPr>
        <w:t xml:space="preserve">El </w:t>
      </w:r>
      <w:r w:rsidR="002C7BEE" w:rsidRPr="00512F79">
        <w:rPr>
          <w:color w:val="000000" w:themeColor="text1"/>
          <w:sz w:val="22"/>
          <w:szCs w:val="22"/>
          <w:lang w:val="es-ES"/>
        </w:rPr>
        <w:t xml:space="preserve">Honorable Daryl Vaz, Ministro de Ciencia, Energía y Tecnología de Jamaica </w:t>
      </w:r>
      <w:r w:rsidR="002C7BEE">
        <w:rPr>
          <w:color w:val="000000" w:themeColor="text1"/>
          <w:sz w:val="22"/>
          <w:szCs w:val="22"/>
          <w:lang w:val="es-ES"/>
        </w:rPr>
        <w:t xml:space="preserve">fue elegido </w:t>
      </w:r>
      <w:r w:rsidRPr="00512F79">
        <w:rPr>
          <w:color w:val="000000" w:themeColor="text1"/>
          <w:sz w:val="22"/>
          <w:szCs w:val="22"/>
          <w:lang w:val="es-ES"/>
        </w:rPr>
        <w:t>como Presidente</w:t>
      </w:r>
      <w:r w:rsidR="002C7BEE">
        <w:rPr>
          <w:color w:val="000000" w:themeColor="text1"/>
          <w:sz w:val="22"/>
          <w:szCs w:val="22"/>
          <w:lang w:val="es-ES"/>
        </w:rPr>
        <w:t xml:space="preserve">, y </w:t>
      </w:r>
      <w:r w:rsidR="000B747B">
        <w:rPr>
          <w:color w:val="000000" w:themeColor="text1"/>
          <w:sz w:val="22"/>
          <w:szCs w:val="22"/>
          <w:lang w:val="es-ES"/>
        </w:rPr>
        <w:t>los señores</w:t>
      </w:r>
      <w:r w:rsidR="002C7BEE">
        <w:rPr>
          <w:color w:val="000000" w:themeColor="text1"/>
          <w:sz w:val="22"/>
          <w:szCs w:val="22"/>
          <w:lang w:val="es-ES"/>
        </w:rPr>
        <w:t xml:space="preserve"> </w:t>
      </w:r>
      <w:r w:rsidR="002C7BEE" w:rsidRPr="00512F79">
        <w:rPr>
          <w:color w:val="000000" w:themeColor="text1"/>
          <w:sz w:val="22"/>
          <w:szCs w:val="22"/>
          <w:lang w:val="es-ES"/>
        </w:rPr>
        <w:t xml:space="preserve">Dr. Benjamín Abelardo Marticorena Castillo, Presidente del Consejo Nacional de Ciencia, Tecnología e Innovación Tecnológica (CONCYTEC) de Perú </w:t>
      </w:r>
      <w:r w:rsidR="002C7BEE">
        <w:rPr>
          <w:color w:val="000000" w:themeColor="text1"/>
          <w:sz w:val="22"/>
          <w:szCs w:val="22"/>
          <w:lang w:val="es-ES"/>
        </w:rPr>
        <w:t xml:space="preserve">y  </w:t>
      </w:r>
      <w:r w:rsidR="002C7BEE" w:rsidRPr="00512F79">
        <w:rPr>
          <w:color w:val="000000" w:themeColor="text1"/>
          <w:sz w:val="22"/>
          <w:szCs w:val="22"/>
          <w:lang w:val="es-ES"/>
        </w:rPr>
        <w:t>Dr. Flavio Salazar Onfray, Ministro de Ciencia, Tecnología, Conocimiento e Innovación de Chile</w:t>
      </w:r>
      <w:r w:rsidR="00892092">
        <w:rPr>
          <w:color w:val="000000" w:themeColor="text1"/>
          <w:sz w:val="22"/>
          <w:szCs w:val="22"/>
          <w:lang w:val="es-ES"/>
        </w:rPr>
        <w:t>, como Vicepresidentes.</w:t>
      </w:r>
    </w:p>
    <w:p w14:paraId="7BD1C9F8" w14:textId="77777777" w:rsidR="00ED78BF" w:rsidRPr="00512F79" w:rsidRDefault="00ED78BF" w:rsidP="00CB030B">
      <w:pPr>
        <w:ind w:left="1440" w:hanging="720"/>
        <w:contextualSpacing/>
        <w:jc w:val="both"/>
        <w:rPr>
          <w:rFonts w:ascii="Times New Roman" w:hAnsi="Times New Roman" w:cs="Times New Roman"/>
          <w:color w:val="000000" w:themeColor="text1"/>
          <w:sz w:val="22"/>
          <w:szCs w:val="22"/>
          <w:lang w:val="es-ES"/>
        </w:rPr>
      </w:pPr>
    </w:p>
    <w:p w14:paraId="34AEBA60" w14:textId="3931B844" w:rsidR="00F4728E" w:rsidRPr="007A42D5" w:rsidRDefault="000B747B" w:rsidP="006650C2">
      <w:pPr>
        <w:pStyle w:val="ListParagraph"/>
        <w:numPr>
          <w:ilvl w:val="0"/>
          <w:numId w:val="4"/>
        </w:numPr>
        <w:shd w:val="clear" w:color="auto" w:fill="FFFFFF"/>
        <w:ind w:left="1440" w:hanging="720"/>
        <w:jc w:val="both"/>
        <w:rPr>
          <w:color w:val="000000"/>
          <w:sz w:val="22"/>
          <w:szCs w:val="22"/>
          <w:lang w:val="es-ES"/>
        </w:rPr>
      </w:pPr>
      <w:r>
        <w:rPr>
          <w:color w:val="000000"/>
          <w:sz w:val="22"/>
          <w:szCs w:val="22"/>
          <w:lang w:val="es-ES"/>
        </w:rPr>
        <w:t>Las autoridades de la COMCYT y la Troika acordaron el</w:t>
      </w:r>
      <w:r w:rsidR="00967695" w:rsidRPr="007A42D5">
        <w:rPr>
          <w:color w:val="000000"/>
          <w:sz w:val="22"/>
          <w:szCs w:val="22"/>
          <w:lang w:val="es-ES"/>
        </w:rPr>
        <w:t xml:space="preserve"> </w:t>
      </w:r>
      <w:r w:rsidR="00ED78BF" w:rsidRPr="007A42D5">
        <w:rPr>
          <w:color w:val="000000"/>
          <w:sz w:val="22"/>
          <w:szCs w:val="22"/>
          <w:lang w:val="es-ES"/>
        </w:rPr>
        <w:t xml:space="preserve">Plan de Trabajo </w:t>
      </w:r>
      <w:r w:rsidR="00C37078">
        <w:rPr>
          <w:color w:val="000000"/>
          <w:sz w:val="22"/>
          <w:szCs w:val="22"/>
          <w:lang w:val="es-ES"/>
        </w:rPr>
        <w:t xml:space="preserve">de la COMCYT para </w:t>
      </w:r>
      <w:r w:rsidR="00ED78BF" w:rsidRPr="007A42D5">
        <w:rPr>
          <w:color w:val="000000"/>
          <w:sz w:val="22"/>
          <w:szCs w:val="22"/>
          <w:lang w:val="es-ES"/>
        </w:rPr>
        <w:t>2022-2024 durante la Reunión de Planificación de las Autoridades del Proceso Ministerial de Ciencia y Tecnología del CIDI, celebrada el 2 de noviembre de 2022.</w:t>
      </w:r>
      <w:r w:rsidR="007A42D5" w:rsidRPr="007A42D5">
        <w:rPr>
          <w:color w:val="000000"/>
          <w:sz w:val="22"/>
          <w:szCs w:val="22"/>
          <w:lang w:val="es-ES"/>
        </w:rPr>
        <w:t xml:space="preserve"> </w:t>
      </w:r>
      <w:r w:rsidR="00ED78BF" w:rsidRPr="007A42D5">
        <w:rPr>
          <w:color w:val="000000"/>
          <w:sz w:val="22"/>
          <w:szCs w:val="22"/>
          <w:lang w:val="es-ES"/>
        </w:rPr>
        <w:t xml:space="preserve">El Plan de Trabajo establece una hoja de ruta para implementar los mandatos de la </w:t>
      </w:r>
      <w:r w:rsidR="00ED78BF" w:rsidRPr="007A42D5">
        <w:rPr>
          <w:b/>
          <w:bCs/>
          <w:color w:val="000000"/>
          <w:sz w:val="22"/>
          <w:szCs w:val="22"/>
          <w:lang w:val="es-ES"/>
        </w:rPr>
        <w:t>Declaración de Jamaica</w:t>
      </w:r>
      <w:r w:rsidR="00967695" w:rsidRPr="007A42D5">
        <w:rPr>
          <w:b/>
          <w:bCs/>
          <w:color w:val="000000"/>
          <w:sz w:val="22"/>
          <w:szCs w:val="22"/>
          <w:lang w:val="es-ES"/>
        </w:rPr>
        <w:t xml:space="preserve">: </w:t>
      </w:r>
      <w:r w:rsidR="007A42D5" w:rsidRPr="007A42D5">
        <w:rPr>
          <w:sz w:val="22"/>
          <w:szCs w:val="22"/>
          <w:lang w:val="es-419"/>
        </w:rPr>
        <w:t>“Aprovechando el poder de la ciencia y las tecnologías transformadoras para impulsar nuestras comunidades hacia el futuro”</w:t>
      </w:r>
      <w:r w:rsidR="007A42D5">
        <w:rPr>
          <w:sz w:val="22"/>
          <w:szCs w:val="22"/>
          <w:lang w:val="es-419"/>
        </w:rPr>
        <w:t xml:space="preserve">, </w:t>
      </w:r>
      <w:r w:rsidR="00DA7516">
        <w:rPr>
          <w:sz w:val="22"/>
          <w:szCs w:val="22"/>
          <w:lang w:val="es-419"/>
        </w:rPr>
        <w:t>aprobada</w:t>
      </w:r>
      <w:r w:rsidR="00ED78BF" w:rsidRPr="007A42D5">
        <w:rPr>
          <w:color w:val="000000"/>
          <w:sz w:val="22"/>
          <w:szCs w:val="22"/>
          <w:lang w:val="es-ES"/>
        </w:rPr>
        <w:t xml:space="preserve"> durante la Sexta Reunión de Ministros y Altas Autoridades de Ciencia y Tecnología</w:t>
      </w:r>
      <w:r w:rsidR="00967695" w:rsidRPr="007A42D5">
        <w:rPr>
          <w:color w:val="000000"/>
          <w:sz w:val="22"/>
          <w:szCs w:val="22"/>
          <w:lang w:val="es-ES"/>
        </w:rPr>
        <w:t xml:space="preserve">, </w:t>
      </w:r>
      <w:r w:rsidR="00ED78BF" w:rsidRPr="007A42D5">
        <w:rPr>
          <w:color w:val="000000"/>
          <w:sz w:val="22"/>
          <w:szCs w:val="22"/>
          <w:lang w:val="es-ES"/>
        </w:rPr>
        <w:t xml:space="preserve">celebrada virtualmente los días 7 y 8 de diciembre de 2021. Las principales áreas de acción </w:t>
      </w:r>
      <w:r w:rsidR="00967695" w:rsidRPr="007A42D5">
        <w:rPr>
          <w:color w:val="000000"/>
          <w:sz w:val="22"/>
          <w:szCs w:val="22"/>
          <w:lang w:val="es-ES"/>
        </w:rPr>
        <w:t xml:space="preserve">incluyen </w:t>
      </w:r>
      <w:r w:rsidR="00ED78BF" w:rsidRPr="007A42D5">
        <w:rPr>
          <w:color w:val="000000"/>
          <w:sz w:val="22"/>
          <w:szCs w:val="22"/>
          <w:lang w:val="es-ES"/>
        </w:rPr>
        <w:t>abordar la brecha de habilidades de los jóvenes y la preparación para la industria 4.0</w:t>
      </w:r>
      <w:r w:rsidR="002401C3">
        <w:rPr>
          <w:color w:val="000000"/>
          <w:sz w:val="22"/>
          <w:szCs w:val="22"/>
          <w:lang w:val="es-ES"/>
        </w:rPr>
        <w:t>,</w:t>
      </w:r>
      <w:r w:rsidR="00967695" w:rsidRPr="007A42D5">
        <w:rPr>
          <w:color w:val="000000"/>
          <w:sz w:val="22"/>
          <w:szCs w:val="22"/>
          <w:lang w:val="es-ES"/>
        </w:rPr>
        <w:t xml:space="preserve"> </w:t>
      </w:r>
      <w:r w:rsidR="00ED78BF" w:rsidRPr="007A42D5">
        <w:rPr>
          <w:color w:val="000000"/>
          <w:sz w:val="22"/>
          <w:szCs w:val="22"/>
          <w:lang w:val="es-ES"/>
        </w:rPr>
        <w:t>promover la inclusión de la</w:t>
      </w:r>
      <w:r w:rsidR="00055ACE">
        <w:rPr>
          <w:color w:val="000000"/>
          <w:sz w:val="22"/>
          <w:szCs w:val="22"/>
          <w:lang w:val="es-ES"/>
        </w:rPr>
        <w:t xml:space="preserve"> mujer</w:t>
      </w:r>
      <w:r w:rsidR="00ED78BF" w:rsidRPr="007A42D5">
        <w:rPr>
          <w:color w:val="000000"/>
          <w:sz w:val="22"/>
          <w:szCs w:val="22"/>
          <w:lang w:val="es-ES"/>
        </w:rPr>
        <w:t xml:space="preserve">, las </w:t>
      </w:r>
      <w:r w:rsidR="00591999" w:rsidRPr="007A42D5">
        <w:rPr>
          <w:color w:val="000000"/>
          <w:sz w:val="22"/>
          <w:szCs w:val="22"/>
          <w:lang w:val="es-ES"/>
        </w:rPr>
        <w:t xml:space="preserve">comunidades </w:t>
      </w:r>
      <w:r w:rsidR="00ED78BF" w:rsidRPr="007A42D5">
        <w:rPr>
          <w:color w:val="000000"/>
          <w:sz w:val="22"/>
          <w:szCs w:val="22"/>
          <w:lang w:val="es-ES"/>
        </w:rPr>
        <w:t xml:space="preserve">rurales e indígenas y otras poblaciones en situación de vulnerabilidad en la </w:t>
      </w:r>
      <w:r w:rsidR="00055ACE">
        <w:rPr>
          <w:color w:val="000000"/>
          <w:sz w:val="22"/>
          <w:szCs w:val="22"/>
          <w:lang w:val="es-ES"/>
        </w:rPr>
        <w:t xml:space="preserve">ciencia, </w:t>
      </w:r>
      <w:r w:rsidR="00ED1121">
        <w:rPr>
          <w:color w:val="000000"/>
          <w:sz w:val="22"/>
          <w:szCs w:val="22"/>
          <w:lang w:val="es-ES"/>
        </w:rPr>
        <w:t xml:space="preserve">la </w:t>
      </w:r>
      <w:r w:rsidR="00055ACE">
        <w:rPr>
          <w:color w:val="000000"/>
          <w:sz w:val="22"/>
          <w:szCs w:val="22"/>
          <w:lang w:val="es-ES"/>
        </w:rPr>
        <w:t xml:space="preserve">tecnología </w:t>
      </w:r>
      <w:r w:rsidR="00ED1121">
        <w:rPr>
          <w:color w:val="000000"/>
          <w:sz w:val="22"/>
          <w:szCs w:val="22"/>
          <w:lang w:val="es-ES"/>
        </w:rPr>
        <w:t>y la</w:t>
      </w:r>
      <w:r w:rsidR="00055ACE">
        <w:rPr>
          <w:color w:val="000000"/>
          <w:sz w:val="22"/>
          <w:szCs w:val="22"/>
          <w:lang w:val="es-ES"/>
        </w:rPr>
        <w:t xml:space="preserve"> innovación (</w:t>
      </w:r>
      <w:r w:rsidR="00ED78BF" w:rsidRPr="007A42D5">
        <w:rPr>
          <w:color w:val="000000"/>
          <w:sz w:val="22"/>
          <w:szCs w:val="22"/>
          <w:lang w:val="es-ES"/>
        </w:rPr>
        <w:t>CTI</w:t>
      </w:r>
      <w:r w:rsidR="00055ACE">
        <w:rPr>
          <w:color w:val="000000"/>
          <w:sz w:val="22"/>
          <w:szCs w:val="22"/>
          <w:lang w:val="es-ES"/>
        </w:rPr>
        <w:t>)</w:t>
      </w:r>
      <w:r w:rsidR="002401C3">
        <w:rPr>
          <w:color w:val="000000"/>
          <w:sz w:val="22"/>
          <w:szCs w:val="22"/>
          <w:lang w:val="es-ES"/>
        </w:rPr>
        <w:t>,</w:t>
      </w:r>
      <w:r w:rsidR="00967695" w:rsidRPr="007A42D5">
        <w:rPr>
          <w:color w:val="000000"/>
          <w:sz w:val="22"/>
          <w:szCs w:val="22"/>
          <w:lang w:val="es-ES"/>
        </w:rPr>
        <w:t xml:space="preserve"> la </w:t>
      </w:r>
      <w:r w:rsidR="00ED78BF" w:rsidRPr="007A42D5">
        <w:rPr>
          <w:color w:val="000000"/>
          <w:sz w:val="22"/>
          <w:szCs w:val="22"/>
          <w:lang w:val="es-ES"/>
        </w:rPr>
        <w:t>previsión tecnológica como</w:t>
      </w:r>
      <w:r w:rsidR="00295D9B">
        <w:rPr>
          <w:color w:val="000000"/>
          <w:sz w:val="22"/>
          <w:szCs w:val="22"/>
          <w:lang w:val="es-ES"/>
        </w:rPr>
        <w:t xml:space="preserve"> elemento </w:t>
      </w:r>
      <w:r w:rsidR="00ED78BF" w:rsidRPr="007A42D5">
        <w:rPr>
          <w:color w:val="000000"/>
          <w:sz w:val="22"/>
          <w:szCs w:val="22"/>
          <w:lang w:val="es-ES"/>
        </w:rPr>
        <w:t>para las decisiones de política pública</w:t>
      </w:r>
      <w:r w:rsidR="00967695" w:rsidRPr="007A42D5">
        <w:rPr>
          <w:color w:val="000000"/>
          <w:sz w:val="22"/>
          <w:szCs w:val="22"/>
          <w:lang w:val="es-ES"/>
        </w:rPr>
        <w:t xml:space="preserve"> y la </w:t>
      </w:r>
      <w:r w:rsidR="00ED78BF" w:rsidRPr="007A42D5">
        <w:rPr>
          <w:color w:val="000000"/>
          <w:sz w:val="22"/>
          <w:szCs w:val="22"/>
          <w:lang w:val="es-ES"/>
        </w:rPr>
        <w:t>colaboración efectiva entre los sectores público, privado y académico para mejorar la calidad de vida y las MIPYME</w:t>
      </w:r>
      <w:r w:rsidR="002401C3">
        <w:rPr>
          <w:color w:val="000000"/>
          <w:sz w:val="22"/>
          <w:szCs w:val="22"/>
          <w:lang w:val="es-ES"/>
        </w:rPr>
        <w:t>S</w:t>
      </w:r>
      <w:r w:rsidR="00ED78BF" w:rsidRPr="007A42D5">
        <w:rPr>
          <w:color w:val="000000"/>
          <w:sz w:val="22"/>
          <w:szCs w:val="22"/>
          <w:lang w:val="es-ES"/>
        </w:rPr>
        <w:t xml:space="preserve"> a través de </w:t>
      </w:r>
      <w:r w:rsidR="00055ACE">
        <w:rPr>
          <w:color w:val="000000"/>
          <w:sz w:val="22"/>
          <w:szCs w:val="22"/>
          <w:lang w:val="es-ES"/>
        </w:rPr>
        <w:t>ciencia, la tecnología y la innovación</w:t>
      </w:r>
      <w:r w:rsidR="00ED78BF" w:rsidRPr="007A42D5">
        <w:rPr>
          <w:color w:val="000000"/>
          <w:sz w:val="22"/>
          <w:szCs w:val="22"/>
          <w:lang w:val="es-ES"/>
        </w:rPr>
        <w:t>.</w:t>
      </w:r>
    </w:p>
    <w:p w14:paraId="7EDD0606" w14:textId="77777777" w:rsidR="00ED78BF" w:rsidRPr="00512F79" w:rsidRDefault="00ED78BF" w:rsidP="00CB030B">
      <w:pPr>
        <w:ind w:left="1440" w:hanging="720"/>
        <w:contextualSpacing/>
        <w:jc w:val="both"/>
        <w:rPr>
          <w:rFonts w:ascii="Times New Roman" w:hAnsi="Times New Roman" w:cs="Times New Roman"/>
          <w:color w:val="000000" w:themeColor="text1"/>
          <w:sz w:val="22"/>
          <w:szCs w:val="22"/>
          <w:lang w:val="es-ES"/>
        </w:rPr>
      </w:pPr>
    </w:p>
    <w:p w14:paraId="2E30BEE8" w14:textId="65BD9B4A" w:rsidR="00F4728E" w:rsidRPr="00512F79" w:rsidRDefault="00277C31">
      <w:pPr>
        <w:numPr>
          <w:ilvl w:val="0"/>
          <w:numId w:val="4"/>
        </w:numPr>
        <w:ind w:left="1440" w:hanging="720"/>
        <w:contextualSpacing/>
        <w:jc w:val="both"/>
        <w:rPr>
          <w:rFonts w:ascii="Times New Roman" w:hAnsi="Times New Roman" w:cs="Times New Roman"/>
          <w:color w:val="000000" w:themeColor="text1"/>
          <w:sz w:val="22"/>
          <w:szCs w:val="22"/>
          <w:lang w:val="es-ES"/>
        </w:rPr>
      </w:pPr>
      <w:r w:rsidRPr="00277C31">
        <w:rPr>
          <w:rFonts w:ascii="Times New Roman" w:hAnsi="Times New Roman" w:cs="Times New Roman"/>
          <w:color w:val="000000" w:themeColor="text1"/>
          <w:sz w:val="22"/>
          <w:szCs w:val="22"/>
          <w:lang w:val="es-ES"/>
        </w:rPr>
        <w:t xml:space="preserve">Los pasados </w:t>
      </w:r>
      <w:r w:rsidR="00295D9B">
        <w:rPr>
          <w:rFonts w:ascii="Times New Roman" w:hAnsi="Times New Roman" w:cs="Times New Roman"/>
          <w:color w:val="000000" w:themeColor="text1"/>
          <w:sz w:val="22"/>
          <w:szCs w:val="22"/>
          <w:lang w:val="es-ES"/>
        </w:rPr>
        <w:t xml:space="preserve">días </w:t>
      </w:r>
      <w:r w:rsidRPr="00277C31">
        <w:rPr>
          <w:rFonts w:ascii="Times New Roman" w:hAnsi="Times New Roman" w:cs="Times New Roman"/>
          <w:color w:val="000000" w:themeColor="text1"/>
          <w:sz w:val="22"/>
          <w:szCs w:val="22"/>
          <w:lang w:val="es-ES"/>
        </w:rPr>
        <w:t>18 y 19 de mayo de 2022 se celebró</w:t>
      </w:r>
      <w:r w:rsidR="00295D9B">
        <w:rPr>
          <w:rFonts w:ascii="Times New Roman" w:hAnsi="Times New Roman" w:cs="Times New Roman"/>
          <w:color w:val="000000" w:themeColor="text1"/>
          <w:sz w:val="22"/>
          <w:szCs w:val="22"/>
          <w:lang w:val="es-ES"/>
        </w:rPr>
        <w:t>,</w:t>
      </w:r>
      <w:r w:rsidRPr="00277C31">
        <w:rPr>
          <w:rFonts w:ascii="Times New Roman" w:hAnsi="Times New Roman" w:cs="Times New Roman"/>
          <w:color w:val="000000" w:themeColor="text1"/>
          <w:sz w:val="22"/>
          <w:szCs w:val="22"/>
          <w:lang w:val="es-ES"/>
        </w:rPr>
        <w:t xml:space="preserve"> </w:t>
      </w:r>
      <w:r w:rsidR="00295D9B">
        <w:rPr>
          <w:rFonts w:ascii="Times New Roman" w:hAnsi="Times New Roman" w:cs="Times New Roman"/>
          <w:color w:val="000000" w:themeColor="text1"/>
          <w:sz w:val="22"/>
          <w:szCs w:val="22"/>
          <w:lang w:val="es-ES"/>
        </w:rPr>
        <w:t>en el marco de la COMCYT,</w:t>
      </w:r>
      <w:r w:rsidR="00295D9B" w:rsidRPr="00277C31">
        <w:rPr>
          <w:rFonts w:ascii="Times New Roman" w:hAnsi="Times New Roman" w:cs="Times New Roman"/>
          <w:color w:val="000000" w:themeColor="text1"/>
          <w:sz w:val="22"/>
          <w:szCs w:val="22"/>
          <w:lang w:val="es-ES"/>
        </w:rPr>
        <w:t xml:space="preserve"> </w:t>
      </w:r>
      <w:r w:rsidRPr="00277C31">
        <w:rPr>
          <w:rFonts w:ascii="Times New Roman" w:hAnsi="Times New Roman" w:cs="Times New Roman"/>
          <w:color w:val="000000" w:themeColor="text1"/>
          <w:sz w:val="22"/>
          <w:szCs w:val="22"/>
          <w:lang w:val="es-ES"/>
        </w:rPr>
        <w:t xml:space="preserve">el Seminario Internacional </w:t>
      </w:r>
      <w:r w:rsidR="00473646">
        <w:rPr>
          <w:rFonts w:ascii="Times New Roman" w:hAnsi="Times New Roman" w:cs="Times New Roman"/>
          <w:color w:val="000000" w:themeColor="text1"/>
          <w:sz w:val="22"/>
          <w:szCs w:val="22"/>
          <w:lang w:val="es-ES"/>
        </w:rPr>
        <w:t>“</w:t>
      </w:r>
      <w:r w:rsidRPr="00277C31">
        <w:rPr>
          <w:rFonts w:ascii="Times New Roman" w:hAnsi="Times New Roman" w:cs="Times New Roman"/>
          <w:color w:val="000000" w:themeColor="text1"/>
          <w:sz w:val="22"/>
          <w:szCs w:val="22"/>
          <w:lang w:val="es-ES"/>
        </w:rPr>
        <w:t>Prospecta Américas</w:t>
      </w:r>
      <w:r w:rsidR="00473646">
        <w:rPr>
          <w:rFonts w:ascii="Times New Roman" w:hAnsi="Times New Roman" w:cs="Times New Roman"/>
          <w:color w:val="000000" w:themeColor="text1"/>
          <w:sz w:val="22"/>
          <w:szCs w:val="22"/>
          <w:lang w:val="es-ES"/>
        </w:rPr>
        <w:t>”</w:t>
      </w:r>
      <w:r w:rsidRPr="00277C31">
        <w:rPr>
          <w:rFonts w:ascii="Times New Roman" w:hAnsi="Times New Roman" w:cs="Times New Roman"/>
          <w:color w:val="000000" w:themeColor="text1"/>
          <w:sz w:val="22"/>
          <w:szCs w:val="22"/>
          <w:lang w:val="es-ES"/>
        </w:rPr>
        <w:t xml:space="preserve"> sobre tecnologías transformadoras y sus </w:t>
      </w:r>
      <w:r w:rsidR="00295D9B">
        <w:rPr>
          <w:rFonts w:ascii="Times New Roman" w:hAnsi="Times New Roman" w:cs="Times New Roman"/>
          <w:color w:val="000000" w:themeColor="text1"/>
          <w:sz w:val="22"/>
          <w:szCs w:val="22"/>
          <w:lang w:val="es-ES"/>
        </w:rPr>
        <w:t>consecuencias</w:t>
      </w:r>
      <w:r w:rsidRPr="00277C31">
        <w:rPr>
          <w:rFonts w:ascii="Times New Roman" w:hAnsi="Times New Roman" w:cs="Times New Roman"/>
          <w:color w:val="000000" w:themeColor="text1"/>
          <w:sz w:val="22"/>
          <w:szCs w:val="22"/>
          <w:lang w:val="es-ES"/>
        </w:rPr>
        <w:t xml:space="preserve"> para el futuro económico, social y ambiental de las Américas. El evento se realizó en formato híbrido-virtual y presencial en Pachuca, Hidalgo, México</w:t>
      </w:r>
      <w:r w:rsidR="007D18DD">
        <w:rPr>
          <w:rFonts w:ascii="Times New Roman" w:hAnsi="Times New Roman" w:cs="Times New Roman"/>
          <w:color w:val="000000" w:themeColor="text1"/>
          <w:sz w:val="22"/>
          <w:szCs w:val="22"/>
          <w:lang w:val="es-ES"/>
        </w:rPr>
        <w:t xml:space="preserve">, </w:t>
      </w:r>
      <w:r w:rsidRPr="00277C31">
        <w:rPr>
          <w:rFonts w:ascii="Times New Roman" w:hAnsi="Times New Roman" w:cs="Times New Roman"/>
          <w:color w:val="000000" w:themeColor="text1"/>
          <w:sz w:val="22"/>
          <w:szCs w:val="22"/>
          <w:lang w:val="es-ES"/>
        </w:rPr>
        <w:t>y fue organizado tanto por la OEA como por el Gobierno del Estado de Hidalgo en colaboración con la Secretaría de Relaciones Exteriores de México (SRE) y el CONACYT. En esta ocasión, 981 expertos, académicos y autoridades en los campos de la ciencia, la tecnología y la innovación de veinte países de la región intercambiaron quince buenas prácticas y trataron temas de vital importancia</w:t>
      </w:r>
      <w:r w:rsidR="007A5472">
        <w:rPr>
          <w:rFonts w:ascii="Times New Roman" w:hAnsi="Times New Roman" w:cs="Times New Roman"/>
          <w:color w:val="000000" w:themeColor="text1"/>
          <w:sz w:val="22"/>
          <w:szCs w:val="22"/>
          <w:lang w:val="es-ES"/>
        </w:rPr>
        <w:t>, tales como</w:t>
      </w:r>
      <w:r w:rsidRPr="00277C31">
        <w:rPr>
          <w:rFonts w:ascii="Times New Roman" w:hAnsi="Times New Roman" w:cs="Times New Roman"/>
          <w:color w:val="000000" w:themeColor="text1"/>
          <w:sz w:val="22"/>
          <w:szCs w:val="22"/>
          <w:lang w:val="es-ES"/>
        </w:rPr>
        <w:t xml:space="preserve"> como el futuro de la economía, la industria, la educación, el transporte y la salud en las Américas. Más de 400 miembros de la comunidad científica de Hidalgo (México) y participantes internacionales de trece talleres recibieron formación sobre tecnologías transformadoras. El Seminario Prospecta Américas dio lugar a diez nuevas pistas de colaboración, incluidos acuerdos y alianzas con Centros de Excelencia en Tecnologías Transformadoras, como Blockchain en Hidalgo, México, Inteligencia Artificial y Robótica en Barranquilla, Colombia, y el tercero sobre Materiales Avanzados y Nanotecnologías, en Lima, Perú.</w:t>
      </w:r>
    </w:p>
    <w:p w14:paraId="439F95A0" w14:textId="77777777" w:rsidR="00ED78BF" w:rsidRPr="00512F79" w:rsidRDefault="00ED78BF" w:rsidP="00CB030B">
      <w:pPr>
        <w:shd w:val="clear" w:color="auto" w:fill="FFFFFF"/>
        <w:ind w:left="1440" w:hanging="720"/>
        <w:jc w:val="both"/>
        <w:rPr>
          <w:rFonts w:ascii="Times New Roman" w:hAnsi="Times New Roman" w:cs="Times New Roman"/>
          <w:color w:val="000000"/>
          <w:sz w:val="22"/>
          <w:szCs w:val="22"/>
          <w:lang w:val="es-ES"/>
        </w:rPr>
      </w:pPr>
    </w:p>
    <w:p w14:paraId="1F188F71" w14:textId="0C495F47" w:rsidR="00F4728E" w:rsidRPr="00512F79" w:rsidRDefault="00967695">
      <w:pPr>
        <w:pStyle w:val="ListParagraph"/>
        <w:numPr>
          <w:ilvl w:val="0"/>
          <w:numId w:val="4"/>
        </w:numPr>
        <w:shd w:val="clear" w:color="auto" w:fill="FFFFFF"/>
        <w:ind w:left="1440" w:hanging="720"/>
        <w:contextualSpacing/>
        <w:jc w:val="both"/>
        <w:rPr>
          <w:color w:val="000000"/>
          <w:sz w:val="22"/>
          <w:szCs w:val="22"/>
          <w:lang w:val="es-ES"/>
        </w:rPr>
      </w:pPr>
      <w:r w:rsidRPr="00512F79">
        <w:rPr>
          <w:color w:val="000000" w:themeColor="text1"/>
          <w:sz w:val="22"/>
          <w:szCs w:val="22"/>
          <w:lang w:val="es-ES"/>
        </w:rPr>
        <w:t xml:space="preserve">La Academia </w:t>
      </w:r>
      <w:r w:rsidR="00473646">
        <w:rPr>
          <w:color w:val="000000" w:themeColor="text1"/>
          <w:sz w:val="22"/>
          <w:szCs w:val="22"/>
          <w:lang w:val="es-ES"/>
        </w:rPr>
        <w:t xml:space="preserve">para Jóvenes en </w:t>
      </w:r>
      <w:r w:rsidRPr="00512F79">
        <w:rPr>
          <w:color w:val="000000" w:themeColor="text1"/>
          <w:sz w:val="22"/>
          <w:szCs w:val="22"/>
          <w:lang w:val="es-ES"/>
        </w:rPr>
        <w:t>Tecnologías Transformadoras</w:t>
      </w:r>
      <w:r w:rsidR="00473646">
        <w:rPr>
          <w:color w:val="000000" w:themeColor="text1"/>
          <w:sz w:val="22"/>
          <w:szCs w:val="22"/>
          <w:lang w:val="es-ES"/>
        </w:rPr>
        <w:t xml:space="preserve"> de la OEA</w:t>
      </w:r>
      <w:r w:rsidR="001F6B15" w:rsidRPr="00512F79">
        <w:rPr>
          <w:color w:val="000000" w:themeColor="text1"/>
          <w:sz w:val="22"/>
          <w:szCs w:val="22"/>
          <w:lang w:val="es-ES"/>
        </w:rPr>
        <w:t xml:space="preserve">, en colaboración con Meta, </w:t>
      </w:r>
      <w:r w:rsidRPr="00512F79">
        <w:rPr>
          <w:color w:val="000000" w:themeColor="text1"/>
          <w:sz w:val="22"/>
          <w:szCs w:val="22"/>
          <w:lang w:val="es-ES"/>
        </w:rPr>
        <w:t xml:space="preserve">lanzó </w:t>
      </w:r>
      <w:r w:rsidR="001F6B15" w:rsidRPr="00512F79">
        <w:rPr>
          <w:color w:val="000000" w:themeColor="text1"/>
          <w:sz w:val="22"/>
          <w:szCs w:val="22"/>
          <w:lang w:val="es-ES"/>
        </w:rPr>
        <w:t xml:space="preserve">tres </w:t>
      </w:r>
      <w:r w:rsidRPr="00512F79">
        <w:rPr>
          <w:color w:val="000000" w:themeColor="text1"/>
          <w:sz w:val="22"/>
          <w:szCs w:val="22"/>
          <w:lang w:val="es-ES"/>
        </w:rPr>
        <w:t xml:space="preserve">módulos de un curso sobre Realidad Aumentada (RA) para </w:t>
      </w:r>
      <w:r w:rsidR="007A5472">
        <w:rPr>
          <w:color w:val="000000" w:themeColor="text1"/>
          <w:sz w:val="22"/>
          <w:szCs w:val="22"/>
          <w:lang w:val="es-ES"/>
        </w:rPr>
        <w:t>ofrecer</w:t>
      </w:r>
      <w:r w:rsidRPr="00512F79">
        <w:rPr>
          <w:color w:val="000000" w:themeColor="text1"/>
          <w:sz w:val="22"/>
          <w:szCs w:val="22"/>
          <w:lang w:val="es-ES"/>
        </w:rPr>
        <w:t xml:space="preserve"> formación y certificación a 10.000 jóvenes de las Américas. El curso</w:t>
      </w:r>
      <w:r w:rsidR="00FB1777">
        <w:rPr>
          <w:color w:val="000000" w:themeColor="text1"/>
          <w:sz w:val="22"/>
          <w:szCs w:val="22"/>
          <w:lang w:val="es-ES"/>
        </w:rPr>
        <w:t>, que consta de</w:t>
      </w:r>
      <w:r w:rsidRPr="00512F79">
        <w:rPr>
          <w:color w:val="000000" w:themeColor="text1"/>
          <w:sz w:val="22"/>
          <w:szCs w:val="22"/>
          <w:lang w:val="es-ES"/>
        </w:rPr>
        <w:t xml:space="preserve"> tres niveles</w:t>
      </w:r>
      <w:r w:rsidR="00AA6E24">
        <w:rPr>
          <w:color w:val="000000" w:themeColor="text1"/>
          <w:sz w:val="22"/>
          <w:szCs w:val="22"/>
          <w:lang w:val="es-ES"/>
        </w:rPr>
        <w:t>, así como</w:t>
      </w:r>
      <w:r w:rsidRPr="00512F79">
        <w:rPr>
          <w:color w:val="000000" w:themeColor="text1"/>
          <w:sz w:val="22"/>
          <w:szCs w:val="22"/>
          <w:lang w:val="es-ES"/>
        </w:rPr>
        <w:t xml:space="preserve"> la certificación se ofrecen en inglés, español y portugués e incluyen instrucción en </w:t>
      </w:r>
      <w:r w:rsidR="00D06116">
        <w:rPr>
          <w:color w:val="000000" w:themeColor="text1"/>
          <w:sz w:val="22"/>
          <w:szCs w:val="22"/>
          <w:lang w:val="es-ES"/>
        </w:rPr>
        <w:t>un nivel básico,</w:t>
      </w:r>
      <w:r w:rsidRPr="00512F79">
        <w:rPr>
          <w:color w:val="000000" w:themeColor="text1"/>
          <w:sz w:val="22"/>
          <w:szCs w:val="22"/>
          <w:lang w:val="es-ES"/>
        </w:rPr>
        <w:t xml:space="preserve"> </w:t>
      </w:r>
      <w:r w:rsidR="00FB1777">
        <w:rPr>
          <w:color w:val="000000" w:themeColor="text1"/>
          <w:sz w:val="22"/>
          <w:szCs w:val="22"/>
          <w:lang w:val="es-ES"/>
        </w:rPr>
        <w:t>aspectos fundamentales</w:t>
      </w:r>
      <w:r w:rsidRPr="00512F79">
        <w:rPr>
          <w:color w:val="000000" w:themeColor="text1"/>
          <w:sz w:val="22"/>
          <w:szCs w:val="22"/>
          <w:lang w:val="es-ES"/>
        </w:rPr>
        <w:t xml:space="preserve"> y </w:t>
      </w:r>
      <w:r w:rsidR="00FB1777">
        <w:rPr>
          <w:color w:val="000000" w:themeColor="text1"/>
          <w:sz w:val="22"/>
          <w:szCs w:val="22"/>
          <w:lang w:val="es-ES"/>
        </w:rPr>
        <w:t xml:space="preserve">nivel </w:t>
      </w:r>
      <w:r w:rsidRPr="00512F79">
        <w:rPr>
          <w:color w:val="000000" w:themeColor="text1"/>
          <w:sz w:val="22"/>
          <w:szCs w:val="22"/>
          <w:lang w:val="es-ES"/>
        </w:rPr>
        <w:t xml:space="preserve">profesional de la </w:t>
      </w:r>
      <w:r w:rsidR="00FB1777">
        <w:rPr>
          <w:color w:val="000000" w:themeColor="text1"/>
          <w:sz w:val="22"/>
          <w:szCs w:val="22"/>
          <w:lang w:val="es-ES"/>
        </w:rPr>
        <w:t>realidad aumentada</w:t>
      </w:r>
      <w:r w:rsidRPr="00512F79">
        <w:rPr>
          <w:color w:val="000000" w:themeColor="text1"/>
          <w:sz w:val="22"/>
          <w:szCs w:val="22"/>
          <w:lang w:val="es-ES"/>
        </w:rPr>
        <w:t xml:space="preserve"> </w:t>
      </w:r>
      <w:r w:rsidR="00FB1777">
        <w:rPr>
          <w:color w:val="000000" w:themeColor="text1"/>
          <w:sz w:val="22"/>
          <w:szCs w:val="22"/>
          <w:lang w:val="es-ES"/>
        </w:rPr>
        <w:t xml:space="preserve">con </w:t>
      </w:r>
      <w:r w:rsidRPr="00512F79">
        <w:rPr>
          <w:color w:val="000000" w:themeColor="text1"/>
          <w:sz w:val="22"/>
          <w:szCs w:val="22"/>
          <w:lang w:val="es-ES"/>
        </w:rPr>
        <w:t xml:space="preserve">contenidos desarrollados con casos </w:t>
      </w:r>
      <w:r w:rsidR="00FB1777">
        <w:rPr>
          <w:color w:val="000000" w:themeColor="text1"/>
          <w:sz w:val="22"/>
          <w:szCs w:val="22"/>
          <w:lang w:val="es-ES"/>
        </w:rPr>
        <w:t>prácticos</w:t>
      </w:r>
      <w:r w:rsidRPr="00512F79">
        <w:rPr>
          <w:color w:val="000000" w:themeColor="text1"/>
          <w:sz w:val="22"/>
          <w:szCs w:val="22"/>
          <w:lang w:val="es-ES"/>
        </w:rPr>
        <w:t xml:space="preserve"> y experiencias de creadores locales de América Latina y el Caribe. El propósito de la Academia </w:t>
      </w:r>
      <w:r w:rsidR="00F00362">
        <w:rPr>
          <w:color w:val="000000" w:themeColor="text1"/>
          <w:sz w:val="22"/>
          <w:szCs w:val="22"/>
          <w:lang w:val="es-ES"/>
        </w:rPr>
        <w:t xml:space="preserve">para Jóvenes </w:t>
      </w:r>
      <w:r w:rsidRPr="00512F79">
        <w:rPr>
          <w:color w:val="000000" w:themeColor="text1"/>
          <w:sz w:val="22"/>
          <w:szCs w:val="22"/>
          <w:lang w:val="es-ES"/>
        </w:rPr>
        <w:t xml:space="preserve">de la OEA es preparar a los jóvenes de las Américas para los empleos y las oportunidades empresariales de la economía digital y </w:t>
      </w:r>
      <w:r w:rsidR="009146F5">
        <w:rPr>
          <w:color w:val="000000" w:themeColor="text1"/>
          <w:sz w:val="22"/>
          <w:szCs w:val="22"/>
          <w:lang w:val="es-ES"/>
        </w:rPr>
        <w:t>de</w:t>
      </w:r>
      <w:r w:rsidRPr="00512F79">
        <w:rPr>
          <w:color w:val="000000" w:themeColor="text1"/>
          <w:sz w:val="22"/>
          <w:szCs w:val="22"/>
          <w:lang w:val="es-ES"/>
        </w:rPr>
        <w:t xml:space="preserve"> innovación, tal como se establece en la Declaración Ministerial de Jamaica. Más de 20.000 </w:t>
      </w:r>
      <w:r w:rsidRPr="00512F79">
        <w:rPr>
          <w:color w:val="000000"/>
          <w:sz w:val="22"/>
          <w:szCs w:val="22"/>
          <w:lang w:val="es-ES"/>
        </w:rPr>
        <w:t xml:space="preserve">participantes de los 34 </w:t>
      </w:r>
      <w:r w:rsidR="005F30B1" w:rsidRPr="00512F79">
        <w:rPr>
          <w:color w:val="000000"/>
          <w:sz w:val="22"/>
          <w:szCs w:val="22"/>
          <w:lang w:val="es-ES"/>
        </w:rPr>
        <w:t xml:space="preserve">Estados </w:t>
      </w:r>
      <w:r w:rsidR="00F8783F">
        <w:rPr>
          <w:color w:val="000000"/>
          <w:sz w:val="22"/>
          <w:szCs w:val="22"/>
          <w:lang w:val="es-ES"/>
        </w:rPr>
        <w:t>M</w:t>
      </w:r>
      <w:r w:rsidR="00C67D84" w:rsidRPr="00512F79">
        <w:rPr>
          <w:color w:val="000000"/>
          <w:sz w:val="22"/>
          <w:szCs w:val="22"/>
          <w:lang w:val="es-ES"/>
        </w:rPr>
        <w:t xml:space="preserve">iembros de </w:t>
      </w:r>
      <w:r w:rsidRPr="00512F79">
        <w:rPr>
          <w:color w:val="000000"/>
          <w:sz w:val="22"/>
          <w:szCs w:val="22"/>
          <w:lang w:val="es-ES"/>
        </w:rPr>
        <w:t xml:space="preserve">la OEA se inscribieron en la Academia </w:t>
      </w:r>
      <w:r w:rsidR="007A08CA">
        <w:rPr>
          <w:color w:val="000000"/>
          <w:sz w:val="22"/>
          <w:szCs w:val="22"/>
          <w:lang w:val="es-ES"/>
        </w:rPr>
        <w:t>para Jóvenes</w:t>
      </w:r>
      <w:r w:rsidRPr="00512F79">
        <w:rPr>
          <w:color w:val="000000"/>
          <w:sz w:val="22"/>
          <w:szCs w:val="22"/>
          <w:lang w:val="es-ES"/>
        </w:rPr>
        <w:t xml:space="preserve"> de la OEA en 2022. En 2023 y 2024 se ofrecerán cursos adicionales en colaboración con otros socios, entre ellos </w:t>
      </w:r>
      <w:r w:rsidR="0074320E" w:rsidRPr="00F8783F">
        <w:rPr>
          <w:i/>
          <w:iCs/>
          <w:color w:val="000000"/>
          <w:sz w:val="22"/>
          <w:szCs w:val="22"/>
          <w:lang w:val="es-ES"/>
        </w:rPr>
        <w:t>Structural</w:t>
      </w:r>
      <w:r w:rsidRPr="00512F79">
        <w:rPr>
          <w:color w:val="000000"/>
          <w:sz w:val="22"/>
          <w:szCs w:val="22"/>
          <w:lang w:val="es-ES"/>
        </w:rPr>
        <w:t>.</w:t>
      </w:r>
    </w:p>
    <w:p w14:paraId="03232870" w14:textId="77777777" w:rsidR="00ED78BF" w:rsidRPr="00512F79" w:rsidRDefault="00ED78BF" w:rsidP="00CB030B">
      <w:pPr>
        <w:shd w:val="clear" w:color="auto" w:fill="FFFFFF"/>
        <w:ind w:left="1440" w:hanging="720"/>
        <w:jc w:val="both"/>
        <w:rPr>
          <w:rFonts w:ascii="Times New Roman" w:hAnsi="Times New Roman" w:cs="Times New Roman"/>
          <w:color w:val="000000"/>
          <w:sz w:val="22"/>
          <w:szCs w:val="22"/>
          <w:lang w:val="es-ES"/>
        </w:rPr>
      </w:pPr>
    </w:p>
    <w:p w14:paraId="0C43AEA2" w14:textId="28FDD806" w:rsidR="00F4728E" w:rsidRPr="00512F79" w:rsidRDefault="00967695">
      <w:pPr>
        <w:numPr>
          <w:ilvl w:val="0"/>
          <w:numId w:val="4"/>
        </w:numPr>
        <w:shd w:val="clear" w:color="auto" w:fill="FFFFFF"/>
        <w:ind w:left="1440" w:hanging="720"/>
        <w:jc w:val="both"/>
        <w:rPr>
          <w:rFonts w:ascii="Times New Roman" w:hAnsi="Times New Roman" w:cs="Times New Roman"/>
          <w:color w:val="000000"/>
          <w:sz w:val="22"/>
          <w:szCs w:val="22"/>
          <w:lang w:val="es-ES"/>
        </w:rPr>
      </w:pPr>
      <w:r w:rsidRPr="00512F79">
        <w:rPr>
          <w:rFonts w:ascii="Times New Roman" w:hAnsi="Times New Roman" w:cs="Times New Roman"/>
          <w:color w:val="000000"/>
          <w:sz w:val="22"/>
          <w:szCs w:val="22"/>
          <w:lang w:val="es-ES"/>
        </w:rPr>
        <w:t xml:space="preserve">En el marco de </w:t>
      </w:r>
      <w:r w:rsidRPr="00512F79">
        <w:rPr>
          <w:rFonts w:ascii="Times New Roman" w:hAnsi="Times New Roman" w:cs="Times New Roman"/>
          <w:i/>
          <w:iCs/>
          <w:color w:val="000000"/>
          <w:sz w:val="22"/>
          <w:szCs w:val="22"/>
          <w:lang w:val="es-ES"/>
        </w:rPr>
        <w:t xml:space="preserve">Prospecta Américas, </w:t>
      </w:r>
      <w:r w:rsidRPr="00512F79">
        <w:rPr>
          <w:rFonts w:ascii="Times New Roman" w:hAnsi="Times New Roman" w:cs="Times New Roman"/>
          <w:color w:val="000000"/>
          <w:sz w:val="22"/>
          <w:szCs w:val="22"/>
          <w:lang w:val="es-ES"/>
        </w:rPr>
        <w:t xml:space="preserve">la SEDI apoyó versiones actualizadas y presentaciones de dos estudios regionales de prospectiva tecnológica en colaboración con MINCIENCIAS Colombia: </w:t>
      </w:r>
      <w:r w:rsidR="001F6B15" w:rsidRPr="00512F79">
        <w:rPr>
          <w:rFonts w:ascii="Times New Roman" w:hAnsi="Times New Roman" w:cs="Times New Roman"/>
          <w:color w:val="000000"/>
          <w:sz w:val="22"/>
          <w:szCs w:val="22"/>
          <w:lang w:val="es-ES"/>
        </w:rPr>
        <w:t xml:space="preserve">sobre </w:t>
      </w:r>
      <w:r w:rsidR="00F8783F">
        <w:rPr>
          <w:rFonts w:ascii="Times New Roman" w:hAnsi="Times New Roman" w:cs="Times New Roman"/>
          <w:color w:val="000000"/>
          <w:sz w:val="22"/>
          <w:szCs w:val="22"/>
          <w:lang w:val="es-ES"/>
        </w:rPr>
        <w:t>“</w:t>
      </w:r>
      <w:r w:rsidR="00BD188C">
        <w:rPr>
          <w:rFonts w:ascii="Times New Roman" w:hAnsi="Times New Roman" w:cs="Times New Roman"/>
          <w:b/>
          <w:bCs/>
          <w:color w:val="000000"/>
          <w:sz w:val="22"/>
          <w:szCs w:val="22"/>
          <w:lang w:val="es-ES"/>
        </w:rPr>
        <w:t>El futuro del trabajo</w:t>
      </w:r>
      <w:r w:rsidR="00F8783F">
        <w:rPr>
          <w:rFonts w:ascii="Times New Roman" w:hAnsi="Times New Roman" w:cs="Times New Roman"/>
          <w:color w:val="000000"/>
          <w:sz w:val="22"/>
          <w:szCs w:val="22"/>
          <w:lang w:val="es-ES"/>
        </w:rPr>
        <w:t>”</w:t>
      </w:r>
      <w:r w:rsidRPr="00512F79">
        <w:rPr>
          <w:rFonts w:ascii="Times New Roman" w:hAnsi="Times New Roman" w:cs="Times New Roman"/>
          <w:b/>
          <w:bCs/>
          <w:color w:val="000000"/>
          <w:sz w:val="22"/>
          <w:szCs w:val="22"/>
          <w:lang w:val="es-ES"/>
        </w:rPr>
        <w:t xml:space="preserve">, </w:t>
      </w:r>
      <w:r w:rsidRPr="00512F79">
        <w:rPr>
          <w:rFonts w:ascii="Times New Roman" w:hAnsi="Times New Roman" w:cs="Times New Roman"/>
          <w:color w:val="000000"/>
          <w:sz w:val="22"/>
          <w:szCs w:val="22"/>
          <w:lang w:val="es-ES"/>
        </w:rPr>
        <w:t>dirigido por el Centro de Pensamiento Estratégico y Prospectiva de la Universidad Externado de Colombia</w:t>
      </w:r>
      <w:r w:rsidR="00824F1B">
        <w:rPr>
          <w:rFonts w:ascii="Times New Roman" w:hAnsi="Times New Roman" w:cs="Times New Roman"/>
          <w:color w:val="000000"/>
          <w:sz w:val="22"/>
          <w:szCs w:val="22"/>
          <w:lang w:val="es-ES"/>
        </w:rPr>
        <w:t>,</w:t>
      </w:r>
      <w:r w:rsidR="001F6B15" w:rsidRPr="00512F79">
        <w:rPr>
          <w:rFonts w:ascii="Times New Roman" w:hAnsi="Times New Roman" w:cs="Times New Roman"/>
          <w:color w:val="000000"/>
          <w:sz w:val="22"/>
          <w:szCs w:val="22"/>
          <w:lang w:val="es-ES"/>
        </w:rPr>
        <w:t xml:space="preserve"> </w:t>
      </w:r>
      <w:r w:rsidRPr="00512F79">
        <w:rPr>
          <w:rFonts w:ascii="Times New Roman" w:hAnsi="Times New Roman" w:cs="Times New Roman"/>
          <w:color w:val="000000"/>
          <w:sz w:val="22"/>
          <w:szCs w:val="22"/>
          <w:lang w:val="es-ES"/>
        </w:rPr>
        <w:t xml:space="preserve">y sobre </w:t>
      </w:r>
      <w:r w:rsidR="00FB1777">
        <w:rPr>
          <w:rFonts w:ascii="Times New Roman" w:hAnsi="Times New Roman" w:cs="Times New Roman"/>
          <w:color w:val="000000"/>
          <w:sz w:val="22"/>
          <w:szCs w:val="22"/>
          <w:lang w:val="es-ES"/>
        </w:rPr>
        <w:t>“</w:t>
      </w:r>
      <w:r w:rsidRPr="00512F79">
        <w:rPr>
          <w:rFonts w:ascii="Times New Roman" w:hAnsi="Times New Roman" w:cs="Times New Roman"/>
          <w:b/>
          <w:bCs/>
          <w:color w:val="000000"/>
          <w:sz w:val="22"/>
          <w:szCs w:val="22"/>
          <w:lang w:val="es-ES"/>
        </w:rPr>
        <w:t>Prospectiva en el sector agroalimentario de América Latina y el Caribe</w:t>
      </w:r>
      <w:r w:rsidR="00FB1777">
        <w:rPr>
          <w:rFonts w:ascii="Times New Roman" w:hAnsi="Times New Roman" w:cs="Times New Roman"/>
          <w:b/>
          <w:bCs/>
          <w:color w:val="000000"/>
          <w:sz w:val="22"/>
          <w:szCs w:val="22"/>
          <w:lang w:val="es-ES"/>
        </w:rPr>
        <w:t>”</w:t>
      </w:r>
      <w:r w:rsidRPr="00512F79">
        <w:rPr>
          <w:rFonts w:ascii="Times New Roman" w:hAnsi="Times New Roman" w:cs="Times New Roman"/>
          <w:b/>
          <w:bCs/>
          <w:color w:val="000000"/>
          <w:sz w:val="22"/>
          <w:szCs w:val="22"/>
          <w:lang w:val="es-ES"/>
        </w:rPr>
        <w:t xml:space="preserve">, </w:t>
      </w:r>
      <w:r w:rsidRPr="00512F79">
        <w:rPr>
          <w:rFonts w:ascii="Times New Roman" w:hAnsi="Times New Roman" w:cs="Times New Roman"/>
          <w:color w:val="000000"/>
          <w:sz w:val="22"/>
          <w:szCs w:val="22"/>
          <w:lang w:val="es-ES"/>
        </w:rPr>
        <w:t>dirigido por la Red Abierta de Prospectiva</w:t>
      </w:r>
      <w:r w:rsidR="0040054F">
        <w:rPr>
          <w:rFonts w:ascii="Times New Roman" w:hAnsi="Times New Roman" w:cs="Times New Roman"/>
          <w:color w:val="000000"/>
          <w:sz w:val="22"/>
          <w:szCs w:val="22"/>
          <w:lang w:val="es-ES"/>
        </w:rPr>
        <w:t xml:space="preserve"> </w:t>
      </w:r>
      <w:r w:rsidRPr="00512F79">
        <w:rPr>
          <w:rFonts w:ascii="Times New Roman" w:hAnsi="Times New Roman" w:cs="Times New Roman"/>
          <w:color w:val="000000"/>
          <w:sz w:val="22"/>
          <w:szCs w:val="22"/>
          <w:lang w:val="es-ES"/>
        </w:rPr>
        <w:t>e Innovación del Programa Iberoamericano de Ciencia y Tecnología para el Desarrollo (CYTED).</w:t>
      </w:r>
    </w:p>
    <w:p w14:paraId="1AA0D66C" w14:textId="77777777" w:rsidR="00ED78BF" w:rsidRPr="00512F79" w:rsidRDefault="00ED78BF" w:rsidP="00CB030B">
      <w:pPr>
        <w:pStyle w:val="ListParagraph"/>
        <w:ind w:hanging="720"/>
        <w:rPr>
          <w:color w:val="000000"/>
          <w:sz w:val="22"/>
          <w:szCs w:val="22"/>
          <w:lang w:val="es-ES"/>
        </w:rPr>
      </w:pPr>
    </w:p>
    <w:p w14:paraId="1B8F2265" w14:textId="77777777" w:rsidR="00F4728E" w:rsidRPr="00512F79" w:rsidRDefault="00967695">
      <w:pPr>
        <w:pStyle w:val="ListParagraph"/>
        <w:numPr>
          <w:ilvl w:val="0"/>
          <w:numId w:val="4"/>
        </w:numPr>
        <w:ind w:left="1440" w:hanging="720"/>
        <w:jc w:val="both"/>
        <w:rPr>
          <w:rFonts w:eastAsia="Times New Roman"/>
          <w:sz w:val="22"/>
          <w:szCs w:val="22"/>
          <w:lang w:val="es-ES"/>
        </w:rPr>
      </w:pPr>
      <w:r w:rsidRPr="00512F79">
        <w:rPr>
          <w:rFonts w:eastAsia="Times New Roman"/>
          <w:sz w:val="22"/>
          <w:szCs w:val="22"/>
          <w:lang w:val="es-ES"/>
        </w:rPr>
        <w:t xml:space="preserve">Firma de dos </w:t>
      </w:r>
      <w:r w:rsidR="00ED78BF" w:rsidRPr="00512F79">
        <w:rPr>
          <w:rFonts w:eastAsia="Times New Roman"/>
          <w:sz w:val="22"/>
          <w:szCs w:val="22"/>
          <w:lang w:val="es-ES"/>
        </w:rPr>
        <w:t>Acuerdos de Cooperación para fomentar la investigación científica y tecnológica, la formación y la educación en tecnologías transformadoras y la diplomacia científica en el Hemisferio:</w:t>
      </w:r>
    </w:p>
    <w:p w14:paraId="274EB671" w14:textId="7D14CE3C" w:rsidR="00ED78BF" w:rsidRPr="00512F79" w:rsidRDefault="00ED78BF" w:rsidP="00CB030B">
      <w:pPr>
        <w:pStyle w:val="ListParagraph"/>
        <w:ind w:hanging="720"/>
        <w:jc w:val="both"/>
        <w:rPr>
          <w:rFonts w:eastAsia="Times New Roman"/>
          <w:sz w:val="22"/>
          <w:szCs w:val="22"/>
          <w:lang w:val="es-ES"/>
        </w:rPr>
      </w:pPr>
    </w:p>
    <w:p w14:paraId="5D27303E" w14:textId="7D046ECD" w:rsidR="00F4728E" w:rsidRPr="00512F79" w:rsidRDefault="0040054F">
      <w:pPr>
        <w:pStyle w:val="ListParagraph"/>
        <w:numPr>
          <w:ilvl w:val="1"/>
          <w:numId w:val="4"/>
        </w:numPr>
        <w:ind w:left="1980" w:hanging="540"/>
        <w:jc w:val="both"/>
        <w:rPr>
          <w:rFonts w:eastAsia="Times New Roman"/>
          <w:sz w:val="22"/>
          <w:szCs w:val="22"/>
          <w:lang w:val="es-ES"/>
        </w:rPr>
      </w:pPr>
      <w:r>
        <w:rPr>
          <w:rFonts w:eastAsia="Times New Roman"/>
          <w:sz w:val="22"/>
          <w:szCs w:val="22"/>
          <w:lang w:val="es-ES"/>
        </w:rPr>
        <w:t xml:space="preserve">Se firmó un </w:t>
      </w:r>
      <w:r w:rsidR="00824F1B">
        <w:rPr>
          <w:rFonts w:eastAsia="Times New Roman"/>
          <w:sz w:val="22"/>
          <w:szCs w:val="22"/>
          <w:lang w:val="es-ES"/>
        </w:rPr>
        <w:t xml:space="preserve">Memorando de Entendimiento </w:t>
      </w:r>
      <w:r w:rsidR="00967695" w:rsidRPr="00512F79">
        <w:rPr>
          <w:rFonts w:eastAsia="Times New Roman"/>
          <w:sz w:val="22"/>
          <w:szCs w:val="22"/>
          <w:lang w:val="es-ES"/>
        </w:rPr>
        <w:t>entre la OEA/SEDI y el Gobierno del Estado de Hidalgo, México</w:t>
      </w:r>
      <w:r w:rsidR="00960F2C" w:rsidRPr="00512F79">
        <w:rPr>
          <w:rFonts w:eastAsia="Times New Roman"/>
          <w:sz w:val="22"/>
          <w:szCs w:val="22"/>
          <w:lang w:val="es-ES"/>
        </w:rPr>
        <w:t xml:space="preserve">, </w:t>
      </w:r>
      <w:r w:rsidR="00967695" w:rsidRPr="00512F79">
        <w:rPr>
          <w:rFonts w:eastAsia="Times New Roman"/>
          <w:sz w:val="22"/>
          <w:szCs w:val="22"/>
          <w:lang w:val="es-ES"/>
        </w:rPr>
        <w:t xml:space="preserve">el 23 de agosto de 2022, para el Centro Regional de Excelencia en Blockchain como parte de la iniciativa </w:t>
      </w:r>
      <w:r w:rsidR="00967695" w:rsidRPr="00512F79">
        <w:rPr>
          <w:rFonts w:eastAsia="Times New Roman"/>
          <w:i/>
          <w:iCs/>
          <w:sz w:val="22"/>
          <w:szCs w:val="22"/>
          <w:lang w:val="es-ES"/>
        </w:rPr>
        <w:t>Prospecta Américas</w:t>
      </w:r>
      <w:r w:rsidR="00967695" w:rsidRPr="00512F79">
        <w:rPr>
          <w:rFonts w:eastAsia="Times New Roman"/>
          <w:sz w:val="22"/>
          <w:szCs w:val="22"/>
          <w:lang w:val="es-ES"/>
        </w:rPr>
        <w:t xml:space="preserve">. </w:t>
      </w:r>
    </w:p>
    <w:p w14:paraId="4372932A" w14:textId="49C3F54B" w:rsidR="00F4728E" w:rsidRPr="00512F79" w:rsidRDefault="0040054F">
      <w:pPr>
        <w:pStyle w:val="ListParagraph"/>
        <w:numPr>
          <w:ilvl w:val="1"/>
          <w:numId w:val="4"/>
        </w:numPr>
        <w:ind w:left="1980" w:hanging="540"/>
        <w:jc w:val="both"/>
        <w:rPr>
          <w:rFonts w:eastAsia="Times New Roman"/>
          <w:sz w:val="22"/>
          <w:szCs w:val="22"/>
          <w:lang w:val="es-ES"/>
        </w:rPr>
      </w:pPr>
      <w:r>
        <w:rPr>
          <w:rFonts w:eastAsia="Times New Roman"/>
          <w:sz w:val="22"/>
          <w:szCs w:val="22"/>
          <w:lang w:val="es-ES"/>
        </w:rPr>
        <w:t xml:space="preserve">Se firmó un </w:t>
      </w:r>
      <w:r w:rsidR="00967695" w:rsidRPr="00512F79">
        <w:rPr>
          <w:rFonts w:eastAsia="Times New Roman"/>
          <w:sz w:val="22"/>
          <w:szCs w:val="22"/>
          <w:lang w:val="es-ES"/>
        </w:rPr>
        <w:t>M</w:t>
      </w:r>
      <w:r w:rsidR="00824F1B">
        <w:rPr>
          <w:rFonts w:eastAsia="Times New Roman"/>
          <w:sz w:val="22"/>
          <w:szCs w:val="22"/>
          <w:lang w:val="es-ES"/>
        </w:rPr>
        <w:t>emorando de Entendimiento</w:t>
      </w:r>
      <w:r w:rsidR="00967695" w:rsidRPr="00512F79">
        <w:rPr>
          <w:rFonts w:eastAsia="Times New Roman"/>
          <w:sz w:val="22"/>
          <w:szCs w:val="22"/>
          <w:lang w:val="es-ES"/>
        </w:rPr>
        <w:t xml:space="preserve"> entre la OEA/SEDI y el </w:t>
      </w:r>
      <w:r w:rsidR="00967695" w:rsidRPr="00B33023">
        <w:rPr>
          <w:rFonts w:eastAsia="Times New Roman"/>
          <w:i/>
          <w:iCs/>
          <w:sz w:val="22"/>
          <w:szCs w:val="22"/>
          <w:lang w:val="es-ES"/>
        </w:rPr>
        <w:t>Science History Institute</w:t>
      </w:r>
      <w:r w:rsidR="00967695" w:rsidRPr="00512F79">
        <w:rPr>
          <w:rFonts w:eastAsia="Times New Roman"/>
          <w:sz w:val="22"/>
          <w:szCs w:val="22"/>
          <w:lang w:val="es-ES"/>
        </w:rPr>
        <w:t xml:space="preserve"> (SHI) el 29 de noviembre de 2022, </w:t>
      </w:r>
      <w:r w:rsidR="00967695" w:rsidRPr="00512F79">
        <w:rPr>
          <w:sz w:val="22"/>
          <w:szCs w:val="22"/>
          <w:lang w:val="es-ES"/>
        </w:rPr>
        <w:t>para promover el uso y la difusión del conocimiento científico y la historia</w:t>
      </w:r>
      <w:r w:rsidR="006443ED">
        <w:rPr>
          <w:sz w:val="22"/>
          <w:szCs w:val="22"/>
          <w:lang w:val="es-ES"/>
        </w:rPr>
        <w:t>, a fin de</w:t>
      </w:r>
      <w:r w:rsidR="00967695" w:rsidRPr="00512F79">
        <w:rPr>
          <w:sz w:val="22"/>
          <w:szCs w:val="22"/>
          <w:lang w:val="es-ES"/>
        </w:rPr>
        <w:t xml:space="preserve"> ampliar el impacto de la ciencia en la población de las Américas y avanzar en el desarrollo económico sostenible e inclusivo en l</w:t>
      </w:r>
      <w:r w:rsidR="00F5344A">
        <w:rPr>
          <w:sz w:val="22"/>
          <w:szCs w:val="22"/>
          <w:lang w:val="es-ES"/>
        </w:rPr>
        <w:t>os Estados Miembros de la</w:t>
      </w:r>
      <w:r w:rsidR="00967695" w:rsidRPr="00512F79">
        <w:rPr>
          <w:sz w:val="22"/>
          <w:szCs w:val="22"/>
          <w:lang w:val="es-ES"/>
        </w:rPr>
        <w:t xml:space="preserve"> OEA.</w:t>
      </w:r>
    </w:p>
    <w:p w14:paraId="42B969F5" w14:textId="77777777" w:rsidR="00ED78BF" w:rsidRPr="00512F79" w:rsidRDefault="00ED78BF" w:rsidP="00CB030B">
      <w:pPr>
        <w:shd w:val="clear" w:color="auto" w:fill="FFFFFF"/>
        <w:ind w:left="720"/>
        <w:jc w:val="both"/>
        <w:rPr>
          <w:rFonts w:ascii="Times New Roman" w:hAnsi="Times New Roman" w:cs="Times New Roman"/>
          <w:color w:val="000000"/>
          <w:sz w:val="22"/>
          <w:szCs w:val="22"/>
          <w:lang w:val="es-ES"/>
        </w:rPr>
      </w:pPr>
    </w:p>
    <w:p w14:paraId="1D848787" w14:textId="7827089B" w:rsidR="00F4728E" w:rsidRPr="00512F79" w:rsidRDefault="002C5EA9">
      <w:pPr>
        <w:numPr>
          <w:ilvl w:val="0"/>
          <w:numId w:val="4"/>
        </w:numPr>
        <w:shd w:val="clear" w:color="auto" w:fill="FFFFFF"/>
        <w:ind w:left="1440" w:hanging="720"/>
        <w:jc w:val="both"/>
        <w:rPr>
          <w:rFonts w:ascii="Times New Roman" w:hAnsi="Times New Roman" w:cs="Times New Roman"/>
          <w:color w:val="000000"/>
          <w:sz w:val="22"/>
          <w:szCs w:val="22"/>
          <w:lang w:val="es-ES"/>
        </w:rPr>
      </w:pPr>
      <w:r>
        <w:rPr>
          <w:rFonts w:ascii="Times New Roman" w:hAnsi="Times New Roman" w:cs="Times New Roman"/>
          <w:color w:val="000000"/>
          <w:sz w:val="22"/>
          <w:szCs w:val="22"/>
          <w:lang w:val="es-ES"/>
        </w:rPr>
        <w:t>Se convocaron</w:t>
      </w:r>
      <w:r w:rsidR="00967695" w:rsidRPr="00512F79">
        <w:rPr>
          <w:rFonts w:ascii="Times New Roman" w:hAnsi="Times New Roman" w:cs="Times New Roman"/>
          <w:color w:val="000000"/>
          <w:sz w:val="22"/>
          <w:szCs w:val="22"/>
          <w:lang w:val="es-ES"/>
        </w:rPr>
        <w:t xml:space="preserve"> tres conferencias regionales sobre </w:t>
      </w:r>
      <w:r w:rsidR="00987588">
        <w:rPr>
          <w:rFonts w:ascii="Times New Roman" w:hAnsi="Times New Roman" w:cs="Times New Roman"/>
          <w:color w:val="000000"/>
          <w:sz w:val="22"/>
          <w:szCs w:val="22"/>
          <w:lang w:val="es-ES"/>
        </w:rPr>
        <w:t xml:space="preserve">educación en </w:t>
      </w:r>
      <w:r w:rsidR="00967695" w:rsidRPr="00512F79">
        <w:rPr>
          <w:rFonts w:ascii="Times New Roman" w:hAnsi="Times New Roman" w:cs="Times New Roman"/>
          <w:color w:val="000000"/>
          <w:sz w:val="22"/>
          <w:szCs w:val="22"/>
          <w:lang w:val="es-ES"/>
        </w:rPr>
        <w:t xml:space="preserve">ingeniería (LACCEI, SPEED y LEIRD) </w:t>
      </w:r>
      <w:r w:rsidR="00ED78BF" w:rsidRPr="00512F79">
        <w:rPr>
          <w:rFonts w:ascii="Times New Roman" w:hAnsi="Times New Roman" w:cs="Times New Roman"/>
          <w:color w:val="000000"/>
          <w:sz w:val="22"/>
          <w:szCs w:val="22"/>
          <w:lang w:val="es-ES"/>
        </w:rPr>
        <w:t xml:space="preserve">en colaboración con los socios del Grupo de Trabajo 2 de la COMCYT, que apoyaron el intercambio de buenas prácticas y </w:t>
      </w:r>
      <w:r w:rsidR="006443ED">
        <w:rPr>
          <w:rFonts w:ascii="Times New Roman" w:hAnsi="Times New Roman" w:cs="Times New Roman"/>
          <w:color w:val="000000"/>
          <w:sz w:val="22"/>
          <w:szCs w:val="22"/>
          <w:lang w:val="es-ES"/>
        </w:rPr>
        <w:t>brindaron</w:t>
      </w:r>
      <w:r w:rsidR="00ED78BF" w:rsidRPr="00512F79">
        <w:rPr>
          <w:rFonts w:ascii="Times New Roman" w:hAnsi="Times New Roman" w:cs="Times New Roman"/>
          <w:color w:val="000000"/>
          <w:sz w:val="22"/>
          <w:szCs w:val="22"/>
          <w:lang w:val="es-ES"/>
        </w:rPr>
        <w:t xml:space="preserve"> formación en </w:t>
      </w:r>
      <w:r w:rsidR="007F67F3">
        <w:rPr>
          <w:rFonts w:ascii="Times New Roman" w:hAnsi="Times New Roman" w:cs="Times New Roman"/>
          <w:color w:val="000000"/>
          <w:sz w:val="22"/>
          <w:szCs w:val="22"/>
          <w:lang w:val="es-ES"/>
        </w:rPr>
        <w:t xml:space="preserve">educación en </w:t>
      </w:r>
      <w:r w:rsidR="00ED78BF" w:rsidRPr="00512F79">
        <w:rPr>
          <w:rFonts w:ascii="Times New Roman" w:hAnsi="Times New Roman" w:cs="Times New Roman"/>
          <w:color w:val="000000"/>
          <w:sz w:val="22"/>
          <w:szCs w:val="22"/>
          <w:lang w:val="es-ES"/>
        </w:rPr>
        <w:t>ingeniería a más de 1.000 profesionales y estudiantes de ingeniería de las Américas</w:t>
      </w:r>
      <w:r w:rsidR="00ED78BF" w:rsidRPr="00512F79">
        <w:rPr>
          <w:rFonts w:ascii="Times New Roman" w:hAnsi="Times New Roman" w:cs="Times New Roman"/>
          <w:color w:val="000000" w:themeColor="text1"/>
          <w:sz w:val="22"/>
          <w:szCs w:val="22"/>
          <w:lang w:val="es-ES"/>
        </w:rPr>
        <w:t xml:space="preserve">. </w:t>
      </w:r>
    </w:p>
    <w:p w14:paraId="74B8305D" w14:textId="77777777" w:rsidR="00ED78BF" w:rsidRPr="00512F79" w:rsidRDefault="00ED78BF" w:rsidP="00CB030B">
      <w:pPr>
        <w:shd w:val="clear" w:color="auto" w:fill="FFFFFF"/>
        <w:ind w:left="1440" w:hanging="720"/>
        <w:jc w:val="both"/>
        <w:rPr>
          <w:rFonts w:ascii="Times New Roman" w:hAnsi="Times New Roman" w:cs="Times New Roman"/>
          <w:color w:val="000000"/>
          <w:sz w:val="22"/>
          <w:szCs w:val="22"/>
          <w:lang w:val="es-ES"/>
        </w:rPr>
      </w:pPr>
    </w:p>
    <w:p w14:paraId="005014A6" w14:textId="62066CA1" w:rsidR="00F4728E" w:rsidRPr="00512F79" w:rsidRDefault="006443ED">
      <w:pPr>
        <w:numPr>
          <w:ilvl w:val="0"/>
          <w:numId w:val="4"/>
        </w:numPr>
        <w:shd w:val="clear" w:color="auto" w:fill="FFFFFF"/>
        <w:ind w:left="1440" w:hanging="720"/>
        <w:jc w:val="both"/>
        <w:rPr>
          <w:rFonts w:ascii="Times New Roman" w:hAnsi="Times New Roman" w:cs="Times New Roman"/>
          <w:color w:val="000000"/>
          <w:sz w:val="22"/>
          <w:szCs w:val="22"/>
          <w:lang w:val="es-ES"/>
        </w:rPr>
      </w:pPr>
      <w:r>
        <w:rPr>
          <w:rFonts w:ascii="Times New Roman" w:hAnsi="Times New Roman" w:cs="Times New Roman"/>
          <w:color w:val="000000"/>
          <w:sz w:val="22"/>
          <w:szCs w:val="22"/>
          <w:lang w:val="es-ES"/>
        </w:rPr>
        <w:t>Se apoyaron</w:t>
      </w:r>
      <w:r w:rsidR="00967695" w:rsidRPr="00512F79">
        <w:rPr>
          <w:rFonts w:ascii="Times New Roman" w:hAnsi="Times New Roman" w:cs="Times New Roman"/>
          <w:color w:val="000000"/>
          <w:sz w:val="22"/>
          <w:szCs w:val="22"/>
          <w:lang w:val="es-ES"/>
        </w:rPr>
        <w:t xml:space="preserve"> eventos virtuales que muestran las contribuciones de </w:t>
      </w:r>
      <w:r>
        <w:rPr>
          <w:rFonts w:ascii="Times New Roman" w:hAnsi="Times New Roman" w:cs="Times New Roman"/>
          <w:color w:val="000000"/>
          <w:sz w:val="22"/>
          <w:szCs w:val="22"/>
          <w:lang w:val="es-ES"/>
        </w:rPr>
        <w:t>la mujer</w:t>
      </w:r>
      <w:r w:rsidR="00967695" w:rsidRPr="00512F79">
        <w:rPr>
          <w:rFonts w:ascii="Times New Roman" w:hAnsi="Times New Roman" w:cs="Times New Roman"/>
          <w:color w:val="000000"/>
          <w:sz w:val="22"/>
          <w:szCs w:val="22"/>
          <w:lang w:val="es-ES"/>
        </w:rPr>
        <w:t xml:space="preserve"> en STEM, la </w:t>
      </w:r>
      <w:r w:rsidR="00960F2C" w:rsidRPr="00512F79">
        <w:rPr>
          <w:rFonts w:ascii="Times New Roman" w:hAnsi="Times New Roman" w:cs="Times New Roman"/>
          <w:color w:val="000000"/>
          <w:sz w:val="22"/>
          <w:szCs w:val="22"/>
          <w:lang w:val="es-ES"/>
        </w:rPr>
        <w:t xml:space="preserve">innovación </w:t>
      </w:r>
      <w:r w:rsidR="00967695" w:rsidRPr="00512F79">
        <w:rPr>
          <w:rFonts w:ascii="Times New Roman" w:hAnsi="Times New Roman" w:cs="Times New Roman"/>
          <w:color w:val="000000"/>
          <w:sz w:val="22"/>
          <w:szCs w:val="22"/>
          <w:lang w:val="es-ES"/>
        </w:rPr>
        <w:t>industrial y el espíritu empresarial con organizaciones académicas de la Cátedra</w:t>
      </w:r>
      <w:r w:rsidR="00B33023">
        <w:rPr>
          <w:rFonts w:ascii="Times New Roman" w:hAnsi="Times New Roman" w:cs="Times New Roman"/>
          <w:color w:val="000000"/>
          <w:sz w:val="22"/>
          <w:szCs w:val="22"/>
          <w:lang w:val="es-ES"/>
        </w:rPr>
        <w:t xml:space="preserve"> Abierta Latinoamericana “</w:t>
      </w:r>
      <w:r w:rsidR="00967695" w:rsidRPr="00512F79">
        <w:rPr>
          <w:rFonts w:ascii="Times New Roman" w:hAnsi="Times New Roman" w:cs="Times New Roman"/>
          <w:color w:val="000000"/>
          <w:sz w:val="22"/>
          <w:szCs w:val="22"/>
          <w:lang w:val="es-ES"/>
        </w:rPr>
        <w:t>Matilda</w:t>
      </w:r>
      <w:r w:rsidR="00B33023">
        <w:rPr>
          <w:rFonts w:ascii="Times New Roman" w:hAnsi="Times New Roman" w:cs="Times New Roman"/>
          <w:color w:val="000000"/>
          <w:sz w:val="22"/>
          <w:szCs w:val="22"/>
          <w:lang w:val="es-ES"/>
        </w:rPr>
        <w:t xml:space="preserve"> y las Mujeres en Ingeniería”</w:t>
      </w:r>
      <w:r w:rsidR="00967695" w:rsidRPr="00512F79">
        <w:rPr>
          <w:rFonts w:ascii="Times New Roman" w:hAnsi="Times New Roman" w:cs="Times New Roman"/>
          <w:color w:val="000000"/>
          <w:sz w:val="22"/>
          <w:szCs w:val="22"/>
          <w:lang w:val="es-ES"/>
        </w:rPr>
        <w:t xml:space="preserve"> en las Américas y la Cátedra Regional UNESCO Mujer, Ciencia y Tecnología en América Latina</w:t>
      </w:r>
      <w:r w:rsidR="0020104C" w:rsidRPr="00512F79">
        <w:rPr>
          <w:rFonts w:ascii="Times New Roman" w:hAnsi="Times New Roman" w:cs="Times New Roman"/>
          <w:color w:val="000000"/>
          <w:sz w:val="22"/>
          <w:szCs w:val="22"/>
          <w:lang w:val="es-ES"/>
        </w:rPr>
        <w:t xml:space="preserve">, con sede </w:t>
      </w:r>
      <w:r w:rsidR="00967695" w:rsidRPr="00512F79">
        <w:rPr>
          <w:rFonts w:ascii="Times New Roman" w:hAnsi="Times New Roman" w:cs="Times New Roman"/>
          <w:color w:val="000000"/>
          <w:sz w:val="22"/>
          <w:szCs w:val="22"/>
          <w:lang w:val="es-ES"/>
        </w:rPr>
        <w:t xml:space="preserve">en </w:t>
      </w:r>
      <w:r w:rsidR="0020104C" w:rsidRPr="00512F79">
        <w:rPr>
          <w:rFonts w:ascii="Times New Roman" w:hAnsi="Times New Roman" w:cs="Times New Roman"/>
          <w:color w:val="000000"/>
          <w:sz w:val="22"/>
          <w:szCs w:val="22"/>
          <w:lang w:val="es-ES"/>
        </w:rPr>
        <w:t xml:space="preserve">la Facultad Latinoamericana de Ciencias Sociales en Argentina. </w:t>
      </w:r>
    </w:p>
    <w:p w14:paraId="0C22CB8F" w14:textId="77777777" w:rsidR="00960F2C" w:rsidRPr="00512F79" w:rsidRDefault="00960F2C" w:rsidP="00CB030B">
      <w:pPr>
        <w:rPr>
          <w:rFonts w:ascii="Times New Roman" w:hAnsi="Times New Roman" w:cs="Times New Roman"/>
          <w:color w:val="000000" w:themeColor="text1"/>
          <w:sz w:val="22"/>
          <w:szCs w:val="22"/>
          <w:lang w:val="es-ES"/>
        </w:rPr>
      </w:pPr>
    </w:p>
    <w:p w14:paraId="1B34C62D" w14:textId="77777777" w:rsidR="00F4728E" w:rsidRPr="00512F79" w:rsidRDefault="00967695">
      <w:pPr>
        <w:jc w:val="both"/>
        <w:rPr>
          <w:rFonts w:ascii="Times New Roman" w:hAnsi="Times New Roman" w:cs="Times New Roman"/>
          <w:b/>
          <w:bCs/>
          <w:color w:val="000000" w:themeColor="text1"/>
          <w:sz w:val="22"/>
          <w:szCs w:val="22"/>
          <w:u w:val="single"/>
          <w:lang w:val="es-ES"/>
        </w:rPr>
      </w:pPr>
      <w:r w:rsidRPr="00512F79">
        <w:rPr>
          <w:rFonts w:ascii="Times New Roman" w:hAnsi="Times New Roman" w:cs="Times New Roman"/>
          <w:b/>
          <w:bCs/>
          <w:color w:val="000000" w:themeColor="text1"/>
          <w:sz w:val="22"/>
          <w:szCs w:val="22"/>
          <w:u w:val="single"/>
          <w:lang w:val="es-ES"/>
        </w:rPr>
        <w:t>OBJETIVO 1.4</w:t>
      </w:r>
    </w:p>
    <w:p w14:paraId="4ABE47BD" w14:textId="77777777" w:rsidR="0074320E" w:rsidRPr="00512F79" w:rsidRDefault="0074320E" w:rsidP="00CB030B">
      <w:pPr>
        <w:jc w:val="both"/>
        <w:rPr>
          <w:rFonts w:ascii="Times New Roman" w:hAnsi="Times New Roman" w:cs="Times New Roman"/>
          <w:b/>
          <w:bCs/>
          <w:color w:val="000000" w:themeColor="text1"/>
          <w:sz w:val="22"/>
          <w:szCs w:val="22"/>
          <w:u w:val="single"/>
          <w:lang w:val="es-ES"/>
        </w:rPr>
      </w:pPr>
    </w:p>
    <w:p w14:paraId="1637230B" w14:textId="4B721EE6" w:rsidR="00176985" w:rsidRPr="003C15F1" w:rsidRDefault="00176985" w:rsidP="00176985">
      <w:pPr>
        <w:pStyle w:val="Body"/>
        <w:ind w:firstLine="720"/>
        <w:jc w:val="both"/>
        <w:rPr>
          <w:b/>
          <w:bCs/>
          <w:sz w:val="22"/>
          <w:szCs w:val="22"/>
          <w:lang w:val="es-ES"/>
        </w:rPr>
      </w:pPr>
      <w:r w:rsidRPr="00176985">
        <w:rPr>
          <w:sz w:val="22"/>
          <w:szCs w:val="22"/>
          <w:lang w:val="es-ES_tradnl"/>
        </w:rPr>
        <w:t xml:space="preserve">Apoyar a los Estados </w:t>
      </w:r>
      <w:r w:rsidR="00D66115">
        <w:rPr>
          <w:sz w:val="22"/>
          <w:szCs w:val="22"/>
          <w:lang w:val="es-ES_tradnl"/>
        </w:rPr>
        <w:t>M</w:t>
      </w:r>
      <w:r w:rsidRPr="00176985">
        <w:rPr>
          <w:sz w:val="22"/>
          <w:szCs w:val="22"/>
          <w:lang w:val="es-ES_tradnl"/>
        </w:rPr>
        <w:t>iembros en el fortalecimiento de las capacidades de las instituciones que fomentan la generación de actividades económicas sostenibles en los sectores del turismo y la cultura.</w:t>
      </w:r>
    </w:p>
    <w:p w14:paraId="1E0979AB" w14:textId="4F23EBBF" w:rsidR="00960F2C" w:rsidRDefault="00960F2C" w:rsidP="00CB030B">
      <w:pPr>
        <w:jc w:val="both"/>
        <w:rPr>
          <w:rFonts w:ascii="Times New Roman" w:hAnsi="Times New Roman" w:cs="Times New Roman"/>
          <w:color w:val="000000" w:themeColor="text1"/>
          <w:sz w:val="22"/>
          <w:szCs w:val="22"/>
          <w:lang w:val="es-ES"/>
        </w:rPr>
      </w:pPr>
    </w:p>
    <w:p w14:paraId="3017DAA0" w14:textId="1E2AF69B" w:rsidR="00BA6F9F" w:rsidRDefault="00BA6F9F" w:rsidP="00CB030B">
      <w:pPr>
        <w:jc w:val="both"/>
        <w:rPr>
          <w:rFonts w:ascii="Times New Roman" w:hAnsi="Times New Roman" w:cs="Times New Roman"/>
          <w:color w:val="000000" w:themeColor="text1"/>
          <w:sz w:val="22"/>
          <w:szCs w:val="22"/>
          <w:lang w:val="es-ES"/>
        </w:rPr>
      </w:pPr>
    </w:p>
    <w:p w14:paraId="714360E9" w14:textId="40E9CB39" w:rsidR="00BA6F9F" w:rsidRDefault="00BA6F9F" w:rsidP="00CB030B">
      <w:pPr>
        <w:jc w:val="both"/>
        <w:rPr>
          <w:rFonts w:ascii="Times New Roman" w:hAnsi="Times New Roman" w:cs="Times New Roman"/>
          <w:color w:val="000000" w:themeColor="text1"/>
          <w:sz w:val="22"/>
          <w:szCs w:val="22"/>
          <w:lang w:val="es-ES"/>
        </w:rPr>
      </w:pPr>
    </w:p>
    <w:p w14:paraId="642617DB" w14:textId="77777777" w:rsidR="00BA6F9F" w:rsidRPr="00337821" w:rsidRDefault="00BA6F9F" w:rsidP="00CB030B">
      <w:pPr>
        <w:jc w:val="both"/>
        <w:rPr>
          <w:rFonts w:ascii="Times New Roman" w:hAnsi="Times New Roman" w:cs="Times New Roman"/>
          <w:color w:val="000000" w:themeColor="text1"/>
          <w:sz w:val="22"/>
          <w:szCs w:val="22"/>
          <w:lang w:val="es-ES"/>
        </w:rPr>
      </w:pPr>
    </w:p>
    <w:p w14:paraId="61357AFC" w14:textId="77777777" w:rsidR="00F4728E" w:rsidRPr="00512F79" w:rsidRDefault="00967695">
      <w:pPr>
        <w:ind w:firstLine="720"/>
        <w:jc w:val="both"/>
        <w:rPr>
          <w:rFonts w:ascii="Times New Roman" w:hAnsi="Times New Roman" w:cs="Times New Roman"/>
          <w:b/>
          <w:bCs/>
          <w:color w:val="000000" w:themeColor="text1"/>
          <w:sz w:val="22"/>
          <w:szCs w:val="22"/>
          <w:lang w:val="en-US"/>
        </w:rPr>
      </w:pPr>
      <w:r w:rsidRPr="00512F79">
        <w:rPr>
          <w:rFonts w:ascii="Times New Roman" w:hAnsi="Times New Roman" w:cs="Times New Roman"/>
          <w:b/>
          <w:bCs/>
          <w:color w:val="000000" w:themeColor="text1"/>
          <w:sz w:val="22"/>
          <w:szCs w:val="22"/>
          <w:lang w:val="en-US"/>
        </w:rPr>
        <w:t>Cultura y turismo</w:t>
      </w:r>
    </w:p>
    <w:p w14:paraId="27B2431D" w14:textId="77777777" w:rsidR="00ED78BF" w:rsidRPr="00512F79" w:rsidRDefault="00ED78BF" w:rsidP="00CB030B">
      <w:pPr>
        <w:ind w:firstLine="720"/>
        <w:jc w:val="both"/>
        <w:rPr>
          <w:rFonts w:ascii="Times New Roman" w:hAnsi="Times New Roman" w:cs="Times New Roman"/>
          <w:b/>
          <w:bCs/>
          <w:color w:val="000000" w:themeColor="text1"/>
          <w:sz w:val="22"/>
          <w:szCs w:val="22"/>
          <w:lang w:val="en-US"/>
        </w:rPr>
      </w:pPr>
      <w:bookmarkStart w:id="4" w:name="_Toc353953882"/>
    </w:p>
    <w:p w14:paraId="5BBBFA06" w14:textId="5056A1BB" w:rsidR="00F4728E" w:rsidRPr="00512F79" w:rsidRDefault="00AE5C1C">
      <w:pPr>
        <w:pStyle w:val="ListParagraph"/>
        <w:numPr>
          <w:ilvl w:val="0"/>
          <w:numId w:val="11"/>
        </w:numPr>
        <w:ind w:left="1440" w:hanging="720"/>
        <w:jc w:val="both"/>
        <w:rPr>
          <w:color w:val="000000" w:themeColor="text1"/>
          <w:sz w:val="22"/>
          <w:szCs w:val="22"/>
          <w:lang w:val="es-ES"/>
        </w:rPr>
      </w:pPr>
      <w:r>
        <w:rPr>
          <w:color w:val="000000" w:themeColor="text1"/>
          <w:sz w:val="22"/>
          <w:szCs w:val="22"/>
          <w:lang w:val="es-ES"/>
        </w:rPr>
        <w:t xml:space="preserve">Se organizó y llevó a cabo exitosamente </w:t>
      </w:r>
      <w:r w:rsidR="00967695" w:rsidRPr="00512F79">
        <w:rPr>
          <w:color w:val="000000" w:themeColor="text1"/>
          <w:sz w:val="22"/>
          <w:szCs w:val="22"/>
          <w:lang w:val="es-ES"/>
        </w:rPr>
        <w:t xml:space="preserve">la Reunión de Planificación de las Autoridades del Proceso Ministerial de Turismo </w:t>
      </w:r>
      <w:r w:rsidR="006443ED">
        <w:rPr>
          <w:color w:val="000000" w:themeColor="text1"/>
          <w:sz w:val="22"/>
          <w:szCs w:val="22"/>
          <w:lang w:val="es-ES"/>
        </w:rPr>
        <w:t>celebrada</w:t>
      </w:r>
      <w:r w:rsidR="00967695" w:rsidRPr="00512F79">
        <w:rPr>
          <w:color w:val="000000" w:themeColor="text1"/>
          <w:sz w:val="22"/>
          <w:szCs w:val="22"/>
          <w:lang w:val="es-ES"/>
        </w:rPr>
        <w:t xml:space="preserve"> </w:t>
      </w:r>
      <w:r w:rsidR="008A7AC0">
        <w:rPr>
          <w:color w:val="000000" w:themeColor="text1"/>
          <w:sz w:val="22"/>
          <w:szCs w:val="22"/>
          <w:lang w:val="es-ES"/>
        </w:rPr>
        <w:t>en formato virtual</w:t>
      </w:r>
      <w:r w:rsidR="00967695" w:rsidRPr="00512F79">
        <w:rPr>
          <w:color w:val="000000" w:themeColor="text1"/>
          <w:sz w:val="22"/>
          <w:szCs w:val="22"/>
          <w:lang w:val="es-ES"/>
        </w:rPr>
        <w:t xml:space="preserve"> el 18 de mayo de 2022. Las Autoridades de la Reunión de Planificación acordaron el</w:t>
      </w:r>
      <w:r w:rsidR="00CD2557">
        <w:rPr>
          <w:color w:val="000000" w:themeColor="text1"/>
          <w:sz w:val="22"/>
          <w:szCs w:val="22"/>
          <w:lang w:val="es-ES"/>
        </w:rPr>
        <w:t xml:space="preserve"> proyecto</w:t>
      </w:r>
      <w:r w:rsidR="00967695" w:rsidRPr="00512F79">
        <w:rPr>
          <w:color w:val="000000" w:themeColor="text1"/>
          <w:sz w:val="22"/>
          <w:szCs w:val="22"/>
          <w:lang w:val="es-ES"/>
        </w:rPr>
        <w:t xml:space="preserve"> del Plan de Trabajo </w:t>
      </w:r>
      <w:r w:rsidR="00447799" w:rsidRPr="00512F79">
        <w:rPr>
          <w:color w:val="000000" w:themeColor="text1"/>
          <w:sz w:val="22"/>
          <w:szCs w:val="22"/>
          <w:lang w:val="es-ES"/>
        </w:rPr>
        <w:t xml:space="preserve">2022-2024 de </w:t>
      </w:r>
      <w:r w:rsidR="00967695" w:rsidRPr="00512F79">
        <w:rPr>
          <w:color w:val="000000" w:themeColor="text1"/>
          <w:sz w:val="22"/>
          <w:szCs w:val="22"/>
          <w:lang w:val="es-ES"/>
        </w:rPr>
        <w:t>la Comisión Interamericana de Turismo (CITUR)</w:t>
      </w:r>
      <w:r w:rsidR="00447799" w:rsidRPr="00512F79">
        <w:rPr>
          <w:color w:val="000000" w:themeColor="text1"/>
          <w:sz w:val="22"/>
          <w:szCs w:val="22"/>
          <w:lang w:val="es-ES"/>
        </w:rPr>
        <w:t xml:space="preserve">, </w:t>
      </w:r>
      <w:r w:rsidR="00967695" w:rsidRPr="00512F79">
        <w:rPr>
          <w:color w:val="000000" w:themeColor="text1"/>
          <w:sz w:val="22"/>
          <w:szCs w:val="22"/>
          <w:lang w:val="es-ES"/>
        </w:rPr>
        <w:t xml:space="preserve">que fue aprobado formalmente por la Comisión de Políticas de Cooperación Solidaria para el Desarrollo del CIDI en su reunión de </w:t>
      </w:r>
      <w:r w:rsidR="00A05F17" w:rsidRPr="00512F79">
        <w:rPr>
          <w:color w:val="000000" w:themeColor="text1"/>
          <w:sz w:val="22"/>
          <w:szCs w:val="22"/>
          <w:lang w:val="es-ES"/>
        </w:rPr>
        <w:t xml:space="preserve">julio </w:t>
      </w:r>
      <w:r w:rsidR="00967695" w:rsidRPr="00512F79">
        <w:rPr>
          <w:color w:val="000000" w:themeColor="text1"/>
          <w:sz w:val="22"/>
          <w:szCs w:val="22"/>
          <w:lang w:val="es-ES"/>
        </w:rPr>
        <w:t xml:space="preserve">de 2022. El Plan establece medidas concretas para cumplir con los mandatos y compromisos de la Declaración de Paraguay e incorpora estas acciones en el marco de los planes de acción de los cuatro grupos de trabajo especializados de la CITUR establecidos en 2020. </w:t>
      </w:r>
    </w:p>
    <w:p w14:paraId="3C41C284" w14:textId="1E62B16E" w:rsidR="00ED78BF" w:rsidRPr="00512F79" w:rsidRDefault="00A33F63" w:rsidP="00A33F63">
      <w:pPr>
        <w:pStyle w:val="ListParagraph"/>
        <w:tabs>
          <w:tab w:val="left" w:pos="7501"/>
        </w:tabs>
        <w:ind w:left="1440"/>
        <w:jc w:val="both"/>
        <w:rPr>
          <w:color w:val="000000" w:themeColor="text1"/>
          <w:sz w:val="22"/>
          <w:szCs w:val="22"/>
          <w:lang w:val="es-ES"/>
        </w:rPr>
      </w:pPr>
      <w:r>
        <w:rPr>
          <w:color w:val="000000" w:themeColor="text1"/>
          <w:sz w:val="22"/>
          <w:szCs w:val="22"/>
          <w:lang w:val="es-ES"/>
        </w:rPr>
        <w:tab/>
      </w:r>
    </w:p>
    <w:p w14:paraId="5573A845" w14:textId="42269FF7" w:rsidR="00F4728E" w:rsidRPr="00831E02" w:rsidRDefault="00967695" w:rsidP="008E287A">
      <w:pPr>
        <w:pStyle w:val="ListParagraph"/>
        <w:numPr>
          <w:ilvl w:val="0"/>
          <w:numId w:val="11"/>
        </w:numPr>
        <w:ind w:left="1440" w:hanging="720"/>
        <w:jc w:val="both"/>
        <w:rPr>
          <w:sz w:val="22"/>
          <w:szCs w:val="22"/>
          <w:lang w:val="es-ES"/>
        </w:rPr>
      </w:pPr>
      <w:r w:rsidRPr="00831E02">
        <w:rPr>
          <w:color w:val="000000" w:themeColor="text1"/>
          <w:sz w:val="22"/>
          <w:szCs w:val="22"/>
          <w:lang w:val="es-ES"/>
        </w:rPr>
        <w:t xml:space="preserve">Se realizaron </w:t>
      </w:r>
      <w:r w:rsidR="00CD2557" w:rsidRPr="00831E02">
        <w:rPr>
          <w:color w:val="000000" w:themeColor="text1"/>
          <w:sz w:val="22"/>
          <w:szCs w:val="22"/>
          <w:lang w:val="es-ES"/>
        </w:rPr>
        <w:t xml:space="preserve">importantes </w:t>
      </w:r>
      <w:r w:rsidRPr="00831E02">
        <w:rPr>
          <w:color w:val="000000" w:themeColor="text1"/>
          <w:sz w:val="22"/>
          <w:szCs w:val="22"/>
          <w:lang w:val="es-ES"/>
        </w:rPr>
        <w:t xml:space="preserve">avances </w:t>
      </w:r>
      <w:r w:rsidR="00ED78BF" w:rsidRPr="00831E02">
        <w:rPr>
          <w:color w:val="000000" w:themeColor="text1"/>
          <w:sz w:val="22"/>
          <w:szCs w:val="22"/>
          <w:lang w:val="es-ES"/>
        </w:rPr>
        <w:t xml:space="preserve">hacia la </w:t>
      </w:r>
      <w:r w:rsidR="00447799" w:rsidRPr="00831E02">
        <w:rPr>
          <w:sz w:val="22"/>
          <w:szCs w:val="22"/>
          <w:lang w:val="es-ES"/>
        </w:rPr>
        <w:t>consolidación de</w:t>
      </w:r>
      <w:bookmarkStart w:id="5" w:name="_Hlk93862266"/>
      <w:r w:rsidR="00447799" w:rsidRPr="00831E02">
        <w:rPr>
          <w:sz w:val="22"/>
          <w:szCs w:val="22"/>
          <w:lang w:val="es-ES"/>
        </w:rPr>
        <w:t xml:space="preserve"> </w:t>
      </w:r>
      <w:bookmarkEnd w:id="5"/>
      <w:r w:rsidR="00447799" w:rsidRPr="00831E02">
        <w:rPr>
          <w:sz w:val="22"/>
          <w:szCs w:val="22"/>
          <w:lang w:val="es-ES"/>
        </w:rPr>
        <w:t>ITCA</w:t>
      </w:r>
      <w:r w:rsidR="00ED78BF" w:rsidRPr="00831E02">
        <w:rPr>
          <w:sz w:val="22"/>
          <w:szCs w:val="22"/>
          <w:lang w:val="es-ES"/>
        </w:rPr>
        <w:t xml:space="preserve">, </w:t>
      </w:r>
      <w:r w:rsidR="00447799" w:rsidRPr="00831E02">
        <w:rPr>
          <w:sz w:val="22"/>
          <w:szCs w:val="22"/>
          <w:lang w:val="es-ES"/>
        </w:rPr>
        <w:t xml:space="preserve">especialmente </w:t>
      </w:r>
      <w:r w:rsidR="00ED78BF" w:rsidRPr="00831E02">
        <w:rPr>
          <w:sz w:val="22"/>
          <w:szCs w:val="22"/>
          <w:lang w:val="es-ES"/>
        </w:rPr>
        <w:t>en relación con el crecimiento de la colaboración y el establecimiento del Repositorio Digital ITCA. Durante el año, el número de miembros de</w:t>
      </w:r>
      <w:r w:rsidR="006443ED">
        <w:rPr>
          <w:sz w:val="22"/>
          <w:szCs w:val="22"/>
          <w:lang w:val="es-ES"/>
        </w:rPr>
        <w:t>l Diálogo</w:t>
      </w:r>
      <w:r w:rsidR="00ED78BF" w:rsidRPr="00831E02">
        <w:rPr>
          <w:sz w:val="22"/>
          <w:szCs w:val="22"/>
          <w:lang w:val="es-ES"/>
        </w:rPr>
        <w:t xml:space="preserve"> aumentó en más de un veinte por ciento. En agosto de 2022 se lanzó una</w:t>
      </w:r>
      <w:r w:rsidR="00831E02" w:rsidRPr="00831E02">
        <w:rPr>
          <w:sz w:val="22"/>
          <w:szCs w:val="22"/>
          <w:lang w:val="es-ES"/>
        </w:rPr>
        <w:t xml:space="preserve"> </w:t>
      </w:r>
      <w:hyperlink r:id="rId15" w:history="1">
        <w:r w:rsidR="00831E02" w:rsidRPr="00831E02">
          <w:rPr>
            <w:rStyle w:val="Hyperlink"/>
            <w:sz w:val="22"/>
            <w:szCs w:val="22"/>
            <w:lang w:val="es-ES"/>
          </w:rPr>
          <w:t>convocatoria para recursos informativos</w:t>
        </w:r>
      </w:hyperlink>
      <w:r w:rsidR="00ED78BF" w:rsidRPr="00831E02">
        <w:rPr>
          <w:sz w:val="22"/>
          <w:szCs w:val="22"/>
          <w:lang w:val="es-ES"/>
        </w:rPr>
        <w:t xml:space="preserve"> </w:t>
      </w:r>
      <w:r w:rsidR="00831E02">
        <w:rPr>
          <w:sz w:val="22"/>
          <w:szCs w:val="22"/>
          <w:lang w:val="es-ES"/>
        </w:rPr>
        <w:t xml:space="preserve">con la finalidad de </w:t>
      </w:r>
      <w:r w:rsidR="00ED78BF" w:rsidRPr="00831E02">
        <w:rPr>
          <w:sz w:val="22"/>
          <w:szCs w:val="22"/>
          <w:lang w:val="es-ES"/>
        </w:rPr>
        <w:t xml:space="preserve">establecer el </w:t>
      </w:r>
      <w:r w:rsidRPr="00831E02">
        <w:rPr>
          <w:sz w:val="22"/>
          <w:szCs w:val="22"/>
          <w:lang w:val="es-ES"/>
        </w:rPr>
        <w:t xml:space="preserve">Repositorio Digital </w:t>
      </w:r>
      <w:r w:rsidR="00ED78BF" w:rsidRPr="00831E02">
        <w:rPr>
          <w:sz w:val="22"/>
          <w:szCs w:val="22"/>
          <w:lang w:val="es-ES"/>
        </w:rPr>
        <w:t xml:space="preserve">como un Portal de Recursos </w:t>
      </w:r>
      <w:r w:rsidR="00831E02">
        <w:rPr>
          <w:sz w:val="22"/>
          <w:szCs w:val="22"/>
          <w:lang w:val="es-ES"/>
        </w:rPr>
        <w:t>de Turismo Indígena</w:t>
      </w:r>
      <w:r w:rsidR="00ED78BF" w:rsidRPr="00831E02">
        <w:rPr>
          <w:sz w:val="22"/>
          <w:szCs w:val="22"/>
          <w:lang w:val="es-ES"/>
        </w:rPr>
        <w:t xml:space="preserve">, con </w:t>
      </w:r>
      <w:r w:rsidRPr="00831E02">
        <w:rPr>
          <w:sz w:val="22"/>
          <w:szCs w:val="22"/>
          <w:lang w:val="es-ES"/>
        </w:rPr>
        <w:t xml:space="preserve">un </w:t>
      </w:r>
      <w:r w:rsidR="00ED78BF" w:rsidRPr="00831E02">
        <w:rPr>
          <w:sz w:val="22"/>
          <w:szCs w:val="22"/>
          <w:lang w:val="es-ES"/>
        </w:rPr>
        <w:t>inventario completo y fácilmente accesible de herramientas y recursos para ayudar a los pueblos indígenas</w:t>
      </w:r>
      <w:r w:rsidRPr="00831E02">
        <w:rPr>
          <w:sz w:val="22"/>
          <w:szCs w:val="22"/>
          <w:lang w:val="es-ES"/>
        </w:rPr>
        <w:t xml:space="preserve">, </w:t>
      </w:r>
      <w:r w:rsidR="00ED78BF" w:rsidRPr="00831E02">
        <w:rPr>
          <w:sz w:val="22"/>
          <w:szCs w:val="22"/>
          <w:lang w:val="es-ES"/>
        </w:rPr>
        <w:t xml:space="preserve">sus partes interesadas y socios a desarrollar y gestionar mejor el turismo, </w:t>
      </w:r>
      <w:r w:rsidR="006443ED">
        <w:rPr>
          <w:sz w:val="22"/>
          <w:szCs w:val="22"/>
          <w:lang w:val="es-ES"/>
        </w:rPr>
        <w:t>la</w:t>
      </w:r>
      <w:r w:rsidR="00BB05D9">
        <w:rPr>
          <w:sz w:val="22"/>
          <w:szCs w:val="22"/>
          <w:lang w:val="es-ES"/>
        </w:rPr>
        <w:t xml:space="preserve"> cual </w:t>
      </w:r>
      <w:r w:rsidR="00ED78BF" w:rsidRPr="00831E02">
        <w:rPr>
          <w:sz w:val="22"/>
          <w:szCs w:val="22"/>
          <w:lang w:val="es-ES"/>
        </w:rPr>
        <w:t xml:space="preserve">se cerró el 16 de diciembre de 2022. </w:t>
      </w:r>
    </w:p>
    <w:p w14:paraId="44B3A607" w14:textId="77777777" w:rsidR="00447799" w:rsidRPr="00512F79" w:rsidRDefault="00447799" w:rsidP="00CB030B">
      <w:pPr>
        <w:ind w:left="1440" w:hanging="720"/>
        <w:jc w:val="both"/>
        <w:rPr>
          <w:rFonts w:ascii="Times New Roman" w:hAnsi="Times New Roman" w:cs="Times New Roman"/>
          <w:sz w:val="22"/>
          <w:szCs w:val="22"/>
          <w:lang w:val="es-ES"/>
        </w:rPr>
      </w:pPr>
    </w:p>
    <w:p w14:paraId="510B5514" w14:textId="493D9AF7" w:rsidR="00F4728E" w:rsidRPr="00512F79" w:rsidRDefault="00967695">
      <w:pPr>
        <w:pStyle w:val="ListParagraph"/>
        <w:numPr>
          <w:ilvl w:val="0"/>
          <w:numId w:val="11"/>
        </w:numPr>
        <w:ind w:left="1440" w:hanging="720"/>
        <w:jc w:val="both"/>
        <w:rPr>
          <w:color w:val="000000" w:themeColor="text1"/>
          <w:sz w:val="22"/>
          <w:szCs w:val="22"/>
          <w:lang w:val="es-ES"/>
        </w:rPr>
      </w:pPr>
      <w:r w:rsidRPr="00512F79">
        <w:rPr>
          <w:color w:val="000000" w:themeColor="text1"/>
          <w:sz w:val="22"/>
          <w:szCs w:val="22"/>
          <w:lang w:val="es-ES"/>
        </w:rPr>
        <w:t xml:space="preserve">El </w:t>
      </w:r>
      <w:r w:rsidR="00ED78BF" w:rsidRPr="00512F79">
        <w:rPr>
          <w:color w:val="000000" w:themeColor="text1"/>
          <w:sz w:val="22"/>
          <w:szCs w:val="22"/>
          <w:lang w:val="es-ES"/>
        </w:rPr>
        <w:t xml:space="preserve">30 de septiembre de 2022 </w:t>
      </w:r>
      <w:r w:rsidR="00D809E1">
        <w:rPr>
          <w:color w:val="000000" w:themeColor="text1"/>
          <w:sz w:val="22"/>
          <w:szCs w:val="22"/>
          <w:lang w:val="es-ES"/>
        </w:rPr>
        <w:t>finalizó la actividad relacionada con el</w:t>
      </w:r>
      <w:r w:rsidRPr="00512F79">
        <w:rPr>
          <w:color w:val="000000" w:themeColor="text1"/>
          <w:sz w:val="22"/>
          <w:szCs w:val="22"/>
          <w:lang w:val="es-ES"/>
        </w:rPr>
        <w:t xml:space="preserve"> </w:t>
      </w:r>
      <w:r w:rsidR="00A33F63" w:rsidRPr="00A33F63">
        <w:rPr>
          <w:b/>
          <w:bCs/>
          <w:color w:val="000000" w:themeColor="text1"/>
          <w:sz w:val="22"/>
          <w:szCs w:val="22"/>
          <w:lang w:val="es-ES"/>
        </w:rPr>
        <w:t>Fortalecimiento</w:t>
      </w:r>
      <w:r w:rsidRPr="00512F79">
        <w:rPr>
          <w:b/>
          <w:bCs/>
          <w:color w:val="000000" w:themeColor="text1"/>
          <w:sz w:val="22"/>
          <w:szCs w:val="22"/>
          <w:lang w:val="es-ES"/>
        </w:rPr>
        <w:t xml:space="preserve"> de la resiliencia de las pequeñas empresas turísticas del Caribe</w:t>
      </w:r>
      <w:r w:rsidR="00A33F63" w:rsidRPr="00A33F63">
        <w:rPr>
          <w:b/>
          <w:bCs/>
          <w:color w:val="000000" w:themeColor="text1"/>
          <w:sz w:val="22"/>
          <w:szCs w:val="22"/>
          <w:lang w:val="es-ES"/>
        </w:rPr>
        <w:t xml:space="preserve"> </w:t>
      </w:r>
      <w:r w:rsidR="00A33F63" w:rsidRPr="00512F79">
        <w:rPr>
          <w:b/>
          <w:bCs/>
          <w:color w:val="000000" w:themeColor="text1"/>
          <w:sz w:val="22"/>
          <w:szCs w:val="22"/>
          <w:lang w:val="es-ES"/>
        </w:rPr>
        <w:t>ante desastres</w:t>
      </w:r>
      <w:r w:rsidR="00ED78BF" w:rsidRPr="00512F79">
        <w:rPr>
          <w:color w:val="000000" w:themeColor="text1"/>
          <w:sz w:val="22"/>
          <w:szCs w:val="22"/>
          <w:lang w:val="es-ES"/>
        </w:rPr>
        <w:t xml:space="preserve">, en colaboración con el Departamento de Desarrollo Sostenible. La actividad </w:t>
      </w:r>
      <w:r w:rsidR="002B0EF8">
        <w:rPr>
          <w:color w:val="000000" w:themeColor="text1"/>
          <w:sz w:val="22"/>
          <w:szCs w:val="22"/>
          <w:lang w:val="es-ES"/>
        </w:rPr>
        <w:t xml:space="preserve">importante </w:t>
      </w:r>
      <w:r w:rsidR="00ED78BF" w:rsidRPr="00512F79">
        <w:rPr>
          <w:color w:val="000000" w:themeColor="text1"/>
          <w:sz w:val="22"/>
          <w:szCs w:val="22"/>
          <w:lang w:val="es-ES"/>
        </w:rPr>
        <w:t>pendiente para 2022 -</w:t>
      </w:r>
      <w:r w:rsidR="002B0EF8">
        <w:rPr>
          <w:color w:val="000000" w:themeColor="text1"/>
          <w:sz w:val="22"/>
          <w:szCs w:val="22"/>
          <w:lang w:val="es-ES"/>
        </w:rPr>
        <w:t xml:space="preserve"> </w:t>
      </w:r>
      <w:r w:rsidR="00ED78BF" w:rsidRPr="00512F79">
        <w:rPr>
          <w:color w:val="000000" w:themeColor="text1"/>
          <w:sz w:val="22"/>
          <w:szCs w:val="22"/>
          <w:lang w:val="es-ES"/>
        </w:rPr>
        <w:t>el Foro Político de Alto Nivel</w:t>
      </w:r>
      <w:r w:rsidR="002B0EF8">
        <w:rPr>
          <w:color w:val="000000" w:themeColor="text1"/>
          <w:sz w:val="22"/>
          <w:szCs w:val="22"/>
          <w:lang w:val="es-ES"/>
        </w:rPr>
        <w:t xml:space="preserve"> </w:t>
      </w:r>
      <w:r w:rsidR="00ED78BF" w:rsidRPr="00512F79">
        <w:rPr>
          <w:color w:val="000000" w:themeColor="text1"/>
          <w:sz w:val="22"/>
          <w:szCs w:val="22"/>
          <w:lang w:val="es-ES"/>
        </w:rPr>
        <w:t xml:space="preserve">- se organizó </w:t>
      </w:r>
      <w:r w:rsidR="001B1FD4">
        <w:rPr>
          <w:color w:val="000000" w:themeColor="text1"/>
          <w:sz w:val="22"/>
          <w:szCs w:val="22"/>
          <w:lang w:val="es-ES"/>
        </w:rPr>
        <w:t>exitosamente</w:t>
      </w:r>
      <w:r w:rsidR="00ED78BF" w:rsidRPr="00512F79">
        <w:rPr>
          <w:color w:val="000000" w:themeColor="text1"/>
          <w:sz w:val="22"/>
          <w:szCs w:val="22"/>
          <w:lang w:val="es-ES"/>
        </w:rPr>
        <w:t xml:space="preserve"> en colaboración con el Ministerio de Turismo de Jamaica y la Asociación de Hoteles y Turismo del Caribe, y se celebró en Montego Bay, Jamaica, </w:t>
      </w:r>
      <w:r w:rsidRPr="00512F79">
        <w:rPr>
          <w:color w:val="000000" w:themeColor="text1"/>
          <w:sz w:val="22"/>
          <w:szCs w:val="22"/>
          <w:lang w:val="es-ES"/>
        </w:rPr>
        <w:t xml:space="preserve">los días </w:t>
      </w:r>
      <w:r w:rsidR="00ED78BF" w:rsidRPr="00512F79">
        <w:rPr>
          <w:color w:val="000000" w:themeColor="text1"/>
          <w:sz w:val="22"/>
          <w:szCs w:val="22"/>
          <w:lang w:val="es-ES"/>
        </w:rPr>
        <w:t xml:space="preserve">20 y 21 de julio de 2022. El foro contó con </w:t>
      </w:r>
      <w:r w:rsidR="001B1FD4">
        <w:rPr>
          <w:color w:val="000000" w:themeColor="text1"/>
          <w:sz w:val="22"/>
          <w:szCs w:val="22"/>
          <w:lang w:val="es-ES"/>
        </w:rPr>
        <w:t>un alto índice</w:t>
      </w:r>
      <w:r w:rsidRPr="00512F79">
        <w:rPr>
          <w:color w:val="000000" w:themeColor="text1"/>
          <w:sz w:val="22"/>
          <w:szCs w:val="22"/>
          <w:lang w:val="es-ES"/>
        </w:rPr>
        <w:t xml:space="preserve"> de</w:t>
      </w:r>
      <w:r w:rsidR="00ED78BF" w:rsidRPr="00512F79">
        <w:rPr>
          <w:color w:val="000000" w:themeColor="text1"/>
          <w:sz w:val="22"/>
          <w:szCs w:val="22"/>
          <w:lang w:val="es-ES"/>
        </w:rPr>
        <w:t xml:space="preserve"> participación tanto de delegados presenciales </w:t>
      </w:r>
      <w:r w:rsidRPr="00512F79">
        <w:rPr>
          <w:color w:val="000000" w:themeColor="text1"/>
          <w:sz w:val="22"/>
          <w:szCs w:val="22"/>
          <w:lang w:val="es-ES"/>
        </w:rPr>
        <w:t xml:space="preserve">(70) </w:t>
      </w:r>
      <w:r w:rsidR="00ED78BF" w:rsidRPr="00512F79">
        <w:rPr>
          <w:color w:val="000000" w:themeColor="text1"/>
          <w:sz w:val="22"/>
          <w:szCs w:val="22"/>
          <w:lang w:val="es-ES"/>
        </w:rPr>
        <w:t xml:space="preserve">como de </w:t>
      </w:r>
      <w:r w:rsidRPr="00512F79">
        <w:rPr>
          <w:color w:val="000000" w:themeColor="text1"/>
          <w:sz w:val="22"/>
          <w:szCs w:val="22"/>
          <w:lang w:val="es-ES"/>
        </w:rPr>
        <w:t xml:space="preserve">participantes </w:t>
      </w:r>
      <w:r w:rsidR="00ED78BF" w:rsidRPr="00512F79">
        <w:rPr>
          <w:color w:val="000000" w:themeColor="text1"/>
          <w:sz w:val="22"/>
          <w:szCs w:val="22"/>
          <w:lang w:val="es-ES"/>
        </w:rPr>
        <w:t xml:space="preserve">a distancia </w:t>
      </w:r>
      <w:r w:rsidRPr="00512F79">
        <w:rPr>
          <w:color w:val="000000" w:themeColor="text1"/>
          <w:sz w:val="22"/>
          <w:szCs w:val="22"/>
          <w:lang w:val="es-ES"/>
        </w:rPr>
        <w:t>(159)</w:t>
      </w:r>
      <w:r w:rsidR="00ED78BF" w:rsidRPr="00512F79">
        <w:rPr>
          <w:color w:val="000000" w:themeColor="text1"/>
          <w:sz w:val="22"/>
          <w:szCs w:val="22"/>
          <w:lang w:val="es-ES"/>
        </w:rPr>
        <w:t>. Las conclusiones y recomendaciones del proyecto se distribuyeron a los países beneficiarios a través de los canales oficiales el 18 de noviembre de 2022.</w:t>
      </w:r>
    </w:p>
    <w:p w14:paraId="5E0EAAB1" w14:textId="77777777" w:rsidR="00ED78BF" w:rsidRPr="00512F79" w:rsidRDefault="00ED78BF" w:rsidP="00CB030B">
      <w:pPr>
        <w:ind w:left="1440" w:hanging="720"/>
        <w:jc w:val="both"/>
        <w:rPr>
          <w:rFonts w:ascii="Times New Roman" w:hAnsi="Times New Roman" w:cs="Times New Roman"/>
          <w:color w:val="000000" w:themeColor="text1"/>
          <w:sz w:val="22"/>
          <w:szCs w:val="22"/>
          <w:lang w:val="es-ES"/>
        </w:rPr>
      </w:pPr>
    </w:p>
    <w:p w14:paraId="3ACBBD54" w14:textId="56E70356" w:rsidR="00F4728E" w:rsidRPr="00512F79" w:rsidRDefault="002B0EF8">
      <w:pPr>
        <w:pStyle w:val="ListParagraph"/>
        <w:numPr>
          <w:ilvl w:val="0"/>
          <w:numId w:val="11"/>
        </w:numPr>
        <w:ind w:left="1440" w:hanging="720"/>
        <w:jc w:val="both"/>
        <w:rPr>
          <w:color w:val="000000" w:themeColor="text1"/>
          <w:sz w:val="22"/>
          <w:szCs w:val="22"/>
          <w:lang w:val="es-ES"/>
        </w:rPr>
      </w:pPr>
      <w:r>
        <w:rPr>
          <w:color w:val="000000" w:themeColor="text1"/>
          <w:sz w:val="22"/>
          <w:szCs w:val="22"/>
          <w:lang w:val="es-ES"/>
        </w:rPr>
        <w:t xml:space="preserve">Se organizó </w:t>
      </w:r>
      <w:r w:rsidR="00967695" w:rsidRPr="00512F79">
        <w:rPr>
          <w:color w:val="000000" w:themeColor="text1"/>
          <w:sz w:val="22"/>
          <w:szCs w:val="22"/>
          <w:lang w:val="es-ES"/>
        </w:rPr>
        <w:t xml:space="preserve">la </w:t>
      </w:r>
      <w:r>
        <w:rPr>
          <w:color w:val="000000" w:themeColor="text1"/>
          <w:sz w:val="22"/>
          <w:szCs w:val="22"/>
          <w:lang w:val="es-ES"/>
        </w:rPr>
        <w:t>IX</w:t>
      </w:r>
      <w:r w:rsidR="00967695" w:rsidRPr="00512F79">
        <w:rPr>
          <w:color w:val="000000" w:themeColor="text1"/>
          <w:sz w:val="22"/>
          <w:szCs w:val="22"/>
          <w:lang w:val="es-ES"/>
        </w:rPr>
        <w:t xml:space="preserve"> Reunión Interamericana de Ministros y Máximas Autoridades de Cultura, celebrada los días 27 y 28 de octubre de 2022, </w:t>
      </w:r>
      <w:r>
        <w:rPr>
          <w:color w:val="000000" w:themeColor="text1"/>
          <w:sz w:val="22"/>
          <w:szCs w:val="22"/>
          <w:lang w:val="es-ES"/>
        </w:rPr>
        <w:t xml:space="preserve">donde se aprobó </w:t>
      </w:r>
      <w:r w:rsidR="00967695" w:rsidRPr="00512F79">
        <w:rPr>
          <w:color w:val="000000" w:themeColor="text1"/>
          <w:sz w:val="22"/>
          <w:szCs w:val="22"/>
          <w:lang w:val="es-ES"/>
        </w:rPr>
        <w:t xml:space="preserve">la </w:t>
      </w:r>
      <w:r w:rsidR="00967695" w:rsidRPr="00512F79">
        <w:rPr>
          <w:b/>
          <w:bCs/>
          <w:color w:val="000000" w:themeColor="text1"/>
          <w:sz w:val="22"/>
          <w:szCs w:val="22"/>
          <w:lang w:val="es-ES"/>
        </w:rPr>
        <w:t xml:space="preserve">Declaración y Plan de Acción de Antigua Guatemala </w:t>
      </w:r>
      <w:r w:rsidR="00967695" w:rsidRPr="00512F79">
        <w:rPr>
          <w:color w:val="000000" w:themeColor="text1"/>
          <w:sz w:val="22"/>
          <w:szCs w:val="22"/>
          <w:lang w:val="es-ES"/>
        </w:rPr>
        <w:t xml:space="preserve">sobre el tema de la reunión </w:t>
      </w:r>
      <w:r w:rsidR="00E64F92">
        <w:rPr>
          <w:color w:val="000000" w:themeColor="text1"/>
          <w:sz w:val="22"/>
          <w:szCs w:val="22"/>
          <w:lang w:val="es-ES"/>
        </w:rPr>
        <w:t>“</w:t>
      </w:r>
      <w:r w:rsidR="00967695" w:rsidRPr="00512F79">
        <w:rPr>
          <w:color w:val="000000" w:themeColor="text1"/>
          <w:sz w:val="22"/>
          <w:szCs w:val="22"/>
          <w:lang w:val="es-ES"/>
        </w:rPr>
        <w:t>Tecnología, creatividad e innovación como oportunidad</w:t>
      </w:r>
      <w:r w:rsidR="006C0E62">
        <w:rPr>
          <w:color w:val="000000" w:themeColor="text1"/>
          <w:sz w:val="22"/>
          <w:szCs w:val="22"/>
          <w:lang w:val="es-ES"/>
        </w:rPr>
        <w:t>es</w:t>
      </w:r>
      <w:r w:rsidR="00967695" w:rsidRPr="00512F79">
        <w:rPr>
          <w:color w:val="000000" w:themeColor="text1"/>
          <w:sz w:val="22"/>
          <w:szCs w:val="22"/>
          <w:lang w:val="es-ES"/>
        </w:rPr>
        <w:t xml:space="preserve"> para el desarrollo y fortalecimiento de la cultura</w:t>
      </w:r>
      <w:r w:rsidR="00E64F92">
        <w:rPr>
          <w:color w:val="000000" w:themeColor="text1"/>
          <w:sz w:val="22"/>
          <w:szCs w:val="22"/>
          <w:lang w:val="es-ES"/>
        </w:rPr>
        <w:t>”</w:t>
      </w:r>
      <w:r w:rsidR="00967695" w:rsidRPr="00512F79">
        <w:rPr>
          <w:color w:val="000000" w:themeColor="text1"/>
          <w:sz w:val="22"/>
          <w:szCs w:val="22"/>
          <w:lang w:val="es-ES"/>
        </w:rPr>
        <w:t xml:space="preserve">. Los </w:t>
      </w:r>
      <w:r w:rsidR="00E64F92">
        <w:rPr>
          <w:color w:val="000000" w:themeColor="text1"/>
          <w:sz w:val="22"/>
          <w:szCs w:val="22"/>
          <w:lang w:val="es-ES"/>
        </w:rPr>
        <w:t>M</w:t>
      </w:r>
      <w:r w:rsidR="00967695" w:rsidRPr="00512F79">
        <w:rPr>
          <w:color w:val="000000" w:themeColor="text1"/>
          <w:sz w:val="22"/>
          <w:szCs w:val="22"/>
          <w:lang w:val="es-ES"/>
        </w:rPr>
        <w:t xml:space="preserve">inistros y </w:t>
      </w:r>
      <w:r w:rsidR="00A05F17" w:rsidRPr="00512F79">
        <w:rPr>
          <w:color w:val="000000" w:themeColor="text1"/>
          <w:sz w:val="22"/>
          <w:szCs w:val="22"/>
          <w:lang w:val="es-ES"/>
        </w:rPr>
        <w:t xml:space="preserve">las </w:t>
      </w:r>
      <w:r w:rsidR="00E64F92">
        <w:rPr>
          <w:color w:val="000000" w:themeColor="text1"/>
          <w:sz w:val="22"/>
          <w:szCs w:val="22"/>
          <w:lang w:val="es-ES"/>
        </w:rPr>
        <w:t>M</w:t>
      </w:r>
      <w:r w:rsidR="00967695" w:rsidRPr="00512F79">
        <w:rPr>
          <w:color w:val="000000" w:themeColor="text1"/>
          <w:sz w:val="22"/>
          <w:szCs w:val="22"/>
          <w:lang w:val="es-ES"/>
        </w:rPr>
        <w:t xml:space="preserve">áximas </w:t>
      </w:r>
      <w:r w:rsidR="00E64F92">
        <w:rPr>
          <w:color w:val="000000" w:themeColor="text1"/>
          <w:sz w:val="22"/>
          <w:szCs w:val="22"/>
          <w:lang w:val="es-ES"/>
        </w:rPr>
        <w:t>A</w:t>
      </w:r>
      <w:r w:rsidR="00967695" w:rsidRPr="00512F79">
        <w:rPr>
          <w:color w:val="000000" w:themeColor="text1"/>
          <w:sz w:val="22"/>
          <w:szCs w:val="22"/>
          <w:lang w:val="es-ES"/>
        </w:rPr>
        <w:t xml:space="preserve">utoridades competentes de 22 </w:t>
      </w:r>
      <w:r w:rsidR="005F30B1" w:rsidRPr="00512F79">
        <w:rPr>
          <w:color w:val="000000" w:themeColor="text1"/>
          <w:sz w:val="22"/>
          <w:szCs w:val="22"/>
          <w:lang w:val="es-ES"/>
        </w:rPr>
        <w:t xml:space="preserve">Estados </w:t>
      </w:r>
      <w:r w:rsidR="00E64F92">
        <w:rPr>
          <w:color w:val="000000" w:themeColor="text1"/>
          <w:sz w:val="22"/>
          <w:szCs w:val="22"/>
          <w:lang w:val="es-ES"/>
        </w:rPr>
        <w:t>M</w:t>
      </w:r>
      <w:r w:rsidR="00C67D84" w:rsidRPr="00512F79">
        <w:rPr>
          <w:color w:val="000000" w:themeColor="text1"/>
          <w:sz w:val="22"/>
          <w:szCs w:val="22"/>
          <w:lang w:val="es-ES"/>
        </w:rPr>
        <w:t xml:space="preserve">iembros </w:t>
      </w:r>
      <w:r w:rsidR="00E64F92">
        <w:rPr>
          <w:color w:val="000000" w:themeColor="text1"/>
          <w:sz w:val="22"/>
          <w:szCs w:val="22"/>
          <w:lang w:val="es-ES"/>
        </w:rPr>
        <w:t>intercambiaron</w:t>
      </w:r>
      <w:r w:rsidR="00967695" w:rsidRPr="00512F79">
        <w:rPr>
          <w:color w:val="000000" w:themeColor="text1"/>
          <w:sz w:val="22"/>
          <w:szCs w:val="22"/>
          <w:lang w:val="es-ES"/>
        </w:rPr>
        <w:t xml:space="preserve"> estrategias, información y experiencias sobre cómo se han utilizado las tecnologías en </w:t>
      </w:r>
      <w:r w:rsidR="00E64F92">
        <w:rPr>
          <w:color w:val="000000" w:themeColor="text1"/>
          <w:sz w:val="22"/>
          <w:szCs w:val="22"/>
          <w:lang w:val="es-ES"/>
        </w:rPr>
        <w:t xml:space="preserve">la labor </w:t>
      </w:r>
      <w:r w:rsidR="00967695" w:rsidRPr="00512F79">
        <w:rPr>
          <w:color w:val="000000" w:themeColor="text1"/>
          <w:sz w:val="22"/>
          <w:szCs w:val="22"/>
          <w:lang w:val="es-ES"/>
        </w:rPr>
        <w:t xml:space="preserve">de recopilación, preservación y difusión de las artes y el patrimonio cultural, y cómo fortalecer el patrimonio </w:t>
      </w:r>
      <w:r w:rsidR="00E64F92">
        <w:rPr>
          <w:color w:val="000000" w:themeColor="text1"/>
          <w:sz w:val="22"/>
          <w:szCs w:val="22"/>
          <w:lang w:val="es-ES"/>
        </w:rPr>
        <w:t>tangible e intangible</w:t>
      </w:r>
      <w:r w:rsidR="00967695" w:rsidRPr="00512F79">
        <w:rPr>
          <w:color w:val="000000" w:themeColor="text1"/>
          <w:sz w:val="22"/>
          <w:szCs w:val="22"/>
          <w:lang w:val="es-ES"/>
        </w:rPr>
        <w:t xml:space="preserve"> a través de la innovación y el uso de nuevas tecnologías. La Reunión aceptó el ofrecimiento de República Dominicana de ser sede de la X Reunión Interamericana de Ministros y Máximas Autoridades de Cultura en 2025 y eligió a las Autoridades de Ecuador (Presidencia), Barbados (Primera Vicepresidencia) y Panamá (Segunda Vicepresidencia) para integrar la Comisión Interamericana de Cultura.</w:t>
      </w:r>
    </w:p>
    <w:p w14:paraId="5743271B" w14:textId="77777777" w:rsidR="00ED78BF" w:rsidRPr="00512F79" w:rsidRDefault="00ED78BF" w:rsidP="00CB030B">
      <w:pPr>
        <w:pStyle w:val="ListParagraph"/>
        <w:ind w:left="1440" w:hanging="720"/>
        <w:jc w:val="both"/>
        <w:rPr>
          <w:color w:val="000000" w:themeColor="text1"/>
          <w:sz w:val="22"/>
          <w:szCs w:val="22"/>
          <w:lang w:val="es-ES"/>
        </w:rPr>
      </w:pPr>
    </w:p>
    <w:p w14:paraId="352B09EC" w14:textId="7E38B254" w:rsidR="00F4728E" w:rsidRPr="00512F79" w:rsidRDefault="00E64F92">
      <w:pPr>
        <w:pStyle w:val="ListParagraph"/>
        <w:numPr>
          <w:ilvl w:val="0"/>
          <w:numId w:val="11"/>
        </w:numPr>
        <w:ind w:left="1440" w:hanging="720"/>
        <w:jc w:val="both"/>
        <w:rPr>
          <w:color w:val="000000" w:themeColor="text1"/>
          <w:sz w:val="22"/>
          <w:szCs w:val="22"/>
          <w:lang w:val="es-ES"/>
        </w:rPr>
      </w:pPr>
      <w:r>
        <w:rPr>
          <w:color w:val="000000" w:themeColor="text1"/>
          <w:sz w:val="22"/>
          <w:szCs w:val="22"/>
          <w:lang w:val="es-ES"/>
        </w:rPr>
        <w:t>Se finalizó exitosamente</w:t>
      </w:r>
      <w:r w:rsidR="00967695" w:rsidRPr="00512F79">
        <w:rPr>
          <w:color w:val="000000" w:themeColor="text1"/>
          <w:sz w:val="22"/>
          <w:szCs w:val="22"/>
          <w:lang w:val="es-ES"/>
        </w:rPr>
        <w:t xml:space="preserve"> un libro electrónico que recopila y </w:t>
      </w:r>
      <w:r w:rsidR="001B1FD4">
        <w:rPr>
          <w:color w:val="000000" w:themeColor="text1"/>
          <w:sz w:val="22"/>
          <w:szCs w:val="22"/>
          <w:lang w:val="es-ES"/>
        </w:rPr>
        <w:t>presenta</w:t>
      </w:r>
      <w:r w:rsidR="00967695" w:rsidRPr="00512F79">
        <w:rPr>
          <w:color w:val="000000" w:themeColor="text1"/>
          <w:sz w:val="22"/>
          <w:szCs w:val="22"/>
          <w:lang w:val="es-ES"/>
        </w:rPr>
        <w:t xml:space="preserve"> las experiencias de coordinación interinstitucional en apoyo del fortalecimiento de las industrias culturales y creativas entre cinco </w:t>
      </w:r>
      <w:r w:rsidR="005F30B1" w:rsidRPr="00512F79">
        <w:rPr>
          <w:color w:val="000000" w:themeColor="text1"/>
          <w:sz w:val="22"/>
          <w:szCs w:val="22"/>
          <w:lang w:val="es-ES"/>
        </w:rPr>
        <w:t xml:space="preserve">Estados </w:t>
      </w:r>
      <w:r>
        <w:rPr>
          <w:color w:val="000000" w:themeColor="text1"/>
          <w:sz w:val="22"/>
          <w:szCs w:val="22"/>
          <w:lang w:val="es-ES"/>
        </w:rPr>
        <w:t>M</w:t>
      </w:r>
      <w:r w:rsidR="00C67D84" w:rsidRPr="00512F79">
        <w:rPr>
          <w:color w:val="000000" w:themeColor="text1"/>
          <w:sz w:val="22"/>
          <w:szCs w:val="22"/>
          <w:lang w:val="es-ES"/>
        </w:rPr>
        <w:t xml:space="preserve">iembros </w:t>
      </w:r>
      <w:r w:rsidR="00967695" w:rsidRPr="00512F79">
        <w:rPr>
          <w:color w:val="000000" w:themeColor="text1"/>
          <w:sz w:val="22"/>
          <w:szCs w:val="22"/>
          <w:lang w:val="es-ES"/>
        </w:rPr>
        <w:t xml:space="preserve">de la OEA </w:t>
      </w:r>
      <w:r w:rsidR="00A05F17" w:rsidRPr="00512F79">
        <w:rPr>
          <w:color w:val="000000" w:themeColor="text1"/>
          <w:sz w:val="22"/>
          <w:szCs w:val="22"/>
          <w:lang w:val="es-ES"/>
        </w:rPr>
        <w:t>-</w:t>
      </w:r>
      <w:r>
        <w:rPr>
          <w:color w:val="000000" w:themeColor="text1"/>
          <w:sz w:val="22"/>
          <w:szCs w:val="22"/>
          <w:lang w:val="es-ES"/>
        </w:rPr>
        <w:t xml:space="preserve"> </w:t>
      </w:r>
      <w:r w:rsidR="00A05F17" w:rsidRPr="00512F79">
        <w:rPr>
          <w:color w:val="000000" w:themeColor="text1"/>
          <w:sz w:val="22"/>
          <w:szCs w:val="22"/>
          <w:lang w:val="es-ES"/>
        </w:rPr>
        <w:t>Argentina</w:t>
      </w:r>
      <w:r w:rsidR="00967695" w:rsidRPr="00512F79">
        <w:rPr>
          <w:color w:val="000000" w:themeColor="text1"/>
          <w:sz w:val="22"/>
          <w:szCs w:val="22"/>
          <w:lang w:val="es-ES"/>
        </w:rPr>
        <w:t>, Colombia, Costa Rica, Ecuador y Paraguay</w:t>
      </w:r>
      <w:r>
        <w:rPr>
          <w:color w:val="000000" w:themeColor="text1"/>
          <w:sz w:val="22"/>
          <w:szCs w:val="22"/>
          <w:lang w:val="es-ES"/>
        </w:rPr>
        <w:t xml:space="preserve"> </w:t>
      </w:r>
      <w:r w:rsidR="00967695" w:rsidRPr="00512F79">
        <w:rPr>
          <w:color w:val="000000" w:themeColor="text1"/>
          <w:sz w:val="22"/>
          <w:szCs w:val="22"/>
          <w:lang w:val="es-ES"/>
        </w:rPr>
        <w:t xml:space="preserve">- para los que estas industrias contribuyen cada vez más a la actividad económica. </w:t>
      </w:r>
    </w:p>
    <w:p w14:paraId="2515E799" w14:textId="77777777" w:rsidR="00ED78BF" w:rsidRPr="00512F79" w:rsidRDefault="00ED78BF" w:rsidP="00CB030B">
      <w:pPr>
        <w:ind w:left="720"/>
        <w:jc w:val="both"/>
        <w:rPr>
          <w:rFonts w:ascii="Times New Roman" w:hAnsi="Times New Roman" w:cs="Times New Roman"/>
          <w:color w:val="000000" w:themeColor="text1"/>
          <w:sz w:val="22"/>
          <w:szCs w:val="22"/>
          <w:lang w:val="es-ES"/>
        </w:rPr>
      </w:pPr>
    </w:p>
    <w:p w14:paraId="4F28645F" w14:textId="1F9DC880" w:rsidR="00F4728E" w:rsidRPr="00512F79" w:rsidRDefault="00E64F92">
      <w:pPr>
        <w:pStyle w:val="ListParagraph"/>
        <w:numPr>
          <w:ilvl w:val="0"/>
          <w:numId w:val="11"/>
        </w:numPr>
        <w:ind w:left="1440" w:hanging="720"/>
        <w:jc w:val="both"/>
        <w:rPr>
          <w:color w:val="000000" w:themeColor="text1"/>
          <w:sz w:val="22"/>
          <w:szCs w:val="22"/>
          <w:lang w:val="es-ES"/>
        </w:rPr>
      </w:pPr>
      <w:r>
        <w:rPr>
          <w:color w:val="000000" w:themeColor="text1"/>
          <w:sz w:val="22"/>
          <w:szCs w:val="22"/>
          <w:lang w:val="es-ES"/>
        </w:rPr>
        <w:t>Se intercambiaron e</w:t>
      </w:r>
      <w:r w:rsidR="00967695" w:rsidRPr="00512F79">
        <w:rPr>
          <w:color w:val="000000" w:themeColor="text1"/>
          <w:sz w:val="22"/>
          <w:szCs w:val="22"/>
          <w:lang w:val="es-ES"/>
        </w:rPr>
        <w:t>studios de caso</w:t>
      </w:r>
      <w:r>
        <w:rPr>
          <w:color w:val="000000" w:themeColor="text1"/>
          <w:sz w:val="22"/>
          <w:szCs w:val="22"/>
          <w:lang w:val="es-ES"/>
        </w:rPr>
        <w:t>s</w:t>
      </w:r>
      <w:r w:rsidR="00967695" w:rsidRPr="00512F79">
        <w:rPr>
          <w:color w:val="000000" w:themeColor="text1"/>
          <w:sz w:val="22"/>
          <w:szCs w:val="22"/>
          <w:lang w:val="es-ES"/>
        </w:rPr>
        <w:t xml:space="preserve"> de cinco </w:t>
      </w:r>
      <w:r>
        <w:rPr>
          <w:color w:val="000000" w:themeColor="text1"/>
          <w:sz w:val="22"/>
          <w:szCs w:val="22"/>
          <w:lang w:val="es-ES"/>
        </w:rPr>
        <w:t>E</w:t>
      </w:r>
      <w:r w:rsidR="005F30B1" w:rsidRPr="00512F79">
        <w:rPr>
          <w:color w:val="000000" w:themeColor="text1"/>
          <w:sz w:val="22"/>
          <w:szCs w:val="22"/>
          <w:lang w:val="es-ES"/>
        </w:rPr>
        <w:t xml:space="preserve">stados </w:t>
      </w:r>
      <w:r>
        <w:rPr>
          <w:color w:val="000000" w:themeColor="text1"/>
          <w:sz w:val="22"/>
          <w:szCs w:val="22"/>
          <w:lang w:val="es-ES"/>
        </w:rPr>
        <w:t>M</w:t>
      </w:r>
      <w:r w:rsidR="005F30B1" w:rsidRPr="00512F79">
        <w:rPr>
          <w:color w:val="000000" w:themeColor="text1"/>
          <w:sz w:val="22"/>
          <w:szCs w:val="22"/>
          <w:lang w:val="es-ES"/>
        </w:rPr>
        <w:t>iembros</w:t>
      </w:r>
      <w:r>
        <w:rPr>
          <w:color w:val="000000" w:themeColor="text1"/>
          <w:sz w:val="22"/>
          <w:szCs w:val="22"/>
          <w:lang w:val="es-ES"/>
        </w:rPr>
        <w:t xml:space="preserve">, - </w:t>
      </w:r>
      <w:r w:rsidR="005F30B1" w:rsidRPr="00512F79">
        <w:rPr>
          <w:color w:val="000000" w:themeColor="text1"/>
          <w:sz w:val="22"/>
          <w:szCs w:val="22"/>
          <w:lang w:val="es-ES"/>
        </w:rPr>
        <w:t>Colombia</w:t>
      </w:r>
      <w:r w:rsidR="00967695" w:rsidRPr="00512F79">
        <w:rPr>
          <w:color w:val="000000" w:themeColor="text1"/>
          <w:sz w:val="22"/>
          <w:szCs w:val="22"/>
          <w:lang w:val="es-ES"/>
        </w:rPr>
        <w:t xml:space="preserve">, Brasil, Colombia, México </w:t>
      </w:r>
      <w:r w:rsidR="00A05F17" w:rsidRPr="00512F79">
        <w:rPr>
          <w:color w:val="000000" w:themeColor="text1"/>
          <w:sz w:val="22"/>
          <w:szCs w:val="22"/>
          <w:lang w:val="es-ES"/>
        </w:rPr>
        <w:t xml:space="preserve">y </w:t>
      </w:r>
      <w:r w:rsidR="00967695" w:rsidRPr="00512F79">
        <w:rPr>
          <w:color w:val="000000" w:themeColor="text1"/>
          <w:sz w:val="22"/>
          <w:szCs w:val="22"/>
          <w:lang w:val="es-ES"/>
        </w:rPr>
        <w:t>Perú</w:t>
      </w:r>
      <w:r>
        <w:rPr>
          <w:color w:val="000000" w:themeColor="text1"/>
          <w:sz w:val="22"/>
          <w:szCs w:val="22"/>
          <w:lang w:val="es-ES"/>
        </w:rPr>
        <w:t xml:space="preserve"> </w:t>
      </w:r>
      <w:r w:rsidR="00967695" w:rsidRPr="00512F79">
        <w:rPr>
          <w:color w:val="000000" w:themeColor="text1"/>
          <w:sz w:val="22"/>
          <w:szCs w:val="22"/>
          <w:lang w:val="es-ES"/>
        </w:rPr>
        <w:t xml:space="preserve">- sobre la </w:t>
      </w:r>
      <w:r>
        <w:rPr>
          <w:color w:val="000000" w:themeColor="text1"/>
          <w:sz w:val="22"/>
          <w:szCs w:val="22"/>
          <w:lang w:val="es-ES"/>
        </w:rPr>
        <w:t>c</w:t>
      </w:r>
      <w:r w:rsidR="00967695" w:rsidRPr="00512F79">
        <w:rPr>
          <w:color w:val="000000" w:themeColor="text1"/>
          <w:sz w:val="22"/>
          <w:szCs w:val="22"/>
          <w:lang w:val="es-ES"/>
        </w:rPr>
        <w:t xml:space="preserve">irculación de </w:t>
      </w:r>
      <w:r>
        <w:rPr>
          <w:color w:val="000000" w:themeColor="text1"/>
          <w:sz w:val="22"/>
          <w:szCs w:val="22"/>
          <w:lang w:val="es-ES"/>
        </w:rPr>
        <w:t>b</w:t>
      </w:r>
      <w:r w:rsidR="00967695" w:rsidRPr="00512F79">
        <w:rPr>
          <w:color w:val="000000" w:themeColor="text1"/>
          <w:sz w:val="22"/>
          <w:szCs w:val="22"/>
          <w:lang w:val="es-ES"/>
        </w:rPr>
        <w:t xml:space="preserve">ienes y </w:t>
      </w:r>
      <w:r>
        <w:rPr>
          <w:color w:val="000000" w:themeColor="text1"/>
          <w:sz w:val="22"/>
          <w:szCs w:val="22"/>
          <w:lang w:val="es-ES"/>
        </w:rPr>
        <w:t>s</w:t>
      </w:r>
      <w:r w:rsidR="00967695" w:rsidRPr="00512F79">
        <w:rPr>
          <w:color w:val="000000" w:themeColor="text1"/>
          <w:sz w:val="22"/>
          <w:szCs w:val="22"/>
          <w:lang w:val="es-ES"/>
        </w:rPr>
        <w:t xml:space="preserve">ervicios </w:t>
      </w:r>
      <w:r>
        <w:rPr>
          <w:color w:val="000000" w:themeColor="text1"/>
          <w:sz w:val="22"/>
          <w:szCs w:val="22"/>
          <w:lang w:val="es-ES"/>
        </w:rPr>
        <w:t>c</w:t>
      </w:r>
      <w:r w:rsidR="00967695" w:rsidRPr="00512F79">
        <w:rPr>
          <w:color w:val="000000" w:themeColor="text1"/>
          <w:sz w:val="22"/>
          <w:szCs w:val="22"/>
          <w:lang w:val="es-ES"/>
        </w:rPr>
        <w:t>ulturales en las Américas, en el marco de la cuarta edición del Gran Foro Mundial de Arte</w:t>
      </w:r>
      <w:r w:rsidR="003C0836">
        <w:rPr>
          <w:color w:val="000000" w:themeColor="text1"/>
          <w:sz w:val="22"/>
          <w:szCs w:val="22"/>
          <w:lang w:val="es-ES"/>
        </w:rPr>
        <w:t>s</w:t>
      </w:r>
      <w:r w:rsidR="00967695" w:rsidRPr="00512F79">
        <w:rPr>
          <w:color w:val="000000" w:themeColor="text1"/>
          <w:sz w:val="22"/>
          <w:szCs w:val="22"/>
          <w:lang w:val="es-ES"/>
        </w:rPr>
        <w:t xml:space="preserve">, Cultura, Creatividad y </w:t>
      </w:r>
      <w:r w:rsidR="003C0836">
        <w:rPr>
          <w:color w:val="000000" w:themeColor="text1"/>
          <w:sz w:val="22"/>
          <w:szCs w:val="22"/>
          <w:lang w:val="es-ES"/>
        </w:rPr>
        <w:t>Tecnología y la Cumbre Economía Naranja</w:t>
      </w:r>
      <w:r w:rsidR="00967695" w:rsidRPr="00512F79">
        <w:rPr>
          <w:color w:val="000000" w:themeColor="text1"/>
          <w:sz w:val="22"/>
          <w:szCs w:val="22"/>
          <w:lang w:val="es-ES"/>
        </w:rPr>
        <w:t xml:space="preserve"> </w:t>
      </w:r>
      <w:r w:rsidR="0084346B" w:rsidRPr="00512F79">
        <w:rPr>
          <w:color w:val="000000" w:themeColor="text1"/>
          <w:sz w:val="22"/>
          <w:szCs w:val="22"/>
          <w:lang w:val="es-ES"/>
        </w:rPr>
        <w:t>celebrad</w:t>
      </w:r>
      <w:r w:rsidR="003C0836">
        <w:rPr>
          <w:color w:val="000000" w:themeColor="text1"/>
          <w:sz w:val="22"/>
          <w:szCs w:val="22"/>
          <w:lang w:val="es-ES"/>
        </w:rPr>
        <w:t>a</w:t>
      </w:r>
      <w:r w:rsidR="0084346B" w:rsidRPr="00512F79">
        <w:rPr>
          <w:color w:val="000000" w:themeColor="text1"/>
          <w:sz w:val="22"/>
          <w:szCs w:val="22"/>
          <w:lang w:val="es-ES"/>
        </w:rPr>
        <w:t xml:space="preserve"> </w:t>
      </w:r>
      <w:r w:rsidR="00967695" w:rsidRPr="00512F79">
        <w:rPr>
          <w:color w:val="000000" w:themeColor="text1"/>
          <w:sz w:val="22"/>
          <w:szCs w:val="22"/>
          <w:lang w:val="es-ES"/>
        </w:rPr>
        <w:t>en julio de 2022.</w:t>
      </w:r>
    </w:p>
    <w:p w14:paraId="64112834" w14:textId="77777777" w:rsidR="00ED78BF" w:rsidRPr="00512F79" w:rsidRDefault="00ED78BF" w:rsidP="00CB030B">
      <w:pPr>
        <w:ind w:left="1440" w:hanging="720"/>
        <w:jc w:val="both"/>
        <w:rPr>
          <w:rFonts w:ascii="Times New Roman" w:hAnsi="Times New Roman" w:cs="Times New Roman"/>
          <w:color w:val="000000" w:themeColor="text1"/>
          <w:sz w:val="22"/>
          <w:szCs w:val="22"/>
          <w:lang w:val="es-ES"/>
        </w:rPr>
      </w:pPr>
    </w:p>
    <w:p w14:paraId="5B9F6ED8" w14:textId="64FA3E9F" w:rsidR="00F4728E" w:rsidRPr="00512F79" w:rsidRDefault="003C0836">
      <w:pPr>
        <w:pStyle w:val="ListParagraph"/>
        <w:numPr>
          <w:ilvl w:val="0"/>
          <w:numId w:val="11"/>
        </w:numPr>
        <w:ind w:left="1440" w:hanging="720"/>
        <w:jc w:val="both"/>
        <w:rPr>
          <w:color w:val="000000" w:themeColor="text1"/>
          <w:sz w:val="22"/>
          <w:szCs w:val="22"/>
          <w:lang w:val="es-ES"/>
        </w:rPr>
      </w:pPr>
      <w:r>
        <w:rPr>
          <w:color w:val="000000" w:themeColor="text1"/>
          <w:sz w:val="22"/>
          <w:szCs w:val="22"/>
          <w:lang w:val="es-ES"/>
        </w:rPr>
        <w:t>Se intercambiaron</w:t>
      </w:r>
      <w:r w:rsidR="00967695" w:rsidRPr="00512F79">
        <w:rPr>
          <w:color w:val="000000" w:themeColor="text1"/>
          <w:sz w:val="22"/>
          <w:szCs w:val="22"/>
          <w:lang w:val="es-ES"/>
        </w:rPr>
        <w:t xml:space="preserve"> buenas prácticas de nueve </w:t>
      </w:r>
      <w:r w:rsidR="005F30B1" w:rsidRPr="00512F79">
        <w:rPr>
          <w:color w:val="000000" w:themeColor="text1"/>
          <w:sz w:val="22"/>
          <w:szCs w:val="22"/>
          <w:lang w:val="es-ES"/>
        </w:rPr>
        <w:t xml:space="preserve">Estados </w:t>
      </w:r>
      <w:r>
        <w:rPr>
          <w:color w:val="000000" w:themeColor="text1"/>
          <w:sz w:val="22"/>
          <w:szCs w:val="22"/>
          <w:lang w:val="es-ES"/>
        </w:rPr>
        <w:t>M</w:t>
      </w:r>
      <w:r w:rsidR="005F30B1" w:rsidRPr="00512F79">
        <w:rPr>
          <w:color w:val="000000" w:themeColor="text1"/>
          <w:sz w:val="22"/>
          <w:szCs w:val="22"/>
          <w:lang w:val="es-ES"/>
        </w:rPr>
        <w:t>iembros</w:t>
      </w:r>
      <w:r w:rsidR="001B1FD4">
        <w:rPr>
          <w:color w:val="000000" w:themeColor="text1"/>
          <w:sz w:val="22"/>
          <w:szCs w:val="22"/>
          <w:lang w:val="es-ES"/>
        </w:rPr>
        <w:t xml:space="preserve">: </w:t>
      </w:r>
      <w:r w:rsidR="005F30B1" w:rsidRPr="00512F79">
        <w:rPr>
          <w:color w:val="000000" w:themeColor="text1"/>
          <w:sz w:val="22"/>
          <w:szCs w:val="22"/>
          <w:lang w:val="es-ES"/>
        </w:rPr>
        <w:t>Colombia</w:t>
      </w:r>
      <w:r w:rsidR="00967695" w:rsidRPr="00512F79">
        <w:rPr>
          <w:color w:val="000000" w:themeColor="text1"/>
          <w:sz w:val="22"/>
          <w:szCs w:val="22"/>
          <w:lang w:val="es-ES"/>
        </w:rPr>
        <w:t xml:space="preserve">, Bolivia, Chile, Colombia, México, Nicaragua, Paraguay, Perú y </w:t>
      </w:r>
      <w:r w:rsidR="0084346B" w:rsidRPr="00512F79">
        <w:rPr>
          <w:color w:val="000000" w:themeColor="text1"/>
          <w:sz w:val="22"/>
          <w:szCs w:val="22"/>
          <w:lang w:val="es-ES"/>
        </w:rPr>
        <w:t xml:space="preserve">República Dominicana en el </w:t>
      </w:r>
      <w:r w:rsidR="00967695" w:rsidRPr="00512F79">
        <w:rPr>
          <w:color w:val="000000" w:themeColor="text1"/>
          <w:sz w:val="22"/>
          <w:szCs w:val="22"/>
          <w:lang w:val="es-ES"/>
        </w:rPr>
        <w:t xml:space="preserve">marco de un Diálogo Virtual sobre </w:t>
      </w:r>
      <w:r>
        <w:rPr>
          <w:color w:val="000000" w:themeColor="text1"/>
          <w:sz w:val="22"/>
          <w:szCs w:val="22"/>
          <w:lang w:val="es-ES"/>
        </w:rPr>
        <w:t>“</w:t>
      </w:r>
      <w:r w:rsidR="00967695" w:rsidRPr="00512F79">
        <w:rPr>
          <w:b/>
          <w:bCs/>
          <w:color w:val="000000" w:themeColor="text1"/>
          <w:sz w:val="22"/>
          <w:szCs w:val="22"/>
          <w:lang w:val="es-ES"/>
        </w:rPr>
        <w:t>Experiencias de salvaguardia de los oficios tradicionales en las Américas</w:t>
      </w:r>
      <w:r>
        <w:rPr>
          <w:b/>
          <w:bCs/>
          <w:color w:val="000000" w:themeColor="text1"/>
          <w:sz w:val="22"/>
          <w:szCs w:val="22"/>
          <w:lang w:val="es-ES"/>
        </w:rPr>
        <w:t>”</w:t>
      </w:r>
      <w:r w:rsidR="0074320E" w:rsidRPr="00512F79">
        <w:rPr>
          <w:b/>
          <w:bCs/>
          <w:color w:val="000000" w:themeColor="text1"/>
          <w:sz w:val="22"/>
          <w:szCs w:val="22"/>
          <w:lang w:val="es-ES"/>
        </w:rPr>
        <w:t xml:space="preserve"> </w:t>
      </w:r>
      <w:r w:rsidR="00967695" w:rsidRPr="00512F79">
        <w:rPr>
          <w:color w:val="000000" w:themeColor="text1"/>
          <w:sz w:val="22"/>
          <w:szCs w:val="22"/>
          <w:lang w:val="es-ES"/>
        </w:rPr>
        <w:t>en marzo de 2022.</w:t>
      </w:r>
    </w:p>
    <w:p w14:paraId="1B36979A" w14:textId="77777777" w:rsidR="00ED78BF" w:rsidRPr="00512F79" w:rsidRDefault="00ED78BF" w:rsidP="00CB030B">
      <w:pPr>
        <w:ind w:left="1440" w:hanging="720"/>
        <w:jc w:val="both"/>
        <w:rPr>
          <w:rFonts w:ascii="Times New Roman" w:hAnsi="Times New Roman" w:cs="Times New Roman"/>
          <w:sz w:val="22"/>
          <w:szCs w:val="22"/>
          <w:lang w:val="es-ES"/>
        </w:rPr>
      </w:pPr>
    </w:p>
    <w:p w14:paraId="0E6C489C" w14:textId="25755D19" w:rsidR="00F4728E" w:rsidRPr="00512F79" w:rsidRDefault="003C0836">
      <w:pPr>
        <w:pStyle w:val="ListParagraph"/>
        <w:numPr>
          <w:ilvl w:val="0"/>
          <w:numId w:val="11"/>
        </w:numPr>
        <w:ind w:left="1440" w:hanging="720"/>
        <w:jc w:val="both"/>
        <w:rPr>
          <w:sz w:val="22"/>
          <w:szCs w:val="22"/>
          <w:lang w:val="es-ES"/>
        </w:rPr>
      </w:pPr>
      <w:r>
        <w:rPr>
          <w:bCs/>
          <w:sz w:val="22"/>
          <w:szCs w:val="22"/>
          <w:lang w:val="es-ES"/>
        </w:rPr>
        <w:t>Se firmó</w:t>
      </w:r>
      <w:r w:rsidR="00967695" w:rsidRPr="00512F79">
        <w:rPr>
          <w:bCs/>
          <w:sz w:val="22"/>
          <w:szCs w:val="22"/>
          <w:lang w:val="es-ES"/>
        </w:rPr>
        <w:t xml:space="preserve"> un acuerdo por el que se establece un marco de cooperación para la difusión y accesibilidad de la cultura mediante el uso de bibliotecas digitales. El acuerdo permite a la Secretaría General, a través de la SEDI, difundir y promover la biblioteca virtual </w:t>
      </w:r>
      <w:r>
        <w:rPr>
          <w:bCs/>
          <w:sz w:val="22"/>
          <w:szCs w:val="22"/>
          <w:lang w:val="es-ES"/>
        </w:rPr>
        <w:t>“</w:t>
      </w:r>
      <w:hyperlink r:id="rId16" w:history="1">
        <w:r w:rsidR="00967695" w:rsidRPr="00512F79">
          <w:rPr>
            <w:rStyle w:val="Hyperlink"/>
            <w:bCs/>
            <w:i/>
            <w:iCs/>
            <w:sz w:val="22"/>
            <w:szCs w:val="22"/>
            <w:lang w:val="es-ES"/>
          </w:rPr>
          <w:t>El Libro Total</w:t>
        </w:r>
      </w:hyperlink>
      <w:r>
        <w:rPr>
          <w:rStyle w:val="Hyperlink"/>
          <w:bCs/>
          <w:i/>
          <w:iCs/>
          <w:sz w:val="22"/>
          <w:szCs w:val="22"/>
          <w:lang w:val="es-ES"/>
        </w:rPr>
        <w:t>”</w:t>
      </w:r>
      <w:r w:rsidR="00967695" w:rsidRPr="00512F79">
        <w:rPr>
          <w:bCs/>
          <w:sz w:val="22"/>
          <w:szCs w:val="22"/>
          <w:lang w:val="es-ES"/>
        </w:rPr>
        <w:t xml:space="preserve"> entre los autores y ciudadanos de los </w:t>
      </w:r>
      <w:r w:rsidR="005F30B1" w:rsidRPr="00512F79">
        <w:rPr>
          <w:color w:val="000000" w:themeColor="text1"/>
          <w:sz w:val="22"/>
          <w:szCs w:val="22"/>
          <w:lang w:val="es-ES"/>
        </w:rPr>
        <w:t xml:space="preserve">Estados </w:t>
      </w:r>
      <w:r>
        <w:rPr>
          <w:color w:val="000000" w:themeColor="text1"/>
          <w:sz w:val="22"/>
          <w:szCs w:val="22"/>
          <w:lang w:val="es-ES"/>
        </w:rPr>
        <w:t>M</w:t>
      </w:r>
      <w:r w:rsidR="00C67D84" w:rsidRPr="00512F79">
        <w:rPr>
          <w:color w:val="000000" w:themeColor="text1"/>
          <w:sz w:val="22"/>
          <w:szCs w:val="22"/>
          <w:lang w:val="es-ES"/>
        </w:rPr>
        <w:t xml:space="preserve">iembros de </w:t>
      </w:r>
      <w:r w:rsidR="00967695" w:rsidRPr="00512F79">
        <w:rPr>
          <w:bCs/>
          <w:sz w:val="22"/>
          <w:szCs w:val="22"/>
          <w:lang w:val="es-ES"/>
        </w:rPr>
        <w:t>la OEA</w:t>
      </w:r>
      <w:r w:rsidR="0084346B" w:rsidRPr="00512F79">
        <w:rPr>
          <w:bCs/>
          <w:sz w:val="22"/>
          <w:szCs w:val="22"/>
          <w:lang w:val="es-ES"/>
        </w:rPr>
        <w:t xml:space="preserve">. El acuerdo </w:t>
      </w:r>
      <w:r w:rsidR="00967695" w:rsidRPr="00512F79">
        <w:rPr>
          <w:bCs/>
          <w:sz w:val="22"/>
          <w:szCs w:val="22"/>
          <w:lang w:val="es-ES"/>
        </w:rPr>
        <w:t>refuerza</w:t>
      </w:r>
      <w:r>
        <w:rPr>
          <w:bCs/>
          <w:sz w:val="22"/>
          <w:szCs w:val="22"/>
          <w:lang w:val="es-ES"/>
        </w:rPr>
        <w:t>,</w:t>
      </w:r>
      <w:r w:rsidR="00967695" w:rsidRPr="00512F79">
        <w:rPr>
          <w:bCs/>
          <w:sz w:val="22"/>
          <w:szCs w:val="22"/>
          <w:lang w:val="es-ES"/>
        </w:rPr>
        <w:t xml:space="preserve"> </w:t>
      </w:r>
      <w:r w:rsidR="0084346B" w:rsidRPr="00512F79">
        <w:rPr>
          <w:bCs/>
          <w:sz w:val="22"/>
          <w:szCs w:val="22"/>
          <w:lang w:val="es-ES"/>
        </w:rPr>
        <w:t>además</w:t>
      </w:r>
      <w:r>
        <w:rPr>
          <w:bCs/>
          <w:sz w:val="22"/>
          <w:szCs w:val="22"/>
          <w:lang w:val="es-ES"/>
        </w:rPr>
        <w:t>,</w:t>
      </w:r>
      <w:r w:rsidR="0084346B" w:rsidRPr="00512F79">
        <w:rPr>
          <w:bCs/>
          <w:sz w:val="22"/>
          <w:szCs w:val="22"/>
          <w:lang w:val="es-ES"/>
        </w:rPr>
        <w:t xml:space="preserve"> </w:t>
      </w:r>
      <w:r w:rsidR="00967695" w:rsidRPr="00512F79">
        <w:rPr>
          <w:bCs/>
          <w:sz w:val="22"/>
          <w:szCs w:val="22"/>
          <w:lang w:val="es-ES"/>
        </w:rPr>
        <w:t xml:space="preserve">la colaboración para promover el </w:t>
      </w:r>
      <w:r w:rsidR="0084346B" w:rsidRPr="00512F79">
        <w:rPr>
          <w:bCs/>
          <w:sz w:val="22"/>
          <w:szCs w:val="22"/>
          <w:lang w:val="es-ES"/>
        </w:rPr>
        <w:t>conocimiento cultural</w:t>
      </w:r>
      <w:r>
        <w:rPr>
          <w:bCs/>
          <w:sz w:val="22"/>
          <w:szCs w:val="22"/>
          <w:lang w:val="es-ES"/>
        </w:rPr>
        <w:t xml:space="preserve">, </w:t>
      </w:r>
      <w:r w:rsidR="0084346B" w:rsidRPr="00512F79">
        <w:rPr>
          <w:bCs/>
          <w:sz w:val="22"/>
          <w:szCs w:val="22"/>
          <w:lang w:val="es-ES"/>
        </w:rPr>
        <w:t xml:space="preserve">especialmente </w:t>
      </w:r>
      <w:r w:rsidR="00967695" w:rsidRPr="00512F79">
        <w:rPr>
          <w:bCs/>
          <w:sz w:val="22"/>
          <w:szCs w:val="22"/>
          <w:lang w:val="es-ES"/>
        </w:rPr>
        <w:t>la literatura en las Américas</w:t>
      </w:r>
      <w:r>
        <w:rPr>
          <w:bCs/>
          <w:sz w:val="22"/>
          <w:szCs w:val="22"/>
          <w:lang w:val="es-ES"/>
        </w:rPr>
        <w:t>,</w:t>
      </w:r>
      <w:r w:rsidR="00967695" w:rsidRPr="00512F79">
        <w:rPr>
          <w:bCs/>
          <w:sz w:val="22"/>
          <w:szCs w:val="22"/>
          <w:lang w:val="es-ES"/>
        </w:rPr>
        <w:t xml:space="preserve"> </w:t>
      </w:r>
      <w:r w:rsidR="0084346B" w:rsidRPr="00512F79">
        <w:rPr>
          <w:bCs/>
          <w:sz w:val="22"/>
          <w:szCs w:val="22"/>
          <w:lang w:val="es-ES"/>
        </w:rPr>
        <w:t xml:space="preserve">y el </w:t>
      </w:r>
      <w:r w:rsidR="00967695" w:rsidRPr="00512F79">
        <w:rPr>
          <w:bCs/>
          <w:sz w:val="22"/>
          <w:szCs w:val="22"/>
          <w:lang w:val="es-ES"/>
        </w:rPr>
        <w:t xml:space="preserve">mayor uso de las tecnologías digitales tanto por parte de </w:t>
      </w:r>
      <w:r w:rsidR="0084346B" w:rsidRPr="00512F79">
        <w:rPr>
          <w:bCs/>
          <w:sz w:val="22"/>
          <w:szCs w:val="22"/>
          <w:lang w:val="es-ES"/>
        </w:rPr>
        <w:t xml:space="preserve">los profesionales de la cultura como de los consumidores de productos culturales y creativos. Los </w:t>
      </w:r>
      <w:r w:rsidR="005F30B1" w:rsidRPr="00512F79">
        <w:rPr>
          <w:color w:val="000000" w:themeColor="text1"/>
          <w:sz w:val="22"/>
          <w:szCs w:val="22"/>
          <w:lang w:val="es-ES"/>
        </w:rPr>
        <w:t xml:space="preserve">Estados </w:t>
      </w:r>
      <w:r>
        <w:rPr>
          <w:color w:val="000000" w:themeColor="text1"/>
          <w:sz w:val="22"/>
          <w:szCs w:val="22"/>
          <w:lang w:val="es-ES"/>
        </w:rPr>
        <w:t>M</w:t>
      </w:r>
      <w:r w:rsidR="00C67D84" w:rsidRPr="00512F79">
        <w:rPr>
          <w:color w:val="000000" w:themeColor="text1"/>
          <w:sz w:val="22"/>
          <w:szCs w:val="22"/>
          <w:lang w:val="es-ES"/>
        </w:rPr>
        <w:t xml:space="preserve">iembros de </w:t>
      </w:r>
      <w:r w:rsidR="0084346B" w:rsidRPr="00512F79">
        <w:rPr>
          <w:bCs/>
          <w:sz w:val="22"/>
          <w:szCs w:val="22"/>
          <w:lang w:val="es-ES"/>
        </w:rPr>
        <w:t>la OEA y sus ciudadanos también tienen acceso gratuito a una amplia biblioteca virtual (enlace anterior).</w:t>
      </w:r>
    </w:p>
    <w:bookmarkEnd w:id="4"/>
    <w:p w14:paraId="39C7F7D4" w14:textId="2752A982" w:rsidR="009B0089" w:rsidRPr="00512F79" w:rsidRDefault="009B0089" w:rsidP="00CB030B">
      <w:pPr>
        <w:rPr>
          <w:rFonts w:ascii="Times New Roman" w:hAnsi="Times New Roman" w:cs="Times New Roman"/>
          <w:b/>
          <w:bCs/>
          <w:sz w:val="22"/>
          <w:szCs w:val="22"/>
          <w:lang w:val="es-ES"/>
        </w:rPr>
      </w:pPr>
    </w:p>
    <w:p w14:paraId="293DB1C0" w14:textId="77777777" w:rsidR="005F2C83" w:rsidRPr="00512F79" w:rsidRDefault="005F2C83" w:rsidP="00CB030B">
      <w:pPr>
        <w:rPr>
          <w:rFonts w:ascii="Times New Roman" w:hAnsi="Times New Roman" w:cs="Times New Roman"/>
          <w:b/>
          <w:bCs/>
          <w:sz w:val="22"/>
          <w:szCs w:val="22"/>
          <w:lang w:val="es-ES"/>
        </w:rPr>
      </w:pPr>
    </w:p>
    <w:p w14:paraId="6B2A50FA"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2</w:t>
      </w:r>
    </w:p>
    <w:p w14:paraId="51716B86" w14:textId="78E3A8BD" w:rsidR="00F4728E" w:rsidRPr="00512F79" w:rsidRDefault="003C0836">
      <w:pPr>
        <w:pBdr>
          <w:bottom w:val="single" w:sz="6" w:space="1" w:color="auto"/>
        </w:pBdr>
        <w:rPr>
          <w:rFonts w:ascii="Times New Roman" w:hAnsi="Times New Roman" w:cs="Times New Roman"/>
          <w:sz w:val="22"/>
          <w:szCs w:val="22"/>
          <w:lang w:val="es-ES"/>
        </w:rPr>
      </w:pPr>
      <w:r>
        <w:rPr>
          <w:rFonts w:ascii="Times New Roman" w:hAnsi="Times New Roman" w:cs="Times New Roman"/>
          <w:sz w:val="22"/>
          <w:szCs w:val="22"/>
          <w:lang w:val="es-ES"/>
        </w:rPr>
        <w:t xml:space="preserve">FORTALECER LA IMPLEMENTACIÓN DE LOS </w:t>
      </w:r>
      <w:r w:rsidR="00967695" w:rsidRPr="00512F79">
        <w:rPr>
          <w:rFonts w:ascii="Times New Roman" w:hAnsi="Times New Roman" w:cs="Times New Roman"/>
          <w:sz w:val="22"/>
          <w:szCs w:val="22"/>
          <w:lang w:val="es-ES"/>
        </w:rPr>
        <w:t>OBJETIVOS DE DESARROLLO SOSTENIBLE (</w:t>
      </w:r>
      <w:r w:rsidR="007D30CA" w:rsidRPr="00512F79">
        <w:rPr>
          <w:rFonts w:ascii="Times New Roman" w:hAnsi="Times New Roman" w:cs="Times New Roman"/>
          <w:sz w:val="22"/>
          <w:szCs w:val="22"/>
          <w:lang w:val="es-ES"/>
        </w:rPr>
        <w:t>PIDS)</w:t>
      </w:r>
    </w:p>
    <w:p w14:paraId="5778319D" w14:textId="77777777" w:rsidR="00746168" w:rsidRPr="00512F79" w:rsidRDefault="00746168" w:rsidP="00CB030B">
      <w:pPr>
        <w:jc w:val="both"/>
        <w:rPr>
          <w:rFonts w:ascii="Times New Roman" w:hAnsi="Times New Roman" w:cs="Times New Roman"/>
          <w:sz w:val="22"/>
          <w:szCs w:val="22"/>
          <w:lang w:val="es-ES"/>
        </w:rPr>
      </w:pPr>
    </w:p>
    <w:p w14:paraId="0736D251" w14:textId="1BAE33BF" w:rsidR="00F4728E" w:rsidRPr="00512F79" w:rsidRDefault="005854BD">
      <w:pPr>
        <w:ind w:firstLine="720"/>
        <w:jc w:val="both"/>
        <w:rPr>
          <w:rFonts w:ascii="Times New Roman" w:eastAsia="Calibri" w:hAnsi="Times New Roman" w:cs="Times New Roman"/>
          <w:bCs/>
          <w:sz w:val="22"/>
          <w:szCs w:val="22"/>
          <w:lang w:val="es-ES"/>
        </w:rPr>
      </w:pPr>
      <w:r w:rsidRPr="005854BD">
        <w:rPr>
          <w:rFonts w:ascii="Times New Roman" w:eastAsia="Calibri" w:hAnsi="Times New Roman" w:cs="Times New Roman"/>
          <w:bCs/>
          <w:sz w:val="22"/>
          <w:szCs w:val="22"/>
          <w:lang w:val="es-ES"/>
        </w:rPr>
        <w:t>El D</w:t>
      </w:r>
      <w:r w:rsidR="00C107E9">
        <w:rPr>
          <w:rFonts w:ascii="Times New Roman" w:eastAsia="Calibri" w:hAnsi="Times New Roman" w:cs="Times New Roman"/>
          <w:bCs/>
          <w:sz w:val="22"/>
          <w:szCs w:val="22"/>
          <w:lang w:val="es-ES"/>
        </w:rPr>
        <w:t xml:space="preserve">epartamento de Desarrollo Sostenible </w:t>
      </w:r>
      <w:r w:rsidRPr="005854BD">
        <w:rPr>
          <w:rFonts w:ascii="Times New Roman" w:eastAsia="Calibri" w:hAnsi="Times New Roman" w:cs="Times New Roman"/>
          <w:bCs/>
          <w:sz w:val="22"/>
          <w:szCs w:val="22"/>
          <w:lang w:val="es-ES"/>
        </w:rPr>
        <w:t xml:space="preserve">continuó ofreciendo una </w:t>
      </w:r>
      <w:r w:rsidR="00C107E9">
        <w:rPr>
          <w:rFonts w:ascii="Times New Roman" w:eastAsia="Calibri" w:hAnsi="Times New Roman" w:cs="Times New Roman"/>
          <w:bCs/>
          <w:sz w:val="22"/>
          <w:szCs w:val="22"/>
          <w:lang w:val="es-ES"/>
        </w:rPr>
        <w:t xml:space="preserve">importante </w:t>
      </w:r>
      <w:r w:rsidRPr="005854BD">
        <w:rPr>
          <w:rFonts w:ascii="Times New Roman" w:eastAsia="Calibri" w:hAnsi="Times New Roman" w:cs="Times New Roman"/>
          <w:bCs/>
          <w:sz w:val="22"/>
          <w:szCs w:val="22"/>
          <w:lang w:val="es-ES"/>
        </w:rPr>
        <w:t xml:space="preserve">programación </w:t>
      </w:r>
      <w:r w:rsidR="003B2903">
        <w:rPr>
          <w:rFonts w:ascii="Times New Roman" w:eastAsia="Calibri" w:hAnsi="Times New Roman" w:cs="Times New Roman"/>
          <w:bCs/>
          <w:sz w:val="22"/>
          <w:szCs w:val="22"/>
          <w:lang w:val="es-ES"/>
        </w:rPr>
        <w:t>destinada a</w:t>
      </w:r>
      <w:r w:rsidRPr="005854BD">
        <w:rPr>
          <w:rFonts w:ascii="Times New Roman" w:eastAsia="Calibri" w:hAnsi="Times New Roman" w:cs="Times New Roman"/>
          <w:bCs/>
          <w:sz w:val="22"/>
          <w:szCs w:val="22"/>
          <w:lang w:val="es-ES"/>
        </w:rPr>
        <w:t xml:space="preserve"> </w:t>
      </w:r>
      <w:r w:rsidR="00C107E9">
        <w:rPr>
          <w:rFonts w:ascii="Times New Roman" w:eastAsia="Calibri" w:hAnsi="Times New Roman" w:cs="Times New Roman"/>
          <w:bCs/>
          <w:sz w:val="22"/>
          <w:szCs w:val="22"/>
          <w:lang w:val="es-ES"/>
        </w:rPr>
        <w:t>fortalecer</w:t>
      </w:r>
      <w:r w:rsidRPr="005854BD">
        <w:rPr>
          <w:rFonts w:ascii="Times New Roman" w:eastAsia="Calibri" w:hAnsi="Times New Roman" w:cs="Times New Roman"/>
          <w:bCs/>
          <w:sz w:val="22"/>
          <w:szCs w:val="22"/>
          <w:lang w:val="es-ES"/>
        </w:rPr>
        <w:t xml:space="preserve"> la sostenibilidad y la resiliencia de los Estados Miembros. De acuerdo con el PIDS, el DDS trabajó en colaboración con países de todo el Hemisferio para impulsar </w:t>
      </w:r>
      <w:r w:rsidR="003B2903">
        <w:rPr>
          <w:rFonts w:ascii="Times New Roman" w:eastAsia="Calibri" w:hAnsi="Times New Roman" w:cs="Times New Roman"/>
          <w:bCs/>
          <w:sz w:val="22"/>
          <w:szCs w:val="22"/>
          <w:lang w:val="es-ES"/>
        </w:rPr>
        <w:t>la labor</w:t>
      </w:r>
      <w:r w:rsidRPr="005854BD">
        <w:rPr>
          <w:rFonts w:ascii="Times New Roman" w:eastAsia="Calibri" w:hAnsi="Times New Roman" w:cs="Times New Roman"/>
          <w:bCs/>
          <w:sz w:val="22"/>
          <w:szCs w:val="22"/>
          <w:lang w:val="es-ES"/>
        </w:rPr>
        <w:t xml:space="preserve"> que contribuye a la integración de la resiliencia y la gestión del riesgo de desastres, el fortalecimiento de las capacidades en el ámbito de la gestión de ecosistemas resilientes al clima y sostenibles, el fomento de una mayor seguridad hídrica, la creación de capacidades para la gestión integrada de los recursos hídricos y el apoyo al desarrollo y el uso de alternativas energéticas sostenibles. En 2022, el DDS </w:t>
      </w:r>
      <w:r w:rsidR="00BE1D3F">
        <w:rPr>
          <w:rFonts w:ascii="Times New Roman" w:eastAsia="Calibri" w:hAnsi="Times New Roman" w:cs="Times New Roman"/>
          <w:bCs/>
          <w:sz w:val="22"/>
          <w:szCs w:val="22"/>
          <w:lang w:val="es-ES"/>
        </w:rPr>
        <w:t xml:space="preserve">siguió </w:t>
      </w:r>
      <w:r w:rsidRPr="005854BD">
        <w:rPr>
          <w:rFonts w:ascii="Times New Roman" w:eastAsia="Calibri" w:hAnsi="Times New Roman" w:cs="Times New Roman"/>
          <w:bCs/>
          <w:sz w:val="22"/>
          <w:szCs w:val="22"/>
          <w:lang w:val="es-ES"/>
        </w:rPr>
        <w:t xml:space="preserve">haciendo hincapié en las actividades en colaboración con otros departamentos de la SEDI, incluidos los programas transversales que abordan el turismo y la resiliencia, la seguridad </w:t>
      </w:r>
      <w:r w:rsidR="00F510F9">
        <w:rPr>
          <w:rFonts w:ascii="Times New Roman" w:eastAsia="Calibri" w:hAnsi="Times New Roman" w:cs="Times New Roman"/>
          <w:bCs/>
          <w:sz w:val="22"/>
          <w:szCs w:val="22"/>
          <w:lang w:val="es-ES"/>
        </w:rPr>
        <w:t>de los recursos hídricos</w:t>
      </w:r>
      <w:r w:rsidRPr="005854BD">
        <w:rPr>
          <w:rFonts w:ascii="Times New Roman" w:eastAsia="Calibri" w:hAnsi="Times New Roman" w:cs="Times New Roman"/>
          <w:bCs/>
          <w:sz w:val="22"/>
          <w:szCs w:val="22"/>
          <w:lang w:val="es-ES"/>
        </w:rPr>
        <w:t xml:space="preserve"> y el desarrollo económico, el cambio climático y los puertos. </w:t>
      </w:r>
    </w:p>
    <w:p w14:paraId="05D56C22" w14:textId="67A201C2" w:rsidR="00A52779" w:rsidRPr="00512F79" w:rsidRDefault="00A52779" w:rsidP="00CB030B">
      <w:pPr>
        <w:jc w:val="both"/>
        <w:rPr>
          <w:rFonts w:ascii="Times New Roman" w:eastAsia="Calibri" w:hAnsi="Times New Roman" w:cs="Times New Roman"/>
          <w:bCs/>
          <w:sz w:val="22"/>
          <w:szCs w:val="22"/>
          <w:lang w:val="es-ES"/>
        </w:rPr>
      </w:pPr>
    </w:p>
    <w:p w14:paraId="5D2F30B6" w14:textId="77777777" w:rsidR="00F4728E" w:rsidRPr="00512F79" w:rsidRDefault="00967695">
      <w:pPr>
        <w:jc w:val="both"/>
        <w:rPr>
          <w:rFonts w:ascii="Times New Roman" w:eastAsia="Calibri" w:hAnsi="Times New Roman" w:cs="Times New Roman"/>
          <w:b/>
          <w:sz w:val="22"/>
          <w:szCs w:val="22"/>
          <w:u w:val="single"/>
          <w:lang w:val="es-ES"/>
        </w:rPr>
      </w:pPr>
      <w:r w:rsidRPr="00512F79">
        <w:rPr>
          <w:rFonts w:ascii="Times New Roman" w:eastAsia="Calibri" w:hAnsi="Times New Roman" w:cs="Times New Roman"/>
          <w:b/>
          <w:sz w:val="22"/>
          <w:szCs w:val="22"/>
          <w:u w:val="single"/>
          <w:lang w:val="es-ES"/>
        </w:rPr>
        <w:t>OBJETIVO 2.1</w:t>
      </w:r>
    </w:p>
    <w:p w14:paraId="20D1475C" w14:textId="77777777" w:rsidR="005F2C83" w:rsidRPr="00512F79" w:rsidRDefault="005F2C83" w:rsidP="00CB030B">
      <w:pPr>
        <w:jc w:val="both"/>
        <w:rPr>
          <w:rFonts w:ascii="Times New Roman" w:eastAsia="Calibri" w:hAnsi="Times New Roman" w:cs="Times New Roman"/>
          <w:b/>
          <w:sz w:val="22"/>
          <w:szCs w:val="22"/>
          <w:u w:val="single"/>
          <w:lang w:val="es-ES"/>
        </w:rPr>
      </w:pPr>
    </w:p>
    <w:p w14:paraId="766C944D" w14:textId="18471E6C" w:rsidR="00F4728E" w:rsidRPr="00512F79" w:rsidRDefault="00AF1DB1">
      <w:pPr>
        <w:ind w:firstLine="720"/>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Fomentar las</w:t>
      </w:r>
      <w:r w:rsidR="009B0089" w:rsidRPr="00512F79">
        <w:rPr>
          <w:rFonts w:ascii="Times New Roman" w:eastAsia="Calibri" w:hAnsi="Times New Roman" w:cs="Times New Roman"/>
          <w:sz w:val="22"/>
          <w:szCs w:val="22"/>
          <w:lang w:val="es-ES"/>
        </w:rPr>
        <w:t xml:space="preserve"> </w:t>
      </w:r>
      <w:r w:rsidR="00967695" w:rsidRPr="00512F79">
        <w:rPr>
          <w:rFonts w:ascii="Times New Roman" w:eastAsia="Calibri" w:hAnsi="Times New Roman" w:cs="Times New Roman"/>
          <w:sz w:val="22"/>
          <w:szCs w:val="22"/>
          <w:lang w:val="es-ES"/>
        </w:rPr>
        <w:t xml:space="preserve">capacidades de </w:t>
      </w:r>
      <w:r w:rsidR="005F30B1" w:rsidRPr="00512F79">
        <w:rPr>
          <w:rFonts w:ascii="Times New Roman" w:eastAsia="Calibri" w:hAnsi="Times New Roman" w:cs="Times New Roman"/>
          <w:sz w:val="22"/>
          <w:szCs w:val="22"/>
          <w:lang w:val="es-ES"/>
        </w:rPr>
        <w:t xml:space="preserve">los Estados </w:t>
      </w:r>
      <w:r>
        <w:rPr>
          <w:rFonts w:ascii="Times New Roman" w:eastAsia="Calibri" w:hAnsi="Times New Roman" w:cs="Times New Roman"/>
          <w:sz w:val="22"/>
          <w:szCs w:val="22"/>
          <w:lang w:val="es-ES"/>
        </w:rPr>
        <w:t>M</w:t>
      </w:r>
      <w:r w:rsidR="005F30B1" w:rsidRPr="00512F79">
        <w:rPr>
          <w:rFonts w:ascii="Times New Roman" w:eastAsia="Calibri" w:hAnsi="Times New Roman" w:cs="Times New Roman"/>
          <w:sz w:val="22"/>
          <w:szCs w:val="22"/>
          <w:lang w:val="es-ES"/>
        </w:rPr>
        <w:t xml:space="preserve">iembros </w:t>
      </w:r>
      <w:r w:rsidR="00967695" w:rsidRPr="00512F79">
        <w:rPr>
          <w:rFonts w:ascii="Times New Roman" w:eastAsia="Calibri" w:hAnsi="Times New Roman" w:cs="Times New Roman"/>
          <w:sz w:val="22"/>
          <w:szCs w:val="22"/>
          <w:lang w:val="es-ES"/>
        </w:rPr>
        <w:t xml:space="preserve">en la gestión del riesgo de </w:t>
      </w:r>
      <w:r>
        <w:rPr>
          <w:rFonts w:ascii="Times New Roman" w:eastAsia="Calibri" w:hAnsi="Times New Roman" w:cs="Times New Roman"/>
          <w:sz w:val="22"/>
          <w:szCs w:val="22"/>
          <w:lang w:val="es-ES"/>
        </w:rPr>
        <w:t>desastres</w:t>
      </w:r>
      <w:r w:rsidR="00967695" w:rsidRPr="00512F79">
        <w:rPr>
          <w:rFonts w:ascii="Times New Roman" w:eastAsia="Calibri" w:hAnsi="Times New Roman" w:cs="Times New Roman"/>
          <w:sz w:val="22"/>
          <w:szCs w:val="22"/>
          <w:lang w:val="es-ES"/>
        </w:rPr>
        <w:t xml:space="preserve">, </w:t>
      </w:r>
      <w:r>
        <w:rPr>
          <w:rFonts w:ascii="Times New Roman" w:eastAsia="Calibri" w:hAnsi="Times New Roman" w:cs="Times New Roman"/>
          <w:sz w:val="22"/>
          <w:szCs w:val="22"/>
          <w:lang w:val="es-ES"/>
        </w:rPr>
        <w:t>de acuerdo</w:t>
      </w:r>
      <w:r w:rsidR="00967695" w:rsidRPr="00512F79">
        <w:rPr>
          <w:rFonts w:ascii="Times New Roman" w:eastAsia="Calibri" w:hAnsi="Times New Roman" w:cs="Times New Roman"/>
          <w:sz w:val="22"/>
          <w:szCs w:val="22"/>
          <w:lang w:val="es-ES"/>
        </w:rPr>
        <w:t xml:space="preserve"> con los objetivos y las acciones estratégicas expuestos en la sección 3.1 del PIDS.</w:t>
      </w:r>
    </w:p>
    <w:p w14:paraId="26A8F9F7" w14:textId="3B8A3F04" w:rsidR="00A52779" w:rsidRPr="00512F79" w:rsidRDefault="00A52779" w:rsidP="00CB030B">
      <w:pPr>
        <w:jc w:val="both"/>
        <w:rPr>
          <w:rFonts w:ascii="Times New Roman" w:eastAsia="Calibri" w:hAnsi="Times New Roman" w:cs="Times New Roman"/>
          <w:b/>
          <w:sz w:val="22"/>
          <w:szCs w:val="22"/>
          <w:lang w:val="es-ES"/>
        </w:rPr>
      </w:pPr>
    </w:p>
    <w:p w14:paraId="3E82342D" w14:textId="350B06A6" w:rsidR="00F4728E" w:rsidRPr="00512F79" w:rsidRDefault="00967695">
      <w:pPr>
        <w:ind w:firstLine="720"/>
        <w:jc w:val="both"/>
        <w:rPr>
          <w:rFonts w:ascii="Times New Roman" w:eastAsia="Calibri" w:hAnsi="Times New Roman" w:cs="Times New Roman"/>
          <w:b/>
          <w:sz w:val="22"/>
          <w:szCs w:val="22"/>
          <w:lang w:val="es-ES"/>
        </w:rPr>
      </w:pPr>
      <w:r w:rsidRPr="00512F79">
        <w:rPr>
          <w:rFonts w:ascii="Times New Roman" w:eastAsia="Calibri" w:hAnsi="Times New Roman" w:cs="Times New Roman"/>
          <w:b/>
          <w:sz w:val="22"/>
          <w:szCs w:val="22"/>
          <w:lang w:val="es-ES"/>
        </w:rPr>
        <w:t xml:space="preserve">Gestión del riesgo de </w:t>
      </w:r>
      <w:r w:rsidR="003B2903">
        <w:rPr>
          <w:rFonts w:ascii="Times New Roman" w:eastAsia="Calibri" w:hAnsi="Times New Roman" w:cs="Times New Roman"/>
          <w:b/>
          <w:sz w:val="22"/>
          <w:szCs w:val="22"/>
          <w:lang w:val="es-ES"/>
        </w:rPr>
        <w:t>desastres</w:t>
      </w:r>
      <w:r w:rsidRPr="00512F79">
        <w:rPr>
          <w:rFonts w:ascii="Times New Roman" w:eastAsia="Calibri" w:hAnsi="Times New Roman" w:cs="Times New Roman"/>
          <w:b/>
          <w:sz w:val="22"/>
          <w:szCs w:val="22"/>
          <w:lang w:val="es-ES"/>
        </w:rPr>
        <w:t xml:space="preserve"> y adaptación al cambio climático</w:t>
      </w:r>
    </w:p>
    <w:p w14:paraId="59BB69D1" w14:textId="77777777" w:rsidR="00A52779" w:rsidRPr="00512F79" w:rsidRDefault="00A52779" w:rsidP="00CB030B">
      <w:pPr>
        <w:jc w:val="both"/>
        <w:rPr>
          <w:rFonts w:ascii="Times New Roman" w:eastAsia="Calibri" w:hAnsi="Times New Roman" w:cs="Times New Roman"/>
          <w:sz w:val="22"/>
          <w:szCs w:val="22"/>
          <w:lang w:val="es-ES"/>
        </w:rPr>
      </w:pPr>
    </w:p>
    <w:p w14:paraId="241872E6" w14:textId="14DE2CB7" w:rsidR="00F4728E" w:rsidRPr="00512F79" w:rsidRDefault="00BE1D3F">
      <w:pPr>
        <w:numPr>
          <w:ilvl w:val="0"/>
          <w:numId w:val="12"/>
        </w:numPr>
        <w:ind w:left="1440" w:hanging="720"/>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Se impartió mayor</w:t>
      </w:r>
      <w:r w:rsidR="00446A1A" w:rsidRPr="00446A1A">
        <w:rPr>
          <w:rFonts w:ascii="Times New Roman" w:eastAsia="Calibri" w:hAnsi="Times New Roman" w:cs="Times New Roman"/>
          <w:sz w:val="22"/>
          <w:szCs w:val="22"/>
          <w:lang w:val="es-ES"/>
        </w:rPr>
        <w:t xml:space="preserve"> capacitación en la comprensión del proceso de continuidad empresarial a través de herramientas y técnicas prácticas que las pequeñas empresas turísticas del Caribe pueden utilizar para examinar las áreas que podrían afectar las operaciones. Asistieron a las sesiones de formación de cuatro partes 68 participantes de los trece países participantes en el proyecto, de </w:t>
      </w:r>
      <w:r w:rsidR="00F510F9">
        <w:rPr>
          <w:rFonts w:ascii="Times New Roman" w:eastAsia="Calibri" w:hAnsi="Times New Roman" w:cs="Times New Roman"/>
          <w:sz w:val="22"/>
          <w:szCs w:val="22"/>
          <w:lang w:val="es-ES"/>
        </w:rPr>
        <w:t>los cuales</w:t>
      </w:r>
      <w:r w:rsidR="00446A1A" w:rsidRPr="00446A1A">
        <w:rPr>
          <w:rFonts w:ascii="Times New Roman" w:eastAsia="Calibri" w:hAnsi="Times New Roman" w:cs="Times New Roman"/>
          <w:sz w:val="22"/>
          <w:szCs w:val="22"/>
          <w:lang w:val="es-ES"/>
        </w:rPr>
        <w:t xml:space="preserve"> catorce recibieron certificados de </w:t>
      </w:r>
      <w:r w:rsidR="00344139">
        <w:rPr>
          <w:rFonts w:ascii="Times New Roman" w:eastAsia="Calibri" w:hAnsi="Times New Roman" w:cs="Times New Roman"/>
          <w:sz w:val="22"/>
          <w:szCs w:val="22"/>
          <w:lang w:val="es-ES"/>
        </w:rPr>
        <w:t>culminación</w:t>
      </w:r>
      <w:r w:rsidR="00F510F9">
        <w:rPr>
          <w:rFonts w:ascii="Times New Roman" w:eastAsia="Calibri" w:hAnsi="Times New Roman" w:cs="Times New Roman"/>
          <w:sz w:val="22"/>
          <w:szCs w:val="22"/>
          <w:lang w:val="es-ES"/>
        </w:rPr>
        <w:t xml:space="preserve"> del programa</w:t>
      </w:r>
      <w:r w:rsidR="00446A1A" w:rsidRPr="00446A1A">
        <w:rPr>
          <w:rFonts w:ascii="Times New Roman" w:eastAsia="Calibri" w:hAnsi="Times New Roman" w:cs="Times New Roman"/>
          <w:sz w:val="22"/>
          <w:szCs w:val="22"/>
          <w:lang w:val="es-ES"/>
        </w:rPr>
        <w:t xml:space="preserve"> y 53 </w:t>
      </w:r>
      <w:r w:rsidR="00F510F9">
        <w:rPr>
          <w:rFonts w:ascii="Times New Roman" w:eastAsia="Calibri" w:hAnsi="Times New Roman" w:cs="Times New Roman"/>
          <w:sz w:val="22"/>
          <w:szCs w:val="22"/>
          <w:lang w:val="es-ES"/>
        </w:rPr>
        <w:t xml:space="preserve">recibieron certificados </w:t>
      </w:r>
      <w:r w:rsidR="00446A1A" w:rsidRPr="00446A1A">
        <w:rPr>
          <w:rFonts w:ascii="Times New Roman" w:eastAsia="Calibri" w:hAnsi="Times New Roman" w:cs="Times New Roman"/>
          <w:sz w:val="22"/>
          <w:szCs w:val="22"/>
          <w:lang w:val="es-ES"/>
        </w:rPr>
        <w:t>de participación.</w:t>
      </w:r>
    </w:p>
    <w:p w14:paraId="2F3F8C84" w14:textId="77777777" w:rsidR="00A52779" w:rsidRPr="00512F79" w:rsidRDefault="00A52779" w:rsidP="00CB030B">
      <w:pPr>
        <w:ind w:left="1440" w:hanging="720"/>
        <w:jc w:val="both"/>
        <w:rPr>
          <w:rFonts w:ascii="Times New Roman" w:eastAsia="Calibri" w:hAnsi="Times New Roman" w:cs="Times New Roman"/>
          <w:sz w:val="22"/>
          <w:szCs w:val="22"/>
          <w:lang w:val="es-ES"/>
        </w:rPr>
      </w:pPr>
    </w:p>
    <w:p w14:paraId="54FE08EB" w14:textId="28D873CC" w:rsidR="00A52779" w:rsidRDefault="00F510F9" w:rsidP="00EB4D0D">
      <w:pPr>
        <w:numPr>
          <w:ilvl w:val="0"/>
          <w:numId w:val="12"/>
        </w:numPr>
        <w:ind w:left="1440" w:hanging="720"/>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Se facilitó</w:t>
      </w:r>
      <w:r w:rsidR="00CA7113" w:rsidRPr="00CA7113">
        <w:rPr>
          <w:rFonts w:ascii="Times New Roman" w:eastAsia="Calibri" w:hAnsi="Times New Roman" w:cs="Times New Roman"/>
          <w:sz w:val="22"/>
          <w:szCs w:val="22"/>
          <w:lang w:val="es-ES"/>
        </w:rPr>
        <w:t xml:space="preserve"> la impartición de cursos de formación</w:t>
      </w:r>
      <w:r w:rsidR="00217223">
        <w:rPr>
          <w:rFonts w:ascii="Times New Roman" w:eastAsia="Calibri" w:hAnsi="Times New Roman" w:cs="Times New Roman"/>
          <w:sz w:val="22"/>
          <w:szCs w:val="22"/>
          <w:lang w:val="es-ES"/>
        </w:rPr>
        <w:t xml:space="preserve"> en el Programa de Equipos Comunitarios de Respuesta a Emergencias (</w:t>
      </w:r>
      <w:r w:rsidR="00CA7113" w:rsidRPr="00CA7113">
        <w:rPr>
          <w:rFonts w:ascii="Times New Roman" w:eastAsia="Calibri" w:hAnsi="Times New Roman" w:cs="Times New Roman"/>
          <w:sz w:val="22"/>
          <w:szCs w:val="22"/>
          <w:lang w:val="es-ES"/>
        </w:rPr>
        <w:t>CERT</w:t>
      </w:r>
      <w:r w:rsidR="00217223">
        <w:rPr>
          <w:rFonts w:ascii="Times New Roman" w:eastAsia="Calibri" w:hAnsi="Times New Roman" w:cs="Times New Roman"/>
          <w:sz w:val="22"/>
          <w:szCs w:val="22"/>
          <w:lang w:val="es-ES"/>
        </w:rPr>
        <w:t>, por sus siglas en inglés)</w:t>
      </w:r>
      <w:r w:rsidR="00CA7113" w:rsidRPr="00CA7113">
        <w:rPr>
          <w:rFonts w:ascii="Times New Roman" w:eastAsia="Calibri" w:hAnsi="Times New Roman" w:cs="Times New Roman"/>
          <w:sz w:val="22"/>
          <w:szCs w:val="22"/>
          <w:lang w:val="es-ES"/>
        </w:rPr>
        <w:t xml:space="preserve"> para pequeñas empresas turísticas en comunidades locales de cinco países (Bahamas, Barbados, Beli</w:t>
      </w:r>
      <w:r>
        <w:rPr>
          <w:rFonts w:ascii="Times New Roman" w:eastAsia="Calibri" w:hAnsi="Times New Roman" w:cs="Times New Roman"/>
          <w:sz w:val="22"/>
          <w:szCs w:val="22"/>
          <w:lang w:val="es-ES"/>
        </w:rPr>
        <w:t>z</w:t>
      </w:r>
      <w:r w:rsidR="00CA7113" w:rsidRPr="00CA7113">
        <w:rPr>
          <w:rFonts w:ascii="Times New Roman" w:eastAsia="Calibri" w:hAnsi="Times New Roman" w:cs="Times New Roman"/>
          <w:sz w:val="22"/>
          <w:szCs w:val="22"/>
          <w:lang w:val="es-ES"/>
        </w:rPr>
        <w:t xml:space="preserve">e, Jamaica y Santa Lucía) a través de las </w:t>
      </w:r>
      <w:r>
        <w:rPr>
          <w:rFonts w:ascii="Times New Roman" w:eastAsia="Calibri" w:hAnsi="Times New Roman" w:cs="Times New Roman"/>
          <w:sz w:val="22"/>
          <w:szCs w:val="22"/>
          <w:lang w:val="es-ES"/>
        </w:rPr>
        <w:t>a</w:t>
      </w:r>
      <w:r w:rsidR="00CA7113" w:rsidRPr="00CA7113">
        <w:rPr>
          <w:rFonts w:ascii="Times New Roman" w:eastAsia="Calibri" w:hAnsi="Times New Roman" w:cs="Times New Roman"/>
          <w:sz w:val="22"/>
          <w:szCs w:val="22"/>
          <w:lang w:val="es-ES"/>
        </w:rPr>
        <w:t xml:space="preserve">gencias de </w:t>
      </w:r>
      <w:r>
        <w:rPr>
          <w:rFonts w:ascii="Times New Roman" w:eastAsia="Calibri" w:hAnsi="Times New Roman" w:cs="Times New Roman"/>
          <w:sz w:val="22"/>
          <w:szCs w:val="22"/>
          <w:lang w:val="es-ES"/>
        </w:rPr>
        <w:t>g</w:t>
      </w:r>
      <w:r w:rsidR="00CA7113" w:rsidRPr="00CA7113">
        <w:rPr>
          <w:rFonts w:ascii="Times New Roman" w:eastAsia="Calibri" w:hAnsi="Times New Roman" w:cs="Times New Roman"/>
          <w:sz w:val="22"/>
          <w:szCs w:val="22"/>
          <w:lang w:val="es-ES"/>
        </w:rPr>
        <w:t xml:space="preserve">estión de </w:t>
      </w:r>
      <w:r>
        <w:rPr>
          <w:rFonts w:ascii="Times New Roman" w:eastAsia="Calibri" w:hAnsi="Times New Roman" w:cs="Times New Roman"/>
          <w:sz w:val="22"/>
          <w:szCs w:val="22"/>
          <w:lang w:val="es-ES"/>
        </w:rPr>
        <w:t>e</w:t>
      </w:r>
      <w:r w:rsidR="00CA7113" w:rsidRPr="00CA7113">
        <w:rPr>
          <w:rFonts w:ascii="Times New Roman" w:eastAsia="Calibri" w:hAnsi="Times New Roman" w:cs="Times New Roman"/>
          <w:sz w:val="22"/>
          <w:szCs w:val="22"/>
          <w:lang w:val="es-ES"/>
        </w:rPr>
        <w:t>mergencias y los Ministerios de Turismo. Más de 120 personas recibieron formación y se certificaron</w:t>
      </w:r>
      <w:r w:rsidR="00CA7113">
        <w:rPr>
          <w:rFonts w:ascii="Times New Roman" w:eastAsia="Calibri" w:hAnsi="Times New Roman" w:cs="Times New Roman"/>
          <w:sz w:val="22"/>
          <w:szCs w:val="22"/>
          <w:lang w:val="es-ES"/>
        </w:rPr>
        <w:t xml:space="preserve"> </w:t>
      </w:r>
      <w:r w:rsidR="00967695" w:rsidRPr="00430F33">
        <w:rPr>
          <w:rFonts w:ascii="Times New Roman" w:eastAsia="Calibri" w:hAnsi="Times New Roman" w:cs="Times New Roman"/>
          <w:sz w:val="22"/>
          <w:szCs w:val="22"/>
          <w:lang w:val="es-ES"/>
        </w:rPr>
        <w:t xml:space="preserve">en competencias básicas de CERT en el marco del proyecto </w:t>
      </w:r>
      <w:r>
        <w:rPr>
          <w:rFonts w:ascii="Times New Roman" w:eastAsia="Calibri" w:hAnsi="Times New Roman" w:cs="Times New Roman"/>
          <w:sz w:val="22"/>
          <w:szCs w:val="22"/>
          <w:lang w:val="es-ES"/>
        </w:rPr>
        <w:t>“</w:t>
      </w:r>
      <w:r w:rsidR="00C36D3A">
        <w:rPr>
          <w:rFonts w:ascii="Times New Roman" w:hAnsi="Times New Roman" w:cs="Times New Roman"/>
          <w:b/>
          <w:bCs/>
          <w:sz w:val="22"/>
          <w:szCs w:val="22"/>
          <w:lang w:val="es-US"/>
        </w:rPr>
        <w:t>Fortalecimiento de</w:t>
      </w:r>
      <w:r w:rsidR="00430F33" w:rsidRPr="00F510F9">
        <w:rPr>
          <w:rFonts w:ascii="Times New Roman" w:hAnsi="Times New Roman" w:cs="Times New Roman"/>
          <w:b/>
          <w:bCs/>
          <w:sz w:val="22"/>
          <w:szCs w:val="22"/>
          <w:lang w:val="es-US"/>
        </w:rPr>
        <w:t xml:space="preserve"> la resiliencia de las pequeñas empresas turísticas en el Caribe ante desastres”</w:t>
      </w:r>
      <w:r w:rsidR="00430F33" w:rsidRPr="00430F33">
        <w:rPr>
          <w:rFonts w:ascii="Times New Roman" w:hAnsi="Times New Roman" w:cs="Times New Roman"/>
          <w:sz w:val="22"/>
          <w:szCs w:val="22"/>
          <w:lang w:val="es-US"/>
        </w:rPr>
        <w:t>.</w:t>
      </w:r>
      <w:r w:rsidR="00375489" w:rsidRPr="00430F33">
        <w:rPr>
          <w:rFonts w:ascii="Times New Roman" w:eastAsia="Calibri" w:hAnsi="Times New Roman" w:cs="Times New Roman"/>
          <w:sz w:val="22"/>
          <w:szCs w:val="22"/>
          <w:lang w:val="es-ES"/>
        </w:rPr>
        <w:t xml:space="preserve"> </w:t>
      </w:r>
    </w:p>
    <w:p w14:paraId="2FF22525" w14:textId="77777777" w:rsidR="00F510F9" w:rsidRDefault="00F510F9" w:rsidP="00F510F9">
      <w:pPr>
        <w:pStyle w:val="ListParagraph"/>
        <w:rPr>
          <w:sz w:val="22"/>
          <w:szCs w:val="22"/>
          <w:lang w:val="es-ES"/>
        </w:rPr>
      </w:pPr>
    </w:p>
    <w:p w14:paraId="6E72341E" w14:textId="7D19FD38" w:rsidR="00F4728E" w:rsidRPr="00512F79" w:rsidRDefault="001D58C9">
      <w:pPr>
        <w:numPr>
          <w:ilvl w:val="0"/>
          <w:numId w:val="12"/>
        </w:numPr>
        <w:ind w:left="1440" w:hanging="720"/>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Se p</w:t>
      </w:r>
      <w:r w:rsidR="00967695" w:rsidRPr="00512F79">
        <w:rPr>
          <w:rFonts w:ascii="Times New Roman" w:eastAsia="Calibri" w:hAnsi="Times New Roman" w:cs="Times New Roman"/>
          <w:sz w:val="22"/>
          <w:szCs w:val="22"/>
          <w:lang w:val="es-ES"/>
        </w:rPr>
        <w:t>resentó un Foro Político de Alto Nivel en persona organizado por el Ministerio de Turismo de Jamaica</w:t>
      </w:r>
      <w:r>
        <w:rPr>
          <w:rFonts w:ascii="Times New Roman" w:eastAsia="Calibri" w:hAnsi="Times New Roman" w:cs="Times New Roman"/>
          <w:sz w:val="22"/>
          <w:szCs w:val="22"/>
          <w:lang w:val="es-ES"/>
        </w:rPr>
        <w:t xml:space="preserve"> </w:t>
      </w:r>
      <w:r w:rsidR="00547469" w:rsidRPr="00547469">
        <w:rPr>
          <w:rFonts w:ascii="Times New Roman" w:eastAsia="Calibri" w:hAnsi="Times New Roman" w:cs="Times New Roman"/>
          <w:sz w:val="22"/>
          <w:szCs w:val="22"/>
          <w:lang w:val="es-ES"/>
        </w:rPr>
        <w:t xml:space="preserve">en el que se contó con </w:t>
      </w:r>
      <w:r w:rsidR="00F510F9">
        <w:rPr>
          <w:rFonts w:ascii="Times New Roman" w:eastAsia="Calibri" w:hAnsi="Times New Roman" w:cs="Times New Roman"/>
          <w:sz w:val="22"/>
          <w:szCs w:val="22"/>
          <w:lang w:val="es-ES"/>
        </w:rPr>
        <w:t xml:space="preserve">la </w:t>
      </w:r>
      <w:r w:rsidR="00547469" w:rsidRPr="00547469">
        <w:rPr>
          <w:rFonts w:ascii="Times New Roman" w:eastAsia="Calibri" w:hAnsi="Times New Roman" w:cs="Times New Roman"/>
          <w:sz w:val="22"/>
          <w:szCs w:val="22"/>
          <w:lang w:val="es-ES"/>
        </w:rPr>
        <w:t xml:space="preserve">asistencia de los trece países participantes en el proyecto para la validación de las conclusiones y recomendaciones de </w:t>
      </w:r>
      <w:r w:rsidR="00F169F1">
        <w:rPr>
          <w:rFonts w:ascii="Times New Roman" w:eastAsia="Calibri" w:hAnsi="Times New Roman" w:cs="Times New Roman"/>
          <w:sz w:val="22"/>
          <w:szCs w:val="22"/>
          <w:lang w:val="es-ES"/>
        </w:rPr>
        <w:t>un estudio</w:t>
      </w:r>
      <w:r w:rsidR="00547469" w:rsidRPr="00547469">
        <w:rPr>
          <w:rFonts w:ascii="Times New Roman" w:eastAsia="Calibri" w:hAnsi="Times New Roman" w:cs="Times New Roman"/>
          <w:sz w:val="22"/>
          <w:szCs w:val="22"/>
          <w:lang w:val="es-ES"/>
        </w:rPr>
        <w:t xml:space="preserve"> de evaluación integral de más de 600 pequeñas empresas turísticas, la validación de los retos para la continuidad empresarial de las pequeñas empresas turísticas tras un desastre y la validación de los procedimientos para la</w:t>
      </w:r>
      <w:r w:rsidR="00800772">
        <w:rPr>
          <w:rFonts w:ascii="Times New Roman" w:eastAsia="Calibri" w:hAnsi="Times New Roman" w:cs="Times New Roman"/>
          <w:sz w:val="22"/>
          <w:szCs w:val="22"/>
          <w:lang w:val="es-ES"/>
        </w:rPr>
        <w:t xml:space="preserve"> comunicación de </w:t>
      </w:r>
      <w:r w:rsidR="00547469" w:rsidRPr="00547469">
        <w:rPr>
          <w:rFonts w:ascii="Times New Roman" w:eastAsia="Calibri" w:hAnsi="Times New Roman" w:cs="Times New Roman"/>
          <w:sz w:val="22"/>
          <w:szCs w:val="22"/>
          <w:lang w:val="es-ES"/>
        </w:rPr>
        <w:t xml:space="preserve">crisis y la planificación de la continuidad empresarial. </w:t>
      </w:r>
    </w:p>
    <w:p w14:paraId="1A4624E1" w14:textId="77777777" w:rsidR="00A52779" w:rsidRPr="00512F79" w:rsidRDefault="00A52779" w:rsidP="00CB030B">
      <w:pPr>
        <w:ind w:left="1440" w:hanging="720"/>
        <w:jc w:val="both"/>
        <w:rPr>
          <w:rFonts w:ascii="Times New Roman" w:eastAsia="Calibri" w:hAnsi="Times New Roman" w:cs="Times New Roman"/>
          <w:sz w:val="22"/>
          <w:szCs w:val="22"/>
          <w:lang w:val="es-ES"/>
        </w:rPr>
      </w:pPr>
    </w:p>
    <w:p w14:paraId="2E464F65" w14:textId="38B572D3" w:rsidR="00F4728E" w:rsidRPr="00512F79" w:rsidRDefault="00514695">
      <w:pPr>
        <w:numPr>
          <w:ilvl w:val="0"/>
          <w:numId w:val="12"/>
        </w:numPr>
        <w:ind w:left="1440" w:hanging="720"/>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Se apoyó</w:t>
      </w:r>
      <w:r w:rsidR="00967695" w:rsidRPr="00512F79">
        <w:rPr>
          <w:rFonts w:ascii="Times New Roman" w:eastAsia="Calibri" w:hAnsi="Times New Roman" w:cs="Times New Roman"/>
          <w:sz w:val="22"/>
          <w:szCs w:val="22"/>
          <w:lang w:val="es-ES"/>
        </w:rPr>
        <w:t xml:space="preserve"> la coordinación y organización de una conferencia de alto nivel sobre la sensibilización y la comprensión de cómo la ciencia y los datos pueden </w:t>
      </w:r>
      <w:r>
        <w:rPr>
          <w:rFonts w:ascii="Times New Roman" w:eastAsia="Calibri" w:hAnsi="Times New Roman" w:cs="Times New Roman"/>
          <w:sz w:val="22"/>
          <w:szCs w:val="22"/>
          <w:lang w:val="es-ES"/>
        </w:rPr>
        <w:t>influir en</w:t>
      </w:r>
      <w:r w:rsidR="00967695" w:rsidRPr="00512F79">
        <w:rPr>
          <w:rFonts w:ascii="Times New Roman" w:eastAsia="Calibri" w:hAnsi="Times New Roman" w:cs="Times New Roman"/>
          <w:sz w:val="22"/>
          <w:szCs w:val="22"/>
          <w:lang w:val="es-ES"/>
        </w:rPr>
        <w:t xml:space="preserve"> las políticas para aumentar la resiliencia y la gestión del riesgo de desastres en el Caribe. Nueve países </w:t>
      </w:r>
      <w:r w:rsidR="00A47F5B">
        <w:rPr>
          <w:rFonts w:ascii="Times New Roman" w:eastAsia="Calibri" w:hAnsi="Times New Roman" w:cs="Times New Roman"/>
          <w:sz w:val="22"/>
          <w:szCs w:val="22"/>
          <w:lang w:val="es-ES"/>
        </w:rPr>
        <w:t>del Caribe</w:t>
      </w:r>
      <w:r w:rsidR="00967695" w:rsidRPr="00512F79">
        <w:rPr>
          <w:rFonts w:ascii="Times New Roman" w:eastAsia="Calibri" w:hAnsi="Times New Roman" w:cs="Times New Roman"/>
          <w:sz w:val="22"/>
          <w:szCs w:val="22"/>
          <w:lang w:val="es-ES"/>
        </w:rPr>
        <w:t xml:space="preserve"> (Bahamas, Barbados, Beli</w:t>
      </w:r>
      <w:r>
        <w:rPr>
          <w:rFonts w:ascii="Times New Roman" w:eastAsia="Calibri" w:hAnsi="Times New Roman" w:cs="Times New Roman"/>
          <w:sz w:val="22"/>
          <w:szCs w:val="22"/>
          <w:lang w:val="es-ES"/>
        </w:rPr>
        <w:t>z</w:t>
      </w:r>
      <w:r w:rsidR="00967695" w:rsidRPr="00512F79">
        <w:rPr>
          <w:rFonts w:ascii="Times New Roman" w:eastAsia="Calibri" w:hAnsi="Times New Roman" w:cs="Times New Roman"/>
          <w:sz w:val="22"/>
          <w:szCs w:val="22"/>
          <w:lang w:val="es-ES"/>
        </w:rPr>
        <w:t>e, Dominica, Jamaica, Santa Lucía, Surinam</w:t>
      </w:r>
      <w:r>
        <w:rPr>
          <w:rFonts w:ascii="Times New Roman" w:eastAsia="Calibri" w:hAnsi="Times New Roman" w:cs="Times New Roman"/>
          <w:sz w:val="22"/>
          <w:szCs w:val="22"/>
          <w:lang w:val="es-ES"/>
        </w:rPr>
        <w:t>e</w:t>
      </w:r>
      <w:r w:rsidR="00967695" w:rsidRPr="00512F79">
        <w:rPr>
          <w:rFonts w:ascii="Times New Roman" w:eastAsia="Calibri" w:hAnsi="Times New Roman" w:cs="Times New Roman"/>
          <w:sz w:val="22"/>
          <w:szCs w:val="22"/>
          <w:lang w:val="es-ES"/>
        </w:rPr>
        <w:t xml:space="preserve"> y Trinidad y Tobago) participaron en el evento presencial organizado por el </w:t>
      </w:r>
      <w:r>
        <w:rPr>
          <w:rFonts w:ascii="Times New Roman" w:eastAsia="Calibri" w:hAnsi="Times New Roman" w:cs="Times New Roman"/>
          <w:sz w:val="22"/>
          <w:szCs w:val="22"/>
          <w:lang w:val="es-ES"/>
        </w:rPr>
        <w:t>G</w:t>
      </w:r>
      <w:r w:rsidR="00967695" w:rsidRPr="00512F79">
        <w:rPr>
          <w:rFonts w:ascii="Times New Roman" w:eastAsia="Calibri" w:hAnsi="Times New Roman" w:cs="Times New Roman"/>
          <w:sz w:val="22"/>
          <w:szCs w:val="22"/>
          <w:lang w:val="es-ES"/>
        </w:rPr>
        <w:t xml:space="preserve">obierno de Dominica. </w:t>
      </w:r>
    </w:p>
    <w:p w14:paraId="29037E68" w14:textId="77777777" w:rsidR="00A52779" w:rsidRPr="00512F79" w:rsidRDefault="00A52779" w:rsidP="00CB030B">
      <w:pPr>
        <w:ind w:left="1440" w:hanging="720"/>
        <w:jc w:val="both"/>
        <w:rPr>
          <w:rFonts w:ascii="Times New Roman" w:eastAsia="Calibri" w:hAnsi="Times New Roman" w:cs="Times New Roman"/>
          <w:sz w:val="22"/>
          <w:szCs w:val="22"/>
          <w:lang w:val="es-ES"/>
        </w:rPr>
      </w:pPr>
    </w:p>
    <w:p w14:paraId="5A60B021" w14:textId="5995F03D" w:rsidR="00F4728E" w:rsidRPr="00512F79" w:rsidRDefault="00967695">
      <w:pPr>
        <w:numPr>
          <w:ilvl w:val="0"/>
          <w:numId w:val="12"/>
        </w:numPr>
        <w:ind w:left="1440" w:hanging="720"/>
        <w:jc w:val="both"/>
        <w:rPr>
          <w:rFonts w:ascii="Times New Roman" w:eastAsia="Calibri" w:hAnsi="Times New Roman" w:cs="Times New Roman"/>
          <w:sz w:val="22"/>
          <w:szCs w:val="22"/>
          <w:lang w:val="es-ES"/>
        </w:rPr>
      </w:pPr>
      <w:r w:rsidRPr="00512F79">
        <w:rPr>
          <w:rFonts w:ascii="Times New Roman" w:eastAsia="Calibri" w:hAnsi="Times New Roman" w:cs="Times New Roman"/>
          <w:sz w:val="22"/>
          <w:szCs w:val="22"/>
          <w:lang w:val="es-ES"/>
        </w:rPr>
        <w:t xml:space="preserve">En colaboración con la Universidad de las Indias Occidentales, </w:t>
      </w:r>
      <w:r w:rsidR="00514695">
        <w:rPr>
          <w:rFonts w:ascii="Times New Roman" w:eastAsia="Calibri" w:hAnsi="Times New Roman" w:cs="Times New Roman"/>
          <w:sz w:val="22"/>
          <w:szCs w:val="22"/>
          <w:lang w:val="es-ES"/>
        </w:rPr>
        <w:t>se elaboraron</w:t>
      </w:r>
      <w:r w:rsidRPr="00512F79">
        <w:rPr>
          <w:rFonts w:ascii="Times New Roman" w:eastAsia="Calibri" w:hAnsi="Times New Roman" w:cs="Times New Roman"/>
          <w:sz w:val="22"/>
          <w:szCs w:val="22"/>
          <w:lang w:val="es-ES"/>
        </w:rPr>
        <w:t xml:space="preserve"> Directrices de procedimiento para la comunicación de crisis con el fin de ayudar a las pequeñas empresas turísticas del Caribe a </w:t>
      </w:r>
      <w:r w:rsidR="00514695">
        <w:rPr>
          <w:rFonts w:ascii="Times New Roman" w:eastAsia="Calibri" w:hAnsi="Times New Roman" w:cs="Times New Roman"/>
          <w:sz w:val="22"/>
          <w:szCs w:val="22"/>
          <w:lang w:val="es-ES"/>
        </w:rPr>
        <w:t>determinar</w:t>
      </w:r>
      <w:r w:rsidRPr="00512F79">
        <w:rPr>
          <w:rFonts w:ascii="Times New Roman" w:eastAsia="Calibri" w:hAnsi="Times New Roman" w:cs="Times New Roman"/>
          <w:sz w:val="22"/>
          <w:szCs w:val="22"/>
          <w:lang w:val="es-ES"/>
        </w:rPr>
        <w:t xml:space="preserve"> posibles crisis y aplicar estrategias de planificación, gestión y respuesta para recuperarse rápidamente durante y después de </w:t>
      </w:r>
      <w:r w:rsidR="004A6AC8">
        <w:rPr>
          <w:rFonts w:ascii="Times New Roman" w:eastAsia="Calibri" w:hAnsi="Times New Roman" w:cs="Times New Roman"/>
          <w:sz w:val="22"/>
          <w:szCs w:val="22"/>
          <w:lang w:val="es-ES"/>
        </w:rPr>
        <w:t>un desastre</w:t>
      </w:r>
      <w:r w:rsidRPr="00512F79">
        <w:rPr>
          <w:rFonts w:ascii="Times New Roman" w:eastAsia="Calibri" w:hAnsi="Times New Roman" w:cs="Times New Roman"/>
          <w:sz w:val="22"/>
          <w:szCs w:val="22"/>
          <w:lang w:val="es-ES"/>
        </w:rPr>
        <w:t xml:space="preserve">. Las directrices de procedimiento se </w:t>
      </w:r>
      <w:r w:rsidR="000F3ACC" w:rsidRPr="00512F79">
        <w:rPr>
          <w:rFonts w:ascii="Times New Roman" w:eastAsia="Calibri" w:hAnsi="Times New Roman" w:cs="Times New Roman"/>
          <w:sz w:val="22"/>
          <w:szCs w:val="22"/>
          <w:lang w:val="es-ES"/>
        </w:rPr>
        <w:t xml:space="preserve">han </w:t>
      </w:r>
      <w:r w:rsidRPr="00512F79">
        <w:rPr>
          <w:rFonts w:ascii="Times New Roman" w:eastAsia="Calibri" w:hAnsi="Times New Roman" w:cs="Times New Roman"/>
          <w:sz w:val="22"/>
          <w:szCs w:val="22"/>
          <w:lang w:val="es-ES"/>
        </w:rPr>
        <w:t>difundido entre más de 600 interesados.</w:t>
      </w:r>
    </w:p>
    <w:p w14:paraId="779A5A47" w14:textId="77863C4B" w:rsidR="00156BC2" w:rsidRPr="00512F79" w:rsidRDefault="00156BC2" w:rsidP="00CB030B">
      <w:pPr>
        <w:ind w:left="1440" w:hanging="720"/>
        <w:jc w:val="both"/>
        <w:rPr>
          <w:rFonts w:ascii="Times New Roman" w:eastAsia="Calibri" w:hAnsi="Times New Roman" w:cs="Times New Roman"/>
          <w:sz w:val="22"/>
          <w:szCs w:val="22"/>
          <w:lang w:val="es-ES"/>
        </w:rPr>
      </w:pPr>
    </w:p>
    <w:p w14:paraId="58989AD4" w14:textId="4E745AA0" w:rsidR="00A47F5B" w:rsidRPr="00A47F5B" w:rsidRDefault="00514695" w:rsidP="002D337E">
      <w:pPr>
        <w:numPr>
          <w:ilvl w:val="0"/>
          <w:numId w:val="12"/>
        </w:numPr>
        <w:ind w:left="1440" w:hanging="720"/>
        <w:jc w:val="both"/>
        <w:rPr>
          <w:sz w:val="22"/>
          <w:szCs w:val="22"/>
          <w:lang w:val="es-ES"/>
        </w:rPr>
      </w:pPr>
      <w:bookmarkStart w:id="6" w:name="_Hlk118914990"/>
      <w:r w:rsidRPr="00A47F5B">
        <w:rPr>
          <w:rFonts w:ascii="Times New Roman" w:eastAsia="Calibri" w:hAnsi="Times New Roman" w:cs="Times New Roman"/>
          <w:sz w:val="22"/>
          <w:szCs w:val="22"/>
          <w:lang w:val="es-ES"/>
        </w:rPr>
        <w:t xml:space="preserve">Se impartió formación </w:t>
      </w:r>
      <w:r w:rsidR="002C423D" w:rsidRPr="00A47F5B">
        <w:rPr>
          <w:rFonts w:ascii="Times New Roman" w:eastAsia="Calibri" w:hAnsi="Times New Roman" w:cs="Times New Roman"/>
          <w:sz w:val="22"/>
          <w:szCs w:val="22"/>
          <w:lang w:val="es-ES"/>
        </w:rPr>
        <w:t xml:space="preserve">en </w:t>
      </w:r>
      <w:r w:rsidR="00967765" w:rsidRPr="00A47F5B">
        <w:rPr>
          <w:rFonts w:ascii="Times New Roman" w:eastAsia="Calibri" w:hAnsi="Times New Roman" w:cs="Times New Roman"/>
          <w:sz w:val="22"/>
          <w:szCs w:val="22"/>
          <w:lang w:val="es-ES"/>
        </w:rPr>
        <w:t>el programa CERT (</w:t>
      </w:r>
      <w:r w:rsidR="00460E58">
        <w:rPr>
          <w:rFonts w:ascii="Times New Roman" w:eastAsia="Calibri" w:hAnsi="Times New Roman" w:cs="Times New Roman"/>
          <w:sz w:val="22"/>
          <w:szCs w:val="22"/>
          <w:lang w:val="es-ES"/>
        </w:rPr>
        <w:t xml:space="preserve">Programa de </w:t>
      </w:r>
      <w:r w:rsidR="00C6239D" w:rsidRPr="00A47F5B">
        <w:rPr>
          <w:rFonts w:ascii="Times New Roman" w:eastAsia="Calibri" w:hAnsi="Times New Roman" w:cs="Times New Roman"/>
          <w:sz w:val="22"/>
          <w:szCs w:val="22"/>
          <w:lang w:val="es-ES"/>
        </w:rPr>
        <w:t>Equipo</w:t>
      </w:r>
      <w:r w:rsidR="00460E58">
        <w:rPr>
          <w:rFonts w:ascii="Times New Roman" w:eastAsia="Calibri" w:hAnsi="Times New Roman" w:cs="Times New Roman"/>
          <w:sz w:val="22"/>
          <w:szCs w:val="22"/>
          <w:lang w:val="es-ES"/>
        </w:rPr>
        <w:t>s</w:t>
      </w:r>
      <w:r w:rsidR="00C6239D" w:rsidRPr="00A47F5B">
        <w:rPr>
          <w:rFonts w:ascii="Times New Roman" w:eastAsia="Calibri" w:hAnsi="Times New Roman" w:cs="Times New Roman"/>
          <w:sz w:val="22"/>
          <w:szCs w:val="22"/>
          <w:lang w:val="es-ES"/>
        </w:rPr>
        <w:t xml:space="preserve"> </w:t>
      </w:r>
      <w:r w:rsidR="00460E58">
        <w:rPr>
          <w:rFonts w:ascii="Times New Roman" w:eastAsia="Calibri" w:hAnsi="Times New Roman" w:cs="Times New Roman"/>
          <w:sz w:val="22"/>
          <w:szCs w:val="22"/>
          <w:lang w:val="es-ES"/>
        </w:rPr>
        <w:t xml:space="preserve">Comunitarios de </w:t>
      </w:r>
      <w:r w:rsidR="002C423D" w:rsidRPr="00A47F5B">
        <w:rPr>
          <w:rFonts w:ascii="Times New Roman" w:eastAsia="Calibri" w:hAnsi="Times New Roman" w:cs="Times New Roman"/>
          <w:sz w:val="22"/>
          <w:szCs w:val="22"/>
          <w:lang w:val="es-ES"/>
        </w:rPr>
        <w:t>Respuesta a Emergencias</w:t>
      </w:r>
      <w:r w:rsidR="00967765" w:rsidRPr="00A47F5B">
        <w:rPr>
          <w:rFonts w:ascii="Times New Roman" w:eastAsia="Calibri" w:hAnsi="Times New Roman" w:cs="Times New Roman"/>
          <w:sz w:val="22"/>
          <w:szCs w:val="22"/>
          <w:lang w:val="es-ES"/>
        </w:rPr>
        <w:t>)</w:t>
      </w:r>
      <w:r w:rsidR="00967695" w:rsidRPr="00A47F5B">
        <w:rPr>
          <w:rFonts w:ascii="Times New Roman" w:eastAsia="Calibri" w:hAnsi="Times New Roman" w:cs="Times New Roman"/>
          <w:sz w:val="22"/>
          <w:szCs w:val="22"/>
          <w:lang w:val="es-ES"/>
        </w:rPr>
        <w:t xml:space="preserve"> en la </w:t>
      </w:r>
      <w:r w:rsidR="002C423D" w:rsidRPr="00A47F5B">
        <w:rPr>
          <w:rFonts w:ascii="Times New Roman" w:eastAsia="Calibri" w:hAnsi="Times New Roman" w:cs="Times New Roman"/>
          <w:sz w:val="22"/>
          <w:szCs w:val="22"/>
          <w:lang w:val="es-ES"/>
        </w:rPr>
        <w:t>r</w:t>
      </w:r>
      <w:r w:rsidR="00967695" w:rsidRPr="00A47F5B">
        <w:rPr>
          <w:rFonts w:ascii="Times New Roman" w:eastAsia="Calibri" w:hAnsi="Times New Roman" w:cs="Times New Roman"/>
          <w:sz w:val="22"/>
          <w:szCs w:val="22"/>
          <w:lang w:val="es-ES"/>
        </w:rPr>
        <w:t xml:space="preserve">egión Trifinio (Honduras). </w:t>
      </w:r>
      <w:r w:rsidR="00967765" w:rsidRPr="00A47F5B">
        <w:rPr>
          <w:rFonts w:ascii="Times New Roman" w:eastAsia="Calibri" w:hAnsi="Times New Roman" w:cs="Times New Roman"/>
          <w:sz w:val="22"/>
          <w:szCs w:val="22"/>
          <w:lang w:val="es-ES"/>
        </w:rPr>
        <w:t>Este curso de formación f</w:t>
      </w:r>
      <w:r w:rsidR="00967695" w:rsidRPr="00A47F5B">
        <w:rPr>
          <w:rFonts w:ascii="Times New Roman" w:eastAsia="Calibri" w:hAnsi="Times New Roman" w:cs="Times New Roman"/>
          <w:sz w:val="22"/>
          <w:szCs w:val="22"/>
          <w:lang w:val="es-ES"/>
        </w:rPr>
        <w:t xml:space="preserve">ortaleció la capacidad de las comunidades del Plan Trifinio (El Salvador, </w:t>
      </w:r>
      <w:r w:rsidR="000F3ACC" w:rsidRPr="00A47F5B">
        <w:rPr>
          <w:rFonts w:ascii="Times New Roman" w:eastAsia="Calibri" w:hAnsi="Times New Roman" w:cs="Times New Roman"/>
          <w:sz w:val="22"/>
          <w:szCs w:val="22"/>
          <w:lang w:val="es-ES"/>
        </w:rPr>
        <w:t xml:space="preserve">Honduras </w:t>
      </w:r>
      <w:r w:rsidR="00967695" w:rsidRPr="00A47F5B">
        <w:rPr>
          <w:rFonts w:ascii="Times New Roman" w:eastAsia="Calibri" w:hAnsi="Times New Roman" w:cs="Times New Roman"/>
          <w:sz w:val="22"/>
          <w:szCs w:val="22"/>
          <w:lang w:val="es-ES"/>
        </w:rPr>
        <w:t>y Guatemala) para que</w:t>
      </w:r>
      <w:r w:rsidR="004A6AC8" w:rsidRPr="00A47F5B">
        <w:rPr>
          <w:rFonts w:ascii="Times New Roman" w:eastAsia="Calibri" w:hAnsi="Times New Roman" w:cs="Times New Roman"/>
          <w:sz w:val="22"/>
          <w:szCs w:val="22"/>
          <w:lang w:val="es-ES"/>
        </w:rPr>
        <w:t>,</w:t>
      </w:r>
      <w:r w:rsidR="00967695" w:rsidRPr="00A47F5B">
        <w:rPr>
          <w:rFonts w:ascii="Times New Roman" w:eastAsia="Calibri" w:hAnsi="Times New Roman" w:cs="Times New Roman"/>
          <w:sz w:val="22"/>
          <w:szCs w:val="22"/>
          <w:lang w:val="es-ES"/>
        </w:rPr>
        <w:t xml:space="preserve"> con sus propios medios y recursos</w:t>
      </w:r>
      <w:r w:rsidR="004A6AC8" w:rsidRPr="00A47F5B">
        <w:rPr>
          <w:rFonts w:ascii="Times New Roman" w:eastAsia="Calibri" w:hAnsi="Times New Roman" w:cs="Times New Roman"/>
          <w:sz w:val="22"/>
          <w:szCs w:val="22"/>
          <w:lang w:val="es-ES"/>
        </w:rPr>
        <w:t>,</w:t>
      </w:r>
      <w:r w:rsidR="00967695" w:rsidRPr="00A47F5B">
        <w:rPr>
          <w:rFonts w:ascii="Times New Roman" w:eastAsia="Calibri" w:hAnsi="Times New Roman" w:cs="Times New Roman"/>
          <w:sz w:val="22"/>
          <w:szCs w:val="22"/>
          <w:lang w:val="es-ES"/>
        </w:rPr>
        <w:t xml:space="preserve"> puedan enfrentar una emergencia o desastre antes de la llegada de los equipos profesionales. </w:t>
      </w:r>
      <w:r w:rsidRPr="00A47F5B">
        <w:rPr>
          <w:rFonts w:ascii="Times New Roman" w:eastAsia="Calibri" w:hAnsi="Times New Roman" w:cs="Times New Roman"/>
          <w:sz w:val="22"/>
          <w:szCs w:val="22"/>
          <w:lang w:val="es-ES"/>
        </w:rPr>
        <w:t>En el marco de CERT se capacitó y certificó a 40 miembros comunitarios de catorce instituciones municipales, quienes ahora son agentes multiplicadores del programa</w:t>
      </w:r>
      <w:r w:rsidR="00A47F5B" w:rsidRPr="00A47F5B">
        <w:rPr>
          <w:rFonts w:ascii="Times New Roman" w:eastAsia="Calibri" w:hAnsi="Times New Roman" w:cs="Times New Roman"/>
          <w:sz w:val="22"/>
          <w:szCs w:val="22"/>
          <w:lang w:val="es-ES"/>
        </w:rPr>
        <w:t xml:space="preserve"> y prestan apoyo a organizaciones públicas y privadas </w:t>
      </w:r>
      <w:r w:rsidR="00A47F5B">
        <w:rPr>
          <w:rFonts w:ascii="Times New Roman" w:eastAsia="Calibri" w:hAnsi="Times New Roman" w:cs="Times New Roman"/>
          <w:sz w:val="22"/>
          <w:szCs w:val="22"/>
          <w:lang w:val="es-ES"/>
        </w:rPr>
        <w:t>sobre</w:t>
      </w:r>
      <w:r w:rsidRPr="00A47F5B">
        <w:rPr>
          <w:rFonts w:ascii="Times New Roman" w:eastAsia="Calibri" w:hAnsi="Times New Roman" w:cs="Times New Roman"/>
          <w:sz w:val="22"/>
          <w:szCs w:val="22"/>
          <w:lang w:val="es-ES"/>
        </w:rPr>
        <w:t xml:space="preserve"> actividades preventivas y de respuesta de </w:t>
      </w:r>
      <w:r w:rsidR="00967765" w:rsidRPr="00A47F5B">
        <w:rPr>
          <w:rFonts w:ascii="Times New Roman" w:eastAsia="Calibri" w:hAnsi="Times New Roman" w:cs="Times New Roman"/>
          <w:sz w:val="22"/>
          <w:szCs w:val="22"/>
          <w:lang w:val="es-ES"/>
        </w:rPr>
        <w:t>g</w:t>
      </w:r>
      <w:r w:rsidRPr="00A47F5B">
        <w:rPr>
          <w:rFonts w:ascii="Times New Roman" w:eastAsia="Calibri" w:hAnsi="Times New Roman" w:cs="Times New Roman"/>
          <w:sz w:val="22"/>
          <w:szCs w:val="22"/>
          <w:lang w:val="es-ES"/>
        </w:rPr>
        <w:t xml:space="preserve">estión de </w:t>
      </w:r>
      <w:r w:rsidR="00967765" w:rsidRPr="00A47F5B">
        <w:rPr>
          <w:rFonts w:ascii="Times New Roman" w:eastAsia="Calibri" w:hAnsi="Times New Roman" w:cs="Times New Roman"/>
          <w:sz w:val="22"/>
          <w:szCs w:val="22"/>
          <w:lang w:val="es-ES"/>
        </w:rPr>
        <w:t>r</w:t>
      </w:r>
      <w:r w:rsidRPr="00A47F5B">
        <w:rPr>
          <w:rFonts w:ascii="Times New Roman" w:eastAsia="Calibri" w:hAnsi="Times New Roman" w:cs="Times New Roman"/>
          <w:sz w:val="22"/>
          <w:szCs w:val="22"/>
          <w:lang w:val="es-ES"/>
        </w:rPr>
        <w:t xml:space="preserve">iesgo </w:t>
      </w:r>
      <w:r w:rsidR="00967765" w:rsidRPr="00A47F5B">
        <w:rPr>
          <w:rFonts w:ascii="Times New Roman" w:eastAsia="Calibri" w:hAnsi="Times New Roman" w:cs="Times New Roman"/>
          <w:sz w:val="22"/>
          <w:szCs w:val="22"/>
          <w:lang w:val="es-ES"/>
        </w:rPr>
        <w:t>ante</w:t>
      </w:r>
      <w:r w:rsidRPr="00A47F5B">
        <w:rPr>
          <w:rFonts w:ascii="Times New Roman" w:eastAsia="Calibri" w:hAnsi="Times New Roman" w:cs="Times New Roman"/>
          <w:sz w:val="22"/>
          <w:szCs w:val="22"/>
          <w:lang w:val="es-ES"/>
        </w:rPr>
        <w:t xml:space="preserve"> </w:t>
      </w:r>
      <w:r w:rsidR="00967765" w:rsidRPr="00A47F5B">
        <w:rPr>
          <w:rFonts w:ascii="Times New Roman" w:eastAsia="Calibri" w:hAnsi="Times New Roman" w:cs="Times New Roman"/>
          <w:sz w:val="22"/>
          <w:szCs w:val="22"/>
          <w:lang w:val="es-ES"/>
        </w:rPr>
        <w:t>d</w:t>
      </w:r>
      <w:r w:rsidRPr="00A47F5B">
        <w:rPr>
          <w:rFonts w:ascii="Times New Roman" w:eastAsia="Calibri" w:hAnsi="Times New Roman" w:cs="Times New Roman"/>
          <w:sz w:val="22"/>
          <w:szCs w:val="22"/>
          <w:lang w:val="es-ES"/>
        </w:rPr>
        <w:t>esastres</w:t>
      </w:r>
      <w:r w:rsidR="00A47F5B">
        <w:rPr>
          <w:rFonts w:ascii="Times New Roman" w:eastAsia="Calibri" w:hAnsi="Times New Roman" w:cs="Times New Roman"/>
          <w:sz w:val="22"/>
          <w:szCs w:val="22"/>
          <w:lang w:val="es-ES"/>
        </w:rPr>
        <w:t>.</w:t>
      </w:r>
    </w:p>
    <w:p w14:paraId="7178987F" w14:textId="77777777" w:rsidR="00A47F5B" w:rsidRDefault="00A47F5B" w:rsidP="00A47F5B">
      <w:pPr>
        <w:pStyle w:val="ListParagraph"/>
        <w:rPr>
          <w:sz w:val="22"/>
          <w:szCs w:val="22"/>
          <w:lang w:val="es-ES"/>
        </w:rPr>
      </w:pPr>
    </w:p>
    <w:bookmarkEnd w:id="6"/>
    <w:p w14:paraId="6DD7C4AF" w14:textId="3D3D4782" w:rsidR="00A52779" w:rsidRDefault="00514695" w:rsidP="00124AAA">
      <w:pPr>
        <w:numPr>
          <w:ilvl w:val="0"/>
          <w:numId w:val="12"/>
        </w:numPr>
        <w:ind w:left="1440" w:hanging="720"/>
        <w:jc w:val="both"/>
        <w:rPr>
          <w:rFonts w:ascii="Times New Roman" w:eastAsia="Calibri" w:hAnsi="Times New Roman" w:cs="Times New Roman"/>
          <w:sz w:val="22"/>
          <w:szCs w:val="22"/>
          <w:lang w:val="es-ES"/>
        </w:rPr>
      </w:pPr>
      <w:r w:rsidRPr="00514695">
        <w:rPr>
          <w:rFonts w:ascii="Times New Roman" w:eastAsia="Calibri" w:hAnsi="Times New Roman" w:cs="Times New Roman"/>
          <w:sz w:val="22"/>
          <w:szCs w:val="22"/>
          <w:lang w:val="es-ES"/>
        </w:rPr>
        <w:t xml:space="preserve">En colaboración con la Junta Interamericana de Defensa, </w:t>
      </w:r>
      <w:r w:rsidR="00A47F5B">
        <w:rPr>
          <w:rFonts w:ascii="Times New Roman" w:eastAsia="Calibri" w:hAnsi="Times New Roman" w:cs="Times New Roman"/>
          <w:sz w:val="22"/>
          <w:szCs w:val="22"/>
          <w:lang w:val="es-ES"/>
        </w:rPr>
        <w:t xml:space="preserve">se </w:t>
      </w:r>
      <w:r w:rsidRPr="00514695">
        <w:rPr>
          <w:rFonts w:ascii="Times New Roman" w:eastAsia="Calibri" w:hAnsi="Times New Roman" w:cs="Times New Roman"/>
          <w:sz w:val="22"/>
          <w:szCs w:val="22"/>
          <w:lang w:val="es-ES"/>
        </w:rPr>
        <w:t xml:space="preserve">pobló y </w:t>
      </w:r>
      <w:r w:rsidR="00A47F5B">
        <w:rPr>
          <w:rFonts w:ascii="Times New Roman" w:eastAsia="Calibri" w:hAnsi="Times New Roman" w:cs="Times New Roman"/>
          <w:sz w:val="22"/>
          <w:szCs w:val="22"/>
          <w:lang w:val="es-ES"/>
        </w:rPr>
        <w:t xml:space="preserve">se </w:t>
      </w:r>
      <w:r w:rsidRPr="00514695">
        <w:rPr>
          <w:rFonts w:ascii="Times New Roman" w:eastAsia="Calibri" w:hAnsi="Times New Roman" w:cs="Times New Roman"/>
          <w:sz w:val="22"/>
          <w:szCs w:val="22"/>
          <w:lang w:val="es-ES"/>
        </w:rPr>
        <w:t xml:space="preserve">mantuvo la base de datos en línea de la Red Interamericana </w:t>
      </w:r>
      <w:r w:rsidR="00C507C0">
        <w:rPr>
          <w:rFonts w:ascii="Times New Roman" w:eastAsia="Calibri" w:hAnsi="Times New Roman" w:cs="Times New Roman"/>
          <w:sz w:val="22"/>
          <w:szCs w:val="22"/>
          <w:lang w:val="es-ES"/>
        </w:rPr>
        <w:t>de</w:t>
      </w:r>
      <w:r w:rsidRPr="00514695">
        <w:rPr>
          <w:rFonts w:ascii="Times New Roman" w:eastAsia="Calibri" w:hAnsi="Times New Roman" w:cs="Times New Roman"/>
          <w:sz w:val="22"/>
          <w:szCs w:val="22"/>
          <w:lang w:val="es-ES"/>
        </w:rPr>
        <w:t xml:space="preserve"> Mitigación de Desastres (RIMD), en </w:t>
      </w:r>
      <w:r w:rsidR="00967765">
        <w:rPr>
          <w:rFonts w:ascii="Times New Roman" w:eastAsia="Calibri" w:hAnsi="Times New Roman" w:cs="Times New Roman"/>
          <w:sz w:val="22"/>
          <w:szCs w:val="22"/>
          <w:lang w:val="es-ES"/>
        </w:rPr>
        <w:t>especial en lo concerniente a:</w:t>
      </w:r>
      <w:r w:rsidRPr="00514695">
        <w:rPr>
          <w:rFonts w:ascii="Times New Roman" w:eastAsia="Calibri" w:hAnsi="Times New Roman" w:cs="Times New Roman"/>
          <w:sz w:val="22"/>
          <w:szCs w:val="22"/>
          <w:lang w:val="es-ES"/>
        </w:rPr>
        <w:t xml:space="preserve"> 1)</w:t>
      </w:r>
      <w:r w:rsidR="00967765">
        <w:rPr>
          <w:rFonts w:ascii="Times New Roman" w:eastAsia="Calibri" w:hAnsi="Times New Roman" w:cs="Times New Roman"/>
          <w:sz w:val="22"/>
          <w:szCs w:val="22"/>
          <w:lang w:val="es-ES"/>
        </w:rPr>
        <w:t xml:space="preserve"> </w:t>
      </w:r>
      <w:r w:rsidRPr="00514695">
        <w:rPr>
          <w:rFonts w:ascii="Times New Roman" w:eastAsia="Calibri" w:hAnsi="Times New Roman" w:cs="Times New Roman"/>
          <w:sz w:val="22"/>
          <w:szCs w:val="22"/>
          <w:lang w:val="es-ES"/>
        </w:rPr>
        <w:t xml:space="preserve">las autoridades nacionales de coordinación </w:t>
      </w:r>
      <w:r w:rsidR="00967765">
        <w:rPr>
          <w:rFonts w:ascii="Times New Roman" w:eastAsia="Calibri" w:hAnsi="Times New Roman" w:cs="Times New Roman"/>
          <w:sz w:val="22"/>
          <w:szCs w:val="22"/>
          <w:lang w:val="es-ES"/>
        </w:rPr>
        <w:t>encargadas</w:t>
      </w:r>
      <w:r w:rsidRPr="00514695">
        <w:rPr>
          <w:rFonts w:ascii="Times New Roman" w:eastAsia="Calibri" w:hAnsi="Times New Roman" w:cs="Times New Roman"/>
          <w:sz w:val="22"/>
          <w:szCs w:val="22"/>
          <w:lang w:val="es-ES"/>
        </w:rPr>
        <w:t xml:space="preserve"> de la oferta, aceptación y solicitud de respuesta internacional en caso de desastre</w:t>
      </w:r>
      <w:r w:rsidR="00967765">
        <w:rPr>
          <w:rFonts w:ascii="Times New Roman" w:eastAsia="Calibri" w:hAnsi="Times New Roman" w:cs="Times New Roman"/>
          <w:sz w:val="22"/>
          <w:szCs w:val="22"/>
          <w:lang w:val="es-ES"/>
        </w:rPr>
        <w:t>,</w:t>
      </w:r>
      <w:r w:rsidRPr="00514695">
        <w:rPr>
          <w:rFonts w:ascii="Times New Roman" w:eastAsia="Calibri" w:hAnsi="Times New Roman" w:cs="Times New Roman"/>
          <w:sz w:val="22"/>
          <w:szCs w:val="22"/>
          <w:lang w:val="es-ES"/>
        </w:rPr>
        <w:t xml:space="preserve"> 2) la capacidad nacional de respuesta internacional en caso de desastre</w:t>
      </w:r>
      <w:r w:rsidR="00967765">
        <w:rPr>
          <w:rFonts w:ascii="Times New Roman" w:eastAsia="Calibri" w:hAnsi="Times New Roman" w:cs="Times New Roman"/>
          <w:sz w:val="22"/>
          <w:szCs w:val="22"/>
          <w:lang w:val="es-ES"/>
        </w:rPr>
        <w:t>, en la que se</w:t>
      </w:r>
      <w:r w:rsidRPr="00514695">
        <w:rPr>
          <w:rFonts w:ascii="Times New Roman" w:eastAsia="Calibri" w:hAnsi="Times New Roman" w:cs="Times New Roman"/>
          <w:sz w:val="22"/>
          <w:szCs w:val="22"/>
          <w:lang w:val="es-ES"/>
        </w:rPr>
        <w:t xml:space="preserve"> integran todas las capacidades, civiles y militares, públicas y privadas, así como las ONG</w:t>
      </w:r>
      <w:r w:rsidR="00967765">
        <w:rPr>
          <w:rFonts w:ascii="Times New Roman" w:eastAsia="Calibri" w:hAnsi="Times New Roman" w:cs="Times New Roman"/>
          <w:sz w:val="22"/>
          <w:szCs w:val="22"/>
          <w:lang w:val="es-ES"/>
        </w:rPr>
        <w:t>,</w:t>
      </w:r>
      <w:r w:rsidRPr="00514695">
        <w:rPr>
          <w:rFonts w:ascii="Times New Roman" w:eastAsia="Calibri" w:hAnsi="Times New Roman" w:cs="Times New Roman"/>
          <w:sz w:val="22"/>
          <w:szCs w:val="22"/>
          <w:lang w:val="es-ES"/>
        </w:rPr>
        <w:t xml:space="preserve"> 3) los acuerdos multilaterales y bilaterales de respuesta internacional en caso de desastre, incluidos los acuerdos de ayuda mutua</w:t>
      </w:r>
      <w:r w:rsidR="00526FC6">
        <w:rPr>
          <w:rFonts w:ascii="Times New Roman" w:eastAsia="Calibri" w:hAnsi="Times New Roman" w:cs="Times New Roman"/>
          <w:sz w:val="22"/>
          <w:szCs w:val="22"/>
          <w:lang w:val="es-ES"/>
        </w:rPr>
        <w:t>,</w:t>
      </w:r>
      <w:r w:rsidRPr="00514695">
        <w:rPr>
          <w:rFonts w:ascii="Times New Roman" w:eastAsia="Calibri" w:hAnsi="Times New Roman" w:cs="Times New Roman"/>
          <w:sz w:val="22"/>
          <w:szCs w:val="22"/>
          <w:lang w:val="es-ES"/>
        </w:rPr>
        <w:t xml:space="preserve"> y 4) toda la legislación y normativa nacional en caso de desastre</w:t>
      </w:r>
      <w:r w:rsidR="00572623">
        <w:rPr>
          <w:rFonts w:ascii="Times New Roman" w:eastAsia="Calibri" w:hAnsi="Times New Roman" w:cs="Times New Roman"/>
          <w:sz w:val="22"/>
          <w:szCs w:val="22"/>
          <w:lang w:val="es-ES"/>
        </w:rPr>
        <w:t>, la cual</w:t>
      </w:r>
      <w:r w:rsidRPr="00514695">
        <w:rPr>
          <w:rFonts w:ascii="Times New Roman" w:eastAsia="Calibri" w:hAnsi="Times New Roman" w:cs="Times New Roman"/>
          <w:sz w:val="22"/>
          <w:szCs w:val="22"/>
          <w:lang w:val="es-ES"/>
        </w:rPr>
        <w:t xml:space="preserve"> </w:t>
      </w:r>
      <w:r w:rsidR="00A47F5B">
        <w:rPr>
          <w:rFonts w:ascii="Times New Roman" w:eastAsia="Calibri" w:hAnsi="Times New Roman" w:cs="Times New Roman"/>
          <w:sz w:val="22"/>
          <w:szCs w:val="22"/>
          <w:lang w:val="es-ES"/>
        </w:rPr>
        <w:t>constituye la base</w:t>
      </w:r>
      <w:r w:rsidRPr="00514695">
        <w:rPr>
          <w:rFonts w:ascii="Times New Roman" w:eastAsia="Calibri" w:hAnsi="Times New Roman" w:cs="Times New Roman"/>
          <w:sz w:val="22"/>
          <w:szCs w:val="22"/>
          <w:lang w:val="es-ES"/>
        </w:rPr>
        <w:t xml:space="preserve"> y regula la respuesta internacional en caso de desastre. </w:t>
      </w:r>
    </w:p>
    <w:p w14:paraId="707F66AA" w14:textId="77777777" w:rsidR="00514695" w:rsidRDefault="00514695" w:rsidP="00514695">
      <w:pPr>
        <w:pStyle w:val="ListParagraph"/>
        <w:rPr>
          <w:sz w:val="22"/>
          <w:szCs w:val="22"/>
          <w:lang w:val="es-ES"/>
        </w:rPr>
      </w:pPr>
    </w:p>
    <w:p w14:paraId="4AAD6AE1" w14:textId="3949F041" w:rsidR="00F4728E" w:rsidRPr="00512F79" w:rsidRDefault="0097031E">
      <w:pPr>
        <w:numPr>
          <w:ilvl w:val="0"/>
          <w:numId w:val="12"/>
        </w:numPr>
        <w:ind w:left="1440" w:hanging="720"/>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 xml:space="preserve">Se </w:t>
      </w:r>
      <w:r w:rsidR="00967765">
        <w:rPr>
          <w:rFonts w:ascii="Times New Roman" w:eastAsia="Calibri" w:hAnsi="Times New Roman" w:cs="Times New Roman"/>
          <w:sz w:val="22"/>
          <w:szCs w:val="22"/>
          <w:lang w:val="es-ES"/>
        </w:rPr>
        <w:t>prepararon</w:t>
      </w:r>
      <w:r>
        <w:rPr>
          <w:rFonts w:ascii="Times New Roman" w:eastAsia="Calibri" w:hAnsi="Times New Roman" w:cs="Times New Roman"/>
          <w:sz w:val="22"/>
          <w:szCs w:val="22"/>
          <w:lang w:val="es-ES"/>
        </w:rPr>
        <w:t xml:space="preserve"> </w:t>
      </w:r>
      <w:r w:rsidR="00967695" w:rsidRPr="00512F79">
        <w:rPr>
          <w:rFonts w:ascii="Times New Roman" w:eastAsia="Calibri" w:hAnsi="Times New Roman" w:cs="Times New Roman"/>
          <w:sz w:val="22"/>
          <w:szCs w:val="22"/>
          <w:lang w:val="es-ES"/>
        </w:rPr>
        <w:t xml:space="preserve">los términos de referencia y </w:t>
      </w:r>
      <w:r>
        <w:rPr>
          <w:rFonts w:ascii="Times New Roman" w:eastAsia="Calibri" w:hAnsi="Times New Roman" w:cs="Times New Roman"/>
          <w:sz w:val="22"/>
          <w:szCs w:val="22"/>
          <w:lang w:val="es-ES"/>
        </w:rPr>
        <w:t xml:space="preserve">se </w:t>
      </w:r>
      <w:r w:rsidR="00967695" w:rsidRPr="00512F79">
        <w:rPr>
          <w:rFonts w:ascii="Times New Roman" w:eastAsia="Calibri" w:hAnsi="Times New Roman" w:cs="Times New Roman"/>
          <w:sz w:val="22"/>
          <w:szCs w:val="22"/>
          <w:lang w:val="es-ES"/>
        </w:rPr>
        <w:t xml:space="preserve">contrató a un consultor para </w:t>
      </w:r>
      <w:r>
        <w:rPr>
          <w:rFonts w:ascii="Times New Roman" w:eastAsia="Calibri" w:hAnsi="Times New Roman" w:cs="Times New Roman"/>
          <w:sz w:val="22"/>
          <w:szCs w:val="22"/>
          <w:lang w:val="es-ES"/>
        </w:rPr>
        <w:t xml:space="preserve">prestar apoyo al </w:t>
      </w:r>
      <w:r w:rsidR="00967695" w:rsidRPr="00512F79">
        <w:rPr>
          <w:rFonts w:ascii="Times New Roman" w:eastAsia="Calibri" w:hAnsi="Times New Roman" w:cs="Times New Roman"/>
          <w:sz w:val="22"/>
          <w:szCs w:val="22"/>
          <w:lang w:val="es-ES"/>
        </w:rPr>
        <w:t xml:space="preserve">desarrollo y la mejora de </w:t>
      </w:r>
      <w:r w:rsidR="00156BC2" w:rsidRPr="00512F79">
        <w:rPr>
          <w:rFonts w:ascii="Times New Roman" w:eastAsia="Calibri" w:hAnsi="Times New Roman" w:cs="Times New Roman"/>
          <w:sz w:val="22"/>
          <w:szCs w:val="22"/>
          <w:lang w:val="es-ES"/>
        </w:rPr>
        <w:t xml:space="preserve">la </w:t>
      </w:r>
      <w:r>
        <w:rPr>
          <w:rFonts w:ascii="Times New Roman" w:eastAsia="Calibri" w:hAnsi="Times New Roman" w:cs="Times New Roman"/>
          <w:sz w:val="22"/>
          <w:szCs w:val="22"/>
          <w:lang w:val="es-ES"/>
        </w:rPr>
        <w:t xml:space="preserve">RIMD </w:t>
      </w:r>
      <w:r w:rsidR="00967695" w:rsidRPr="00512F79">
        <w:rPr>
          <w:rFonts w:ascii="Times New Roman" w:eastAsia="Calibri" w:hAnsi="Times New Roman" w:cs="Times New Roman"/>
          <w:sz w:val="22"/>
          <w:szCs w:val="22"/>
          <w:lang w:val="es-ES"/>
        </w:rPr>
        <w:t>en línea</w:t>
      </w:r>
      <w:r w:rsidR="009E1D78" w:rsidRPr="00512F79">
        <w:rPr>
          <w:rFonts w:ascii="Times New Roman" w:eastAsia="Calibri" w:hAnsi="Times New Roman" w:cs="Times New Roman"/>
          <w:sz w:val="22"/>
          <w:szCs w:val="22"/>
          <w:lang w:val="es-ES"/>
        </w:rPr>
        <w:t xml:space="preserve">. La </w:t>
      </w:r>
      <w:r w:rsidR="00967695" w:rsidRPr="00512F79">
        <w:rPr>
          <w:rFonts w:ascii="Times New Roman" w:eastAsia="Calibri" w:hAnsi="Times New Roman" w:cs="Times New Roman"/>
          <w:sz w:val="22"/>
          <w:szCs w:val="22"/>
          <w:lang w:val="es-ES"/>
        </w:rPr>
        <w:t xml:space="preserve">base de datos se lanzará en 2023 y </w:t>
      </w:r>
      <w:r w:rsidR="00967765">
        <w:rPr>
          <w:rFonts w:ascii="Times New Roman" w:eastAsia="Calibri" w:hAnsi="Times New Roman" w:cs="Times New Roman"/>
          <w:sz w:val="22"/>
          <w:szCs w:val="22"/>
          <w:lang w:val="es-ES"/>
        </w:rPr>
        <w:t>ofrecer</w:t>
      </w:r>
      <w:r w:rsidR="00572623">
        <w:rPr>
          <w:rFonts w:ascii="Times New Roman" w:eastAsia="Calibri" w:hAnsi="Times New Roman" w:cs="Times New Roman"/>
          <w:sz w:val="22"/>
          <w:szCs w:val="22"/>
          <w:lang w:val="es-ES"/>
        </w:rPr>
        <w:t>á</w:t>
      </w:r>
      <w:r w:rsidR="00967695" w:rsidRPr="00512F79">
        <w:rPr>
          <w:rFonts w:ascii="Times New Roman" w:eastAsia="Calibri" w:hAnsi="Times New Roman" w:cs="Times New Roman"/>
          <w:sz w:val="22"/>
          <w:szCs w:val="22"/>
          <w:lang w:val="es-ES"/>
        </w:rPr>
        <w:t xml:space="preserve"> un sitio único para que los países accedan a las personas clave </w:t>
      </w:r>
      <w:r>
        <w:rPr>
          <w:rFonts w:ascii="Times New Roman" w:eastAsia="Calibri" w:hAnsi="Times New Roman" w:cs="Times New Roman"/>
          <w:sz w:val="22"/>
          <w:szCs w:val="22"/>
          <w:lang w:val="es-ES"/>
        </w:rPr>
        <w:t>encargadas</w:t>
      </w:r>
      <w:r w:rsidR="00967695" w:rsidRPr="00512F79">
        <w:rPr>
          <w:rFonts w:ascii="Times New Roman" w:eastAsia="Calibri" w:hAnsi="Times New Roman" w:cs="Times New Roman"/>
          <w:sz w:val="22"/>
          <w:szCs w:val="22"/>
          <w:lang w:val="es-ES"/>
        </w:rPr>
        <w:t xml:space="preserve"> de responder a los desastres en el </w:t>
      </w:r>
      <w:r>
        <w:rPr>
          <w:rFonts w:ascii="Times New Roman" w:eastAsia="Calibri" w:hAnsi="Times New Roman" w:cs="Times New Roman"/>
          <w:sz w:val="22"/>
          <w:szCs w:val="22"/>
          <w:lang w:val="es-ES"/>
        </w:rPr>
        <w:t>H</w:t>
      </w:r>
      <w:r w:rsidR="00967695" w:rsidRPr="00512F79">
        <w:rPr>
          <w:rFonts w:ascii="Times New Roman" w:eastAsia="Calibri" w:hAnsi="Times New Roman" w:cs="Times New Roman"/>
          <w:sz w:val="22"/>
          <w:szCs w:val="22"/>
          <w:lang w:val="es-ES"/>
        </w:rPr>
        <w:t>emisferio</w:t>
      </w:r>
      <w:r w:rsidR="000F3ACC" w:rsidRPr="00512F79">
        <w:rPr>
          <w:rFonts w:ascii="Times New Roman" w:eastAsia="Calibri" w:hAnsi="Times New Roman" w:cs="Times New Roman"/>
          <w:sz w:val="22"/>
          <w:szCs w:val="22"/>
          <w:lang w:val="es-ES"/>
        </w:rPr>
        <w:t xml:space="preserve">, lo que permitirá un </w:t>
      </w:r>
      <w:r w:rsidR="00967695" w:rsidRPr="00512F79">
        <w:rPr>
          <w:rFonts w:ascii="Times New Roman" w:eastAsia="Calibri" w:hAnsi="Times New Roman" w:cs="Times New Roman"/>
          <w:sz w:val="22"/>
          <w:szCs w:val="22"/>
          <w:lang w:val="es-ES"/>
        </w:rPr>
        <w:t xml:space="preserve">intercambio </w:t>
      </w:r>
      <w:r w:rsidR="000F3ACC" w:rsidRPr="00512F79">
        <w:rPr>
          <w:rFonts w:ascii="Times New Roman" w:eastAsia="Calibri" w:hAnsi="Times New Roman" w:cs="Times New Roman"/>
          <w:sz w:val="22"/>
          <w:szCs w:val="22"/>
          <w:lang w:val="es-ES"/>
        </w:rPr>
        <w:t xml:space="preserve">más eficiente </w:t>
      </w:r>
      <w:r w:rsidR="00967695" w:rsidRPr="00512F79">
        <w:rPr>
          <w:rFonts w:ascii="Times New Roman" w:eastAsia="Calibri" w:hAnsi="Times New Roman" w:cs="Times New Roman"/>
          <w:sz w:val="22"/>
          <w:szCs w:val="22"/>
          <w:lang w:val="es-ES"/>
        </w:rPr>
        <w:t xml:space="preserve">de conocimientos y recursos críticos en todo el </w:t>
      </w:r>
      <w:r>
        <w:rPr>
          <w:rFonts w:ascii="Times New Roman" w:eastAsia="Calibri" w:hAnsi="Times New Roman" w:cs="Times New Roman"/>
          <w:sz w:val="22"/>
          <w:szCs w:val="22"/>
          <w:lang w:val="es-ES"/>
        </w:rPr>
        <w:t>H</w:t>
      </w:r>
      <w:r w:rsidR="00967695" w:rsidRPr="00512F79">
        <w:rPr>
          <w:rFonts w:ascii="Times New Roman" w:eastAsia="Calibri" w:hAnsi="Times New Roman" w:cs="Times New Roman"/>
          <w:sz w:val="22"/>
          <w:szCs w:val="22"/>
          <w:lang w:val="es-ES"/>
        </w:rPr>
        <w:t>emisferio.</w:t>
      </w:r>
    </w:p>
    <w:p w14:paraId="11115C36" w14:textId="77777777" w:rsidR="00A52779" w:rsidRPr="00512F79" w:rsidRDefault="00A52779" w:rsidP="00CB030B">
      <w:pPr>
        <w:jc w:val="both"/>
        <w:rPr>
          <w:rFonts w:ascii="Times New Roman" w:eastAsia="Calibri" w:hAnsi="Times New Roman" w:cs="Times New Roman"/>
          <w:sz w:val="22"/>
          <w:szCs w:val="22"/>
          <w:lang w:val="es-ES"/>
        </w:rPr>
      </w:pPr>
    </w:p>
    <w:p w14:paraId="79EA0FAE" w14:textId="1533878A" w:rsidR="00F4728E" w:rsidRPr="00512F79" w:rsidRDefault="00D73F34">
      <w:pPr>
        <w:numPr>
          <w:ilvl w:val="0"/>
          <w:numId w:val="12"/>
        </w:numPr>
        <w:ind w:left="1440" w:hanging="720"/>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 xml:space="preserve">Se prestó apoyo </w:t>
      </w:r>
      <w:r w:rsidR="00967695" w:rsidRPr="00512F79">
        <w:rPr>
          <w:rFonts w:ascii="Times New Roman" w:eastAsia="Calibri" w:hAnsi="Times New Roman" w:cs="Times New Roman"/>
          <w:sz w:val="22"/>
          <w:szCs w:val="22"/>
          <w:lang w:val="es-ES"/>
        </w:rPr>
        <w:t xml:space="preserve">a la reunión del </w:t>
      </w:r>
      <w:r w:rsidR="009E1D78" w:rsidRPr="00512F79">
        <w:rPr>
          <w:rFonts w:ascii="Times New Roman" w:eastAsia="Calibri" w:hAnsi="Times New Roman" w:cs="Times New Roman"/>
          <w:sz w:val="22"/>
          <w:szCs w:val="22"/>
          <w:lang w:val="es-ES"/>
        </w:rPr>
        <w:t xml:space="preserve">Comité Interamericano para la Reducción de los Desastres Naturales </w:t>
      </w:r>
      <w:r w:rsidR="00967695" w:rsidRPr="00512F79">
        <w:rPr>
          <w:rFonts w:ascii="Times New Roman" w:eastAsia="Calibri" w:hAnsi="Times New Roman" w:cs="Times New Roman"/>
          <w:sz w:val="22"/>
          <w:szCs w:val="22"/>
          <w:lang w:val="es-ES"/>
        </w:rPr>
        <w:t xml:space="preserve">en la preparación </w:t>
      </w:r>
      <w:r w:rsidR="000F3ACC" w:rsidRPr="00512F79">
        <w:rPr>
          <w:rFonts w:ascii="Times New Roman" w:eastAsia="Calibri" w:hAnsi="Times New Roman" w:cs="Times New Roman"/>
          <w:sz w:val="22"/>
          <w:szCs w:val="22"/>
          <w:lang w:val="es-ES"/>
        </w:rPr>
        <w:t>de la respuesta a</w:t>
      </w:r>
      <w:r>
        <w:rPr>
          <w:rFonts w:ascii="Times New Roman" w:eastAsia="Calibri" w:hAnsi="Times New Roman" w:cs="Times New Roman"/>
          <w:sz w:val="22"/>
          <w:szCs w:val="22"/>
          <w:lang w:val="es-ES"/>
        </w:rPr>
        <w:t>nte desastres</w:t>
      </w:r>
      <w:r w:rsidR="000F3ACC" w:rsidRPr="00512F79">
        <w:rPr>
          <w:rFonts w:ascii="Times New Roman" w:eastAsia="Calibri" w:hAnsi="Times New Roman" w:cs="Times New Roman"/>
          <w:sz w:val="22"/>
          <w:szCs w:val="22"/>
          <w:lang w:val="es-ES"/>
        </w:rPr>
        <w:t xml:space="preserve">, </w:t>
      </w:r>
      <w:r w:rsidR="00967695" w:rsidRPr="00512F79">
        <w:rPr>
          <w:rFonts w:ascii="Times New Roman" w:eastAsia="Calibri" w:hAnsi="Times New Roman" w:cs="Times New Roman"/>
          <w:sz w:val="22"/>
          <w:szCs w:val="22"/>
          <w:lang w:val="es-ES"/>
        </w:rPr>
        <w:t>centrándose en la recuperación</w:t>
      </w:r>
      <w:r w:rsidR="000F3ACC" w:rsidRPr="00512F79">
        <w:rPr>
          <w:rFonts w:ascii="Times New Roman" w:eastAsia="Calibri" w:hAnsi="Times New Roman" w:cs="Times New Roman"/>
          <w:sz w:val="22"/>
          <w:szCs w:val="22"/>
          <w:lang w:val="es-ES"/>
        </w:rPr>
        <w:t xml:space="preserve">, </w:t>
      </w:r>
      <w:r w:rsidR="00967695" w:rsidRPr="00512F79">
        <w:rPr>
          <w:rFonts w:ascii="Times New Roman" w:eastAsia="Calibri" w:hAnsi="Times New Roman" w:cs="Times New Roman"/>
          <w:sz w:val="22"/>
          <w:szCs w:val="22"/>
          <w:lang w:val="es-ES"/>
        </w:rPr>
        <w:t xml:space="preserve">reconstrucción y </w:t>
      </w:r>
      <w:r w:rsidR="000F3ACC" w:rsidRPr="00512F79">
        <w:rPr>
          <w:rFonts w:ascii="Times New Roman" w:eastAsia="Calibri" w:hAnsi="Times New Roman" w:cs="Times New Roman"/>
          <w:sz w:val="22"/>
          <w:szCs w:val="22"/>
          <w:lang w:val="es-ES"/>
        </w:rPr>
        <w:t xml:space="preserve">facilitación de la </w:t>
      </w:r>
      <w:r w:rsidR="00967695" w:rsidRPr="00512F79">
        <w:rPr>
          <w:rFonts w:ascii="Times New Roman" w:eastAsia="Calibri" w:hAnsi="Times New Roman" w:cs="Times New Roman"/>
          <w:sz w:val="22"/>
          <w:szCs w:val="22"/>
          <w:lang w:val="es-ES"/>
        </w:rPr>
        <w:t>colaboración entre múltiples países y partes interesadas en la respuesta a</w:t>
      </w:r>
      <w:r>
        <w:rPr>
          <w:rFonts w:ascii="Times New Roman" w:eastAsia="Calibri" w:hAnsi="Times New Roman" w:cs="Times New Roman"/>
          <w:sz w:val="22"/>
          <w:szCs w:val="22"/>
          <w:lang w:val="es-ES"/>
        </w:rPr>
        <w:t xml:space="preserve"> los desastres</w:t>
      </w:r>
      <w:r w:rsidR="00967695" w:rsidRPr="00512F79">
        <w:rPr>
          <w:rFonts w:ascii="Times New Roman" w:eastAsia="Calibri" w:hAnsi="Times New Roman" w:cs="Times New Roman"/>
          <w:sz w:val="22"/>
          <w:szCs w:val="22"/>
          <w:lang w:val="es-ES"/>
        </w:rPr>
        <w:t xml:space="preserve">, la reconstrucción y la recuperación. </w:t>
      </w:r>
    </w:p>
    <w:p w14:paraId="66BFDDAF" w14:textId="77777777" w:rsidR="00A52779" w:rsidRPr="00512F79" w:rsidRDefault="00A52779" w:rsidP="00CB030B">
      <w:pPr>
        <w:ind w:left="1440" w:hanging="720"/>
        <w:jc w:val="both"/>
        <w:rPr>
          <w:rFonts w:ascii="Times New Roman" w:eastAsia="Calibri" w:hAnsi="Times New Roman" w:cs="Times New Roman"/>
          <w:sz w:val="22"/>
          <w:szCs w:val="22"/>
          <w:lang w:val="es-ES"/>
        </w:rPr>
      </w:pPr>
    </w:p>
    <w:p w14:paraId="23686D2A" w14:textId="65F753CB" w:rsidR="00F4728E" w:rsidRPr="0098766A" w:rsidRDefault="0089159F">
      <w:pPr>
        <w:numPr>
          <w:ilvl w:val="0"/>
          <w:numId w:val="12"/>
        </w:numPr>
        <w:ind w:left="1440" w:hanging="720"/>
        <w:jc w:val="both"/>
        <w:rPr>
          <w:rFonts w:ascii="Times New Roman" w:eastAsia="Calibri" w:hAnsi="Times New Roman" w:cs="Times New Roman"/>
          <w:sz w:val="22"/>
          <w:szCs w:val="22"/>
          <w:lang w:val="es-ES"/>
        </w:rPr>
      </w:pPr>
      <w:r w:rsidRPr="0098766A">
        <w:rPr>
          <w:rFonts w:ascii="Times New Roman" w:eastAsia="Calibri" w:hAnsi="Times New Roman" w:cs="Times New Roman"/>
          <w:sz w:val="22"/>
          <w:szCs w:val="22"/>
          <w:lang w:val="es-ES"/>
        </w:rPr>
        <w:t xml:space="preserve">Se prestó apoyo </w:t>
      </w:r>
      <w:r w:rsidR="00967695" w:rsidRPr="0098766A">
        <w:rPr>
          <w:rFonts w:ascii="Times New Roman" w:eastAsia="Calibri" w:hAnsi="Times New Roman" w:cs="Times New Roman"/>
          <w:sz w:val="22"/>
          <w:szCs w:val="22"/>
          <w:lang w:val="es-ES"/>
        </w:rPr>
        <w:t>a las misiones de l</w:t>
      </w:r>
      <w:r w:rsidR="0098766A" w:rsidRPr="0098766A">
        <w:rPr>
          <w:rFonts w:ascii="Times New Roman" w:eastAsia="Calibri" w:hAnsi="Times New Roman" w:cs="Times New Roman"/>
          <w:sz w:val="22"/>
          <w:szCs w:val="22"/>
          <w:lang w:val="es-ES"/>
        </w:rPr>
        <w:t>os</w:t>
      </w:r>
      <w:r w:rsidR="00967695" w:rsidRPr="0098766A">
        <w:rPr>
          <w:rFonts w:ascii="Times New Roman" w:eastAsia="Calibri" w:hAnsi="Times New Roman" w:cs="Times New Roman"/>
          <w:sz w:val="22"/>
          <w:szCs w:val="22"/>
          <w:lang w:val="es-ES"/>
        </w:rPr>
        <w:t xml:space="preserve"> Cascos Blancos </w:t>
      </w:r>
      <w:r w:rsidR="0098766A" w:rsidRPr="0098766A">
        <w:rPr>
          <w:rFonts w:ascii="Times New Roman" w:eastAsia="Calibri" w:hAnsi="Times New Roman" w:cs="Times New Roman"/>
          <w:sz w:val="22"/>
          <w:szCs w:val="22"/>
          <w:lang w:val="es-ES"/>
        </w:rPr>
        <w:t xml:space="preserve">de Argentina </w:t>
      </w:r>
      <w:r w:rsidR="00967695" w:rsidRPr="0098766A">
        <w:rPr>
          <w:rFonts w:ascii="Times New Roman" w:eastAsia="Calibri" w:hAnsi="Times New Roman" w:cs="Times New Roman"/>
          <w:sz w:val="22"/>
          <w:szCs w:val="22"/>
          <w:lang w:val="es-ES"/>
        </w:rPr>
        <w:t xml:space="preserve">en respuesta a </w:t>
      </w:r>
      <w:r w:rsidRPr="0098766A">
        <w:rPr>
          <w:rFonts w:ascii="Times New Roman" w:eastAsia="Calibri" w:hAnsi="Times New Roman" w:cs="Times New Roman"/>
          <w:sz w:val="22"/>
          <w:szCs w:val="22"/>
          <w:lang w:val="es-ES"/>
        </w:rPr>
        <w:t>desastres</w:t>
      </w:r>
      <w:r w:rsidR="00967695" w:rsidRPr="0098766A">
        <w:rPr>
          <w:rFonts w:ascii="Times New Roman" w:eastAsia="Calibri" w:hAnsi="Times New Roman" w:cs="Times New Roman"/>
          <w:sz w:val="22"/>
          <w:szCs w:val="22"/>
          <w:lang w:val="es-ES"/>
        </w:rPr>
        <w:t>, incluid</w:t>
      </w:r>
      <w:r w:rsidRPr="0098766A">
        <w:rPr>
          <w:rFonts w:ascii="Times New Roman" w:eastAsia="Calibri" w:hAnsi="Times New Roman" w:cs="Times New Roman"/>
          <w:sz w:val="22"/>
          <w:szCs w:val="22"/>
          <w:lang w:val="es-ES"/>
        </w:rPr>
        <w:t>o</w:t>
      </w:r>
      <w:r w:rsidR="00967695" w:rsidRPr="0098766A">
        <w:rPr>
          <w:rFonts w:ascii="Times New Roman" w:eastAsia="Calibri" w:hAnsi="Times New Roman" w:cs="Times New Roman"/>
          <w:sz w:val="22"/>
          <w:szCs w:val="22"/>
          <w:lang w:val="es-ES"/>
        </w:rPr>
        <w:t xml:space="preserve">s </w:t>
      </w:r>
      <w:r w:rsidRPr="0098766A">
        <w:rPr>
          <w:rFonts w:ascii="Times New Roman" w:eastAsia="Calibri" w:hAnsi="Times New Roman" w:cs="Times New Roman"/>
          <w:sz w:val="22"/>
          <w:szCs w:val="22"/>
          <w:lang w:val="es-ES"/>
        </w:rPr>
        <w:t>los desastres naturales y los desastres relacionados</w:t>
      </w:r>
      <w:r w:rsidR="00967695" w:rsidRPr="0098766A">
        <w:rPr>
          <w:rFonts w:ascii="Times New Roman" w:eastAsia="Calibri" w:hAnsi="Times New Roman" w:cs="Times New Roman"/>
          <w:sz w:val="22"/>
          <w:szCs w:val="22"/>
          <w:lang w:val="es-ES"/>
        </w:rPr>
        <w:t xml:space="preserve"> con peligros biológicos, y en particular en </w:t>
      </w:r>
      <w:r w:rsidR="000F3ACC" w:rsidRPr="0098766A">
        <w:rPr>
          <w:rFonts w:ascii="Times New Roman" w:eastAsia="Calibri" w:hAnsi="Times New Roman" w:cs="Times New Roman"/>
          <w:sz w:val="22"/>
          <w:szCs w:val="22"/>
          <w:lang w:val="es-ES"/>
        </w:rPr>
        <w:t xml:space="preserve">respuesta </w:t>
      </w:r>
      <w:r w:rsidR="00967695" w:rsidRPr="0098766A">
        <w:rPr>
          <w:rFonts w:ascii="Times New Roman" w:eastAsia="Calibri" w:hAnsi="Times New Roman" w:cs="Times New Roman"/>
          <w:sz w:val="22"/>
          <w:szCs w:val="22"/>
          <w:lang w:val="es-ES"/>
        </w:rPr>
        <w:t xml:space="preserve">y apoyo a los </w:t>
      </w:r>
      <w:r w:rsidR="005F30B1" w:rsidRPr="0098766A">
        <w:rPr>
          <w:rFonts w:ascii="Times New Roman" w:eastAsia="Calibri" w:hAnsi="Times New Roman" w:cs="Times New Roman"/>
          <w:sz w:val="22"/>
          <w:szCs w:val="22"/>
          <w:lang w:val="es-ES"/>
        </w:rPr>
        <w:t xml:space="preserve">Estados </w:t>
      </w:r>
      <w:r w:rsidRPr="0098766A">
        <w:rPr>
          <w:rFonts w:ascii="Times New Roman" w:eastAsia="Calibri" w:hAnsi="Times New Roman" w:cs="Times New Roman"/>
          <w:sz w:val="22"/>
          <w:szCs w:val="22"/>
          <w:lang w:val="es-ES"/>
        </w:rPr>
        <w:t>M</w:t>
      </w:r>
      <w:r w:rsidR="005F30B1" w:rsidRPr="0098766A">
        <w:rPr>
          <w:rFonts w:ascii="Times New Roman" w:eastAsia="Calibri" w:hAnsi="Times New Roman" w:cs="Times New Roman"/>
          <w:sz w:val="22"/>
          <w:szCs w:val="22"/>
          <w:lang w:val="es-ES"/>
        </w:rPr>
        <w:t xml:space="preserve">iembros </w:t>
      </w:r>
      <w:r w:rsidR="00967695" w:rsidRPr="0098766A">
        <w:rPr>
          <w:rFonts w:ascii="Times New Roman" w:eastAsia="Calibri" w:hAnsi="Times New Roman" w:cs="Times New Roman"/>
          <w:sz w:val="22"/>
          <w:szCs w:val="22"/>
          <w:lang w:val="es-ES"/>
        </w:rPr>
        <w:t xml:space="preserve">en la gestión de </w:t>
      </w:r>
      <w:r w:rsidR="000F3ACC" w:rsidRPr="0098766A">
        <w:rPr>
          <w:rFonts w:ascii="Times New Roman" w:eastAsia="Calibri" w:hAnsi="Times New Roman" w:cs="Times New Roman"/>
          <w:sz w:val="22"/>
          <w:szCs w:val="22"/>
          <w:lang w:val="es-ES"/>
        </w:rPr>
        <w:t xml:space="preserve">la </w:t>
      </w:r>
      <w:r w:rsidR="00967695" w:rsidRPr="0098766A">
        <w:rPr>
          <w:rFonts w:ascii="Times New Roman" w:eastAsia="Calibri" w:hAnsi="Times New Roman" w:cs="Times New Roman"/>
          <w:sz w:val="22"/>
          <w:szCs w:val="22"/>
          <w:lang w:val="es-ES"/>
        </w:rPr>
        <w:t>pandemia COVID-19.</w:t>
      </w:r>
    </w:p>
    <w:p w14:paraId="00BC3D53" w14:textId="77777777" w:rsidR="00A52779" w:rsidRPr="00512F79" w:rsidRDefault="00A52779" w:rsidP="00CB030B">
      <w:pPr>
        <w:ind w:left="1440" w:hanging="720"/>
        <w:jc w:val="both"/>
        <w:rPr>
          <w:rFonts w:ascii="Times New Roman" w:eastAsia="Calibri" w:hAnsi="Times New Roman" w:cs="Times New Roman"/>
          <w:sz w:val="22"/>
          <w:szCs w:val="22"/>
          <w:lang w:val="es-ES"/>
        </w:rPr>
      </w:pPr>
    </w:p>
    <w:p w14:paraId="7830ADE9" w14:textId="21FB182D" w:rsidR="00F4728E" w:rsidRPr="00512F79" w:rsidRDefault="00F672A9">
      <w:pPr>
        <w:numPr>
          <w:ilvl w:val="0"/>
          <w:numId w:val="12"/>
        </w:numPr>
        <w:ind w:left="1440" w:hanging="720"/>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Se prestó apoyo a la</w:t>
      </w:r>
      <w:r w:rsidR="00A52779" w:rsidRPr="00512F79">
        <w:rPr>
          <w:rFonts w:ascii="Times New Roman" w:eastAsia="Calibri" w:hAnsi="Times New Roman" w:cs="Times New Roman"/>
          <w:sz w:val="22"/>
          <w:szCs w:val="22"/>
          <w:lang w:val="es-ES"/>
        </w:rPr>
        <w:t xml:space="preserve"> </w:t>
      </w:r>
      <w:r w:rsidR="00526FC6">
        <w:rPr>
          <w:rFonts w:ascii="Times New Roman" w:eastAsia="Calibri" w:hAnsi="Times New Roman" w:cs="Times New Roman"/>
          <w:sz w:val="22"/>
          <w:szCs w:val="22"/>
          <w:lang w:val="es-ES"/>
        </w:rPr>
        <w:t>sesión</w:t>
      </w:r>
      <w:r w:rsidR="00A52779" w:rsidRPr="00512F79">
        <w:rPr>
          <w:rFonts w:ascii="Times New Roman" w:eastAsia="Calibri" w:hAnsi="Times New Roman" w:cs="Times New Roman"/>
          <w:sz w:val="22"/>
          <w:szCs w:val="22"/>
          <w:lang w:val="es-ES"/>
        </w:rPr>
        <w:t xml:space="preserve"> conjunta del Consejo Permanente y el CIDI sobre </w:t>
      </w:r>
      <w:r w:rsidR="00175494" w:rsidRPr="00175494">
        <w:rPr>
          <w:rFonts w:ascii="Times New Roman" w:eastAsia="Calibri" w:hAnsi="Times New Roman" w:cs="Times New Roman"/>
          <w:b/>
          <w:bCs/>
          <w:sz w:val="22"/>
          <w:szCs w:val="22"/>
          <w:lang w:val="es-ES"/>
        </w:rPr>
        <w:t>“</w:t>
      </w:r>
      <w:r w:rsidR="00A52779" w:rsidRPr="00512F79">
        <w:rPr>
          <w:rFonts w:ascii="Times New Roman" w:eastAsia="Calibri" w:hAnsi="Times New Roman" w:cs="Times New Roman"/>
          <w:b/>
          <w:bCs/>
          <w:sz w:val="22"/>
          <w:szCs w:val="22"/>
          <w:lang w:val="es-ES"/>
        </w:rPr>
        <w:t xml:space="preserve">Fortalecimiento del papel de la OEA en </w:t>
      </w:r>
      <w:r w:rsidR="00175494">
        <w:rPr>
          <w:rFonts w:ascii="Times New Roman" w:eastAsia="Calibri" w:hAnsi="Times New Roman" w:cs="Times New Roman"/>
          <w:b/>
          <w:bCs/>
          <w:sz w:val="22"/>
          <w:szCs w:val="22"/>
          <w:lang w:val="es-ES"/>
        </w:rPr>
        <w:t xml:space="preserve">fomento de </w:t>
      </w:r>
      <w:r w:rsidR="00A52779" w:rsidRPr="00512F79">
        <w:rPr>
          <w:rFonts w:ascii="Times New Roman" w:eastAsia="Calibri" w:hAnsi="Times New Roman" w:cs="Times New Roman"/>
          <w:b/>
          <w:bCs/>
          <w:sz w:val="22"/>
          <w:szCs w:val="22"/>
          <w:lang w:val="es-ES"/>
        </w:rPr>
        <w:t xml:space="preserve">resiliencia ante desastres en el </w:t>
      </w:r>
      <w:r w:rsidR="00175494">
        <w:rPr>
          <w:rFonts w:ascii="Times New Roman" w:eastAsia="Calibri" w:hAnsi="Times New Roman" w:cs="Times New Roman"/>
          <w:b/>
          <w:bCs/>
          <w:sz w:val="22"/>
          <w:szCs w:val="22"/>
          <w:lang w:val="es-ES"/>
        </w:rPr>
        <w:t>H</w:t>
      </w:r>
      <w:r w:rsidR="00A52779" w:rsidRPr="00512F79">
        <w:rPr>
          <w:rFonts w:ascii="Times New Roman" w:eastAsia="Calibri" w:hAnsi="Times New Roman" w:cs="Times New Roman"/>
          <w:b/>
          <w:bCs/>
          <w:sz w:val="22"/>
          <w:szCs w:val="22"/>
          <w:lang w:val="es-ES"/>
        </w:rPr>
        <w:t>emisferio</w:t>
      </w:r>
      <w:r w:rsidR="00175494">
        <w:rPr>
          <w:rFonts w:ascii="Times New Roman" w:eastAsia="Calibri" w:hAnsi="Times New Roman" w:cs="Times New Roman"/>
          <w:b/>
          <w:bCs/>
          <w:sz w:val="22"/>
          <w:szCs w:val="22"/>
          <w:lang w:val="es-ES"/>
        </w:rPr>
        <w:t>”</w:t>
      </w:r>
      <w:r w:rsidR="00BD6187" w:rsidRPr="00BD6187">
        <w:rPr>
          <w:rFonts w:ascii="Times New Roman" w:eastAsia="Calibri" w:hAnsi="Times New Roman" w:cs="Times New Roman"/>
          <w:sz w:val="22"/>
          <w:szCs w:val="22"/>
          <w:lang w:val="es-ES"/>
        </w:rPr>
        <w:t>,</w:t>
      </w:r>
      <w:r w:rsidR="00967695" w:rsidRPr="00BD6187">
        <w:rPr>
          <w:rFonts w:ascii="Times New Roman" w:eastAsia="Calibri" w:hAnsi="Times New Roman" w:cs="Times New Roman"/>
          <w:sz w:val="22"/>
          <w:szCs w:val="22"/>
          <w:lang w:val="es-ES"/>
        </w:rPr>
        <w:t xml:space="preserve"> </w:t>
      </w:r>
      <w:r w:rsidR="00967695" w:rsidRPr="00512F79">
        <w:rPr>
          <w:rFonts w:ascii="Times New Roman" w:eastAsia="Calibri" w:hAnsi="Times New Roman" w:cs="Times New Roman"/>
          <w:sz w:val="22"/>
          <w:szCs w:val="22"/>
          <w:lang w:val="es-ES"/>
        </w:rPr>
        <w:t>celebrada el 29 de junio de 2022</w:t>
      </w:r>
      <w:r w:rsidR="00A52779" w:rsidRPr="00512F79">
        <w:rPr>
          <w:rFonts w:ascii="Times New Roman" w:eastAsia="Calibri" w:hAnsi="Times New Roman" w:cs="Times New Roman"/>
          <w:sz w:val="22"/>
          <w:szCs w:val="22"/>
          <w:lang w:val="es-ES"/>
        </w:rPr>
        <w:t xml:space="preserve">. </w:t>
      </w:r>
    </w:p>
    <w:p w14:paraId="5757DF44" w14:textId="611D29A3" w:rsidR="00141240" w:rsidRPr="00512F79" w:rsidRDefault="00141240" w:rsidP="00CB030B">
      <w:pPr>
        <w:jc w:val="both"/>
        <w:rPr>
          <w:rFonts w:ascii="Times New Roman" w:eastAsia="Calibri" w:hAnsi="Times New Roman" w:cs="Times New Roman"/>
          <w:sz w:val="22"/>
          <w:szCs w:val="22"/>
          <w:lang w:val="es-ES"/>
        </w:rPr>
      </w:pPr>
    </w:p>
    <w:p w14:paraId="7E8CB2AF" w14:textId="77777777" w:rsidR="00F4728E" w:rsidRPr="00512F79" w:rsidRDefault="00967695">
      <w:pPr>
        <w:ind w:firstLine="720"/>
        <w:rPr>
          <w:rFonts w:ascii="Times New Roman" w:eastAsia="Calibri" w:hAnsi="Times New Roman" w:cs="Times New Roman"/>
          <w:b/>
          <w:bCs/>
          <w:sz w:val="22"/>
          <w:szCs w:val="22"/>
          <w:lang w:val="es-ES"/>
        </w:rPr>
      </w:pPr>
      <w:r w:rsidRPr="00512F79">
        <w:rPr>
          <w:rFonts w:ascii="Times New Roman" w:eastAsia="Calibri" w:hAnsi="Times New Roman" w:cs="Times New Roman"/>
          <w:b/>
          <w:bCs/>
          <w:sz w:val="22"/>
          <w:szCs w:val="22"/>
          <w:lang w:val="es-ES"/>
        </w:rPr>
        <w:t xml:space="preserve">Secretaría de la Comisión Interamericana de Puertos </w:t>
      </w:r>
    </w:p>
    <w:p w14:paraId="3DE589B0" w14:textId="77777777" w:rsidR="00141240" w:rsidRPr="00512F79" w:rsidRDefault="00141240" w:rsidP="00CB030B">
      <w:pPr>
        <w:ind w:left="1440" w:hanging="720"/>
        <w:rPr>
          <w:rFonts w:ascii="Times New Roman" w:hAnsi="Times New Roman" w:cs="Times New Roman"/>
          <w:i/>
          <w:iCs/>
          <w:color w:val="000000" w:themeColor="text1"/>
          <w:sz w:val="22"/>
          <w:szCs w:val="22"/>
          <w:lang w:val="es-ES"/>
        </w:rPr>
      </w:pPr>
    </w:p>
    <w:p w14:paraId="76AFEB44" w14:textId="70C2E03D" w:rsidR="00F4728E" w:rsidRPr="008A2A93" w:rsidRDefault="008A2A93">
      <w:pPr>
        <w:pStyle w:val="ListParagraph"/>
        <w:numPr>
          <w:ilvl w:val="0"/>
          <w:numId w:val="22"/>
        </w:numPr>
        <w:ind w:left="1440" w:hanging="720"/>
        <w:contextualSpacing/>
        <w:jc w:val="both"/>
        <w:rPr>
          <w:sz w:val="22"/>
          <w:szCs w:val="22"/>
          <w:lang w:val="es-ES"/>
        </w:rPr>
      </w:pPr>
      <w:r>
        <w:rPr>
          <w:sz w:val="22"/>
          <w:szCs w:val="22"/>
          <w:lang w:val="es-ES"/>
        </w:rPr>
        <w:t xml:space="preserve">Se organizaron </w:t>
      </w:r>
      <w:r w:rsidR="002A6F84" w:rsidRPr="008A2A93">
        <w:rPr>
          <w:sz w:val="22"/>
          <w:szCs w:val="22"/>
          <w:lang w:val="es-ES"/>
        </w:rPr>
        <w:t>e</w:t>
      </w:r>
      <w:r w:rsidR="00387B23" w:rsidRPr="008A2A93">
        <w:rPr>
          <w:sz w:val="22"/>
          <w:szCs w:val="22"/>
          <w:lang w:val="es-ES"/>
        </w:rPr>
        <w:t>l segundo y el tercer taller regional</w:t>
      </w:r>
      <w:r>
        <w:rPr>
          <w:sz w:val="22"/>
          <w:szCs w:val="22"/>
          <w:lang w:val="es-ES"/>
        </w:rPr>
        <w:t>es</w:t>
      </w:r>
      <w:r w:rsidR="002A6F84" w:rsidRPr="008A2A93">
        <w:rPr>
          <w:sz w:val="22"/>
          <w:szCs w:val="22"/>
          <w:lang w:val="es-ES"/>
        </w:rPr>
        <w:t xml:space="preserve"> en línea sobre la mejora de la gestión del riesgo de desastres en los puertos del Caribe, en apoyo </w:t>
      </w:r>
      <w:r w:rsidR="00387B23" w:rsidRPr="008A2A93">
        <w:rPr>
          <w:sz w:val="22"/>
          <w:szCs w:val="22"/>
          <w:lang w:val="es-ES"/>
        </w:rPr>
        <w:t>al</w:t>
      </w:r>
      <w:r w:rsidR="002A6F84" w:rsidRPr="008A2A93">
        <w:rPr>
          <w:sz w:val="22"/>
          <w:szCs w:val="22"/>
          <w:lang w:val="es-ES"/>
        </w:rPr>
        <w:t xml:space="preserve"> </w:t>
      </w:r>
      <w:r w:rsidR="003A50FF" w:rsidRPr="008A2A93">
        <w:rPr>
          <w:sz w:val="22"/>
          <w:szCs w:val="22"/>
          <w:lang w:val="es-ES"/>
        </w:rPr>
        <w:t>“</w:t>
      </w:r>
      <w:r w:rsidR="002A6F84" w:rsidRPr="008A2A93">
        <w:rPr>
          <w:b/>
          <w:bCs/>
          <w:sz w:val="22"/>
          <w:szCs w:val="22"/>
          <w:lang w:val="es-ES"/>
        </w:rPr>
        <w:t>Proyecto de mejora de la gestión del riesgo de desastres en los puertos del Caribe",</w:t>
      </w:r>
      <w:r w:rsidR="002A6F84" w:rsidRPr="008A2A93">
        <w:rPr>
          <w:sz w:val="22"/>
          <w:szCs w:val="22"/>
          <w:lang w:val="es-ES"/>
        </w:rPr>
        <w:t xml:space="preserve"> </w:t>
      </w:r>
      <w:r w:rsidR="00387B23" w:rsidRPr="008A2A93">
        <w:rPr>
          <w:sz w:val="22"/>
          <w:szCs w:val="22"/>
          <w:lang w:val="es-ES"/>
        </w:rPr>
        <w:t>a través del cual</w:t>
      </w:r>
      <w:r w:rsidR="002A6F84" w:rsidRPr="008A2A93">
        <w:rPr>
          <w:sz w:val="22"/>
          <w:szCs w:val="22"/>
          <w:lang w:val="es-ES"/>
        </w:rPr>
        <w:t xml:space="preserve"> se beneficiaron 44 funcionarios portuarios de diez Estados </w:t>
      </w:r>
      <w:r w:rsidR="00387B23" w:rsidRPr="008A2A93">
        <w:rPr>
          <w:sz w:val="22"/>
          <w:szCs w:val="22"/>
          <w:lang w:val="es-ES"/>
        </w:rPr>
        <w:t>M</w:t>
      </w:r>
      <w:r w:rsidR="002A6F84" w:rsidRPr="008A2A93">
        <w:rPr>
          <w:sz w:val="22"/>
          <w:szCs w:val="22"/>
          <w:lang w:val="es-ES"/>
        </w:rPr>
        <w:t>iembros de la OEA y de un Estado no soberano.</w:t>
      </w:r>
    </w:p>
    <w:p w14:paraId="041FE6F7" w14:textId="77777777" w:rsidR="005F2C83" w:rsidRPr="00512F79" w:rsidRDefault="005F2C83" w:rsidP="00CB030B">
      <w:pPr>
        <w:contextualSpacing/>
        <w:jc w:val="both"/>
        <w:rPr>
          <w:rFonts w:ascii="Times New Roman" w:hAnsi="Times New Roman" w:cs="Times New Roman"/>
          <w:sz w:val="22"/>
          <w:szCs w:val="22"/>
          <w:lang w:val="es-ES"/>
        </w:rPr>
      </w:pPr>
    </w:p>
    <w:p w14:paraId="55E18E1B" w14:textId="77777777" w:rsidR="00F4728E" w:rsidRPr="00512F79" w:rsidRDefault="00967695">
      <w:pPr>
        <w:jc w:val="both"/>
        <w:rPr>
          <w:rFonts w:ascii="Times New Roman" w:eastAsia="Calibri" w:hAnsi="Times New Roman" w:cs="Times New Roman"/>
          <w:b/>
          <w:sz w:val="22"/>
          <w:szCs w:val="22"/>
          <w:u w:val="single"/>
          <w:lang w:val="es-ES"/>
        </w:rPr>
      </w:pPr>
      <w:r w:rsidRPr="00512F79">
        <w:rPr>
          <w:rFonts w:ascii="Times New Roman" w:eastAsia="Calibri" w:hAnsi="Times New Roman" w:cs="Times New Roman"/>
          <w:b/>
          <w:sz w:val="22"/>
          <w:szCs w:val="22"/>
          <w:u w:val="single"/>
          <w:lang w:val="es-ES"/>
        </w:rPr>
        <w:t>OBJETIVO 2.2</w:t>
      </w:r>
    </w:p>
    <w:p w14:paraId="6D738966" w14:textId="77777777" w:rsidR="005F2C83" w:rsidRPr="00512F79" w:rsidRDefault="005F2C83" w:rsidP="00CB030B">
      <w:pPr>
        <w:jc w:val="both"/>
        <w:rPr>
          <w:rFonts w:ascii="Times New Roman" w:eastAsia="Calibri" w:hAnsi="Times New Roman" w:cs="Times New Roman"/>
          <w:b/>
          <w:sz w:val="22"/>
          <w:szCs w:val="22"/>
          <w:u w:val="single"/>
          <w:lang w:val="es-ES"/>
        </w:rPr>
      </w:pPr>
    </w:p>
    <w:p w14:paraId="49158C22" w14:textId="70F2CDE7" w:rsidR="00F4728E" w:rsidRPr="00512F79" w:rsidRDefault="00967695">
      <w:pPr>
        <w:ind w:firstLine="720"/>
        <w:jc w:val="both"/>
        <w:rPr>
          <w:rFonts w:ascii="Times New Roman" w:eastAsia="Calibri" w:hAnsi="Times New Roman" w:cs="Times New Roman"/>
          <w:sz w:val="22"/>
          <w:szCs w:val="22"/>
          <w:lang w:val="es-ES"/>
        </w:rPr>
      </w:pPr>
      <w:r w:rsidRPr="00512F79">
        <w:rPr>
          <w:rFonts w:ascii="Times New Roman" w:eastAsia="Calibri" w:hAnsi="Times New Roman" w:cs="Times New Roman"/>
          <w:sz w:val="22"/>
          <w:szCs w:val="22"/>
          <w:lang w:val="es-ES"/>
        </w:rPr>
        <w:t xml:space="preserve">Aumentar las capacidades </w:t>
      </w:r>
      <w:r w:rsidR="009B0089" w:rsidRPr="00512F79">
        <w:rPr>
          <w:rFonts w:ascii="Times New Roman" w:eastAsia="Calibri" w:hAnsi="Times New Roman" w:cs="Times New Roman"/>
          <w:sz w:val="22"/>
          <w:szCs w:val="22"/>
          <w:lang w:val="es-ES"/>
        </w:rPr>
        <w:t xml:space="preserve">de </w:t>
      </w:r>
      <w:r w:rsidR="00C67D84" w:rsidRPr="00512F79">
        <w:rPr>
          <w:rFonts w:ascii="Times New Roman" w:eastAsia="Calibri" w:hAnsi="Times New Roman" w:cs="Times New Roman"/>
          <w:sz w:val="22"/>
          <w:szCs w:val="22"/>
          <w:lang w:val="es-ES"/>
        </w:rPr>
        <w:t xml:space="preserve">los </w:t>
      </w:r>
      <w:r w:rsidR="005F30B1" w:rsidRPr="00512F79">
        <w:rPr>
          <w:rFonts w:ascii="Times New Roman" w:eastAsia="Calibri" w:hAnsi="Times New Roman" w:cs="Times New Roman"/>
          <w:sz w:val="22"/>
          <w:szCs w:val="22"/>
          <w:lang w:val="es-ES"/>
        </w:rPr>
        <w:t xml:space="preserve">Estados </w:t>
      </w:r>
      <w:r w:rsidR="003A50FF">
        <w:rPr>
          <w:rFonts w:ascii="Times New Roman" w:eastAsia="Calibri" w:hAnsi="Times New Roman" w:cs="Times New Roman"/>
          <w:sz w:val="22"/>
          <w:szCs w:val="22"/>
          <w:lang w:val="es-ES"/>
        </w:rPr>
        <w:t>M</w:t>
      </w:r>
      <w:r w:rsidR="005F30B1" w:rsidRPr="00512F79">
        <w:rPr>
          <w:rFonts w:ascii="Times New Roman" w:eastAsia="Calibri" w:hAnsi="Times New Roman" w:cs="Times New Roman"/>
          <w:sz w:val="22"/>
          <w:szCs w:val="22"/>
          <w:lang w:val="es-ES"/>
        </w:rPr>
        <w:t xml:space="preserve">iembros </w:t>
      </w:r>
      <w:r w:rsidRPr="00512F79">
        <w:rPr>
          <w:rFonts w:ascii="Times New Roman" w:eastAsia="Calibri" w:hAnsi="Times New Roman" w:cs="Times New Roman"/>
          <w:sz w:val="22"/>
          <w:szCs w:val="22"/>
          <w:lang w:val="es-ES"/>
        </w:rPr>
        <w:t xml:space="preserve">en el ámbito de la gestión sostenible de los ecosistemas </w:t>
      </w:r>
      <w:r w:rsidR="00305C36">
        <w:rPr>
          <w:rFonts w:ascii="Times New Roman" w:eastAsia="Calibri" w:hAnsi="Times New Roman" w:cs="Times New Roman"/>
          <w:sz w:val="22"/>
          <w:szCs w:val="22"/>
          <w:lang w:val="es-ES"/>
        </w:rPr>
        <w:t>de acuerdo</w:t>
      </w:r>
      <w:r w:rsidRPr="00512F79">
        <w:rPr>
          <w:rFonts w:ascii="Times New Roman" w:eastAsia="Calibri" w:hAnsi="Times New Roman" w:cs="Times New Roman"/>
          <w:sz w:val="22"/>
          <w:szCs w:val="22"/>
          <w:lang w:val="es-ES"/>
        </w:rPr>
        <w:t xml:space="preserve"> con los objetivos y acciones estratégicas descritos en la sección 3.2 del PIDS.</w:t>
      </w:r>
    </w:p>
    <w:p w14:paraId="2EA4503A" w14:textId="77777777" w:rsidR="00E90D13" w:rsidRPr="00512F79" w:rsidRDefault="00E90D13" w:rsidP="00CB030B">
      <w:pPr>
        <w:jc w:val="both"/>
        <w:rPr>
          <w:rFonts w:ascii="Times New Roman" w:hAnsi="Times New Roman" w:cs="Times New Roman"/>
          <w:b/>
          <w:color w:val="000000" w:themeColor="text1"/>
          <w:sz w:val="22"/>
          <w:szCs w:val="22"/>
          <w:lang w:val="es-ES"/>
        </w:rPr>
      </w:pPr>
    </w:p>
    <w:p w14:paraId="5AADC486" w14:textId="66695CA7" w:rsidR="00F4728E" w:rsidRPr="00512F79" w:rsidRDefault="00967695">
      <w:pPr>
        <w:pStyle w:val="ListParagraph"/>
        <w:numPr>
          <w:ilvl w:val="0"/>
          <w:numId w:val="14"/>
        </w:numPr>
        <w:ind w:left="1440" w:hanging="720"/>
        <w:jc w:val="both"/>
        <w:rPr>
          <w:bCs/>
          <w:color w:val="000000" w:themeColor="text1"/>
          <w:sz w:val="22"/>
          <w:szCs w:val="22"/>
          <w:lang w:val="es-ES"/>
        </w:rPr>
      </w:pPr>
      <w:r w:rsidRPr="00512F79">
        <w:rPr>
          <w:bCs/>
          <w:color w:val="000000" w:themeColor="text1"/>
          <w:sz w:val="22"/>
          <w:szCs w:val="22"/>
          <w:lang w:val="es-ES"/>
        </w:rPr>
        <w:t>Todos los programas y proyectos de SEDI/DD</w:t>
      </w:r>
      <w:r w:rsidR="00305C36">
        <w:rPr>
          <w:bCs/>
          <w:color w:val="000000" w:themeColor="text1"/>
          <w:sz w:val="22"/>
          <w:szCs w:val="22"/>
          <w:lang w:val="es-ES"/>
        </w:rPr>
        <w:t>S</w:t>
      </w:r>
      <w:r w:rsidRPr="00512F79">
        <w:rPr>
          <w:bCs/>
          <w:color w:val="000000" w:themeColor="text1"/>
          <w:sz w:val="22"/>
          <w:szCs w:val="22"/>
          <w:lang w:val="es-ES"/>
        </w:rPr>
        <w:t xml:space="preserve"> trabajan para alcanzar este objetivo. </w:t>
      </w:r>
      <w:r w:rsidR="00E10DC9">
        <w:rPr>
          <w:bCs/>
          <w:color w:val="000000" w:themeColor="text1"/>
          <w:sz w:val="22"/>
          <w:szCs w:val="22"/>
          <w:lang w:val="es-ES"/>
        </w:rPr>
        <w:t>L</w:t>
      </w:r>
      <w:r w:rsidRPr="00512F79">
        <w:rPr>
          <w:bCs/>
          <w:color w:val="000000" w:themeColor="text1"/>
          <w:sz w:val="22"/>
          <w:szCs w:val="22"/>
          <w:lang w:val="es-ES"/>
        </w:rPr>
        <w:t>a gestión sostenible de los ecosistemas es</w:t>
      </w:r>
      <w:r w:rsidR="00E10DC9">
        <w:rPr>
          <w:bCs/>
          <w:color w:val="000000" w:themeColor="text1"/>
          <w:sz w:val="22"/>
          <w:szCs w:val="22"/>
          <w:lang w:val="es-ES"/>
        </w:rPr>
        <w:t>, en especial,</w:t>
      </w:r>
      <w:r w:rsidRPr="00512F79">
        <w:rPr>
          <w:bCs/>
          <w:color w:val="000000" w:themeColor="text1"/>
          <w:sz w:val="22"/>
          <w:szCs w:val="22"/>
          <w:lang w:val="es-ES"/>
        </w:rPr>
        <w:t xml:space="preserve"> un objetivo integral y un componente de todos los proyectos de Gestión Integrada de Recursos Hídricos en cuencas transfronterizas, como la Cuenca del Plata, y biosferas transfronterizas, como la biosfera trinacional de </w:t>
      </w:r>
      <w:r w:rsidRPr="00512F79">
        <w:rPr>
          <w:bCs/>
          <w:i/>
          <w:iCs/>
          <w:color w:val="000000" w:themeColor="text1"/>
          <w:sz w:val="22"/>
          <w:szCs w:val="22"/>
          <w:lang w:val="es-ES"/>
        </w:rPr>
        <w:t xml:space="preserve">La Fraternidad </w:t>
      </w:r>
      <w:r w:rsidRPr="00512F79">
        <w:rPr>
          <w:bCs/>
          <w:color w:val="000000" w:themeColor="text1"/>
          <w:sz w:val="22"/>
          <w:szCs w:val="22"/>
          <w:lang w:val="es-ES"/>
        </w:rPr>
        <w:t xml:space="preserve">en la región del Trifinio. Asimismo, </w:t>
      </w:r>
      <w:r w:rsidR="008A2A93">
        <w:rPr>
          <w:bCs/>
          <w:color w:val="000000" w:themeColor="text1"/>
          <w:sz w:val="22"/>
          <w:szCs w:val="22"/>
          <w:lang w:val="es-ES"/>
        </w:rPr>
        <w:t>toda la labor</w:t>
      </w:r>
      <w:r w:rsidRPr="00512F79">
        <w:rPr>
          <w:bCs/>
          <w:color w:val="000000" w:themeColor="text1"/>
          <w:sz w:val="22"/>
          <w:szCs w:val="22"/>
          <w:lang w:val="es-ES"/>
        </w:rPr>
        <w:t xml:space="preserve"> en materia de energía sostenible, en particular </w:t>
      </w:r>
      <w:r w:rsidR="008A2A93">
        <w:rPr>
          <w:bCs/>
          <w:color w:val="000000" w:themeColor="text1"/>
          <w:sz w:val="22"/>
          <w:szCs w:val="22"/>
          <w:lang w:val="es-ES"/>
        </w:rPr>
        <w:t>la labor destinada a promover las</w:t>
      </w:r>
      <w:r w:rsidRPr="00512F79">
        <w:rPr>
          <w:bCs/>
          <w:color w:val="000000" w:themeColor="text1"/>
          <w:sz w:val="22"/>
          <w:szCs w:val="22"/>
          <w:lang w:val="es-ES"/>
        </w:rPr>
        <w:t xml:space="preserve"> energías renovables, las políticas de transición energética y la eficiencia energética contribuyen a la gestión sostenible de los ecosistemas, sus recursos naturales y sus servicios ecológicos.</w:t>
      </w:r>
      <w:r w:rsidR="008A2A93">
        <w:rPr>
          <w:bCs/>
          <w:color w:val="000000" w:themeColor="text1"/>
          <w:sz w:val="22"/>
          <w:szCs w:val="22"/>
          <w:lang w:val="es-ES"/>
        </w:rPr>
        <w:t xml:space="preserve"> </w:t>
      </w:r>
      <w:r w:rsidRPr="00512F79">
        <w:rPr>
          <w:bCs/>
          <w:color w:val="000000" w:themeColor="text1"/>
          <w:sz w:val="22"/>
          <w:szCs w:val="22"/>
          <w:lang w:val="es-ES"/>
        </w:rPr>
        <w:t xml:space="preserve">Además, </w:t>
      </w:r>
      <w:r w:rsidR="008A2A93">
        <w:rPr>
          <w:bCs/>
          <w:color w:val="000000" w:themeColor="text1"/>
          <w:sz w:val="22"/>
          <w:szCs w:val="22"/>
          <w:lang w:val="es-ES"/>
        </w:rPr>
        <w:t>todos los esfuerzos encaminados a</w:t>
      </w:r>
      <w:r w:rsidRPr="00512F79">
        <w:rPr>
          <w:bCs/>
          <w:color w:val="000000" w:themeColor="text1"/>
          <w:sz w:val="22"/>
          <w:szCs w:val="22"/>
          <w:lang w:val="es-ES"/>
        </w:rPr>
        <w:t xml:space="preserve"> </w:t>
      </w:r>
      <w:r w:rsidR="008A2A93">
        <w:rPr>
          <w:bCs/>
          <w:color w:val="000000" w:themeColor="text1"/>
          <w:sz w:val="22"/>
          <w:szCs w:val="22"/>
          <w:lang w:val="es-ES"/>
        </w:rPr>
        <w:t xml:space="preserve">desarrollar la </w:t>
      </w:r>
      <w:r w:rsidRPr="00512F79">
        <w:rPr>
          <w:bCs/>
          <w:color w:val="000000" w:themeColor="text1"/>
          <w:sz w:val="22"/>
          <w:szCs w:val="22"/>
          <w:lang w:val="es-ES"/>
        </w:rPr>
        <w:t xml:space="preserve">resiliencia </w:t>
      </w:r>
      <w:r w:rsidR="008A2A93">
        <w:rPr>
          <w:bCs/>
          <w:color w:val="000000" w:themeColor="text1"/>
          <w:sz w:val="22"/>
          <w:szCs w:val="22"/>
          <w:lang w:val="es-ES"/>
        </w:rPr>
        <w:t xml:space="preserve">comunitaria </w:t>
      </w:r>
      <w:r w:rsidRPr="00512F79">
        <w:rPr>
          <w:bCs/>
          <w:color w:val="000000" w:themeColor="text1"/>
          <w:sz w:val="22"/>
          <w:szCs w:val="22"/>
          <w:lang w:val="es-ES"/>
        </w:rPr>
        <w:t xml:space="preserve">y la gestión del riesgo de </w:t>
      </w:r>
      <w:r w:rsidR="008A2A93">
        <w:rPr>
          <w:bCs/>
          <w:color w:val="000000" w:themeColor="text1"/>
          <w:sz w:val="22"/>
          <w:szCs w:val="22"/>
          <w:lang w:val="es-ES"/>
        </w:rPr>
        <w:t>desastres</w:t>
      </w:r>
      <w:r w:rsidRPr="00512F79">
        <w:rPr>
          <w:bCs/>
          <w:color w:val="000000" w:themeColor="text1"/>
          <w:sz w:val="22"/>
          <w:szCs w:val="22"/>
          <w:lang w:val="es-ES"/>
        </w:rPr>
        <w:t xml:space="preserve"> contribuyen directamente </w:t>
      </w:r>
      <w:r w:rsidR="008A2A93">
        <w:rPr>
          <w:bCs/>
          <w:color w:val="000000" w:themeColor="text1"/>
          <w:sz w:val="22"/>
          <w:szCs w:val="22"/>
          <w:lang w:val="es-ES"/>
        </w:rPr>
        <w:t>con</w:t>
      </w:r>
      <w:r w:rsidRPr="00512F79">
        <w:rPr>
          <w:bCs/>
          <w:color w:val="000000" w:themeColor="text1"/>
          <w:sz w:val="22"/>
          <w:szCs w:val="22"/>
          <w:lang w:val="es-ES"/>
        </w:rPr>
        <w:t xml:space="preserve"> este objetivo.</w:t>
      </w:r>
    </w:p>
    <w:p w14:paraId="65D70817" w14:textId="055E5A30" w:rsidR="001516E7" w:rsidRPr="00512F79" w:rsidRDefault="001516E7" w:rsidP="00CB030B">
      <w:pPr>
        <w:jc w:val="both"/>
        <w:rPr>
          <w:rFonts w:ascii="Times New Roman" w:hAnsi="Times New Roman" w:cs="Times New Roman"/>
          <w:bCs/>
          <w:color w:val="000000" w:themeColor="text1"/>
          <w:sz w:val="22"/>
          <w:szCs w:val="22"/>
          <w:lang w:val="es-ES"/>
        </w:rPr>
      </w:pPr>
    </w:p>
    <w:p w14:paraId="57593028" w14:textId="77777777" w:rsidR="00F4728E" w:rsidRPr="00512F79" w:rsidRDefault="00967695">
      <w:pPr>
        <w:jc w:val="both"/>
        <w:rPr>
          <w:rFonts w:ascii="Times New Roman" w:eastAsia="Calibri" w:hAnsi="Times New Roman" w:cs="Times New Roman"/>
          <w:b/>
          <w:sz w:val="22"/>
          <w:szCs w:val="22"/>
          <w:u w:val="single"/>
          <w:lang w:val="es-ES"/>
        </w:rPr>
      </w:pPr>
      <w:r w:rsidRPr="00512F79">
        <w:rPr>
          <w:rFonts w:ascii="Times New Roman" w:eastAsia="Calibri" w:hAnsi="Times New Roman" w:cs="Times New Roman"/>
          <w:b/>
          <w:sz w:val="22"/>
          <w:szCs w:val="22"/>
          <w:u w:val="single"/>
          <w:lang w:val="es-ES"/>
        </w:rPr>
        <w:t>OBJETIVO 2.3</w:t>
      </w:r>
    </w:p>
    <w:p w14:paraId="6A3BBE97" w14:textId="77777777" w:rsidR="005F2C83" w:rsidRPr="00512F79" w:rsidRDefault="005F2C83" w:rsidP="00CB030B">
      <w:pPr>
        <w:jc w:val="both"/>
        <w:rPr>
          <w:rFonts w:ascii="Times New Roman" w:eastAsia="Calibri" w:hAnsi="Times New Roman" w:cs="Times New Roman"/>
          <w:sz w:val="22"/>
          <w:szCs w:val="22"/>
          <w:lang w:val="es-ES"/>
        </w:rPr>
      </w:pPr>
    </w:p>
    <w:p w14:paraId="662582F7" w14:textId="73B84B15" w:rsidR="00E92A58" w:rsidRPr="00E92A58" w:rsidRDefault="00E92A58" w:rsidP="00E92A58">
      <w:pPr>
        <w:ind w:firstLine="720"/>
        <w:jc w:val="both"/>
        <w:rPr>
          <w:rFonts w:ascii="Times New Roman" w:hAnsi="Times New Roman" w:cs="Times New Roman"/>
          <w:sz w:val="22"/>
          <w:szCs w:val="22"/>
          <w:lang w:val="es-US"/>
        </w:rPr>
      </w:pPr>
      <w:r w:rsidRPr="00E92A58">
        <w:rPr>
          <w:rFonts w:ascii="Times New Roman" w:hAnsi="Times New Roman" w:cs="Times New Roman"/>
          <w:sz w:val="22"/>
          <w:szCs w:val="22"/>
          <w:lang w:val="es-US"/>
        </w:rPr>
        <w:t>Fomentar las capacidades de los Estados Miembros en la gestión integrada de los recursos hídricos de acuerdo con los objetivos y bases para la acción estipulados en la sección 3.3 del PIDS</w:t>
      </w:r>
      <w:r>
        <w:rPr>
          <w:rFonts w:ascii="Times New Roman" w:hAnsi="Times New Roman" w:cs="Times New Roman"/>
          <w:sz w:val="22"/>
          <w:szCs w:val="22"/>
          <w:lang w:val="es-US"/>
        </w:rPr>
        <w:t xml:space="preserve">. </w:t>
      </w:r>
    </w:p>
    <w:p w14:paraId="6F242760" w14:textId="77777777" w:rsidR="001516E7" w:rsidRPr="00512F79" w:rsidRDefault="001516E7" w:rsidP="00CB030B">
      <w:pPr>
        <w:ind w:left="432" w:hanging="432"/>
        <w:jc w:val="both"/>
        <w:rPr>
          <w:rFonts w:ascii="Times New Roman" w:hAnsi="Times New Roman" w:cs="Times New Roman"/>
          <w:b/>
          <w:color w:val="000000" w:themeColor="text1"/>
          <w:sz w:val="22"/>
          <w:szCs w:val="22"/>
          <w:lang w:val="es-ES"/>
        </w:rPr>
      </w:pPr>
    </w:p>
    <w:p w14:paraId="79972066" w14:textId="77777777" w:rsidR="00F4728E" w:rsidRPr="00512F79" w:rsidRDefault="00967695">
      <w:pPr>
        <w:ind w:firstLine="720"/>
        <w:jc w:val="both"/>
        <w:rPr>
          <w:rFonts w:ascii="Times New Roman" w:eastAsia="Calibri" w:hAnsi="Times New Roman" w:cs="Times New Roman"/>
          <w:b/>
          <w:bCs/>
          <w:sz w:val="22"/>
          <w:szCs w:val="22"/>
          <w:lang w:val="es-ES"/>
        </w:rPr>
      </w:pPr>
      <w:r w:rsidRPr="00512F79">
        <w:rPr>
          <w:rFonts w:ascii="Times New Roman" w:eastAsia="Calibri" w:hAnsi="Times New Roman" w:cs="Times New Roman"/>
          <w:b/>
          <w:bCs/>
          <w:sz w:val="22"/>
          <w:szCs w:val="22"/>
          <w:lang w:val="es-ES"/>
        </w:rPr>
        <w:t>Gestión integrada de los recursos hídricos</w:t>
      </w:r>
    </w:p>
    <w:p w14:paraId="12698103" w14:textId="77777777" w:rsidR="001516E7" w:rsidRPr="00512F79" w:rsidRDefault="001516E7" w:rsidP="00CB030B">
      <w:pPr>
        <w:jc w:val="both"/>
        <w:rPr>
          <w:rFonts w:ascii="Times New Roman" w:hAnsi="Times New Roman" w:cs="Times New Roman"/>
          <w:color w:val="000000" w:themeColor="text1"/>
          <w:sz w:val="22"/>
          <w:szCs w:val="22"/>
          <w:lang w:val="es-ES"/>
        </w:rPr>
      </w:pPr>
    </w:p>
    <w:p w14:paraId="35C2D51A" w14:textId="0F3D46E5" w:rsidR="00F4728E" w:rsidRPr="00512F79" w:rsidRDefault="00BE2E1A">
      <w:pPr>
        <w:pStyle w:val="ListParagraph"/>
        <w:numPr>
          <w:ilvl w:val="0"/>
          <w:numId w:val="14"/>
        </w:numPr>
        <w:ind w:left="1440" w:hanging="720"/>
        <w:jc w:val="both"/>
        <w:rPr>
          <w:color w:val="000000" w:themeColor="text1"/>
          <w:sz w:val="22"/>
          <w:szCs w:val="22"/>
          <w:lang w:val="es-ES"/>
        </w:rPr>
      </w:pPr>
      <w:r>
        <w:rPr>
          <w:color w:val="000000" w:themeColor="text1"/>
          <w:sz w:val="22"/>
          <w:szCs w:val="22"/>
          <w:lang w:val="es-ES"/>
        </w:rPr>
        <w:t>Se ejecutó una donación de</w:t>
      </w:r>
      <w:r w:rsidR="00967695" w:rsidRPr="00512F79">
        <w:rPr>
          <w:color w:val="000000" w:themeColor="text1"/>
          <w:sz w:val="22"/>
          <w:szCs w:val="22"/>
          <w:lang w:val="es-ES"/>
        </w:rPr>
        <w:t xml:space="preserve"> </w:t>
      </w:r>
      <w:r w:rsidR="00AE5375" w:rsidRPr="00512F79">
        <w:rPr>
          <w:color w:val="000000" w:themeColor="text1"/>
          <w:sz w:val="22"/>
          <w:szCs w:val="22"/>
          <w:lang w:val="es-ES"/>
        </w:rPr>
        <w:t>4</w:t>
      </w:r>
      <w:r w:rsidR="00967695" w:rsidRPr="00512F79">
        <w:rPr>
          <w:color w:val="000000" w:themeColor="text1"/>
          <w:sz w:val="22"/>
          <w:szCs w:val="22"/>
          <w:lang w:val="es-ES"/>
        </w:rPr>
        <w:t xml:space="preserve">,8 millones de dólares del Fondo para el Medio Ambiente Mundial (FMAM) </w:t>
      </w:r>
      <w:r w:rsidR="00141240" w:rsidRPr="00512F79">
        <w:rPr>
          <w:color w:val="000000" w:themeColor="text1"/>
          <w:sz w:val="22"/>
          <w:szCs w:val="22"/>
          <w:lang w:val="es-ES"/>
        </w:rPr>
        <w:t xml:space="preserve">a través del </w:t>
      </w:r>
      <w:r w:rsidR="007C0814" w:rsidRPr="00512F79">
        <w:rPr>
          <w:color w:val="000000" w:themeColor="text1"/>
          <w:sz w:val="22"/>
          <w:szCs w:val="22"/>
          <w:lang w:val="es-ES"/>
        </w:rPr>
        <w:t xml:space="preserve">Programa de </w:t>
      </w:r>
      <w:r w:rsidR="00967695" w:rsidRPr="00512F79">
        <w:rPr>
          <w:color w:val="000000" w:themeColor="text1"/>
          <w:sz w:val="22"/>
          <w:szCs w:val="22"/>
          <w:lang w:val="es-ES"/>
        </w:rPr>
        <w:t xml:space="preserve">las Naciones Unidas </w:t>
      </w:r>
      <w:r w:rsidR="007C0814" w:rsidRPr="00512F79">
        <w:rPr>
          <w:color w:val="000000" w:themeColor="text1"/>
          <w:sz w:val="22"/>
          <w:szCs w:val="22"/>
          <w:lang w:val="es-ES"/>
        </w:rPr>
        <w:t xml:space="preserve">para el Medio Ambiente </w:t>
      </w:r>
      <w:r w:rsidR="00967695" w:rsidRPr="00512F79">
        <w:rPr>
          <w:color w:val="000000" w:themeColor="text1"/>
          <w:sz w:val="22"/>
          <w:szCs w:val="22"/>
          <w:lang w:val="es-ES"/>
        </w:rPr>
        <w:t xml:space="preserve">(PNUMA) </w:t>
      </w:r>
      <w:r w:rsidR="00D0636E">
        <w:rPr>
          <w:color w:val="000000" w:themeColor="text1"/>
          <w:sz w:val="22"/>
          <w:szCs w:val="22"/>
          <w:lang w:val="es-ES"/>
        </w:rPr>
        <w:t xml:space="preserve">a fin de </w:t>
      </w:r>
      <w:r w:rsidR="00270446">
        <w:rPr>
          <w:color w:val="000000" w:themeColor="text1"/>
          <w:sz w:val="22"/>
          <w:szCs w:val="22"/>
          <w:lang w:val="es-ES"/>
        </w:rPr>
        <w:t>fomentar la seguridad hídrica de la región de</w:t>
      </w:r>
      <w:r w:rsidR="00967695" w:rsidRPr="00512F79">
        <w:rPr>
          <w:color w:val="000000" w:themeColor="text1"/>
          <w:sz w:val="22"/>
          <w:szCs w:val="22"/>
          <w:lang w:val="es-ES"/>
        </w:rPr>
        <w:t xml:space="preserve"> Trifinio (El Salvador, Honduras y Guatemala).</w:t>
      </w:r>
    </w:p>
    <w:p w14:paraId="7C5E2F4C" w14:textId="77777777" w:rsidR="001516E7" w:rsidRPr="00512F79" w:rsidRDefault="001516E7" w:rsidP="00CB030B">
      <w:pPr>
        <w:pStyle w:val="ListParagraph"/>
        <w:ind w:left="1440" w:hanging="720"/>
        <w:jc w:val="both"/>
        <w:rPr>
          <w:color w:val="000000" w:themeColor="text1"/>
          <w:sz w:val="22"/>
          <w:szCs w:val="22"/>
          <w:lang w:val="es-ES"/>
        </w:rPr>
      </w:pPr>
    </w:p>
    <w:p w14:paraId="0E761D97" w14:textId="2B2690BA" w:rsidR="00F4728E" w:rsidRPr="00512F79" w:rsidRDefault="00205EEB">
      <w:pPr>
        <w:pStyle w:val="ListParagraph"/>
        <w:numPr>
          <w:ilvl w:val="0"/>
          <w:numId w:val="14"/>
        </w:numPr>
        <w:ind w:left="1440" w:hanging="720"/>
        <w:jc w:val="both"/>
        <w:rPr>
          <w:color w:val="000000" w:themeColor="text1"/>
          <w:sz w:val="22"/>
          <w:szCs w:val="22"/>
          <w:lang w:val="es-ES"/>
        </w:rPr>
      </w:pPr>
      <w:r>
        <w:rPr>
          <w:color w:val="000000" w:themeColor="text1"/>
          <w:sz w:val="22"/>
          <w:szCs w:val="22"/>
          <w:lang w:val="es-ES"/>
        </w:rPr>
        <w:t xml:space="preserve">Se implementó </w:t>
      </w:r>
      <w:r w:rsidR="00967695" w:rsidRPr="00512F79">
        <w:rPr>
          <w:color w:val="000000" w:themeColor="text1"/>
          <w:sz w:val="22"/>
          <w:szCs w:val="22"/>
          <w:lang w:val="es-ES"/>
        </w:rPr>
        <w:t xml:space="preserve">el Programa de Fortalecimiento de Capacidades </w:t>
      </w:r>
      <w:r w:rsidR="00E92A58">
        <w:rPr>
          <w:color w:val="000000" w:themeColor="text1"/>
          <w:sz w:val="22"/>
          <w:szCs w:val="22"/>
          <w:lang w:val="es-ES"/>
        </w:rPr>
        <w:t>“</w:t>
      </w:r>
      <w:r w:rsidR="00967695" w:rsidRPr="00512F79">
        <w:rPr>
          <w:b/>
          <w:bCs/>
          <w:color w:val="000000" w:themeColor="text1"/>
          <w:sz w:val="22"/>
          <w:szCs w:val="22"/>
          <w:lang w:val="es-ES"/>
        </w:rPr>
        <w:t>Acción Climática para el Desarrollo en América Latina y el Caribe</w:t>
      </w:r>
      <w:r w:rsidR="00E92A58">
        <w:rPr>
          <w:b/>
          <w:bCs/>
          <w:color w:val="000000" w:themeColor="text1"/>
          <w:sz w:val="22"/>
          <w:szCs w:val="22"/>
          <w:lang w:val="es-ES"/>
        </w:rPr>
        <w:t>”</w:t>
      </w:r>
      <w:r w:rsidR="00967695" w:rsidRPr="00512F79">
        <w:rPr>
          <w:b/>
          <w:bCs/>
          <w:color w:val="000000" w:themeColor="text1"/>
          <w:sz w:val="22"/>
          <w:szCs w:val="22"/>
          <w:lang w:val="es-ES"/>
        </w:rPr>
        <w:t xml:space="preserve"> </w:t>
      </w:r>
      <w:r w:rsidR="00967695" w:rsidRPr="00512F79">
        <w:rPr>
          <w:color w:val="000000" w:themeColor="text1"/>
          <w:sz w:val="22"/>
          <w:szCs w:val="22"/>
          <w:lang w:val="es-ES"/>
        </w:rPr>
        <w:t xml:space="preserve">para alrededor de 700 personas de 23 </w:t>
      </w:r>
      <w:r w:rsidR="005F30B1" w:rsidRPr="00512F79">
        <w:rPr>
          <w:color w:val="000000" w:themeColor="text1"/>
          <w:sz w:val="22"/>
          <w:szCs w:val="22"/>
          <w:lang w:val="es-ES"/>
        </w:rPr>
        <w:t xml:space="preserve">Estados </w:t>
      </w:r>
      <w:r w:rsidR="00E92A58">
        <w:rPr>
          <w:color w:val="000000" w:themeColor="text1"/>
          <w:sz w:val="22"/>
          <w:szCs w:val="22"/>
          <w:lang w:val="es-ES"/>
        </w:rPr>
        <w:t>M</w:t>
      </w:r>
      <w:r w:rsidR="00C67D84" w:rsidRPr="00512F79">
        <w:rPr>
          <w:color w:val="000000" w:themeColor="text1"/>
          <w:sz w:val="22"/>
          <w:szCs w:val="22"/>
          <w:lang w:val="es-ES"/>
        </w:rPr>
        <w:t xml:space="preserve">iembros </w:t>
      </w:r>
      <w:r w:rsidR="00967695" w:rsidRPr="00512F79">
        <w:rPr>
          <w:color w:val="000000" w:themeColor="text1"/>
          <w:sz w:val="22"/>
          <w:szCs w:val="22"/>
          <w:lang w:val="es-ES"/>
        </w:rPr>
        <w:t>de la OEA (Argentina, Barbados, Brasil, Chile, Colombia, Costa Rica, Ecuador, El Salvador, Estados Unidos, Guyana, Haití, Honduras, México, Nicaragua, Panamá, Paraguay, Perú, República Dominicana, Santa Lucía, San Vicente y las Granadinas, Surinam</w:t>
      </w:r>
      <w:r w:rsidR="00E92A58">
        <w:rPr>
          <w:color w:val="000000" w:themeColor="text1"/>
          <w:sz w:val="22"/>
          <w:szCs w:val="22"/>
          <w:lang w:val="es-ES"/>
        </w:rPr>
        <w:t>e</w:t>
      </w:r>
      <w:r w:rsidR="00967695" w:rsidRPr="00512F79">
        <w:rPr>
          <w:color w:val="000000" w:themeColor="text1"/>
          <w:sz w:val="22"/>
          <w:szCs w:val="22"/>
          <w:lang w:val="es-ES"/>
        </w:rPr>
        <w:t xml:space="preserve">, Trinidad y Tobago y Uruguay). El </w:t>
      </w:r>
      <w:r w:rsidR="00DA632C">
        <w:rPr>
          <w:color w:val="000000" w:themeColor="text1"/>
          <w:sz w:val="22"/>
          <w:szCs w:val="22"/>
          <w:lang w:val="es-ES"/>
        </w:rPr>
        <w:t>p</w:t>
      </w:r>
      <w:r w:rsidR="00967695" w:rsidRPr="00512F79">
        <w:rPr>
          <w:color w:val="000000" w:themeColor="text1"/>
          <w:sz w:val="22"/>
          <w:szCs w:val="22"/>
          <w:lang w:val="es-ES"/>
        </w:rPr>
        <w:t xml:space="preserve">rograma se ofreció gratuitamente a grupos de negociadores climáticos, </w:t>
      </w:r>
      <w:r w:rsidR="00E92A58">
        <w:rPr>
          <w:color w:val="000000" w:themeColor="text1"/>
          <w:sz w:val="22"/>
          <w:szCs w:val="22"/>
          <w:lang w:val="es-ES"/>
        </w:rPr>
        <w:t>encargados</w:t>
      </w:r>
      <w:r w:rsidR="00967695" w:rsidRPr="00512F79">
        <w:rPr>
          <w:color w:val="000000" w:themeColor="text1"/>
          <w:sz w:val="22"/>
          <w:szCs w:val="22"/>
          <w:lang w:val="es-ES"/>
        </w:rPr>
        <w:t xml:space="preserve"> de la toma de decisiones y representantes de instituciones gubernamentales con competencias en medio ambiente y clima de los países de </w:t>
      </w:r>
      <w:r w:rsidR="00E92A58">
        <w:rPr>
          <w:color w:val="000000" w:themeColor="text1"/>
          <w:sz w:val="22"/>
          <w:szCs w:val="22"/>
          <w:lang w:val="es-ES"/>
        </w:rPr>
        <w:t xml:space="preserve">América Latina y el Caribe </w:t>
      </w:r>
      <w:r w:rsidR="00967695" w:rsidRPr="00512F79">
        <w:rPr>
          <w:color w:val="000000" w:themeColor="text1"/>
          <w:sz w:val="22"/>
          <w:szCs w:val="22"/>
          <w:lang w:val="es-ES"/>
        </w:rPr>
        <w:t>en dos ciclos de implementación.</w:t>
      </w:r>
    </w:p>
    <w:p w14:paraId="535404CE" w14:textId="77777777" w:rsidR="001516E7" w:rsidRPr="00512F79" w:rsidRDefault="001516E7" w:rsidP="00CB030B">
      <w:pPr>
        <w:ind w:left="1440" w:hanging="720"/>
        <w:jc w:val="both"/>
        <w:rPr>
          <w:rFonts w:ascii="Times New Roman" w:hAnsi="Times New Roman" w:cs="Times New Roman"/>
          <w:color w:val="000000" w:themeColor="text1"/>
          <w:sz w:val="22"/>
          <w:szCs w:val="22"/>
          <w:highlight w:val="yellow"/>
          <w:lang w:val="es-ES"/>
        </w:rPr>
      </w:pPr>
    </w:p>
    <w:p w14:paraId="6459E6D8" w14:textId="6519C1EA" w:rsidR="00F4728E" w:rsidRPr="00512F79" w:rsidRDefault="004D00E3">
      <w:pPr>
        <w:pStyle w:val="ListParagraph"/>
        <w:numPr>
          <w:ilvl w:val="0"/>
          <w:numId w:val="14"/>
        </w:numPr>
        <w:ind w:left="1440" w:hanging="720"/>
        <w:jc w:val="both"/>
        <w:rPr>
          <w:color w:val="000000" w:themeColor="text1"/>
          <w:sz w:val="22"/>
          <w:szCs w:val="22"/>
          <w:lang w:val="es-ES"/>
        </w:rPr>
      </w:pPr>
      <w:r>
        <w:rPr>
          <w:color w:val="000000" w:themeColor="text1"/>
          <w:sz w:val="22"/>
          <w:szCs w:val="22"/>
          <w:lang w:val="es-ES"/>
        </w:rPr>
        <w:t>Se finalizó</w:t>
      </w:r>
      <w:r w:rsidR="00967695" w:rsidRPr="00512F79">
        <w:rPr>
          <w:color w:val="000000" w:themeColor="text1"/>
          <w:sz w:val="22"/>
          <w:szCs w:val="22"/>
          <w:lang w:val="es-ES"/>
        </w:rPr>
        <w:t xml:space="preserve"> la </w:t>
      </w:r>
      <w:r w:rsidR="0036360A">
        <w:rPr>
          <w:color w:val="000000" w:themeColor="text1"/>
          <w:sz w:val="22"/>
          <w:szCs w:val="22"/>
          <w:lang w:val="es-ES"/>
        </w:rPr>
        <w:t xml:space="preserve">implementación </w:t>
      </w:r>
      <w:r w:rsidR="00967695" w:rsidRPr="00512F79">
        <w:rPr>
          <w:color w:val="000000" w:themeColor="text1"/>
          <w:sz w:val="22"/>
          <w:szCs w:val="22"/>
          <w:lang w:val="es-ES"/>
        </w:rPr>
        <w:t xml:space="preserve">del </w:t>
      </w:r>
      <w:r w:rsidR="00DA632C">
        <w:rPr>
          <w:color w:val="000000" w:themeColor="text1"/>
          <w:sz w:val="22"/>
          <w:szCs w:val="22"/>
          <w:lang w:val="es-ES"/>
        </w:rPr>
        <w:t>p</w:t>
      </w:r>
      <w:r w:rsidR="00967695" w:rsidRPr="00512F79">
        <w:rPr>
          <w:color w:val="000000" w:themeColor="text1"/>
          <w:sz w:val="22"/>
          <w:szCs w:val="22"/>
          <w:lang w:val="es-ES"/>
        </w:rPr>
        <w:t xml:space="preserve">royecto Cuenca </w:t>
      </w:r>
      <w:r w:rsidR="00967695" w:rsidRPr="00DA632C">
        <w:rPr>
          <w:color w:val="000000" w:themeColor="text1"/>
          <w:sz w:val="22"/>
          <w:szCs w:val="22"/>
          <w:lang w:val="es-ES"/>
        </w:rPr>
        <w:t>del Plata</w:t>
      </w:r>
      <w:r w:rsidR="00967695" w:rsidRPr="00512F79">
        <w:rPr>
          <w:i/>
          <w:iCs/>
          <w:color w:val="000000" w:themeColor="text1"/>
          <w:sz w:val="22"/>
          <w:szCs w:val="22"/>
          <w:lang w:val="es-ES"/>
        </w:rPr>
        <w:t xml:space="preserve"> </w:t>
      </w:r>
      <w:r w:rsidR="00967695" w:rsidRPr="00512F79">
        <w:rPr>
          <w:color w:val="000000" w:themeColor="text1"/>
          <w:sz w:val="22"/>
          <w:szCs w:val="22"/>
          <w:lang w:val="es-ES"/>
        </w:rPr>
        <w:t xml:space="preserve">(Argentina, Bolivia, Brasil, Uruguay y Paraguay), desarrollado a través de una donación de </w:t>
      </w:r>
      <w:r w:rsidR="00AE5375" w:rsidRPr="00512F79">
        <w:rPr>
          <w:color w:val="000000" w:themeColor="text1"/>
          <w:sz w:val="22"/>
          <w:szCs w:val="22"/>
          <w:lang w:val="es-ES"/>
        </w:rPr>
        <w:t xml:space="preserve">US$2 </w:t>
      </w:r>
      <w:r w:rsidR="00967695" w:rsidRPr="00512F79">
        <w:rPr>
          <w:color w:val="000000" w:themeColor="text1"/>
          <w:sz w:val="22"/>
          <w:szCs w:val="22"/>
          <w:lang w:val="es-ES"/>
        </w:rPr>
        <w:t xml:space="preserve">millones asegurada por el FMAM a través de </w:t>
      </w:r>
      <w:r>
        <w:rPr>
          <w:color w:val="000000" w:themeColor="text1"/>
          <w:sz w:val="22"/>
          <w:szCs w:val="22"/>
          <w:lang w:val="es-ES"/>
        </w:rPr>
        <w:t xml:space="preserve">la </w:t>
      </w:r>
      <w:r w:rsidR="00967695" w:rsidRPr="00512F79">
        <w:rPr>
          <w:color w:val="000000" w:themeColor="text1"/>
          <w:sz w:val="22"/>
          <w:szCs w:val="22"/>
          <w:lang w:val="es-ES"/>
        </w:rPr>
        <w:t>CAF para la implementación del Plan de Acción Estratégico (PAE)</w:t>
      </w:r>
      <w:r>
        <w:rPr>
          <w:color w:val="000000" w:themeColor="text1"/>
          <w:sz w:val="22"/>
          <w:szCs w:val="22"/>
          <w:lang w:val="es-ES"/>
        </w:rPr>
        <w:t xml:space="preserve"> a fin de</w:t>
      </w:r>
      <w:r w:rsidR="00967695" w:rsidRPr="00512F79">
        <w:rPr>
          <w:color w:val="000000" w:themeColor="text1"/>
          <w:sz w:val="22"/>
          <w:szCs w:val="22"/>
          <w:lang w:val="es-ES"/>
        </w:rPr>
        <w:t xml:space="preserve"> acelerar acciones en las áreas prioritarias de seguridad hídrica, resiliencia climática y salud de los ecosistemas, </w:t>
      </w:r>
      <w:r>
        <w:rPr>
          <w:color w:val="000000" w:themeColor="text1"/>
          <w:sz w:val="22"/>
          <w:szCs w:val="22"/>
          <w:lang w:val="es-ES"/>
        </w:rPr>
        <w:t>con inclusión del</w:t>
      </w:r>
      <w:r w:rsidR="00967695" w:rsidRPr="00512F79">
        <w:rPr>
          <w:color w:val="000000" w:themeColor="text1"/>
          <w:sz w:val="22"/>
          <w:szCs w:val="22"/>
          <w:lang w:val="es-ES"/>
        </w:rPr>
        <w:t xml:space="preserve"> desarrollo de una cartera de proyectos multisectoriales </w:t>
      </w:r>
      <w:r w:rsidR="00C175C9" w:rsidRPr="00512F79">
        <w:rPr>
          <w:color w:val="000000" w:themeColor="text1"/>
          <w:sz w:val="22"/>
          <w:szCs w:val="22"/>
          <w:lang w:val="es-ES"/>
        </w:rPr>
        <w:t xml:space="preserve">a corto plazo </w:t>
      </w:r>
      <w:r w:rsidR="00967695" w:rsidRPr="00512F79">
        <w:rPr>
          <w:color w:val="000000" w:themeColor="text1"/>
          <w:sz w:val="22"/>
          <w:szCs w:val="22"/>
          <w:lang w:val="es-ES"/>
        </w:rPr>
        <w:t>para toda la cuenca</w:t>
      </w:r>
      <w:r w:rsidR="00C175C9" w:rsidRPr="00512F79">
        <w:rPr>
          <w:color w:val="000000" w:themeColor="text1"/>
          <w:sz w:val="22"/>
          <w:szCs w:val="22"/>
          <w:lang w:val="es-ES"/>
        </w:rPr>
        <w:t>.</w:t>
      </w:r>
    </w:p>
    <w:p w14:paraId="6A03FAD5" w14:textId="77777777" w:rsidR="001516E7" w:rsidRPr="00512F79" w:rsidRDefault="001516E7" w:rsidP="00CB030B">
      <w:pPr>
        <w:pStyle w:val="ListParagraph"/>
        <w:ind w:left="1440" w:hanging="720"/>
        <w:jc w:val="both"/>
        <w:rPr>
          <w:color w:val="000000" w:themeColor="text1"/>
          <w:sz w:val="22"/>
          <w:szCs w:val="22"/>
          <w:lang w:val="es-ES"/>
        </w:rPr>
      </w:pPr>
    </w:p>
    <w:p w14:paraId="67F9E720" w14:textId="6144AB03" w:rsidR="00F4728E" w:rsidRPr="00512F79" w:rsidRDefault="007F226E">
      <w:pPr>
        <w:pStyle w:val="ListParagraph"/>
        <w:numPr>
          <w:ilvl w:val="0"/>
          <w:numId w:val="14"/>
        </w:numPr>
        <w:ind w:left="1440" w:hanging="720"/>
        <w:jc w:val="both"/>
        <w:rPr>
          <w:color w:val="000000" w:themeColor="text1"/>
          <w:sz w:val="22"/>
          <w:szCs w:val="22"/>
          <w:lang w:val="es-ES"/>
        </w:rPr>
      </w:pPr>
      <w:r>
        <w:rPr>
          <w:color w:val="000000" w:themeColor="text1"/>
          <w:sz w:val="22"/>
          <w:szCs w:val="22"/>
          <w:lang w:val="es-ES"/>
        </w:rPr>
        <w:t xml:space="preserve">Se desarrolló </w:t>
      </w:r>
      <w:r w:rsidR="0067583B" w:rsidRPr="00512F79">
        <w:rPr>
          <w:color w:val="000000" w:themeColor="text1"/>
          <w:sz w:val="22"/>
          <w:szCs w:val="22"/>
          <w:lang w:val="es-ES"/>
        </w:rPr>
        <w:t xml:space="preserve">una </w:t>
      </w:r>
      <w:r w:rsidR="00967695" w:rsidRPr="00512F79">
        <w:rPr>
          <w:color w:val="000000" w:themeColor="text1"/>
          <w:sz w:val="22"/>
          <w:szCs w:val="22"/>
          <w:lang w:val="es-ES"/>
        </w:rPr>
        <w:t xml:space="preserve">nueva fase de proyecto para la </w:t>
      </w:r>
      <w:r w:rsidR="004D00E3">
        <w:rPr>
          <w:color w:val="000000" w:themeColor="text1"/>
          <w:sz w:val="22"/>
          <w:szCs w:val="22"/>
          <w:lang w:val="es-ES"/>
        </w:rPr>
        <w:t>i</w:t>
      </w:r>
      <w:r w:rsidR="00967695" w:rsidRPr="00512F79">
        <w:rPr>
          <w:color w:val="000000" w:themeColor="text1"/>
          <w:sz w:val="22"/>
          <w:szCs w:val="22"/>
          <w:lang w:val="es-ES"/>
        </w:rPr>
        <w:t xml:space="preserve">mplementación de las prioridades del </w:t>
      </w:r>
      <w:r w:rsidR="00EB431F">
        <w:rPr>
          <w:color w:val="000000" w:themeColor="text1"/>
          <w:sz w:val="22"/>
          <w:szCs w:val="22"/>
          <w:lang w:val="es-ES"/>
        </w:rPr>
        <w:t>Plan de Acción Estratégico (</w:t>
      </w:r>
      <w:r w:rsidR="00967695" w:rsidRPr="00512F79">
        <w:rPr>
          <w:color w:val="000000" w:themeColor="text1"/>
          <w:sz w:val="22"/>
          <w:szCs w:val="22"/>
          <w:lang w:val="es-ES"/>
        </w:rPr>
        <w:t>PAE</w:t>
      </w:r>
      <w:r w:rsidR="00EB431F">
        <w:rPr>
          <w:color w:val="000000" w:themeColor="text1"/>
          <w:sz w:val="22"/>
          <w:szCs w:val="22"/>
          <w:lang w:val="es-ES"/>
        </w:rPr>
        <w:t>)</w:t>
      </w:r>
      <w:r w:rsidR="00967695" w:rsidRPr="00512F79">
        <w:rPr>
          <w:color w:val="000000" w:themeColor="text1"/>
          <w:sz w:val="22"/>
          <w:szCs w:val="22"/>
          <w:lang w:val="es-ES"/>
        </w:rPr>
        <w:t xml:space="preserve"> de la Cuenca </w:t>
      </w:r>
      <w:r w:rsidR="00967695" w:rsidRPr="00EB431F">
        <w:rPr>
          <w:color w:val="000000" w:themeColor="text1"/>
          <w:sz w:val="22"/>
          <w:szCs w:val="22"/>
          <w:lang w:val="es-ES"/>
        </w:rPr>
        <w:t>del Plata</w:t>
      </w:r>
      <w:r w:rsidR="00967695" w:rsidRPr="00512F79">
        <w:rPr>
          <w:i/>
          <w:iCs/>
          <w:color w:val="000000" w:themeColor="text1"/>
          <w:sz w:val="22"/>
          <w:szCs w:val="22"/>
          <w:lang w:val="es-ES"/>
        </w:rPr>
        <w:t xml:space="preserve"> </w:t>
      </w:r>
      <w:r w:rsidR="00967695" w:rsidRPr="00512F79">
        <w:rPr>
          <w:color w:val="000000" w:themeColor="text1"/>
          <w:sz w:val="22"/>
          <w:szCs w:val="22"/>
          <w:lang w:val="es-ES"/>
        </w:rPr>
        <w:t xml:space="preserve">a través de acciones regionales y nacionales, que </w:t>
      </w:r>
      <w:r w:rsidR="00486EE3">
        <w:rPr>
          <w:color w:val="000000" w:themeColor="text1"/>
          <w:sz w:val="22"/>
          <w:szCs w:val="22"/>
          <w:lang w:val="es-ES"/>
        </w:rPr>
        <w:t xml:space="preserve">fueron presentadas </w:t>
      </w:r>
      <w:r w:rsidR="00967695" w:rsidRPr="00512F79">
        <w:rPr>
          <w:color w:val="000000" w:themeColor="text1"/>
          <w:sz w:val="22"/>
          <w:szCs w:val="22"/>
          <w:lang w:val="es-ES"/>
        </w:rPr>
        <w:t xml:space="preserve">al </w:t>
      </w:r>
      <w:r w:rsidR="004D00E3">
        <w:rPr>
          <w:color w:val="000000" w:themeColor="text1"/>
          <w:sz w:val="22"/>
          <w:szCs w:val="22"/>
          <w:lang w:val="es-ES"/>
        </w:rPr>
        <w:t xml:space="preserve">Fondo para el Medio Ambiente Mundial </w:t>
      </w:r>
      <w:r w:rsidR="00967695" w:rsidRPr="00512F79">
        <w:rPr>
          <w:color w:val="000000" w:themeColor="text1"/>
          <w:sz w:val="22"/>
          <w:szCs w:val="22"/>
          <w:lang w:val="es-ES"/>
        </w:rPr>
        <w:t xml:space="preserve">a través de la CAF por </w:t>
      </w:r>
      <w:r w:rsidR="00AE5375" w:rsidRPr="00512F79">
        <w:rPr>
          <w:color w:val="000000" w:themeColor="text1"/>
          <w:sz w:val="22"/>
          <w:szCs w:val="22"/>
          <w:lang w:val="es-ES"/>
        </w:rPr>
        <w:t xml:space="preserve">US$15 </w:t>
      </w:r>
      <w:r w:rsidR="00967695" w:rsidRPr="00512F79">
        <w:rPr>
          <w:color w:val="000000" w:themeColor="text1"/>
          <w:sz w:val="22"/>
          <w:szCs w:val="22"/>
          <w:lang w:val="es-ES"/>
        </w:rPr>
        <w:t>millones a ser ejecutados entre 2023-2028.</w:t>
      </w:r>
    </w:p>
    <w:p w14:paraId="562204A8" w14:textId="77777777" w:rsidR="001516E7" w:rsidRPr="00512F79" w:rsidRDefault="001516E7" w:rsidP="00CB030B">
      <w:pPr>
        <w:ind w:left="1440" w:hanging="720"/>
        <w:jc w:val="both"/>
        <w:rPr>
          <w:rFonts w:ascii="Times New Roman" w:hAnsi="Times New Roman" w:cs="Times New Roman"/>
          <w:color w:val="000000" w:themeColor="text1"/>
          <w:sz w:val="22"/>
          <w:szCs w:val="22"/>
          <w:lang w:val="es-ES"/>
        </w:rPr>
      </w:pPr>
    </w:p>
    <w:p w14:paraId="79249DB9" w14:textId="32FBFCEA" w:rsidR="00F4728E" w:rsidRPr="00512F79" w:rsidRDefault="000F7F51">
      <w:pPr>
        <w:pStyle w:val="ListParagraph"/>
        <w:numPr>
          <w:ilvl w:val="0"/>
          <w:numId w:val="14"/>
        </w:numPr>
        <w:ind w:left="1440" w:hanging="720"/>
        <w:jc w:val="both"/>
        <w:rPr>
          <w:color w:val="000000" w:themeColor="text1"/>
          <w:sz w:val="22"/>
          <w:szCs w:val="22"/>
          <w:lang w:val="es-ES"/>
        </w:rPr>
      </w:pPr>
      <w:r>
        <w:rPr>
          <w:color w:val="000000" w:themeColor="text1"/>
          <w:sz w:val="22"/>
          <w:szCs w:val="22"/>
          <w:lang w:val="es-ES"/>
        </w:rPr>
        <w:t xml:space="preserve">Se desarrolló </w:t>
      </w:r>
      <w:r w:rsidR="00967695" w:rsidRPr="00512F79">
        <w:rPr>
          <w:color w:val="000000" w:themeColor="text1"/>
          <w:sz w:val="22"/>
          <w:szCs w:val="22"/>
          <w:lang w:val="es-ES"/>
        </w:rPr>
        <w:t xml:space="preserve">el documento de proyecto y el plan de implementación del </w:t>
      </w:r>
      <w:r w:rsidR="004D00E3" w:rsidRPr="004D00E3">
        <w:rPr>
          <w:b/>
          <w:bCs/>
          <w:color w:val="000000" w:themeColor="text1"/>
          <w:sz w:val="22"/>
          <w:szCs w:val="22"/>
          <w:lang w:val="es-ES"/>
        </w:rPr>
        <w:t>“</w:t>
      </w:r>
      <w:r w:rsidR="00967695" w:rsidRPr="00512F79">
        <w:rPr>
          <w:b/>
          <w:bCs/>
          <w:color w:val="000000" w:themeColor="text1"/>
          <w:sz w:val="22"/>
          <w:szCs w:val="22"/>
          <w:lang w:val="es-ES"/>
        </w:rPr>
        <w:t xml:space="preserve">Proyecto de </w:t>
      </w:r>
      <w:r w:rsidR="004D00E3">
        <w:rPr>
          <w:b/>
          <w:bCs/>
          <w:color w:val="000000" w:themeColor="text1"/>
          <w:sz w:val="22"/>
          <w:szCs w:val="22"/>
          <w:lang w:val="es-ES"/>
        </w:rPr>
        <w:t>Gestión</w:t>
      </w:r>
      <w:r w:rsidR="00967695" w:rsidRPr="00512F79">
        <w:rPr>
          <w:b/>
          <w:bCs/>
          <w:color w:val="000000" w:themeColor="text1"/>
          <w:sz w:val="22"/>
          <w:szCs w:val="22"/>
          <w:lang w:val="es-ES"/>
        </w:rPr>
        <w:t xml:space="preserve"> Sostenible y Resiliente al Clima de </w:t>
      </w:r>
      <w:r w:rsidR="004D00E3">
        <w:rPr>
          <w:b/>
          <w:bCs/>
          <w:color w:val="000000" w:themeColor="text1"/>
          <w:sz w:val="22"/>
          <w:szCs w:val="22"/>
          <w:lang w:val="es-ES"/>
        </w:rPr>
        <w:t xml:space="preserve">los </w:t>
      </w:r>
      <w:r w:rsidR="00967695" w:rsidRPr="00512F79">
        <w:rPr>
          <w:b/>
          <w:bCs/>
          <w:color w:val="000000" w:themeColor="text1"/>
          <w:sz w:val="22"/>
          <w:szCs w:val="22"/>
          <w:lang w:val="es-ES"/>
        </w:rPr>
        <w:t>Ecosistemas Altoandinos</w:t>
      </w:r>
      <w:r w:rsidR="004D00E3">
        <w:rPr>
          <w:b/>
          <w:bCs/>
          <w:color w:val="000000" w:themeColor="text1"/>
          <w:sz w:val="22"/>
          <w:szCs w:val="22"/>
          <w:lang w:val="es-ES"/>
        </w:rPr>
        <w:t>”</w:t>
      </w:r>
      <w:r w:rsidR="00AE19FB">
        <w:rPr>
          <w:b/>
          <w:bCs/>
          <w:color w:val="000000" w:themeColor="text1"/>
          <w:sz w:val="22"/>
          <w:szCs w:val="22"/>
          <w:lang w:val="es-ES"/>
        </w:rPr>
        <w:t>,</w:t>
      </w:r>
      <w:r w:rsidR="00967695" w:rsidRPr="00512F79">
        <w:rPr>
          <w:b/>
          <w:bCs/>
          <w:color w:val="000000" w:themeColor="text1"/>
          <w:sz w:val="22"/>
          <w:szCs w:val="22"/>
          <w:lang w:val="es-ES"/>
        </w:rPr>
        <w:t xml:space="preserve"> </w:t>
      </w:r>
      <w:r w:rsidR="00967695" w:rsidRPr="00512F79">
        <w:rPr>
          <w:color w:val="000000" w:themeColor="text1"/>
          <w:sz w:val="22"/>
          <w:szCs w:val="22"/>
          <w:lang w:val="es-ES"/>
        </w:rPr>
        <w:t xml:space="preserve">una iniciativa regional (Bolivia, Colombia, Ecuador y Perú) con </w:t>
      </w:r>
      <w:r w:rsidR="004847B0">
        <w:rPr>
          <w:color w:val="000000" w:themeColor="text1"/>
          <w:sz w:val="22"/>
          <w:szCs w:val="22"/>
          <w:lang w:val="es-ES"/>
        </w:rPr>
        <w:t xml:space="preserve">US$5 </w:t>
      </w:r>
      <w:r w:rsidR="00967695" w:rsidRPr="00512F79">
        <w:rPr>
          <w:color w:val="000000" w:themeColor="text1"/>
          <w:sz w:val="22"/>
          <w:szCs w:val="22"/>
          <w:lang w:val="es-ES"/>
        </w:rPr>
        <w:t xml:space="preserve">millones de dólares </w:t>
      </w:r>
      <w:r w:rsidR="00EC71D8" w:rsidRPr="00512F79">
        <w:rPr>
          <w:color w:val="000000" w:themeColor="text1"/>
          <w:sz w:val="22"/>
          <w:szCs w:val="22"/>
          <w:lang w:val="es-ES"/>
        </w:rPr>
        <w:t xml:space="preserve">aportados por </w:t>
      </w:r>
      <w:r w:rsidR="00967695" w:rsidRPr="00512F79">
        <w:rPr>
          <w:color w:val="000000" w:themeColor="text1"/>
          <w:sz w:val="22"/>
          <w:szCs w:val="22"/>
          <w:lang w:val="es-ES"/>
        </w:rPr>
        <w:t>la Agencia Suiza para el Desarrollo y la Cooperación (</w:t>
      </w:r>
      <w:r w:rsidR="00EC71D8" w:rsidRPr="00512F79">
        <w:rPr>
          <w:color w:val="000000" w:themeColor="text1"/>
          <w:sz w:val="22"/>
          <w:szCs w:val="22"/>
          <w:lang w:val="es-ES"/>
        </w:rPr>
        <w:t xml:space="preserve">COSUDE) que se </w:t>
      </w:r>
      <w:r w:rsidR="00967695" w:rsidRPr="00512F79">
        <w:rPr>
          <w:color w:val="000000" w:themeColor="text1"/>
          <w:sz w:val="22"/>
          <w:szCs w:val="22"/>
          <w:lang w:val="es-ES"/>
        </w:rPr>
        <w:t>implementará entre 2023-2028.</w:t>
      </w:r>
    </w:p>
    <w:p w14:paraId="575D653E" w14:textId="77777777" w:rsidR="001516E7" w:rsidRPr="00512F79" w:rsidRDefault="001516E7" w:rsidP="00CB030B">
      <w:pPr>
        <w:ind w:left="1440" w:hanging="720"/>
        <w:jc w:val="both"/>
        <w:rPr>
          <w:rFonts w:ascii="Times New Roman" w:hAnsi="Times New Roman" w:cs="Times New Roman"/>
          <w:color w:val="000000" w:themeColor="text1"/>
          <w:sz w:val="22"/>
          <w:szCs w:val="22"/>
          <w:lang w:val="es-ES"/>
        </w:rPr>
      </w:pPr>
    </w:p>
    <w:p w14:paraId="0CC3C004" w14:textId="4A6B5C4D" w:rsidR="00F4728E" w:rsidRPr="00512F79" w:rsidRDefault="005C546D">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C</w:t>
      </w:r>
      <w:r w:rsidRPr="005C546D">
        <w:rPr>
          <w:color w:val="000000" w:themeColor="text1"/>
          <w:sz w:val="22"/>
          <w:szCs w:val="22"/>
          <w:lang w:val="es-ES"/>
        </w:rPr>
        <w:t xml:space="preserve">omenzó la ejecución de una nueva actividad de proyecto para promover la </w:t>
      </w:r>
      <w:r w:rsidRPr="00AE19FB">
        <w:rPr>
          <w:color w:val="000000" w:themeColor="text1"/>
          <w:sz w:val="22"/>
          <w:szCs w:val="22"/>
          <w:lang w:val="es-ES"/>
        </w:rPr>
        <w:t>"</w:t>
      </w:r>
      <w:r w:rsidRPr="00AE19FB">
        <w:rPr>
          <w:b/>
          <w:bCs/>
          <w:color w:val="000000" w:themeColor="text1"/>
          <w:sz w:val="22"/>
          <w:szCs w:val="22"/>
          <w:lang w:val="es-ES"/>
        </w:rPr>
        <w:t>Resiliencia hídrica para un noreste de Haití sensible a la sequía</w:t>
      </w:r>
      <w:r w:rsidRPr="00AE19FB">
        <w:rPr>
          <w:color w:val="000000" w:themeColor="text1"/>
          <w:sz w:val="22"/>
          <w:szCs w:val="22"/>
          <w:lang w:val="es-ES"/>
        </w:rPr>
        <w:t>". Esta actividad es la continuación de la cooperación actual entre la OEA, FUPAD y USAID para</w:t>
      </w:r>
      <w:r w:rsidRPr="005C546D">
        <w:rPr>
          <w:color w:val="000000" w:themeColor="text1"/>
          <w:sz w:val="22"/>
          <w:szCs w:val="22"/>
          <w:lang w:val="es-ES"/>
        </w:rPr>
        <w:t xml:space="preserve"> el proyecto de </w:t>
      </w:r>
      <w:r w:rsidR="003C66EE" w:rsidRPr="003C66EE">
        <w:rPr>
          <w:i/>
          <w:iCs/>
          <w:color w:val="000000" w:themeColor="text1"/>
          <w:sz w:val="22"/>
          <w:szCs w:val="22"/>
          <w:lang w:val="es-ES"/>
        </w:rPr>
        <w:t>Community Driven Development</w:t>
      </w:r>
      <w:r w:rsidR="003C66EE">
        <w:rPr>
          <w:color w:val="000000" w:themeColor="text1"/>
          <w:sz w:val="22"/>
          <w:szCs w:val="22"/>
          <w:lang w:val="es-ES"/>
        </w:rPr>
        <w:t xml:space="preserve"> [</w:t>
      </w:r>
      <w:r w:rsidRPr="005C546D">
        <w:rPr>
          <w:color w:val="000000" w:themeColor="text1"/>
          <w:sz w:val="22"/>
          <w:szCs w:val="22"/>
          <w:lang w:val="es-ES"/>
        </w:rPr>
        <w:t>Desarrollo Impulsado por la Comunidad</w:t>
      </w:r>
      <w:r w:rsidR="003C66EE">
        <w:rPr>
          <w:color w:val="000000" w:themeColor="text1"/>
          <w:sz w:val="22"/>
          <w:szCs w:val="22"/>
          <w:lang w:val="es-ES"/>
        </w:rPr>
        <w:t>]</w:t>
      </w:r>
      <w:r w:rsidRPr="005C546D">
        <w:rPr>
          <w:color w:val="000000" w:themeColor="text1"/>
          <w:sz w:val="22"/>
          <w:szCs w:val="22"/>
          <w:lang w:val="es-ES"/>
        </w:rPr>
        <w:t xml:space="preserve">. El proyecto invertirá </w:t>
      </w:r>
      <w:r w:rsidR="00D9173E">
        <w:rPr>
          <w:color w:val="000000" w:themeColor="text1"/>
          <w:sz w:val="22"/>
          <w:szCs w:val="22"/>
          <w:lang w:val="es-ES"/>
        </w:rPr>
        <w:t>US$</w:t>
      </w:r>
      <w:r w:rsidRPr="005C546D">
        <w:rPr>
          <w:color w:val="000000" w:themeColor="text1"/>
          <w:sz w:val="22"/>
          <w:szCs w:val="22"/>
          <w:lang w:val="es-ES"/>
        </w:rPr>
        <w:t xml:space="preserve">3,9 millones de dólares </w:t>
      </w:r>
      <w:r w:rsidR="00AE19FB">
        <w:rPr>
          <w:color w:val="000000" w:themeColor="text1"/>
          <w:sz w:val="22"/>
          <w:szCs w:val="22"/>
          <w:lang w:val="es-ES"/>
        </w:rPr>
        <w:t>con el propósito de</w:t>
      </w:r>
      <w:r w:rsidRPr="005C546D">
        <w:rPr>
          <w:color w:val="000000" w:themeColor="text1"/>
          <w:sz w:val="22"/>
          <w:szCs w:val="22"/>
          <w:lang w:val="es-ES"/>
        </w:rPr>
        <w:t xml:space="preserve"> aumentar la seguridad hídrica, promover la seguridad alimentaria y apoyar los medios de subsistencia de los agricultores mediante la movilización de medidas de gestión adaptativa del agua que mitiguen las sequías periódicas y otros trastornos y tensiones en el departamento del Noreste de Haití.</w:t>
      </w:r>
    </w:p>
    <w:p w14:paraId="233D98A1" w14:textId="77777777" w:rsidR="001516E7" w:rsidRPr="00512F79" w:rsidRDefault="001516E7" w:rsidP="00CB030B">
      <w:pPr>
        <w:ind w:left="1440" w:hanging="720"/>
        <w:jc w:val="both"/>
        <w:rPr>
          <w:rFonts w:ascii="Times New Roman" w:hAnsi="Times New Roman" w:cs="Times New Roman"/>
          <w:color w:val="000000" w:themeColor="text1"/>
          <w:sz w:val="22"/>
          <w:szCs w:val="22"/>
          <w:lang w:val="es-ES"/>
        </w:rPr>
      </w:pPr>
    </w:p>
    <w:p w14:paraId="4CAA0C07" w14:textId="35BFF980" w:rsidR="00F4728E" w:rsidRPr="00512F79" w:rsidRDefault="005C546D">
      <w:pPr>
        <w:pStyle w:val="ListParagraph"/>
        <w:numPr>
          <w:ilvl w:val="0"/>
          <w:numId w:val="14"/>
        </w:numPr>
        <w:ind w:left="1440" w:hanging="720"/>
        <w:contextualSpacing/>
        <w:jc w:val="both"/>
        <w:rPr>
          <w:color w:val="000000" w:themeColor="text1"/>
          <w:sz w:val="22"/>
          <w:szCs w:val="22"/>
          <w:lang w:val="es-ES"/>
        </w:rPr>
      </w:pPr>
      <w:r w:rsidRPr="005C546D">
        <w:rPr>
          <w:color w:val="000000" w:themeColor="text1"/>
          <w:sz w:val="22"/>
          <w:szCs w:val="22"/>
          <w:lang w:val="es-ES"/>
        </w:rPr>
        <w:t xml:space="preserve">La SEDI/DDS se </w:t>
      </w:r>
      <w:r w:rsidR="00AA5FA2">
        <w:rPr>
          <w:color w:val="000000" w:themeColor="text1"/>
          <w:sz w:val="22"/>
          <w:szCs w:val="22"/>
          <w:lang w:val="es-ES"/>
        </w:rPr>
        <w:t>asoció</w:t>
      </w:r>
      <w:r w:rsidRPr="005C546D">
        <w:rPr>
          <w:color w:val="000000" w:themeColor="text1"/>
          <w:sz w:val="22"/>
          <w:szCs w:val="22"/>
          <w:lang w:val="es-ES"/>
        </w:rPr>
        <w:t xml:space="preserve"> con el </w:t>
      </w:r>
      <w:r w:rsidR="00510D2B" w:rsidRPr="003C15F1">
        <w:rPr>
          <w:sz w:val="22"/>
          <w:szCs w:val="22"/>
          <w:lang w:val="es-US"/>
        </w:rPr>
        <w:t xml:space="preserve">Banco Interamericano de Desarrollo (BID), el Programa de las Naciones Unidas para el Medio Ambiente (PNUMA), la </w:t>
      </w:r>
      <w:r w:rsidR="004A62E3">
        <w:rPr>
          <w:sz w:val="22"/>
          <w:szCs w:val="22"/>
          <w:lang w:val="es-US"/>
        </w:rPr>
        <w:t>Agencia Alemana de Cooperación Internacional</w:t>
      </w:r>
      <w:r w:rsidR="00510D2B" w:rsidRPr="003C15F1">
        <w:rPr>
          <w:i/>
          <w:iCs/>
          <w:sz w:val="22"/>
          <w:szCs w:val="22"/>
          <w:lang w:val="es-US"/>
        </w:rPr>
        <w:t xml:space="preserve"> </w:t>
      </w:r>
      <w:r w:rsidR="00510D2B" w:rsidRPr="003C15F1">
        <w:rPr>
          <w:sz w:val="22"/>
          <w:szCs w:val="22"/>
          <w:lang w:val="es-US"/>
        </w:rPr>
        <w:t xml:space="preserve">(GIZ) </w:t>
      </w:r>
      <w:r w:rsidRPr="005C546D">
        <w:rPr>
          <w:color w:val="000000" w:themeColor="text1"/>
          <w:sz w:val="22"/>
          <w:szCs w:val="22"/>
          <w:lang w:val="es-ES"/>
        </w:rPr>
        <w:t xml:space="preserve">y la Secretaría del Convenio de Cartagena para ejecutar el proyecto </w:t>
      </w:r>
      <w:r w:rsidR="00637C45">
        <w:rPr>
          <w:color w:val="000000" w:themeColor="text1"/>
          <w:sz w:val="22"/>
          <w:szCs w:val="22"/>
          <w:lang w:val="es-ES"/>
        </w:rPr>
        <w:t>“</w:t>
      </w:r>
      <w:r w:rsidRPr="00637C45">
        <w:rPr>
          <w:b/>
          <w:bCs/>
          <w:color w:val="000000" w:themeColor="text1"/>
          <w:sz w:val="22"/>
          <w:szCs w:val="22"/>
          <w:lang w:val="es-ES"/>
        </w:rPr>
        <w:t>Fondo Regional del Caribe para la Gestión de Aguas Residuales</w:t>
      </w:r>
      <w:r w:rsidR="00637C45">
        <w:rPr>
          <w:b/>
          <w:bCs/>
          <w:color w:val="000000" w:themeColor="text1"/>
          <w:sz w:val="22"/>
          <w:szCs w:val="22"/>
          <w:lang w:val="es-ES"/>
        </w:rPr>
        <w:t>”</w:t>
      </w:r>
      <w:r w:rsidR="00637C45" w:rsidRPr="00637C45">
        <w:rPr>
          <w:color w:val="000000" w:themeColor="text1"/>
          <w:sz w:val="22"/>
          <w:szCs w:val="22"/>
          <w:lang w:val="es-ES"/>
        </w:rPr>
        <w:t xml:space="preserve"> </w:t>
      </w:r>
      <w:r w:rsidR="00637C45" w:rsidRPr="005C546D">
        <w:rPr>
          <w:color w:val="000000" w:themeColor="text1"/>
          <w:sz w:val="22"/>
          <w:szCs w:val="22"/>
          <w:lang w:val="es-ES"/>
        </w:rPr>
        <w:t>d</w:t>
      </w:r>
      <w:r w:rsidR="00637C45">
        <w:rPr>
          <w:color w:val="000000" w:themeColor="text1"/>
          <w:sz w:val="22"/>
          <w:szCs w:val="22"/>
          <w:lang w:val="es-ES"/>
        </w:rPr>
        <w:t>el F</w:t>
      </w:r>
      <w:r w:rsidR="00637C45" w:rsidRPr="005C546D">
        <w:rPr>
          <w:color w:val="000000" w:themeColor="text1"/>
          <w:sz w:val="22"/>
          <w:szCs w:val="22"/>
          <w:lang w:val="es-ES"/>
        </w:rPr>
        <w:t>MAM</w:t>
      </w:r>
      <w:r w:rsidRPr="005C546D">
        <w:rPr>
          <w:color w:val="000000" w:themeColor="text1"/>
          <w:sz w:val="22"/>
          <w:szCs w:val="22"/>
          <w:lang w:val="es-ES"/>
        </w:rPr>
        <w:t xml:space="preserve">, </w:t>
      </w:r>
      <w:r w:rsidR="00510D2B">
        <w:rPr>
          <w:color w:val="000000" w:themeColor="text1"/>
          <w:sz w:val="22"/>
          <w:szCs w:val="22"/>
          <w:lang w:val="es-ES"/>
        </w:rPr>
        <w:t>en</w:t>
      </w:r>
      <w:r w:rsidRPr="005C546D">
        <w:rPr>
          <w:color w:val="000000" w:themeColor="text1"/>
          <w:sz w:val="22"/>
          <w:szCs w:val="22"/>
          <w:lang w:val="es-ES"/>
        </w:rPr>
        <w:t xml:space="preserve"> la Región del Gran Caribe (Barbados, Belize, Colombia, Costa Rica, Cuba, Grenada, Guatemala, Guyana, Honduras, Jamaica, México, Panamá, República Dominicana, Saint Kitts y Nevis, Santa Lucía, San Vicente y las Granadinas, Suriname y Trinidad y Tobago). La SEDI/DDS se encarga de la coordinación general del proyecto mientras que Barbados dirige el desarrollo de una Estrategia Nacional de Comunicaci</w:t>
      </w:r>
      <w:r w:rsidR="00510D2B">
        <w:rPr>
          <w:color w:val="000000" w:themeColor="text1"/>
          <w:sz w:val="22"/>
          <w:szCs w:val="22"/>
          <w:lang w:val="es-ES"/>
        </w:rPr>
        <w:t>ones</w:t>
      </w:r>
      <w:r w:rsidRPr="005C546D">
        <w:rPr>
          <w:color w:val="000000" w:themeColor="text1"/>
          <w:sz w:val="22"/>
          <w:szCs w:val="22"/>
          <w:lang w:val="es-ES"/>
        </w:rPr>
        <w:t xml:space="preserve"> (y el </w:t>
      </w:r>
      <w:r w:rsidR="00510D2B">
        <w:rPr>
          <w:color w:val="000000" w:themeColor="text1"/>
          <w:sz w:val="22"/>
          <w:szCs w:val="22"/>
          <w:lang w:val="es-ES"/>
        </w:rPr>
        <w:t>P</w:t>
      </w:r>
      <w:r w:rsidRPr="005C546D">
        <w:rPr>
          <w:color w:val="000000" w:themeColor="text1"/>
          <w:sz w:val="22"/>
          <w:szCs w:val="22"/>
          <w:lang w:val="es-ES"/>
        </w:rPr>
        <w:t xml:space="preserve">lan de </w:t>
      </w:r>
      <w:r w:rsidR="00510D2B">
        <w:rPr>
          <w:color w:val="000000" w:themeColor="text1"/>
          <w:sz w:val="22"/>
          <w:szCs w:val="22"/>
          <w:lang w:val="es-ES"/>
        </w:rPr>
        <w:t>I</w:t>
      </w:r>
      <w:r w:rsidRPr="005C546D">
        <w:rPr>
          <w:color w:val="000000" w:themeColor="text1"/>
          <w:sz w:val="22"/>
          <w:szCs w:val="22"/>
          <w:lang w:val="es-ES"/>
        </w:rPr>
        <w:t xml:space="preserve">mplementación </w:t>
      </w:r>
      <w:r w:rsidR="00510D2B">
        <w:rPr>
          <w:color w:val="000000" w:themeColor="text1"/>
          <w:sz w:val="22"/>
          <w:szCs w:val="22"/>
          <w:lang w:val="es-ES"/>
        </w:rPr>
        <w:t>Asociado</w:t>
      </w:r>
      <w:r w:rsidRPr="005C546D">
        <w:rPr>
          <w:color w:val="000000" w:themeColor="text1"/>
          <w:sz w:val="22"/>
          <w:szCs w:val="22"/>
          <w:lang w:val="es-ES"/>
        </w:rPr>
        <w:t>) para la Gestión Integrada del Agua y las Aguas Residuales</w:t>
      </w:r>
      <w:r w:rsidR="00510D2B">
        <w:rPr>
          <w:color w:val="000000" w:themeColor="text1"/>
          <w:sz w:val="22"/>
          <w:szCs w:val="22"/>
          <w:lang w:val="es-ES"/>
        </w:rPr>
        <w:t xml:space="preserve"> (IWWM)</w:t>
      </w:r>
      <w:r w:rsidRPr="005C546D">
        <w:rPr>
          <w:color w:val="000000" w:themeColor="text1"/>
          <w:sz w:val="22"/>
          <w:szCs w:val="22"/>
          <w:lang w:val="es-ES"/>
        </w:rPr>
        <w:t>, una evaluación medioambiental para un Fondo Rotatorio de Aguas Residuales y el desarrollo de un mecanismo de cofinanciación/fondo rotatorio para apoyar la adopción de programas de tratamiento y reutilización de aguas residuales.</w:t>
      </w:r>
      <w:r>
        <w:rPr>
          <w:color w:val="000000" w:themeColor="text1"/>
          <w:sz w:val="22"/>
          <w:szCs w:val="22"/>
          <w:lang w:val="es-ES"/>
        </w:rPr>
        <w:t xml:space="preserve"> </w:t>
      </w:r>
    </w:p>
    <w:p w14:paraId="0035DDD5" w14:textId="77777777" w:rsidR="001516E7" w:rsidRPr="00512F79" w:rsidRDefault="001516E7" w:rsidP="00CB030B">
      <w:pPr>
        <w:pStyle w:val="ListParagraph"/>
        <w:ind w:left="1440"/>
        <w:contextualSpacing/>
        <w:jc w:val="both"/>
        <w:rPr>
          <w:color w:val="000000" w:themeColor="text1"/>
          <w:sz w:val="22"/>
          <w:szCs w:val="22"/>
          <w:lang w:val="es-ES"/>
        </w:rPr>
      </w:pPr>
    </w:p>
    <w:p w14:paraId="329C59B0" w14:textId="66FCF64C" w:rsidR="00F4728E" w:rsidRPr="00512F79" w:rsidRDefault="00FA2641">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Se inició</w:t>
      </w:r>
      <w:r w:rsidR="00967695" w:rsidRPr="00512F79">
        <w:rPr>
          <w:color w:val="000000" w:themeColor="text1"/>
          <w:sz w:val="22"/>
          <w:szCs w:val="22"/>
          <w:lang w:val="es-ES"/>
        </w:rPr>
        <w:t xml:space="preserve"> el desarrollo de </w:t>
      </w:r>
      <w:r w:rsidR="00215CD8" w:rsidRPr="004C6E14">
        <w:rPr>
          <w:b/>
          <w:bCs/>
          <w:color w:val="000000" w:themeColor="text1"/>
          <w:sz w:val="22"/>
          <w:szCs w:val="22"/>
          <w:lang w:val="es-ES"/>
        </w:rPr>
        <w:t>“</w:t>
      </w:r>
      <w:r w:rsidR="00967695" w:rsidRPr="00512F79">
        <w:rPr>
          <w:b/>
          <w:bCs/>
          <w:color w:val="000000" w:themeColor="text1"/>
          <w:sz w:val="22"/>
          <w:szCs w:val="22"/>
          <w:lang w:val="es-ES"/>
        </w:rPr>
        <w:t>Ciencia para la toma de decisiones en aguas transfronterizas en América Latina y el Caribe</w:t>
      </w:r>
      <w:r w:rsidR="00215CD8">
        <w:rPr>
          <w:b/>
          <w:bCs/>
          <w:color w:val="000000" w:themeColor="text1"/>
          <w:sz w:val="22"/>
          <w:szCs w:val="22"/>
          <w:lang w:val="es-ES"/>
        </w:rPr>
        <w:t>”</w:t>
      </w:r>
      <w:r w:rsidR="00C3751E" w:rsidRPr="00512F79">
        <w:rPr>
          <w:b/>
          <w:bCs/>
          <w:color w:val="000000" w:themeColor="text1"/>
          <w:sz w:val="22"/>
          <w:szCs w:val="22"/>
          <w:lang w:val="es-ES"/>
        </w:rPr>
        <w:t xml:space="preserve">, </w:t>
      </w:r>
      <w:r w:rsidR="00967695" w:rsidRPr="00512F79">
        <w:rPr>
          <w:color w:val="000000" w:themeColor="text1"/>
          <w:sz w:val="22"/>
          <w:szCs w:val="22"/>
          <w:lang w:val="es-ES"/>
        </w:rPr>
        <w:t xml:space="preserve">en coordinación con el </w:t>
      </w:r>
      <w:r w:rsidR="00215CD8" w:rsidRPr="009F744A">
        <w:rPr>
          <w:i/>
          <w:iCs/>
          <w:color w:val="000000" w:themeColor="text1"/>
          <w:sz w:val="22"/>
          <w:szCs w:val="22"/>
          <w:lang w:val="es-ES"/>
        </w:rPr>
        <w:t>U.S. Science and Applications Team</w:t>
      </w:r>
      <w:r w:rsidR="00215CD8" w:rsidRPr="00215CD8">
        <w:rPr>
          <w:color w:val="000000" w:themeColor="text1"/>
          <w:sz w:val="22"/>
          <w:szCs w:val="22"/>
          <w:lang w:val="es-ES"/>
        </w:rPr>
        <w:t xml:space="preserve"> </w:t>
      </w:r>
      <w:r w:rsidR="00215CD8">
        <w:rPr>
          <w:color w:val="000000" w:themeColor="text1"/>
          <w:sz w:val="22"/>
          <w:szCs w:val="22"/>
          <w:lang w:val="es-ES"/>
        </w:rPr>
        <w:t>[</w:t>
      </w:r>
      <w:r w:rsidR="00967695" w:rsidRPr="00512F79">
        <w:rPr>
          <w:color w:val="000000" w:themeColor="text1"/>
          <w:sz w:val="22"/>
          <w:szCs w:val="22"/>
          <w:lang w:val="es-ES"/>
        </w:rPr>
        <w:t xml:space="preserve">Equipo de Ciencia y Aplicaciones de </w:t>
      </w:r>
      <w:r w:rsidR="00215CD8">
        <w:rPr>
          <w:color w:val="000000" w:themeColor="text1"/>
          <w:sz w:val="22"/>
          <w:szCs w:val="22"/>
          <w:lang w:val="es-ES"/>
        </w:rPr>
        <w:t xml:space="preserve">Estados Unidos] </w:t>
      </w:r>
      <w:r w:rsidR="00967695" w:rsidRPr="004C6E14">
        <w:rPr>
          <w:color w:val="000000" w:themeColor="text1"/>
          <w:sz w:val="22"/>
          <w:szCs w:val="22"/>
          <w:lang w:val="es-ES"/>
        </w:rPr>
        <w:t>de la Fuerza de</w:t>
      </w:r>
      <w:r w:rsidR="00E531F6" w:rsidRPr="004C6E14">
        <w:rPr>
          <w:color w:val="000000" w:themeColor="text1"/>
          <w:sz w:val="22"/>
          <w:szCs w:val="22"/>
          <w:lang w:val="es-ES"/>
        </w:rPr>
        <w:t xml:space="preserve">l Equipo de Tareas Interagencial </w:t>
      </w:r>
      <w:r w:rsidR="00967695" w:rsidRPr="004C6E14">
        <w:rPr>
          <w:color w:val="000000" w:themeColor="text1"/>
          <w:sz w:val="22"/>
          <w:szCs w:val="22"/>
          <w:lang w:val="es-ES"/>
        </w:rPr>
        <w:t>del Agua</w:t>
      </w:r>
      <w:r w:rsidR="00967695" w:rsidRPr="00512F79">
        <w:rPr>
          <w:color w:val="000000" w:themeColor="text1"/>
          <w:sz w:val="22"/>
          <w:szCs w:val="22"/>
          <w:lang w:val="es-ES"/>
        </w:rPr>
        <w:t xml:space="preserve"> y otros actores </w:t>
      </w:r>
      <w:r w:rsidR="00182412">
        <w:rPr>
          <w:color w:val="000000" w:themeColor="text1"/>
          <w:sz w:val="22"/>
          <w:szCs w:val="22"/>
          <w:lang w:val="es-ES"/>
        </w:rPr>
        <w:t>pertinentes</w:t>
      </w:r>
      <w:r w:rsidR="00967695" w:rsidRPr="00512F79">
        <w:rPr>
          <w:color w:val="000000" w:themeColor="text1"/>
          <w:sz w:val="22"/>
          <w:szCs w:val="22"/>
          <w:lang w:val="es-ES"/>
        </w:rPr>
        <w:t xml:space="preserve"> en las Américas. En el marco de esta iniciativa conjunta, se organizó el primer taller </w:t>
      </w:r>
      <w:r w:rsidR="00967695" w:rsidRPr="00512F79">
        <w:rPr>
          <w:b/>
          <w:bCs/>
          <w:color w:val="000000" w:themeColor="text1"/>
          <w:sz w:val="22"/>
          <w:szCs w:val="22"/>
          <w:lang w:val="es-ES"/>
        </w:rPr>
        <w:t>"Creación de capacidades sobre herramientas y metodologías basadas en datos y ciencia para la gestión eficaz de los recursos hídricos en la Cuenca del Plata"</w:t>
      </w:r>
      <w:r w:rsidR="00967695" w:rsidRPr="00512F79">
        <w:rPr>
          <w:color w:val="000000" w:themeColor="text1"/>
          <w:sz w:val="22"/>
          <w:szCs w:val="22"/>
          <w:lang w:val="es-ES"/>
        </w:rPr>
        <w:t>, destinado a 25 funcionarios de los sectores del agua y el medio ambiente.</w:t>
      </w:r>
    </w:p>
    <w:p w14:paraId="6950A4FE" w14:textId="77777777" w:rsidR="001516E7" w:rsidRPr="00512F79" w:rsidRDefault="001516E7" w:rsidP="00CB030B">
      <w:pPr>
        <w:pStyle w:val="ListParagraph"/>
        <w:rPr>
          <w:color w:val="000000" w:themeColor="text1"/>
          <w:sz w:val="22"/>
          <w:szCs w:val="22"/>
          <w:lang w:val="es-ES"/>
        </w:rPr>
      </w:pPr>
    </w:p>
    <w:p w14:paraId="3329730E" w14:textId="3270F01F" w:rsidR="00F4728E" w:rsidRPr="00512F79" w:rsidRDefault="00182412">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 xml:space="preserve">Se </w:t>
      </w:r>
      <w:r w:rsidR="00C76357">
        <w:rPr>
          <w:color w:val="000000" w:themeColor="text1"/>
          <w:sz w:val="22"/>
          <w:szCs w:val="22"/>
          <w:lang w:val="es-ES"/>
        </w:rPr>
        <w:t xml:space="preserve">organizó </w:t>
      </w:r>
      <w:r w:rsidR="00967695" w:rsidRPr="00512F79">
        <w:rPr>
          <w:color w:val="000000" w:themeColor="text1"/>
          <w:sz w:val="22"/>
          <w:szCs w:val="22"/>
          <w:lang w:val="es-ES"/>
        </w:rPr>
        <w:t xml:space="preserve">el </w:t>
      </w:r>
      <w:r w:rsidR="007542C9" w:rsidRPr="007542C9">
        <w:rPr>
          <w:b/>
          <w:bCs/>
          <w:color w:val="000000" w:themeColor="text1"/>
          <w:sz w:val="22"/>
          <w:szCs w:val="22"/>
          <w:lang w:val="es-ES"/>
        </w:rPr>
        <w:t>II</w:t>
      </w:r>
      <w:r w:rsidR="00967695" w:rsidRPr="00512F79">
        <w:rPr>
          <w:color w:val="000000" w:themeColor="text1"/>
          <w:sz w:val="22"/>
          <w:szCs w:val="22"/>
          <w:lang w:val="es-ES"/>
        </w:rPr>
        <w:t xml:space="preserve"> </w:t>
      </w:r>
      <w:r w:rsidR="00967695" w:rsidRPr="00512F79">
        <w:rPr>
          <w:b/>
          <w:bCs/>
          <w:color w:val="000000" w:themeColor="text1"/>
          <w:sz w:val="22"/>
          <w:szCs w:val="22"/>
          <w:lang w:val="es-ES"/>
        </w:rPr>
        <w:t xml:space="preserve">Simposio Internacional sobre Aguas Transfronterizas </w:t>
      </w:r>
      <w:r w:rsidR="007542C9">
        <w:rPr>
          <w:b/>
          <w:bCs/>
          <w:color w:val="000000" w:themeColor="text1"/>
          <w:sz w:val="22"/>
          <w:szCs w:val="22"/>
          <w:lang w:val="es-ES"/>
        </w:rPr>
        <w:t>para</w:t>
      </w:r>
      <w:r w:rsidR="00967695" w:rsidRPr="00512F79">
        <w:rPr>
          <w:b/>
          <w:bCs/>
          <w:color w:val="000000" w:themeColor="text1"/>
          <w:sz w:val="22"/>
          <w:szCs w:val="22"/>
          <w:lang w:val="es-ES"/>
        </w:rPr>
        <w:t xml:space="preserve"> América Latina y el Caribe</w:t>
      </w:r>
      <w:r w:rsidR="00967695" w:rsidRPr="00512F79">
        <w:rPr>
          <w:color w:val="000000" w:themeColor="text1"/>
          <w:sz w:val="22"/>
          <w:szCs w:val="22"/>
          <w:lang w:val="es-ES"/>
        </w:rPr>
        <w:t xml:space="preserve">, dirigido por el </w:t>
      </w:r>
      <w:r>
        <w:rPr>
          <w:color w:val="000000" w:themeColor="text1"/>
          <w:sz w:val="22"/>
          <w:szCs w:val="22"/>
          <w:lang w:val="es-ES"/>
        </w:rPr>
        <w:t>G</w:t>
      </w:r>
      <w:r w:rsidR="00967695" w:rsidRPr="00512F79">
        <w:rPr>
          <w:color w:val="000000" w:themeColor="text1"/>
          <w:sz w:val="22"/>
          <w:szCs w:val="22"/>
          <w:lang w:val="es-ES"/>
        </w:rPr>
        <w:t xml:space="preserve">obierno de Bolivia en colaboración con el </w:t>
      </w:r>
      <w:r w:rsidR="00EC71D8" w:rsidRPr="00512F79">
        <w:rPr>
          <w:color w:val="000000" w:themeColor="text1"/>
          <w:sz w:val="22"/>
          <w:szCs w:val="22"/>
          <w:lang w:val="es-ES"/>
        </w:rPr>
        <w:t>BID, la COSUDE</w:t>
      </w:r>
      <w:r w:rsidR="00967695" w:rsidRPr="00512F79">
        <w:rPr>
          <w:color w:val="000000" w:themeColor="text1"/>
          <w:sz w:val="22"/>
          <w:szCs w:val="22"/>
          <w:lang w:val="es-ES"/>
        </w:rPr>
        <w:t xml:space="preserve">, </w:t>
      </w:r>
      <w:r w:rsidR="00EC71D8" w:rsidRPr="00512F79">
        <w:rPr>
          <w:color w:val="000000" w:themeColor="text1"/>
          <w:sz w:val="22"/>
          <w:szCs w:val="22"/>
          <w:lang w:val="es-ES"/>
        </w:rPr>
        <w:t xml:space="preserve">la GIZ y la </w:t>
      </w:r>
      <w:r w:rsidR="00967695" w:rsidRPr="00512F79">
        <w:rPr>
          <w:color w:val="000000" w:themeColor="text1"/>
          <w:sz w:val="22"/>
          <w:szCs w:val="22"/>
          <w:lang w:val="es-ES"/>
        </w:rPr>
        <w:t>Comisión Económica para Europa de las Naciones Unidas</w:t>
      </w:r>
      <w:r w:rsidR="00EC71D8" w:rsidRPr="00512F79">
        <w:rPr>
          <w:color w:val="000000" w:themeColor="text1"/>
          <w:sz w:val="22"/>
          <w:szCs w:val="22"/>
          <w:lang w:val="es-ES"/>
        </w:rPr>
        <w:t>.</w:t>
      </w:r>
    </w:p>
    <w:p w14:paraId="223D9E5D" w14:textId="77777777" w:rsidR="001516E7" w:rsidRPr="00512F79" w:rsidRDefault="001516E7" w:rsidP="00CB030B">
      <w:pPr>
        <w:ind w:left="1440" w:hanging="720"/>
        <w:jc w:val="both"/>
        <w:rPr>
          <w:rFonts w:ascii="Times New Roman" w:hAnsi="Times New Roman" w:cs="Times New Roman"/>
          <w:color w:val="000000" w:themeColor="text1"/>
          <w:sz w:val="22"/>
          <w:szCs w:val="22"/>
          <w:lang w:val="es-ES"/>
        </w:rPr>
      </w:pPr>
    </w:p>
    <w:p w14:paraId="582FA9D0" w14:textId="4C42D1D6" w:rsidR="00F4728E" w:rsidRPr="00512F79" w:rsidRDefault="00182412">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Se mejoró el</w:t>
      </w:r>
      <w:r w:rsidR="00967695" w:rsidRPr="00512F79">
        <w:rPr>
          <w:color w:val="000000" w:themeColor="text1"/>
          <w:sz w:val="22"/>
          <w:szCs w:val="22"/>
          <w:lang w:val="es-ES"/>
        </w:rPr>
        <w:t xml:space="preserve"> </w:t>
      </w:r>
      <w:r>
        <w:rPr>
          <w:color w:val="000000" w:themeColor="text1"/>
          <w:sz w:val="22"/>
          <w:szCs w:val="22"/>
          <w:lang w:val="es-ES"/>
        </w:rPr>
        <w:t>s</w:t>
      </w:r>
      <w:r w:rsidR="00967695" w:rsidRPr="00512F79">
        <w:rPr>
          <w:color w:val="000000" w:themeColor="text1"/>
          <w:sz w:val="22"/>
          <w:szCs w:val="22"/>
          <w:lang w:val="es-ES"/>
        </w:rPr>
        <w:t xml:space="preserve">istema de </w:t>
      </w:r>
      <w:r>
        <w:rPr>
          <w:color w:val="000000" w:themeColor="text1"/>
          <w:sz w:val="22"/>
          <w:szCs w:val="22"/>
          <w:lang w:val="es-ES"/>
        </w:rPr>
        <w:t>a</w:t>
      </w:r>
      <w:r w:rsidR="00967695" w:rsidRPr="00512F79">
        <w:rPr>
          <w:color w:val="000000" w:themeColor="text1"/>
          <w:sz w:val="22"/>
          <w:szCs w:val="22"/>
          <w:lang w:val="es-ES"/>
        </w:rPr>
        <w:t xml:space="preserve">poyo a la </w:t>
      </w:r>
      <w:r>
        <w:rPr>
          <w:color w:val="000000" w:themeColor="text1"/>
          <w:sz w:val="22"/>
          <w:szCs w:val="22"/>
          <w:lang w:val="es-ES"/>
        </w:rPr>
        <w:t>t</w:t>
      </w:r>
      <w:r w:rsidR="00967695" w:rsidRPr="00512F79">
        <w:rPr>
          <w:color w:val="000000" w:themeColor="text1"/>
          <w:sz w:val="22"/>
          <w:szCs w:val="22"/>
          <w:lang w:val="es-ES"/>
        </w:rPr>
        <w:t xml:space="preserve">oma de </w:t>
      </w:r>
      <w:r>
        <w:rPr>
          <w:color w:val="000000" w:themeColor="text1"/>
          <w:sz w:val="22"/>
          <w:szCs w:val="22"/>
          <w:lang w:val="es-ES"/>
        </w:rPr>
        <w:t>d</w:t>
      </w:r>
      <w:r w:rsidR="00967695" w:rsidRPr="00512F79">
        <w:rPr>
          <w:color w:val="000000" w:themeColor="text1"/>
          <w:sz w:val="22"/>
          <w:szCs w:val="22"/>
          <w:lang w:val="es-ES"/>
        </w:rPr>
        <w:t xml:space="preserve">ecisiones (DSS) en Recursos Hídricos para la Cuenca del Plata. El DSS ayudará a los </w:t>
      </w:r>
      <w:r>
        <w:rPr>
          <w:color w:val="000000" w:themeColor="text1"/>
          <w:sz w:val="22"/>
          <w:szCs w:val="22"/>
          <w:lang w:val="es-ES"/>
        </w:rPr>
        <w:t>encargados</w:t>
      </w:r>
      <w:r w:rsidR="00967695" w:rsidRPr="00512F79">
        <w:rPr>
          <w:color w:val="000000" w:themeColor="text1"/>
          <w:sz w:val="22"/>
          <w:szCs w:val="22"/>
          <w:lang w:val="es-ES"/>
        </w:rPr>
        <w:t xml:space="preserve"> de la toma de decisiones a </w:t>
      </w:r>
      <w:r w:rsidR="00C3751E" w:rsidRPr="00512F79">
        <w:rPr>
          <w:color w:val="000000" w:themeColor="text1"/>
          <w:sz w:val="22"/>
          <w:szCs w:val="22"/>
          <w:lang w:val="es-ES"/>
        </w:rPr>
        <w:t xml:space="preserve">formarse una imagen más clara </w:t>
      </w:r>
      <w:r>
        <w:rPr>
          <w:color w:val="000000" w:themeColor="text1"/>
          <w:sz w:val="22"/>
          <w:szCs w:val="22"/>
          <w:lang w:val="es-ES"/>
        </w:rPr>
        <w:t>sobre</w:t>
      </w:r>
      <w:r w:rsidR="00967695" w:rsidRPr="00512F79">
        <w:rPr>
          <w:color w:val="000000" w:themeColor="text1"/>
          <w:sz w:val="22"/>
          <w:szCs w:val="22"/>
          <w:lang w:val="es-ES"/>
        </w:rPr>
        <w:t xml:space="preserve"> las situaciones de inundación, las condiciones de </w:t>
      </w:r>
      <w:r w:rsidR="003E51E0">
        <w:rPr>
          <w:color w:val="000000" w:themeColor="text1"/>
          <w:sz w:val="22"/>
          <w:szCs w:val="22"/>
          <w:lang w:val="es-ES"/>
        </w:rPr>
        <w:t xml:space="preserve">la </w:t>
      </w:r>
      <w:r w:rsidR="00967695" w:rsidRPr="00512F79">
        <w:rPr>
          <w:color w:val="000000" w:themeColor="text1"/>
          <w:sz w:val="22"/>
          <w:szCs w:val="22"/>
          <w:lang w:val="es-ES"/>
        </w:rPr>
        <w:t>calidad del agua en la cuenca y la</w:t>
      </w:r>
      <w:r w:rsidR="00C76357">
        <w:rPr>
          <w:color w:val="000000" w:themeColor="text1"/>
          <w:sz w:val="22"/>
          <w:szCs w:val="22"/>
          <w:lang w:val="es-ES"/>
        </w:rPr>
        <w:t>s</w:t>
      </w:r>
      <w:r w:rsidR="00967695" w:rsidRPr="00512F79">
        <w:rPr>
          <w:color w:val="000000" w:themeColor="text1"/>
          <w:sz w:val="22"/>
          <w:szCs w:val="22"/>
          <w:lang w:val="es-ES"/>
        </w:rPr>
        <w:t xml:space="preserve"> sequía</w:t>
      </w:r>
      <w:r w:rsidR="00C76357">
        <w:rPr>
          <w:color w:val="000000" w:themeColor="text1"/>
          <w:sz w:val="22"/>
          <w:szCs w:val="22"/>
          <w:lang w:val="es-ES"/>
        </w:rPr>
        <w:t>s</w:t>
      </w:r>
      <w:r w:rsidR="00967695" w:rsidRPr="00512F79">
        <w:rPr>
          <w:color w:val="000000" w:themeColor="text1"/>
          <w:sz w:val="22"/>
          <w:szCs w:val="22"/>
          <w:lang w:val="es-ES"/>
        </w:rPr>
        <w:t>, a fin de tomar decisiones informadas y activar medidas que mitiguen o limiten los efectos adversos de: la restricción de la descarga de las plantas hidroeléctricas</w:t>
      </w:r>
      <w:r w:rsidR="00C3751E" w:rsidRPr="00512F79">
        <w:rPr>
          <w:color w:val="000000" w:themeColor="text1"/>
          <w:sz w:val="22"/>
          <w:szCs w:val="22"/>
          <w:lang w:val="es-ES"/>
        </w:rPr>
        <w:t xml:space="preserve">, lo que conlleva </w:t>
      </w:r>
      <w:r w:rsidR="00967695" w:rsidRPr="00512F79">
        <w:rPr>
          <w:color w:val="000000" w:themeColor="text1"/>
          <w:sz w:val="22"/>
          <w:szCs w:val="22"/>
          <w:lang w:val="es-ES"/>
        </w:rPr>
        <w:t>impactos en la producción de energía</w:t>
      </w:r>
      <w:r w:rsidR="003E51E0">
        <w:rPr>
          <w:color w:val="000000" w:themeColor="text1"/>
          <w:sz w:val="22"/>
          <w:szCs w:val="22"/>
          <w:lang w:val="es-ES"/>
        </w:rPr>
        <w:t>,</w:t>
      </w:r>
      <w:r w:rsidR="00C3751E" w:rsidRPr="00512F79">
        <w:rPr>
          <w:color w:val="000000" w:themeColor="text1"/>
          <w:sz w:val="22"/>
          <w:szCs w:val="22"/>
          <w:lang w:val="es-ES"/>
        </w:rPr>
        <w:t xml:space="preserve"> la </w:t>
      </w:r>
      <w:r w:rsidR="00967695" w:rsidRPr="00512F79">
        <w:rPr>
          <w:color w:val="000000" w:themeColor="text1"/>
          <w:sz w:val="22"/>
          <w:szCs w:val="22"/>
          <w:lang w:val="es-ES"/>
        </w:rPr>
        <w:t>navegación y otros aspectos ambientales</w:t>
      </w:r>
      <w:r w:rsidR="003E51E0">
        <w:rPr>
          <w:color w:val="000000" w:themeColor="text1"/>
          <w:sz w:val="22"/>
          <w:szCs w:val="22"/>
          <w:lang w:val="es-ES"/>
        </w:rPr>
        <w:t>,</w:t>
      </w:r>
      <w:r w:rsidR="00967695" w:rsidRPr="00512F79">
        <w:rPr>
          <w:color w:val="000000" w:themeColor="text1"/>
          <w:sz w:val="22"/>
          <w:szCs w:val="22"/>
          <w:lang w:val="es-ES"/>
        </w:rPr>
        <w:t xml:space="preserve"> los </w:t>
      </w:r>
      <w:r w:rsidR="003E51E0">
        <w:rPr>
          <w:color w:val="000000" w:themeColor="text1"/>
          <w:sz w:val="22"/>
          <w:szCs w:val="22"/>
          <w:lang w:val="es-ES"/>
        </w:rPr>
        <w:t>efectos</w:t>
      </w:r>
      <w:r w:rsidR="00C3751E" w:rsidRPr="00512F79">
        <w:rPr>
          <w:color w:val="000000" w:themeColor="text1"/>
          <w:sz w:val="22"/>
          <w:szCs w:val="22"/>
          <w:lang w:val="es-ES"/>
        </w:rPr>
        <w:t xml:space="preserve"> en las </w:t>
      </w:r>
      <w:r w:rsidR="00967695" w:rsidRPr="00512F79">
        <w:rPr>
          <w:color w:val="000000" w:themeColor="text1"/>
          <w:sz w:val="22"/>
          <w:szCs w:val="22"/>
          <w:lang w:val="es-ES"/>
        </w:rPr>
        <w:t>tomas de agua (escasez de agua)</w:t>
      </w:r>
      <w:r w:rsidR="003E51E0">
        <w:rPr>
          <w:color w:val="000000" w:themeColor="text1"/>
          <w:sz w:val="22"/>
          <w:szCs w:val="22"/>
          <w:lang w:val="es-ES"/>
        </w:rPr>
        <w:t>,</w:t>
      </w:r>
      <w:r w:rsidR="00967695" w:rsidRPr="00512F79">
        <w:rPr>
          <w:color w:val="000000" w:themeColor="text1"/>
          <w:sz w:val="22"/>
          <w:szCs w:val="22"/>
          <w:lang w:val="es-ES"/>
        </w:rPr>
        <w:t xml:space="preserve"> los problemas de navegación debido a los bajos caudales</w:t>
      </w:r>
      <w:r w:rsidR="003E51E0">
        <w:rPr>
          <w:color w:val="000000" w:themeColor="text1"/>
          <w:sz w:val="22"/>
          <w:szCs w:val="22"/>
          <w:lang w:val="es-ES"/>
        </w:rPr>
        <w:t>,</w:t>
      </w:r>
      <w:r w:rsidR="00967695" w:rsidRPr="00512F79">
        <w:rPr>
          <w:color w:val="000000" w:themeColor="text1"/>
          <w:sz w:val="22"/>
          <w:szCs w:val="22"/>
          <w:lang w:val="es-ES"/>
        </w:rPr>
        <w:t xml:space="preserve"> el aumento de la demanda de información en caso de un evento relacionado con el agua (sector agrícola, salud, medio ambiente, etc.) </w:t>
      </w:r>
      <w:r w:rsidR="00C3751E" w:rsidRPr="00512F79">
        <w:rPr>
          <w:color w:val="000000" w:themeColor="text1"/>
          <w:sz w:val="22"/>
          <w:szCs w:val="22"/>
          <w:lang w:val="es-ES"/>
        </w:rPr>
        <w:t xml:space="preserve">y efectos sobre los </w:t>
      </w:r>
      <w:r w:rsidR="00967695" w:rsidRPr="00512F79">
        <w:rPr>
          <w:color w:val="000000" w:themeColor="text1"/>
          <w:sz w:val="22"/>
          <w:szCs w:val="22"/>
          <w:lang w:val="es-ES"/>
        </w:rPr>
        <w:t xml:space="preserve">procesos de depuración del agua, el turismo, la fauna y </w:t>
      </w:r>
      <w:r w:rsidR="00C3751E" w:rsidRPr="00512F79">
        <w:rPr>
          <w:color w:val="000000" w:themeColor="text1"/>
          <w:sz w:val="22"/>
          <w:szCs w:val="22"/>
          <w:lang w:val="es-ES"/>
        </w:rPr>
        <w:t xml:space="preserve">la baja calidad del </w:t>
      </w:r>
      <w:r w:rsidR="00967695" w:rsidRPr="00512F79">
        <w:rPr>
          <w:color w:val="000000" w:themeColor="text1"/>
          <w:sz w:val="22"/>
          <w:szCs w:val="22"/>
          <w:lang w:val="es-ES"/>
        </w:rPr>
        <w:t>agua de riego.</w:t>
      </w:r>
    </w:p>
    <w:p w14:paraId="2AEE9626" w14:textId="77777777" w:rsidR="001516E7" w:rsidRPr="00512F79" w:rsidRDefault="001516E7" w:rsidP="00CB030B">
      <w:pPr>
        <w:ind w:left="1440" w:hanging="720"/>
        <w:jc w:val="both"/>
        <w:rPr>
          <w:rFonts w:ascii="Times New Roman" w:hAnsi="Times New Roman" w:cs="Times New Roman"/>
          <w:color w:val="000000" w:themeColor="text1"/>
          <w:sz w:val="22"/>
          <w:szCs w:val="22"/>
          <w:lang w:val="es-ES"/>
        </w:rPr>
      </w:pPr>
    </w:p>
    <w:p w14:paraId="37928693" w14:textId="7572CF48" w:rsidR="00F4728E" w:rsidRPr="00512F79" w:rsidRDefault="003E51E0">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Se p</w:t>
      </w:r>
      <w:r w:rsidR="00967695" w:rsidRPr="00512F79">
        <w:rPr>
          <w:color w:val="000000" w:themeColor="text1"/>
          <w:sz w:val="22"/>
          <w:szCs w:val="22"/>
          <w:lang w:val="es-ES"/>
        </w:rPr>
        <w:t xml:space="preserve">ublicó la guía </w:t>
      </w:r>
      <w:r>
        <w:rPr>
          <w:color w:val="000000" w:themeColor="text1"/>
          <w:sz w:val="22"/>
          <w:szCs w:val="22"/>
          <w:lang w:val="es-ES"/>
        </w:rPr>
        <w:t>“</w:t>
      </w:r>
      <w:r w:rsidR="00967695" w:rsidRPr="00512F79">
        <w:rPr>
          <w:b/>
          <w:bCs/>
          <w:color w:val="000000" w:themeColor="text1"/>
          <w:sz w:val="22"/>
          <w:szCs w:val="22"/>
          <w:lang w:val="es-ES"/>
        </w:rPr>
        <w:t xml:space="preserve">Buenas prácticas para la mitigación y adaptación al cambio climático en América Latina y el Caribe: concepto, metodología y experiencias para fortalecer las dimensiones humanas de </w:t>
      </w:r>
      <w:r w:rsidR="00857FCF" w:rsidRPr="00512F79">
        <w:rPr>
          <w:b/>
          <w:bCs/>
          <w:color w:val="000000" w:themeColor="text1"/>
          <w:sz w:val="22"/>
          <w:szCs w:val="22"/>
          <w:lang w:val="es-ES"/>
        </w:rPr>
        <w:t xml:space="preserve">las </w:t>
      </w:r>
      <w:r w:rsidR="0023098C">
        <w:rPr>
          <w:b/>
          <w:bCs/>
          <w:color w:val="000000" w:themeColor="text1"/>
          <w:sz w:val="22"/>
          <w:szCs w:val="22"/>
          <w:lang w:val="es-ES"/>
        </w:rPr>
        <w:t>c</w:t>
      </w:r>
      <w:r w:rsidR="00857FCF" w:rsidRPr="00512F79">
        <w:rPr>
          <w:b/>
          <w:bCs/>
          <w:color w:val="000000" w:themeColor="text1"/>
          <w:sz w:val="22"/>
          <w:szCs w:val="22"/>
          <w:lang w:val="es-ES"/>
        </w:rPr>
        <w:t xml:space="preserve">ontribuciones </w:t>
      </w:r>
      <w:r w:rsidR="0023098C">
        <w:rPr>
          <w:b/>
          <w:bCs/>
          <w:color w:val="000000" w:themeColor="text1"/>
          <w:sz w:val="22"/>
          <w:szCs w:val="22"/>
          <w:lang w:val="es-ES"/>
        </w:rPr>
        <w:t>determinadas a nivel nacional</w:t>
      </w:r>
      <w:r>
        <w:rPr>
          <w:b/>
          <w:bCs/>
          <w:color w:val="000000" w:themeColor="text1"/>
          <w:sz w:val="22"/>
          <w:szCs w:val="22"/>
          <w:lang w:val="es-ES"/>
        </w:rPr>
        <w:t>”</w:t>
      </w:r>
      <w:r w:rsidR="00C3751E" w:rsidRPr="00512F79">
        <w:rPr>
          <w:b/>
          <w:bCs/>
          <w:color w:val="000000" w:themeColor="text1"/>
          <w:sz w:val="22"/>
          <w:szCs w:val="22"/>
          <w:lang w:val="es-ES"/>
        </w:rPr>
        <w:t xml:space="preserve">, </w:t>
      </w:r>
      <w:r w:rsidR="00C3751E" w:rsidRPr="00512F79">
        <w:rPr>
          <w:color w:val="000000" w:themeColor="text1"/>
          <w:sz w:val="22"/>
          <w:szCs w:val="22"/>
          <w:lang w:val="es-ES"/>
        </w:rPr>
        <w:t xml:space="preserve">un </w:t>
      </w:r>
      <w:r w:rsidR="00857FCF" w:rsidRPr="00512F79">
        <w:rPr>
          <w:color w:val="000000" w:themeColor="text1"/>
          <w:sz w:val="22"/>
          <w:szCs w:val="22"/>
          <w:lang w:val="es-ES"/>
        </w:rPr>
        <w:t xml:space="preserve">proyecto de </w:t>
      </w:r>
      <w:r w:rsidR="00967695" w:rsidRPr="00512F79">
        <w:rPr>
          <w:color w:val="000000" w:themeColor="text1"/>
          <w:sz w:val="22"/>
          <w:szCs w:val="22"/>
          <w:lang w:val="es-ES"/>
        </w:rPr>
        <w:t xml:space="preserve">Cooperación Técnica entre la OEA y el BID </w:t>
      </w:r>
      <w:r>
        <w:rPr>
          <w:color w:val="000000" w:themeColor="text1"/>
          <w:sz w:val="22"/>
          <w:szCs w:val="22"/>
          <w:lang w:val="es-ES"/>
        </w:rPr>
        <w:t>dirigido</w:t>
      </w:r>
      <w:r w:rsidR="00967695" w:rsidRPr="00512F79">
        <w:rPr>
          <w:color w:val="000000" w:themeColor="text1"/>
          <w:sz w:val="22"/>
          <w:szCs w:val="22"/>
          <w:lang w:val="es-ES"/>
        </w:rPr>
        <w:t xml:space="preserve"> por Jamaica, Costa Rica y Uruguay.</w:t>
      </w:r>
    </w:p>
    <w:p w14:paraId="756212F0" w14:textId="77777777" w:rsidR="001516E7" w:rsidRPr="00512F79" w:rsidRDefault="001516E7" w:rsidP="00CB030B">
      <w:pPr>
        <w:ind w:left="1440" w:hanging="720"/>
        <w:jc w:val="both"/>
        <w:rPr>
          <w:rFonts w:ascii="Times New Roman" w:hAnsi="Times New Roman" w:cs="Times New Roman"/>
          <w:color w:val="000000" w:themeColor="text1"/>
          <w:sz w:val="22"/>
          <w:szCs w:val="22"/>
          <w:lang w:val="es-ES"/>
        </w:rPr>
      </w:pPr>
    </w:p>
    <w:p w14:paraId="3F66B040" w14:textId="1FBCEF18" w:rsidR="001516E7" w:rsidRPr="003E51E0" w:rsidRDefault="007542C9" w:rsidP="006B0F77">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 xml:space="preserve">Se publicó el </w:t>
      </w:r>
      <w:r w:rsidR="00857FCF" w:rsidRPr="003E51E0">
        <w:rPr>
          <w:color w:val="000000" w:themeColor="text1"/>
          <w:sz w:val="22"/>
          <w:szCs w:val="22"/>
          <w:lang w:val="es-ES"/>
        </w:rPr>
        <w:t xml:space="preserve">informe </w:t>
      </w:r>
      <w:r w:rsidR="003E51E0" w:rsidRPr="003E51E0">
        <w:rPr>
          <w:b/>
          <w:bCs/>
          <w:color w:val="000000" w:themeColor="text1"/>
          <w:sz w:val="22"/>
          <w:szCs w:val="22"/>
          <w:lang w:val="es-ES"/>
        </w:rPr>
        <w:t>“</w:t>
      </w:r>
      <w:r w:rsidR="00967695" w:rsidRPr="003E51E0">
        <w:rPr>
          <w:b/>
          <w:bCs/>
          <w:color w:val="000000" w:themeColor="text1"/>
          <w:sz w:val="22"/>
          <w:szCs w:val="22"/>
          <w:lang w:val="es-ES"/>
        </w:rPr>
        <w:t xml:space="preserve">Cuencas transfronterizas: </w:t>
      </w:r>
      <w:r w:rsidR="003E51E0" w:rsidRPr="003E51E0">
        <w:rPr>
          <w:b/>
          <w:bCs/>
          <w:color w:val="000000" w:themeColor="text1"/>
          <w:sz w:val="22"/>
          <w:szCs w:val="22"/>
          <w:lang w:val="es-ES"/>
        </w:rPr>
        <w:t>a</w:t>
      </w:r>
      <w:r w:rsidR="00967695" w:rsidRPr="003E51E0">
        <w:rPr>
          <w:b/>
          <w:bCs/>
          <w:color w:val="000000" w:themeColor="text1"/>
          <w:sz w:val="22"/>
          <w:szCs w:val="22"/>
          <w:lang w:val="es-ES"/>
        </w:rPr>
        <w:t xml:space="preserve">gua y </w:t>
      </w:r>
      <w:r w:rsidR="003E51E0" w:rsidRPr="003E51E0">
        <w:rPr>
          <w:b/>
          <w:bCs/>
          <w:color w:val="000000" w:themeColor="text1"/>
          <w:sz w:val="22"/>
          <w:szCs w:val="22"/>
          <w:lang w:val="es-ES"/>
        </w:rPr>
        <w:t>p</w:t>
      </w:r>
      <w:r w:rsidR="00967695" w:rsidRPr="003E51E0">
        <w:rPr>
          <w:b/>
          <w:bCs/>
          <w:color w:val="000000" w:themeColor="text1"/>
          <w:sz w:val="22"/>
          <w:szCs w:val="22"/>
          <w:lang w:val="es-ES"/>
        </w:rPr>
        <w:t xml:space="preserve">az en las Américas: </w:t>
      </w:r>
      <w:r w:rsidR="003E51E0" w:rsidRPr="003E51E0">
        <w:rPr>
          <w:b/>
          <w:bCs/>
          <w:color w:val="000000" w:themeColor="text1"/>
          <w:sz w:val="22"/>
          <w:szCs w:val="22"/>
          <w:lang w:val="es-ES"/>
        </w:rPr>
        <w:t>m</w:t>
      </w:r>
      <w:r w:rsidR="00967695" w:rsidRPr="003E51E0">
        <w:rPr>
          <w:b/>
          <w:bCs/>
          <w:color w:val="000000" w:themeColor="text1"/>
          <w:sz w:val="22"/>
          <w:szCs w:val="22"/>
          <w:lang w:val="es-ES"/>
        </w:rPr>
        <w:t xml:space="preserve">etodología para el </w:t>
      </w:r>
      <w:r w:rsidR="003E51E0" w:rsidRPr="003E51E0">
        <w:rPr>
          <w:b/>
          <w:bCs/>
          <w:color w:val="000000" w:themeColor="text1"/>
          <w:sz w:val="22"/>
          <w:szCs w:val="22"/>
          <w:lang w:val="es-ES"/>
        </w:rPr>
        <w:t>d</w:t>
      </w:r>
      <w:r w:rsidR="00967695" w:rsidRPr="003E51E0">
        <w:rPr>
          <w:b/>
          <w:bCs/>
          <w:color w:val="000000" w:themeColor="text1"/>
          <w:sz w:val="22"/>
          <w:szCs w:val="22"/>
          <w:lang w:val="es-ES"/>
        </w:rPr>
        <w:t xml:space="preserve">iagnóstico de la </w:t>
      </w:r>
      <w:r w:rsidR="003E51E0" w:rsidRPr="003E51E0">
        <w:rPr>
          <w:b/>
          <w:bCs/>
          <w:color w:val="000000" w:themeColor="text1"/>
          <w:sz w:val="22"/>
          <w:szCs w:val="22"/>
          <w:lang w:val="es-ES"/>
        </w:rPr>
        <w:t>c</w:t>
      </w:r>
      <w:r w:rsidR="00967695" w:rsidRPr="003E51E0">
        <w:rPr>
          <w:b/>
          <w:bCs/>
          <w:color w:val="000000" w:themeColor="text1"/>
          <w:sz w:val="22"/>
          <w:szCs w:val="22"/>
          <w:lang w:val="es-ES"/>
        </w:rPr>
        <w:t xml:space="preserve">ooperación </w:t>
      </w:r>
      <w:r>
        <w:rPr>
          <w:b/>
          <w:bCs/>
          <w:color w:val="000000" w:themeColor="text1"/>
          <w:sz w:val="22"/>
          <w:szCs w:val="22"/>
          <w:lang w:val="es-ES"/>
        </w:rPr>
        <w:t>y resiliencia transfronteriza</w:t>
      </w:r>
      <w:r w:rsidR="003E51E0">
        <w:rPr>
          <w:b/>
          <w:bCs/>
          <w:color w:val="000000" w:themeColor="text1"/>
          <w:sz w:val="22"/>
          <w:szCs w:val="22"/>
          <w:lang w:val="es-ES"/>
        </w:rPr>
        <w:t>.”</w:t>
      </w:r>
    </w:p>
    <w:p w14:paraId="78116F62" w14:textId="77777777" w:rsidR="003E51E0" w:rsidRPr="003E51E0" w:rsidRDefault="003E51E0" w:rsidP="003E51E0">
      <w:pPr>
        <w:pStyle w:val="ListParagraph"/>
        <w:rPr>
          <w:color w:val="000000" w:themeColor="text1"/>
          <w:sz w:val="22"/>
          <w:szCs w:val="22"/>
          <w:lang w:val="es-ES"/>
        </w:rPr>
      </w:pPr>
    </w:p>
    <w:p w14:paraId="6D9CA9A2" w14:textId="27F16167" w:rsidR="00F4728E" w:rsidRPr="00512F79" w:rsidRDefault="003E51E0">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Se inició</w:t>
      </w:r>
      <w:r w:rsidR="00967695" w:rsidRPr="00512F79">
        <w:rPr>
          <w:color w:val="000000" w:themeColor="text1"/>
          <w:sz w:val="22"/>
          <w:szCs w:val="22"/>
          <w:lang w:val="es-ES"/>
        </w:rPr>
        <w:t xml:space="preserve"> la preparación de un Programa de Desarrollo de Capacidades para Bonos Verdes en Cuencas Transfronterizas. El programa será financiado por </w:t>
      </w:r>
      <w:r w:rsidR="00C3751E" w:rsidRPr="00512F79">
        <w:rPr>
          <w:color w:val="000000" w:themeColor="text1"/>
          <w:sz w:val="22"/>
          <w:szCs w:val="22"/>
          <w:lang w:val="es-ES"/>
        </w:rPr>
        <w:t xml:space="preserve">la </w:t>
      </w:r>
      <w:r w:rsidR="004A62E3">
        <w:rPr>
          <w:color w:val="000000" w:themeColor="text1"/>
          <w:sz w:val="22"/>
          <w:szCs w:val="22"/>
          <w:lang w:val="es-ES"/>
        </w:rPr>
        <w:t>Agencia Alemana de Cooperación Internacional (</w:t>
      </w:r>
      <w:r w:rsidR="00C3751E" w:rsidRPr="00512F79">
        <w:rPr>
          <w:color w:val="000000" w:themeColor="text1"/>
          <w:sz w:val="22"/>
          <w:szCs w:val="22"/>
          <w:lang w:val="es-ES"/>
        </w:rPr>
        <w:t>GIZ</w:t>
      </w:r>
      <w:r w:rsidR="004A62E3">
        <w:rPr>
          <w:color w:val="000000" w:themeColor="text1"/>
          <w:sz w:val="22"/>
          <w:szCs w:val="22"/>
          <w:lang w:val="es-ES"/>
        </w:rPr>
        <w:t>)</w:t>
      </w:r>
      <w:r w:rsidR="00C3751E" w:rsidRPr="00512F79">
        <w:rPr>
          <w:color w:val="000000" w:themeColor="text1"/>
          <w:sz w:val="22"/>
          <w:szCs w:val="22"/>
          <w:lang w:val="es-ES"/>
        </w:rPr>
        <w:t xml:space="preserve"> </w:t>
      </w:r>
      <w:r w:rsidR="00967695" w:rsidRPr="00512F79">
        <w:rPr>
          <w:color w:val="000000" w:themeColor="text1"/>
          <w:sz w:val="22"/>
          <w:szCs w:val="22"/>
          <w:lang w:val="es-ES"/>
        </w:rPr>
        <w:t xml:space="preserve">e implementado conjuntamente con el </w:t>
      </w:r>
      <w:r w:rsidR="001823FD">
        <w:rPr>
          <w:color w:val="000000" w:themeColor="text1"/>
          <w:sz w:val="22"/>
          <w:szCs w:val="22"/>
          <w:lang w:val="es-ES"/>
        </w:rPr>
        <w:t>Banco Interamericano de Desarrollo (</w:t>
      </w:r>
      <w:r w:rsidR="00967695" w:rsidRPr="00512F79">
        <w:rPr>
          <w:color w:val="000000" w:themeColor="text1"/>
          <w:sz w:val="22"/>
          <w:szCs w:val="22"/>
          <w:lang w:val="es-ES"/>
        </w:rPr>
        <w:t>BID</w:t>
      </w:r>
      <w:r w:rsidR="001823FD">
        <w:rPr>
          <w:color w:val="000000" w:themeColor="text1"/>
          <w:sz w:val="22"/>
          <w:szCs w:val="22"/>
          <w:lang w:val="es-ES"/>
        </w:rPr>
        <w:t>)</w:t>
      </w:r>
      <w:r w:rsidR="00967695" w:rsidRPr="00512F79">
        <w:rPr>
          <w:color w:val="000000" w:themeColor="text1"/>
          <w:sz w:val="22"/>
          <w:szCs w:val="22"/>
          <w:lang w:val="es-ES"/>
        </w:rPr>
        <w:t xml:space="preserve">. </w:t>
      </w:r>
    </w:p>
    <w:p w14:paraId="2B7CC456" w14:textId="77777777" w:rsidR="001516E7" w:rsidRPr="00512F79" w:rsidRDefault="001516E7" w:rsidP="00CB030B">
      <w:pPr>
        <w:pStyle w:val="ListParagraph"/>
        <w:ind w:left="1440" w:hanging="720"/>
        <w:rPr>
          <w:color w:val="000000" w:themeColor="text1"/>
          <w:sz w:val="22"/>
          <w:szCs w:val="22"/>
          <w:lang w:val="es-ES"/>
        </w:rPr>
      </w:pPr>
    </w:p>
    <w:p w14:paraId="2E2493DA" w14:textId="78DEC159" w:rsidR="00F4728E" w:rsidRPr="00512F79" w:rsidRDefault="0023098C">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Se inició</w:t>
      </w:r>
      <w:r w:rsidR="00967695" w:rsidRPr="00512F79">
        <w:rPr>
          <w:color w:val="000000" w:themeColor="text1"/>
          <w:sz w:val="22"/>
          <w:szCs w:val="22"/>
          <w:lang w:val="es-ES"/>
        </w:rPr>
        <w:t xml:space="preserve"> la </w:t>
      </w:r>
      <w:r w:rsidR="00C7196E" w:rsidRPr="00512F79">
        <w:rPr>
          <w:color w:val="000000" w:themeColor="text1"/>
          <w:sz w:val="22"/>
          <w:szCs w:val="22"/>
          <w:lang w:val="es-ES"/>
        </w:rPr>
        <w:t xml:space="preserve">elaboración de </w:t>
      </w:r>
      <w:r w:rsidR="00967695" w:rsidRPr="00512F79">
        <w:rPr>
          <w:color w:val="000000" w:themeColor="text1"/>
          <w:sz w:val="22"/>
          <w:szCs w:val="22"/>
          <w:lang w:val="es-ES"/>
        </w:rPr>
        <w:t>propuestas de proyectos para promover la gestión sostenible de ecosistemas y cuencas estratégicas de la región del Trifinio</w:t>
      </w:r>
      <w:r w:rsidR="00C3751E" w:rsidRPr="00512F79">
        <w:rPr>
          <w:color w:val="000000" w:themeColor="text1"/>
          <w:sz w:val="22"/>
          <w:szCs w:val="22"/>
          <w:lang w:val="es-ES"/>
        </w:rPr>
        <w:t xml:space="preserve">, </w:t>
      </w:r>
      <w:r w:rsidR="00967695" w:rsidRPr="00512F79">
        <w:rPr>
          <w:color w:val="000000" w:themeColor="text1"/>
          <w:sz w:val="22"/>
          <w:szCs w:val="22"/>
          <w:lang w:val="es-ES"/>
        </w:rPr>
        <w:t>a saber, la cuenca del río Sumpul, el lago Guija y el acuífero Ocotepeque-Citala. El BID y la CAF son socios en esta iniciativa.</w:t>
      </w:r>
    </w:p>
    <w:p w14:paraId="3F3091B2" w14:textId="77777777" w:rsidR="001516E7" w:rsidRPr="00512F79" w:rsidRDefault="001516E7" w:rsidP="00CB030B">
      <w:pPr>
        <w:pStyle w:val="ListParagraph"/>
        <w:ind w:left="1440" w:hanging="720"/>
        <w:rPr>
          <w:color w:val="000000" w:themeColor="text1"/>
          <w:sz w:val="22"/>
          <w:szCs w:val="22"/>
          <w:lang w:val="es-ES"/>
        </w:rPr>
      </w:pPr>
    </w:p>
    <w:p w14:paraId="4C48F088" w14:textId="1171D71A" w:rsidR="00F4728E" w:rsidRPr="00512F79" w:rsidRDefault="001823FD">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Se obtuvo</w:t>
      </w:r>
      <w:r w:rsidR="00967695" w:rsidRPr="00512F79">
        <w:rPr>
          <w:color w:val="000000" w:themeColor="text1"/>
          <w:sz w:val="22"/>
          <w:szCs w:val="22"/>
          <w:lang w:val="es-ES"/>
        </w:rPr>
        <w:t xml:space="preserve"> financiación </w:t>
      </w:r>
      <w:r w:rsidR="0023098C">
        <w:rPr>
          <w:color w:val="000000" w:themeColor="text1"/>
          <w:sz w:val="22"/>
          <w:szCs w:val="22"/>
          <w:lang w:val="es-ES"/>
        </w:rPr>
        <w:t>semilla</w:t>
      </w:r>
      <w:r w:rsidR="00967695" w:rsidRPr="00512F79">
        <w:rPr>
          <w:color w:val="000000" w:themeColor="text1"/>
          <w:sz w:val="22"/>
          <w:szCs w:val="22"/>
          <w:lang w:val="es-ES"/>
        </w:rPr>
        <w:t xml:space="preserve"> en </w:t>
      </w:r>
      <w:r w:rsidR="0023098C">
        <w:rPr>
          <w:color w:val="000000" w:themeColor="text1"/>
          <w:sz w:val="22"/>
          <w:szCs w:val="22"/>
          <w:lang w:val="es-ES"/>
        </w:rPr>
        <w:t xml:space="preserve">materia de </w:t>
      </w:r>
      <w:r w:rsidR="00967695" w:rsidRPr="00512F79">
        <w:rPr>
          <w:color w:val="000000" w:themeColor="text1"/>
          <w:sz w:val="22"/>
          <w:szCs w:val="22"/>
          <w:lang w:val="es-ES"/>
        </w:rPr>
        <w:t xml:space="preserve">cooperación técnica con el BID para desarrollar el proyecto </w:t>
      </w:r>
      <w:r w:rsidRPr="001823FD">
        <w:rPr>
          <w:b/>
          <w:bCs/>
          <w:color w:val="000000" w:themeColor="text1"/>
          <w:sz w:val="22"/>
          <w:szCs w:val="22"/>
          <w:lang w:val="es-ES"/>
        </w:rPr>
        <w:t>“P</w:t>
      </w:r>
      <w:r w:rsidR="00967695" w:rsidRPr="00512F79">
        <w:rPr>
          <w:b/>
          <w:bCs/>
          <w:color w:val="000000" w:themeColor="text1"/>
          <w:sz w:val="22"/>
          <w:szCs w:val="22"/>
          <w:lang w:val="es-ES"/>
        </w:rPr>
        <w:t>romoción de la gestión sostenible de la isla de La Española</w:t>
      </w:r>
      <w:r>
        <w:rPr>
          <w:b/>
          <w:bCs/>
          <w:color w:val="000000" w:themeColor="text1"/>
          <w:sz w:val="22"/>
          <w:szCs w:val="22"/>
          <w:lang w:val="es-ES"/>
        </w:rPr>
        <w:t>”</w:t>
      </w:r>
      <w:r w:rsidR="00C3751E" w:rsidRPr="00512F79">
        <w:rPr>
          <w:b/>
          <w:bCs/>
          <w:color w:val="000000" w:themeColor="text1"/>
          <w:sz w:val="22"/>
          <w:szCs w:val="22"/>
          <w:lang w:val="es-ES"/>
        </w:rPr>
        <w:t xml:space="preserve">, </w:t>
      </w:r>
      <w:r w:rsidR="00C3751E" w:rsidRPr="00512F79">
        <w:rPr>
          <w:color w:val="000000" w:themeColor="text1"/>
          <w:sz w:val="22"/>
          <w:szCs w:val="22"/>
          <w:lang w:val="es-ES"/>
        </w:rPr>
        <w:t xml:space="preserve">con especial atención a </w:t>
      </w:r>
      <w:r w:rsidR="00967695" w:rsidRPr="00512F79">
        <w:rPr>
          <w:color w:val="000000" w:themeColor="text1"/>
          <w:sz w:val="22"/>
          <w:szCs w:val="22"/>
          <w:lang w:val="es-ES"/>
        </w:rPr>
        <w:t>la cuenca del río Artibonite</w:t>
      </w:r>
      <w:r w:rsidR="00C3751E" w:rsidRPr="00512F79">
        <w:rPr>
          <w:color w:val="000000" w:themeColor="text1"/>
          <w:sz w:val="22"/>
          <w:szCs w:val="22"/>
          <w:lang w:val="es-ES"/>
        </w:rPr>
        <w:t xml:space="preserve">. El proyecto </w:t>
      </w:r>
      <w:r w:rsidR="00967695" w:rsidRPr="00512F79">
        <w:rPr>
          <w:color w:val="000000" w:themeColor="text1"/>
          <w:sz w:val="22"/>
          <w:szCs w:val="22"/>
          <w:lang w:val="es-ES"/>
        </w:rPr>
        <w:t xml:space="preserve">se presentará </w:t>
      </w:r>
      <w:r w:rsidR="00C3751E" w:rsidRPr="00512F79">
        <w:rPr>
          <w:color w:val="000000" w:themeColor="text1"/>
          <w:sz w:val="22"/>
          <w:szCs w:val="22"/>
          <w:lang w:val="es-ES"/>
        </w:rPr>
        <w:t xml:space="preserve">al FMAM </w:t>
      </w:r>
      <w:r w:rsidR="00967695" w:rsidRPr="00512F79">
        <w:rPr>
          <w:color w:val="000000" w:themeColor="text1"/>
          <w:sz w:val="22"/>
          <w:szCs w:val="22"/>
          <w:lang w:val="es-ES"/>
        </w:rPr>
        <w:t>para obtener financiación incremental en el primer semestre de 2023.</w:t>
      </w:r>
    </w:p>
    <w:p w14:paraId="7BCE41B5" w14:textId="77777777" w:rsidR="001516E7" w:rsidRPr="00512F79" w:rsidRDefault="001516E7" w:rsidP="00CB030B">
      <w:pPr>
        <w:pStyle w:val="ListParagraph"/>
        <w:rPr>
          <w:color w:val="000000" w:themeColor="text1"/>
          <w:sz w:val="22"/>
          <w:szCs w:val="22"/>
          <w:lang w:val="es-ES"/>
        </w:rPr>
      </w:pPr>
    </w:p>
    <w:p w14:paraId="25405F2F" w14:textId="47E7CDA7" w:rsidR="00F4728E" w:rsidRPr="00512F79" w:rsidRDefault="001823FD">
      <w:pPr>
        <w:pStyle w:val="ListParagraph"/>
        <w:numPr>
          <w:ilvl w:val="0"/>
          <w:numId w:val="14"/>
        </w:numPr>
        <w:ind w:left="1440" w:hanging="720"/>
        <w:contextualSpacing/>
        <w:jc w:val="both"/>
        <w:rPr>
          <w:color w:val="000000" w:themeColor="text1"/>
          <w:sz w:val="22"/>
          <w:szCs w:val="22"/>
          <w:lang w:val="es-ES"/>
        </w:rPr>
      </w:pPr>
      <w:r>
        <w:rPr>
          <w:color w:val="000000" w:themeColor="text1"/>
          <w:sz w:val="22"/>
          <w:szCs w:val="22"/>
          <w:lang w:val="es-ES"/>
        </w:rPr>
        <w:t>Se inició</w:t>
      </w:r>
      <w:r w:rsidR="0023098C">
        <w:rPr>
          <w:color w:val="000000" w:themeColor="text1"/>
          <w:sz w:val="22"/>
          <w:szCs w:val="22"/>
          <w:lang w:val="es-ES"/>
        </w:rPr>
        <w:t xml:space="preserve"> un</w:t>
      </w:r>
      <w:r w:rsidR="00967695" w:rsidRPr="00512F79">
        <w:rPr>
          <w:color w:val="000000" w:themeColor="text1"/>
          <w:sz w:val="22"/>
          <w:szCs w:val="22"/>
          <w:lang w:val="es-ES"/>
        </w:rPr>
        <w:t xml:space="preserve"> proceso de </w:t>
      </w:r>
      <w:r w:rsidR="00944E73">
        <w:rPr>
          <w:color w:val="000000" w:themeColor="text1"/>
          <w:sz w:val="22"/>
          <w:szCs w:val="22"/>
          <w:lang w:val="es-ES"/>
        </w:rPr>
        <w:t>elaboración</w:t>
      </w:r>
      <w:r w:rsidR="00967695" w:rsidRPr="00512F79">
        <w:rPr>
          <w:color w:val="000000" w:themeColor="text1"/>
          <w:sz w:val="22"/>
          <w:szCs w:val="22"/>
          <w:lang w:val="es-ES"/>
        </w:rPr>
        <w:t xml:space="preserve"> </w:t>
      </w:r>
      <w:r w:rsidR="0023098C">
        <w:rPr>
          <w:color w:val="000000" w:themeColor="text1"/>
          <w:sz w:val="22"/>
          <w:szCs w:val="22"/>
          <w:lang w:val="es-ES"/>
        </w:rPr>
        <w:t xml:space="preserve">conjunta </w:t>
      </w:r>
      <w:r w:rsidR="00944E73">
        <w:rPr>
          <w:color w:val="000000" w:themeColor="text1"/>
          <w:sz w:val="22"/>
          <w:szCs w:val="22"/>
          <w:lang w:val="es-ES"/>
        </w:rPr>
        <w:t xml:space="preserve">del </w:t>
      </w:r>
      <w:r w:rsidR="00944E73" w:rsidRPr="00512F79">
        <w:rPr>
          <w:b/>
          <w:bCs/>
          <w:color w:val="000000" w:themeColor="text1"/>
          <w:sz w:val="22"/>
          <w:szCs w:val="22"/>
          <w:lang w:val="es-ES"/>
        </w:rPr>
        <w:t>Acelerador de Estrategias de Desarrollo y Financiación de Cuencas Transfronterizas en América Latina y el Caribe</w:t>
      </w:r>
      <w:r w:rsidR="00944E73" w:rsidRPr="00512F79">
        <w:rPr>
          <w:color w:val="000000" w:themeColor="text1"/>
          <w:sz w:val="22"/>
          <w:szCs w:val="22"/>
          <w:lang w:val="es-ES"/>
        </w:rPr>
        <w:t xml:space="preserve"> </w:t>
      </w:r>
      <w:r w:rsidR="00967695" w:rsidRPr="00512F79">
        <w:rPr>
          <w:color w:val="000000" w:themeColor="text1"/>
          <w:sz w:val="22"/>
          <w:szCs w:val="22"/>
          <w:lang w:val="es-ES"/>
        </w:rPr>
        <w:t xml:space="preserve">con la </w:t>
      </w:r>
      <w:r w:rsidR="00C3751E" w:rsidRPr="00512F79">
        <w:rPr>
          <w:color w:val="000000" w:themeColor="text1"/>
          <w:sz w:val="22"/>
          <w:szCs w:val="22"/>
          <w:lang w:val="es-ES"/>
        </w:rPr>
        <w:t>Agencia Sueca de Cooperación Internacional para el Desarrollo</w:t>
      </w:r>
      <w:r w:rsidR="00C3751E" w:rsidRPr="00512F79">
        <w:rPr>
          <w:b/>
          <w:bCs/>
          <w:color w:val="000000" w:themeColor="text1"/>
          <w:sz w:val="22"/>
          <w:szCs w:val="22"/>
          <w:lang w:val="es-ES"/>
        </w:rPr>
        <w:t>.</w:t>
      </w:r>
    </w:p>
    <w:p w14:paraId="65D72590" w14:textId="77777777" w:rsidR="001516E7" w:rsidRPr="00512F79" w:rsidRDefault="001516E7" w:rsidP="00CB030B">
      <w:pPr>
        <w:pStyle w:val="ListParagraph"/>
        <w:ind w:left="1440" w:hanging="720"/>
        <w:rPr>
          <w:color w:val="000000" w:themeColor="text1"/>
          <w:sz w:val="22"/>
          <w:szCs w:val="22"/>
          <w:lang w:val="es-ES"/>
        </w:rPr>
      </w:pPr>
    </w:p>
    <w:p w14:paraId="31905662" w14:textId="32DE8BB5" w:rsidR="00F4728E" w:rsidRPr="00512F79" w:rsidRDefault="001823FD">
      <w:pPr>
        <w:pStyle w:val="ListParagraph"/>
        <w:numPr>
          <w:ilvl w:val="0"/>
          <w:numId w:val="14"/>
        </w:numPr>
        <w:ind w:left="1440" w:hanging="720"/>
        <w:contextualSpacing/>
        <w:jc w:val="both"/>
        <w:rPr>
          <w:color w:val="000000" w:themeColor="text1"/>
          <w:sz w:val="22"/>
          <w:szCs w:val="22"/>
          <w:lang w:val="es-ES"/>
        </w:rPr>
      </w:pPr>
      <w:r>
        <w:rPr>
          <w:color w:val="000000"/>
          <w:sz w:val="22"/>
          <w:szCs w:val="22"/>
          <w:lang w:val="es-ES"/>
        </w:rPr>
        <w:t>Se preparó y presentó</w:t>
      </w:r>
      <w:r w:rsidR="0023098C">
        <w:rPr>
          <w:color w:val="000000"/>
          <w:sz w:val="22"/>
          <w:szCs w:val="22"/>
          <w:lang w:val="es-ES"/>
        </w:rPr>
        <w:t xml:space="preserve"> al FMAM, </w:t>
      </w:r>
      <w:r w:rsidR="00967695" w:rsidRPr="00512F79">
        <w:rPr>
          <w:color w:val="000000"/>
          <w:sz w:val="22"/>
          <w:szCs w:val="22"/>
          <w:lang w:val="es-ES"/>
        </w:rPr>
        <w:t xml:space="preserve">en </w:t>
      </w:r>
      <w:r w:rsidR="001516E7" w:rsidRPr="00512F79">
        <w:rPr>
          <w:color w:val="000000"/>
          <w:sz w:val="22"/>
          <w:szCs w:val="22"/>
          <w:lang w:val="es-ES"/>
        </w:rPr>
        <w:t xml:space="preserve">coordinación con </w:t>
      </w:r>
      <w:r w:rsidR="0023098C">
        <w:rPr>
          <w:color w:val="000000"/>
          <w:sz w:val="22"/>
          <w:szCs w:val="22"/>
          <w:lang w:val="es-ES"/>
        </w:rPr>
        <w:t xml:space="preserve">la Corporación </w:t>
      </w:r>
      <w:r w:rsidR="0009449D">
        <w:rPr>
          <w:color w:val="000000"/>
          <w:sz w:val="22"/>
          <w:szCs w:val="22"/>
          <w:lang w:val="es-ES"/>
        </w:rPr>
        <w:t>Andina de Fomento (</w:t>
      </w:r>
      <w:r w:rsidR="001516E7" w:rsidRPr="00512F79">
        <w:rPr>
          <w:color w:val="000000"/>
          <w:sz w:val="22"/>
          <w:szCs w:val="22"/>
          <w:lang w:val="es-ES"/>
        </w:rPr>
        <w:t>CAF</w:t>
      </w:r>
      <w:r w:rsidR="0009449D">
        <w:rPr>
          <w:color w:val="000000"/>
          <w:sz w:val="22"/>
          <w:szCs w:val="22"/>
          <w:lang w:val="es-ES"/>
        </w:rPr>
        <w:t>)</w:t>
      </w:r>
      <w:r w:rsidR="001516E7" w:rsidRPr="00512F79">
        <w:rPr>
          <w:color w:val="000000"/>
          <w:sz w:val="22"/>
          <w:szCs w:val="22"/>
          <w:lang w:val="es-ES"/>
        </w:rPr>
        <w:t xml:space="preserve"> y los Gobiernos de Argentina y Bolivia</w:t>
      </w:r>
      <w:r w:rsidR="0023098C">
        <w:rPr>
          <w:color w:val="000000"/>
          <w:sz w:val="22"/>
          <w:szCs w:val="22"/>
          <w:lang w:val="es-ES"/>
        </w:rPr>
        <w:t>,</w:t>
      </w:r>
      <w:r w:rsidR="001516E7" w:rsidRPr="00512F79">
        <w:rPr>
          <w:color w:val="000000"/>
          <w:sz w:val="22"/>
          <w:szCs w:val="22"/>
          <w:lang w:val="es-ES"/>
        </w:rPr>
        <w:t xml:space="preserve"> </w:t>
      </w:r>
      <w:r w:rsidR="00944E73">
        <w:rPr>
          <w:color w:val="000000"/>
          <w:sz w:val="22"/>
          <w:szCs w:val="22"/>
          <w:lang w:val="es-ES"/>
        </w:rPr>
        <w:t xml:space="preserve">el proyecto </w:t>
      </w:r>
      <w:r w:rsidR="00995580" w:rsidRPr="00995580">
        <w:rPr>
          <w:b/>
          <w:bCs/>
          <w:color w:val="000000"/>
          <w:sz w:val="22"/>
          <w:szCs w:val="22"/>
          <w:lang w:val="es-ES"/>
        </w:rPr>
        <w:t>“</w:t>
      </w:r>
      <w:r w:rsidR="001516E7" w:rsidRPr="00512F79">
        <w:rPr>
          <w:b/>
          <w:bCs/>
          <w:color w:val="000000"/>
          <w:sz w:val="22"/>
          <w:szCs w:val="22"/>
          <w:lang w:val="es-ES"/>
        </w:rPr>
        <w:t xml:space="preserve">Gestión Integrada de Recursos Hídricos </w:t>
      </w:r>
      <w:r w:rsidR="0009449D">
        <w:rPr>
          <w:b/>
          <w:bCs/>
          <w:color w:val="000000"/>
          <w:sz w:val="22"/>
          <w:szCs w:val="22"/>
          <w:lang w:val="es-ES"/>
        </w:rPr>
        <w:t>de</w:t>
      </w:r>
      <w:r w:rsidR="001516E7" w:rsidRPr="00512F79">
        <w:rPr>
          <w:b/>
          <w:bCs/>
          <w:color w:val="000000"/>
          <w:sz w:val="22"/>
          <w:szCs w:val="22"/>
          <w:lang w:val="es-ES"/>
        </w:rPr>
        <w:t xml:space="preserve"> la Cuenca Transfronteriza del Río Bermejo</w:t>
      </w:r>
      <w:r w:rsidR="00995580">
        <w:rPr>
          <w:b/>
          <w:bCs/>
          <w:color w:val="000000"/>
          <w:sz w:val="22"/>
          <w:szCs w:val="22"/>
          <w:lang w:val="es-ES"/>
        </w:rPr>
        <w:t>”</w:t>
      </w:r>
      <w:r w:rsidR="00C7196E" w:rsidRPr="00512F79">
        <w:rPr>
          <w:b/>
          <w:bCs/>
          <w:color w:val="000000"/>
          <w:sz w:val="22"/>
          <w:szCs w:val="22"/>
          <w:lang w:val="es-ES"/>
        </w:rPr>
        <w:t xml:space="preserve">, </w:t>
      </w:r>
      <w:r w:rsidR="001516E7" w:rsidRPr="00512F79">
        <w:rPr>
          <w:color w:val="000000"/>
          <w:sz w:val="22"/>
          <w:szCs w:val="22"/>
          <w:lang w:val="es-ES"/>
        </w:rPr>
        <w:t xml:space="preserve">a ser financiado a través de </w:t>
      </w:r>
      <w:r w:rsidR="0023098C">
        <w:rPr>
          <w:color w:val="000000"/>
          <w:sz w:val="22"/>
          <w:szCs w:val="22"/>
          <w:lang w:val="es-ES"/>
        </w:rPr>
        <w:t xml:space="preserve">la </w:t>
      </w:r>
      <w:r w:rsidR="001516E7" w:rsidRPr="00512F79">
        <w:rPr>
          <w:color w:val="000000"/>
          <w:sz w:val="22"/>
          <w:szCs w:val="22"/>
          <w:lang w:val="es-ES"/>
        </w:rPr>
        <w:t xml:space="preserve">CAF por </w:t>
      </w:r>
      <w:r w:rsidR="00AE5375" w:rsidRPr="00512F79">
        <w:rPr>
          <w:color w:val="000000"/>
          <w:sz w:val="22"/>
          <w:szCs w:val="22"/>
          <w:lang w:val="es-ES"/>
        </w:rPr>
        <w:t xml:space="preserve">US$6 </w:t>
      </w:r>
      <w:r w:rsidR="00967695" w:rsidRPr="00512F79">
        <w:rPr>
          <w:color w:val="000000"/>
          <w:sz w:val="22"/>
          <w:szCs w:val="22"/>
          <w:lang w:val="es-ES"/>
        </w:rPr>
        <w:t xml:space="preserve">millones y </w:t>
      </w:r>
      <w:r w:rsidR="001516E7" w:rsidRPr="00512F79">
        <w:rPr>
          <w:color w:val="000000"/>
          <w:sz w:val="22"/>
          <w:szCs w:val="22"/>
          <w:lang w:val="es-ES"/>
        </w:rPr>
        <w:t xml:space="preserve">ejecutado en 2024-2028. El proyecto fue aprobado por el </w:t>
      </w:r>
      <w:r w:rsidR="0009449D">
        <w:rPr>
          <w:color w:val="000000"/>
          <w:sz w:val="22"/>
          <w:szCs w:val="22"/>
          <w:lang w:val="es-ES"/>
        </w:rPr>
        <w:t>d</w:t>
      </w:r>
      <w:r w:rsidR="001516E7" w:rsidRPr="00512F79">
        <w:rPr>
          <w:color w:val="000000"/>
          <w:sz w:val="22"/>
          <w:szCs w:val="22"/>
          <w:lang w:val="es-ES"/>
        </w:rPr>
        <w:t>onante en julio de 2022.</w:t>
      </w:r>
    </w:p>
    <w:p w14:paraId="3B25D281" w14:textId="77777777" w:rsidR="00A52779" w:rsidRPr="00512F79" w:rsidRDefault="00A52779" w:rsidP="00CB030B">
      <w:pPr>
        <w:jc w:val="both"/>
        <w:rPr>
          <w:rFonts w:ascii="Times New Roman" w:eastAsia="Calibri" w:hAnsi="Times New Roman" w:cs="Times New Roman"/>
          <w:sz w:val="22"/>
          <w:szCs w:val="22"/>
          <w:lang w:val="es-ES"/>
        </w:rPr>
      </w:pPr>
    </w:p>
    <w:p w14:paraId="094EABF2" w14:textId="315D1055" w:rsidR="00F4728E" w:rsidRPr="00512F79" w:rsidRDefault="00967695">
      <w:pPr>
        <w:jc w:val="both"/>
        <w:rPr>
          <w:rFonts w:ascii="Times New Roman" w:eastAsia="Calibri" w:hAnsi="Times New Roman" w:cs="Times New Roman"/>
          <w:b/>
          <w:sz w:val="22"/>
          <w:szCs w:val="22"/>
          <w:u w:val="single"/>
          <w:lang w:val="es-ES"/>
        </w:rPr>
      </w:pPr>
      <w:r w:rsidRPr="00512F79">
        <w:rPr>
          <w:rFonts w:ascii="Times New Roman" w:eastAsia="Calibri" w:hAnsi="Times New Roman" w:cs="Times New Roman"/>
          <w:b/>
          <w:sz w:val="22"/>
          <w:szCs w:val="22"/>
          <w:u w:val="single"/>
          <w:lang w:val="es-ES"/>
        </w:rPr>
        <w:t>OBJETIVO 2.4</w:t>
      </w:r>
    </w:p>
    <w:p w14:paraId="0947B4BD" w14:textId="77777777" w:rsidR="005F2C83" w:rsidRPr="00512F79" w:rsidRDefault="005F2C83" w:rsidP="00CB030B">
      <w:pPr>
        <w:jc w:val="both"/>
        <w:rPr>
          <w:rFonts w:ascii="Times New Roman" w:eastAsia="Calibri" w:hAnsi="Times New Roman" w:cs="Times New Roman"/>
          <w:b/>
          <w:sz w:val="22"/>
          <w:szCs w:val="22"/>
          <w:u w:val="single"/>
          <w:lang w:val="es-ES"/>
        </w:rPr>
      </w:pPr>
    </w:p>
    <w:p w14:paraId="2A271B30" w14:textId="2D4E3B1E" w:rsidR="00F4728E" w:rsidRPr="00512F79" w:rsidRDefault="0009449D">
      <w:pPr>
        <w:ind w:firstLine="720"/>
        <w:jc w:val="both"/>
        <w:rPr>
          <w:rFonts w:ascii="Times New Roman" w:eastAsia="Calibri" w:hAnsi="Times New Roman" w:cs="Times New Roman"/>
          <w:color w:val="000000" w:themeColor="text1"/>
          <w:sz w:val="22"/>
          <w:szCs w:val="22"/>
          <w:lang w:val="es-ES"/>
        </w:rPr>
      </w:pPr>
      <w:r w:rsidRPr="0009449D">
        <w:rPr>
          <w:rFonts w:ascii="Times New Roman" w:hAnsi="Times New Roman" w:cs="Times New Roman"/>
          <w:sz w:val="22"/>
          <w:szCs w:val="22"/>
          <w:lang w:val="es-US"/>
        </w:rPr>
        <w:t>Fomentar las capacidades de los Estados Miembros en el tema de ciudades y comunidades sostenibles de acuerdo con los objetivos y bases para la acción estipulados en la sección 3.4 del PIDS</w:t>
      </w:r>
      <w:r>
        <w:rPr>
          <w:rFonts w:ascii="Times New Roman" w:hAnsi="Times New Roman" w:cs="Times New Roman"/>
          <w:sz w:val="22"/>
          <w:szCs w:val="22"/>
          <w:lang w:val="es-US"/>
        </w:rPr>
        <w:t>.</w:t>
      </w:r>
    </w:p>
    <w:p w14:paraId="46B4D7B7" w14:textId="77777777" w:rsidR="00C3751E" w:rsidRPr="00512F79" w:rsidRDefault="00C3751E" w:rsidP="00CB030B">
      <w:pPr>
        <w:jc w:val="both"/>
        <w:rPr>
          <w:rFonts w:ascii="Times New Roman" w:hAnsi="Times New Roman" w:cs="Times New Roman"/>
          <w:color w:val="000000" w:themeColor="text1"/>
          <w:sz w:val="22"/>
          <w:szCs w:val="22"/>
          <w:lang w:val="es-ES"/>
        </w:rPr>
      </w:pPr>
    </w:p>
    <w:p w14:paraId="394AC3B9" w14:textId="716CF201" w:rsidR="00F4728E" w:rsidRPr="00512F79" w:rsidRDefault="00967695">
      <w:pPr>
        <w:pStyle w:val="ListParagraph"/>
        <w:numPr>
          <w:ilvl w:val="0"/>
          <w:numId w:val="18"/>
        </w:numPr>
        <w:tabs>
          <w:tab w:val="left" w:pos="1440"/>
        </w:tabs>
        <w:ind w:left="1440" w:hanging="720"/>
        <w:jc w:val="both"/>
        <w:rPr>
          <w:color w:val="000000" w:themeColor="text1"/>
          <w:sz w:val="22"/>
          <w:szCs w:val="22"/>
          <w:lang w:val="es-ES"/>
        </w:rPr>
      </w:pPr>
      <w:r w:rsidRPr="00512F79">
        <w:rPr>
          <w:color w:val="000000" w:themeColor="text1"/>
          <w:sz w:val="22"/>
          <w:szCs w:val="22"/>
          <w:lang w:val="es-ES"/>
        </w:rPr>
        <w:t xml:space="preserve">Al igual que el Objetivo 2.2 (véase más arriba), este </w:t>
      </w:r>
      <w:r w:rsidR="003918E4">
        <w:rPr>
          <w:color w:val="000000" w:themeColor="text1"/>
          <w:sz w:val="22"/>
          <w:szCs w:val="22"/>
          <w:lang w:val="es-ES"/>
        </w:rPr>
        <w:t>o</w:t>
      </w:r>
      <w:r w:rsidRPr="00512F79">
        <w:rPr>
          <w:color w:val="000000" w:themeColor="text1"/>
          <w:sz w:val="22"/>
          <w:szCs w:val="22"/>
          <w:lang w:val="es-ES"/>
        </w:rPr>
        <w:t xml:space="preserve">bjetivo también se aborda como un área temática general de todos los programas y proyectos de la SEDI/DDS, ya que </w:t>
      </w:r>
      <w:r w:rsidR="003918E4">
        <w:rPr>
          <w:color w:val="000000" w:themeColor="text1"/>
          <w:sz w:val="22"/>
          <w:szCs w:val="22"/>
          <w:lang w:val="es-ES"/>
        </w:rPr>
        <w:t xml:space="preserve">están dirigidos a </w:t>
      </w:r>
      <w:r w:rsidRPr="00512F79">
        <w:rPr>
          <w:color w:val="000000" w:themeColor="text1"/>
          <w:sz w:val="22"/>
          <w:szCs w:val="22"/>
          <w:lang w:val="es-ES"/>
        </w:rPr>
        <w:t xml:space="preserve">comunidades urbanas dentro de cuencas transfronterizas y unidades regionales de planificación y gestión. Asimismo, la Alianza de Energía y Clima </w:t>
      </w:r>
      <w:r w:rsidR="00C427E5">
        <w:rPr>
          <w:color w:val="000000" w:themeColor="text1"/>
          <w:sz w:val="22"/>
          <w:szCs w:val="22"/>
          <w:lang w:val="es-ES"/>
        </w:rPr>
        <w:t>de</w:t>
      </w:r>
      <w:r w:rsidRPr="00512F79">
        <w:rPr>
          <w:color w:val="000000" w:themeColor="text1"/>
          <w:sz w:val="22"/>
          <w:szCs w:val="22"/>
          <w:lang w:val="es-ES"/>
        </w:rPr>
        <w:t xml:space="preserve"> las Américas y el Programa de Gestión de Riesgos de Desastres contribuyen a promover los objetivos de ciudades y comunidades sostenibles en el Hemisferio.</w:t>
      </w:r>
    </w:p>
    <w:p w14:paraId="49F8205D" w14:textId="114AD5B5" w:rsidR="008E7DCC" w:rsidRPr="00512F79" w:rsidRDefault="008E7DCC" w:rsidP="00CB030B">
      <w:pPr>
        <w:jc w:val="both"/>
        <w:rPr>
          <w:rFonts w:ascii="Times New Roman" w:hAnsi="Times New Roman" w:cs="Times New Roman"/>
          <w:color w:val="000000" w:themeColor="text1"/>
          <w:sz w:val="22"/>
          <w:szCs w:val="22"/>
          <w:lang w:val="es-ES"/>
        </w:rPr>
      </w:pPr>
    </w:p>
    <w:p w14:paraId="04436E65" w14:textId="77777777" w:rsidR="00F4728E" w:rsidRPr="00512F79" w:rsidRDefault="00967695">
      <w:pPr>
        <w:jc w:val="both"/>
        <w:rPr>
          <w:rFonts w:ascii="Times New Roman" w:eastAsia="Calibri" w:hAnsi="Times New Roman" w:cs="Times New Roman"/>
          <w:b/>
          <w:sz w:val="22"/>
          <w:szCs w:val="22"/>
          <w:u w:val="single"/>
          <w:lang w:val="es-ES"/>
        </w:rPr>
      </w:pPr>
      <w:r w:rsidRPr="00512F79">
        <w:rPr>
          <w:rFonts w:ascii="Times New Roman" w:eastAsia="Calibri" w:hAnsi="Times New Roman" w:cs="Times New Roman"/>
          <w:b/>
          <w:sz w:val="22"/>
          <w:szCs w:val="22"/>
          <w:u w:val="single"/>
          <w:lang w:val="es-ES"/>
        </w:rPr>
        <w:t>OBJETIVO 2.5</w:t>
      </w:r>
    </w:p>
    <w:p w14:paraId="5406434B" w14:textId="77777777" w:rsidR="00135759" w:rsidRPr="00512F79" w:rsidRDefault="00135759" w:rsidP="00CB030B">
      <w:pPr>
        <w:jc w:val="both"/>
        <w:rPr>
          <w:rFonts w:ascii="Times New Roman" w:eastAsia="Calibri" w:hAnsi="Times New Roman" w:cs="Times New Roman"/>
          <w:b/>
          <w:sz w:val="22"/>
          <w:szCs w:val="22"/>
          <w:u w:val="single"/>
          <w:lang w:val="es-ES"/>
        </w:rPr>
      </w:pPr>
    </w:p>
    <w:p w14:paraId="0D9A0D4F" w14:textId="116F56E2" w:rsidR="00C5590D" w:rsidRPr="00C5590D" w:rsidRDefault="00C5590D" w:rsidP="00C5590D">
      <w:pPr>
        <w:ind w:firstLine="720"/>
        <w:jc w:val="both"/>
        <w:rPr>
          <w:rFonts w:ascii="Times New Roman" w:hAnsi="Times New Roman" w:cs="Times New Roman"/>
          <w:sz w:val="22"/>
          <w:szCs w:val="22"/>
          <w:lang w:val="es-US"/>
        </w:rPr>
      </w:pPr>
      <w:r w:rsidRPr="00C5590D">
        <w:rPr>
          <w:rFonts w:ascii="Times New Roman" w:hAnsi="Times New Roman" w:cs="Times New Roman"/>
          <w:sz w:val="22"/>
          <w:szCs w:val="22"/>
          <w:lang w:val="es-US"/>
        </w:rPr>
        <w:t>Fomentar las capacidades de los Estados Miembros en la gestión sostenible de la energía, priorizando la promoción de energías limpias, renovables y ambientalmente sustentables y la eficiencia energética de acuerdo con los objetivos y bases para la acción estipulados en la sección 3.5 del PIDS</w:t>
      </w:r>
      <w:r w:rsidR="005E61EA">
        <w:rPr>
          <w:rFonts w:ascii="Times New Roman" w:hAnsi="Times New Roman" w:cs="Times New Roman"/>
          <w:sz w:val="22"/>
          <w:szCs w:val="22"/>
          <w:lang w:val="es-US"/>
        </w:rPr>
        <w:t>.</w:t>
      </w:r>
    </w:p>
    <w:p w14:paraId="1C9EC0AA" w14:textId="77777777" w:rsidR="008E7DCC" w:rsidRPr="00512F79" w:rsidRDefault="008E7DCC" w:rsidP="00CB030B">
      <w:pPr>
        <w:jc w:val="both"/>
        <w:rPr>
          <w:rFonts w:ascii="Times New Roman" w:hAnsi="Times New Roman" w:cs="Times New Roman"/>
          <w:b/>
          <w:bCs/>
          <w:iCs/>
          <w:color w:val="000000" w:themeColor="text1"/>
          <w:sz w:val="22"/>
          <w:szCs w:val="22"/>
          <w:lang w:val="es-ES"/>
        </w:rPr>
      </w:pPr>
    </w:p>
    <w:p w14:paraId="4AF5A9F4" w14:textId="1DBFD919" w:rsidR="00F4728E" w:rsidRPr="00512F79" w:rsidRDefault="00967695">
      <w:pPr>
        <w:ind w:firstLine="720"/>
        <w:jc w:val="both"/>
        <w:rPr>
          <w:rFonts w:ascii="Times New Roman" w:eastAsia="Calibri" w:hAnsi="Times New Roman" w:cs="Times New Roman"/>
          <w:b/>
          <w:bCs/>
          <w:color w:val="000000"/>
          <w:sz w:val="22"/>
          <w:szCs w:val="22"/>
          <w:lang w:val="es-ES"/>
        </w:rPr>
      </w:pPr>
      <w:r w:rsidRPr="00512F79">
        <w:rPr>
          <w:rFonts w:ascii="Times New Roman" w:eastAsia="Calibri" w:hAnsi="Times New Roman" w:cs="Times New Roman"/>
          <w:b/>
          <w:bCs/>
          <w:color w:val="000000"/>
          <w:sz w:val="22"/>
          <w:szCs w:val="22"/>
          <w:lang w:val="es-ES"/>
        </w:rPr>
        <w:t xml:space="preserve">Alianza de Energía y Clima </w:t>
      </w:r>
      <w:r w:rsidR="005E61EA">
        <w:rPr>
          <w:rFonts w:ascii="Times New Roman" w:eastAsia="Calibri" w:hAnsi="Times New Roman" w:cs="Times New Roman"/>
          <w:b/>
          <w:bCs/>
          <w:color w:val="000000"/>
          <w:sz w:val="22"/>
          <w:szCs w:val="22"/>
          <w:lang w:val="es-ES"/>
        </w:rPr>
        <w:t>de</w:t>
      </w:r>
      <w:r w:rsidRPr="00512F79">
        <w:rPr>
          <w:rFonts w:ascii="Times New Roman" w:eastAsia="Calibri" w:hAnsi="Times New Roman" w:cs="Times New Roman"/>
          <w:b/>
          <w:bCs/>
          <w:color w:val="000000"/>
          <w:sz w:val="22"/>
          <w:szCs w:val="22"/>
          <w:lang w:val="es-ES"/>
        </w:rPr>
        <w:t xml:space="preserve"> las Américas (ECPA)</w:t>
      </w:r>
    </w:p>
    <w:p w14:paraId="6DBEE6E7" w14:textId="77777777" w:rsidR="008E7DCC" w:rsidRPr="00512F79" w:rsidRDefault="008E7DCC" w:rsidP="00CB030B">
      <w:pPr>
        <w:ind w:firstLine="720"/>
        <w:jc w:val="both"/>
        <w:rPr>
          <w:rFonts w:ascii="Times New Roman" w:hAnsi="Times New Roman" w:cs="Times New Roman"/>
          <w:b/>
          <w:color w:val="000000" w:themeColor="text1"/>
          <w:sz w:val="22"/>
          <w:szCs w:val="22"/>
          <w:lang w:val="es-ES"/>
        </w:rPr>
      </w:pPr>
    </w:p>
    <w:p w14:paraId="4D85D998" w14:textId="3738CD3E" w:rsidR="00F4728E" w:rsidRPr="00512F79" w:rsidRDefault="005E61EA">
      <w:pPr>
        <w:pStyle w:val="ListParagraph"/>
        <w:numPr>
          <w:ilvl w:val="0"/>
          <w:numId w:val="18"/>
        </w:numPr>
        <w:ind w:left="1440" w:hanging="720"/>
        <w:jc w:val="both"/>
        <w:rPr>
          <w:color w:val="000000" w:themeColor="text1"/>
          <w:sz w:val="22"/>
          <w:szCs w:val="22"/>
          <w:lang w:val="es-ES"/>
        </w:rPr>
      </w:pPr>
      <w:r>
        <w:rPr>
          <w:color w:val="000000" w:themeColor="text1"/>
          <w:sz w:val="22"/>
          <w:szCs w:val="22"/>
          <w:lang w:val="es-ES"/>
        </w:rPr>
        <w:t xml:space="preserve">Prestó apoyo </w:t>
      </w:r>
      <w:r w:rsidR="00967695" w:rsidRPr="00512F79">
        <w:rPr>
          <w:color w:val="000000" w:themeColor="text1"/>
          <w:sz w:val="22"/>
          <w:szCs w:val="22"/>
          <w:lang w:val="es-ES"/>
        </w:rPr>
        <w:t xml:space="preserve">a Panamá en la celebración de la quinta reunión ministerial de la ECPA bajo el lema </w:t>
      </w:r>
      <w:r w:rsidR="00A341B4" w:rsidRPr="00A341B4">
        <w:rPr>
          <w:b/>
          <w:bCs/>
          <w:color w:val="000000" w:themeColor="text1"/>
          <w:sz w:val="22"/>
          <w:szCs w:val="22"/>
          <w:lang w:val="es-ES"/>
        </w:rPr>
        <w:t>“</w:t>
      </w:r>
      <w:r w:rsidR="00967695" w:rsidRPr="00512F79">
        <w:rPr>
          <w:b/>
          <w:bCs/>
          <w:color w:val="000000" w:themeColor="text1"/>
          <w:sz w:val="22"/>
          <w:szCs w:val="22"/>
          <w:lang w:val="es-ES"/>
        </w:rPr>
        <w:t>Transiciones energéticas justas e inclusivas</w:t>
      </w:r>
      <w:r w:rsidR="00A341B4">
        <w:rPr>
          <w:b/>
          <w:bCs/>
          <w:color w:val="000000" w:themeColor="text1"/>
          <w:sz w:val="22"/>
          <w:szCs w:val="22"/>
          <w:lang w:val="es-ES"/>
        </w:rPr>
        <w:t>”</w:t>
      </w:r>
      <w:r w:rsidR="00C7196E" w:rsidRPr="00512F79">
        <w:rPr>
          <w:b/>
          <w:bCs/>
          <w:color w:val="000000" w:themeColor="text1"/>
          <w:sz w:val="22"/>
          <w:szCs w:val="22"/>
          <w:lang w:val="es-ES"/>
        </w:rPr>
        <w:t xml:space="preserve">. </w:t>
      </w:r>
      <w:r w:rsidR="00967695" w:rsidRPr="00512F79">
        <w:rPr>
          <w:color w:val="000000" w:themeColor="text1"/>
          <w:sz w:val="22"/>
          <w:szCs w:val="22"/>
          <w:lang w:val="es-ES"/>
        </w:rPr>
        <w:t xml:space="preserve">El evento reunió a </w:t>
      </w:r>
      <w:r w:rsidR="00297EAC">
        <w:rPr>
          <w:color w:val="000000" w:themeColor="text1"/>
          <w:sz w:val="22"/>
          <w:szCs w:val="22"/>
          <w:lang w:val="es-ES"/>
        </w:rPr>
        <w:t>m</w:t>
      </w:r>
      <w:r w:rsidR="00967695" w:rsidRPr="00512F79">
        <w:rPr>
          <w:color w:val="000000" w:themeColor="text1"/>
          <w:sz w:val="22"/>
          <w:szCs w:val="22"/>
          <w:lang w:val="es-ES"/>
        </w:rPr>
        <w:t xml:space="preserve">inistros de energía y altos funcionarios de 29 países de las Américas. La reunión se celebró tanto en persona como </w:t>
      </w:r>
      <w:r w:rsidR="00591EC6">
        <w:rPr>
          <w:color w:val="000000" w:themeColor="text1"/>
          <w:sz w:val="22"/>
          <w:szCs w:val="22"/>
          <w:lang w:val="es-ES"/>
        </w:rPr>
        <w:t>en formato virtual</w:t>
      </w:r>
      <w:r w:rsidR="00967695" w:rsidRPr="00512F79">
        <w:rPr>
          <w:color w:val="000000" w:themeColor="text1"/>
          <w:sz w:val="22"/>
          <w:szCs w:val="22"/>
          <w:lang w:val="es-ES"/>
        </w:rPr>
        <w:t xml:space="preserve"> y generó un Plan de Acción bienal al que se comprometieron los países participantes.</w:t>
      </w:r>
    </w:p>
    <w:p w14:paraId="41D5CF2F" w14:textId="77777777" w:rsidR="008E7DCC" w:rsidRPr="00512F79" w:rsidRDefault="008E7DCC" w:rsidP="00CB030B">
      <w:pPr>
        <w:pStyle w:val="ListParagraph"/>
        <w:ind w:left="1440" w:hanging="720"/>
        <w:jc w:val="both"/>
        <w:rPr>
          <w:color w:val="000000" w:themeColor="text1"/>
          <w:sz w:val="22"/>
          <w:szCs w:val="22"/>
          <w:highlight w:val="yellow"/>
          <w:lang w:val="es-ES"/>
        </w:rPr>
      </w:pPr>
    </w:p>
    <w:p w14:paraId="22F981E6" w14:textId="2CCE92C2" w:rsidR="00F4728E" w:rsidRPr="00512F79" w:rsidRDefault="00967695">
      <w:pPr>
        <w:pStyle w:val="ListParagraph"/>
        <w:numPr>
          <w:ilvl w:val="0"/>
          <w:numId w:val="18"/>
        </w:numPr>
        <w:ind w:left="1440" w:hanging="720"/>
        <w:jc w:val="both"/>
        <w:rPr>
          <w:color w:val="000000" w:themeColor="text1"/>
          <w:sz w:val="22"/>
          <w:szCs w:val="22"/>
          <w:lang w:val="es-ES"/>
        </w:rPr>
      </w:pPr>
      <w:r w:rsidRPr="00512F79">
        <w:rPr>
          <w:color w:val="000000" w:themeColor="text1"/>
          <w:sz w:val="22"/>
          <w:szCs w:val="22"/>
          <w:lang w:val="es-ES"/>
        </w:rPr>
        <w:t xml:space="preserve">Apoyó al Grupo de Revisión de la Implementación de Cumbres en la redacción de un documento de compromiso, aprobado por los Jefes de Estado del Hemisferio Occidental en la </w:t>
      </w:r>
      <w:r w:rsidR="00135759" w:rsidRPr="00512F79">
        <w:rPr>
          <w:color w:val="000000" w:themeColor="text1"/>
          <w:sz w:val="22"/>
          <w:szCs w:val="22"/>
          <w:lang w:val="es-ES"/>
        </w:rPr>
        <w:t xml:space="preserve">IX </w:t>
      </w:r>
      <w:r w:rsidRPr="00512F79">
        <w:rPr>
          <w:color w:val="000000" w:themeColor="text1"/>
          <w:sz w:val="22"/>
          <w:szCs w:val="22"/>
          <w:lang w:val="es-ES"/>
        </w:rPr>
        <w:t xml:space="preserve">Cumbre de las Américas celebrada en Los Ángeles, para acelerar la transición hacia una energía limpia, sostenible, renovable y justa en </w:t>
      </w:r>
      <w:r w:rsidR="009227C7">
        <w:rPr>
          <w:color w:val="000000" w:themeColor="text1"/>
          <w:sz w:val="22"/>
          <w:szCs w:val="22"/>
          <w:lang w:val="es-ES"/>
        </w:rPr>
        <w:t xml:space="preserve">las Américas. </w:t>
      </w:r>
      <w:r w:rsidRPr="00512F79">
        <w:rPr>
          <w:color w:val="000000" w:themeColor="text1"/>
          <w:sz w:val="22"/>
          <w:szCs w:val="22"/>
          <w:lang w:val="es-ES"/>
        </w:rPr>
        <w:t xml:space="preserve"> La </w:t>
      </w:r>
      <w:r w:rsidR="00A01C15">
        <w:rPr>
          <w:color w:val="000000" w:themeColor="text1"/>
          <w:sz w:val="22"/>
          <w:szCs w:val="22"/>
          <w:lang w:val="es-ES"/>
        </w:rPr>
        <w:t>Alianza de Energía y Clima de las Américas</w:t>
      </w:r>
      <w:r w:rsidRPr="00512F79">
        <w:rPr>
          <w:color w:val="000000" w:themeColor="text1"/>
          <w:sz w:val="22"/>
          <w:szCs w:val="22"/>
          <w:lang w:val="es-ES"/>
        </w:rPr>
        <w:t xml:space="preserve"> se considera uno de los principales mecanismos para alcanzar este objetivo a escala regional.</w:t>
      </w:r>
    </w:p>
    <w:p w14:paraId="60396616" w14:textId="77777777" w:rsidR="008E7DCC" w:rsidRPr="00512F79" w:rsidRDefault="008E7DCC" w:rsidP="00CB030B">
      <w:pPr>
        <w:pStyle w:val="ListParagraph"/>
        <w:ind w:left="1440" w:hanging="720"/>
        <w:rPr>
          <w:color w:val="000000" w:themeColor="text1"/>
          <w:sz w:val="22"/>
          <w:szCs w:val="22"/>
          <w:highlight w:val="yellow"/>
          <w:lang w:val="es-ES"/>
        </w:rPr>
      </w:pPr>
    </w:p>
    <w:p w14:paraId="58F91AB0" w14:textId="3B44571E" w:rsidR="00F4728E" w:rsidRPr="00512F79" w:rsidRDefault="00297EAC">
      <w:pPr>
        <w:pStyle w:val="ListParagraph"/>
        <w:numPr>
          <w:ilvl w:val="0"/>
          <w:numId w:val="18"/>
        </w:numPr>
        <w:ind w:left="1440" w:hanging="720"/>
        <w:jc w:val="both"/>
        <w:rPr>
          <w:color w:val="000000" w:themeColor="text1"/>
          <w:sz w:val="22"/>
          <w:szCs w:val="22"/>
          <w:lang w:val="es-ES"/>
        </w:rPr>
      </w:pPr>
      <w:r>
        <w:rPr>
          <w:color w:val="000000" w:themeColor="text1"/>
          <w:sz w:val="22"/>
          <w:szCs w:val="22"/>
          <w:lang w:val="es-ES"/>
        </w:rPr>
        <w:t>Se impartió</w:t>
      </w:r>
      <w:r w:rsidR="00967695" w:rsidRPr="00512F79">
        <w:rPr>
          <w:color w:val="000000" w:themeColor="text1"/>
          <w:sz w:val="22"/>
          <w:szCs w:val="22"/>
          <w:lang w:val="es-ES"/>
        </w:rPr>
        <w:t xml:space="preserve"> formación sobre la resiliencia del sector energético en los pequeños Estados insulares en desarrollo a través de una serie de cuatro talleres </w:t>
      </w:r>
      <w:r w:rsidR="00191925">
        <w:rPr>
          <w:color w:val="000000" w:themeColor="text1"/>
          <w:sz w:val="22"/>
          <w:szCs w:val="22"/>
          <w:lang w:val="es-ES"/>
        </w:rPr>
        <w:t>concebidos</w:t>
      </w:r>
      <w:r w:rsidR="00967695" w:rsidRPr="00512F79">
        <w:rPr>
          <w:color w:val="000000" w:themeColor="text1"/>
          <w:sz w:val="22"/>
          <w:szCs w:val="22"/>
          <w:lang w:val="es-ES"/>
        </w:rPr>
        <w:t xml:space="preserve"> para abordar obstáculos específicos relacionados con la gestión del riesgo de </w:t>
      </w:r>
      <w:r w:rsidR="005E61EA">
        <w:rPr>
          <w:color w:val="000000" w:themeColor="text1"/>
          <w:sz w:val="22"/>
          <w:szCs w:val="22"/>
          <w:lang w:val="es-ES"/>
        </w:rPr>
        <w:t>desastre</w:t>
      </w:r>
      <w:r w:rsidR="00967695" w:rsidRPr="00512F79">
        <w:rPr>
          <w:color w:val="000000" w:themeColor="text1"/>
          <w:sz w:val="22"/>
          <w:szCs w:val="22"/>
          <w:lang w:val="es-ES"/>
        </w:rPr>
        <w:t xml:space="preserve">s y la resiliencia del sector energético en el Caribe. Los temas abordados en cada taller fueron </w:t>
      </w:r>
      <w:r w:rsidR="005E61EA" w:rsidRPr="005E61EA">
        <w:rPr>
          <w:b/>
          <w:bCs/>
          <w:color w:val="000000" w:themeColor="text1"/>
          <w:sz w:val="22"/>
          <w:szCs w:val="22"/>
          <w:lang w:val="es-ES"/>
        </w:rPr>
        <w:t>“</w:t>
      </w:r>
      <w:r w:rsidR="00967695" w:rsidRPr="00512F79">
        <w:rPr>
          <w:b/>
          <w:bCs/>
          <w:color w:val="000000" w:themeColor="text1"/>
          <w:sz w:val="22"/>
          <w:szCs w:val="22"/>
          <w:lang w:val="es-ES"/>
        </w:rPr>
        <w:t>Sistemas de energía eléctrica y gobernanza institucional</w:t>
      </w:r>
      <w:r w:rsidR="005E61EA">
        <w:rPr>
          <w:b/>
          <w:bCs/>
          <w:color w:val="000000" w:themeColor="text1"/>
          <w:sz w:val="22"/>
          <w:szCs w:val="22"/>
          <w:lang w:val="es-ES"/>
        </w:rPr>
        <w:t>”</w:t>
      </w:r>
      <w:r w:rsidR="00967695" w:rsidRPr="00512F79">
        <w:rPr>
          <w:b/>
          <w:bCs/>
          <w:color w:val="000000" w:themeColor="text1"/>
          <w:sz w:val="22"/>
          <w:szCs w:val="22"/>
          <w:lang w:val="es-ES"/>
        </w:rPr>
        <w:t xml:space="preserve">, </w:t>
      </w:r>
      <w:r w:rsidR="005E61EA">
        <w:rPr>
          <w:b/>
          <w:bCs/>
          <w:color w:val="000000" w:themeColor="text1"/>
          <w:sz w:val="22"/>
          <w:szCs w:val="22"/>
          <w:lang w:val="es-ES"/>
        </w:rPr>
        <w:t>“</w:t>
      </w:r>
      <w:r w:rsidR="00967695" w:rsidRPr="00512F79">
        <w:rPr>
          <w:b/>
          <w:bCs/>
          <w:color w:val="000000" w:themeColor="text1"/>
          <w:sz w:val="22"/>
          <w:szCs w:val="22"/>
          <w:lang w:val="es-ES"/>
        </w:rPr>
        <w:t>Microrredes para mejorar la resiliencia</w:t>
      </w:r>
      <w:r w:rsidR="005E61EA">
        <w:rPr>
          <w:b/>
          <w:bCs/>
          <w:color w:val="000000" w:themeColor="text1"/>
          <w:sz w:val="22"/>
          <w:szCs w:val="22"/>
          <w:lang w:val="es-ES"/>
        </w:rPr>
        <w:t>”</w:t>
      </w:r>
      <w:r w:rsidR="00967695" w:rsidRPr="00512F79">
        <w:rPr>
          <w:b/>
          <w:bCs/>
          <w:color w:val="000000" w:themeColor="text1"/>
          <w:sz w:val="22"/>
          <w:szCs w:val="22"/>
          <w:lang w:val="es-ES"/>
        </w:rPr>
        <w:t xml:space="preserve">, </w:t>
      </w:r>
      <w:r w:rsidR="005E61EA">
        <w:rPr>
          <w:b/>
          <w:bCs/>
          <w:color w:val="000000" w:themeColor="text1"/>
          <w:sz w:val="22"/>
          <w:szCs w:val="22"/>
          <w:lang w:val="es-ES"/>
        </w:rPr>
        <w:t>“</w:t>
      </w:r>
      <w:r w:rsidR="00967695" w:rsidRPr="00512F79">
        <w:rPr>
          <w:b/>
          <w:bCs/>
          <w:color w:val="000000" w:themeColor="text1"/>
          <w:sz w:val="22"/>
          <w:szCs w:val="22"/>
          <w:lang w:val="es-ES"/>
        </w:rPr>
        <w:t>Comprensión de los perturbadores de la viabilidad financiera de los servicios públicos</w:t>
      </w:r>
      <w:r w:rsidR="0063113B">
        <w:rPr>
          <w:b/>
          <w:bCs/>
          <w:color w:val="000000" w:themeColor="text1"/>
          <w:sz w:val="22"/>
          <w:szCs w:val="22"/>
          <w:lang w:val="es-ES"/>
        </w:rPr>
        <w:t>”</w:t>
      </w:r>
      <w:r w:rsidR="00967695" w:rsidRPr="00512F79">
        <w:rPr>
          <w:b/>
          <w:bCs/>
          <w:color w:val="000000" w:themeColor="text1"/>
          <w:sz w:val="22"/>
          <w:szCs w:val="22"/>
          <w:lang w:val="es-ES"/>
        </w:rPr>
        <w:t xml:space="preserve"> y </w:t>
      </w:r>
      <w:r w:rsidR="0063113B">
        <w:rPr>
          <w:b/>
          <w:bCs/>
          <w:color w:val="000000" w:themeColor="text1"/>
          <w:sz w:val="22"/>
          <w:szCs w:val="22"/>
          <w:lang w:val="es-ES"/>
        </w:rPr>
        <w:t>“</w:t>
      </w:r>
      <w:r w:rsidR="00967695" w:rsidRPr="00512F79">
        <w:rPr>
          <w:b/>
          <w:bCs/>
          <w:color w:val="000000" w:themeColor="text1"/>
          <w:sz w:val="22"/>
          <w:szCs w:val="22"/>
          <w:lang w:val="es-ES"/>
        </w:rPr>
        <w:t>Transparencia en la contratación de energías renovables</w:t>
      </w:r>
      <w:r w:rsidR="0063113B">
        <w:rPr>
          <w:b/>
          <w:bCs/>
          <w:color w:val="000000" w:themeColor="text1"/>
          <w:sz w:val="22"/>
          <w:szCs w:val="22"/>
          <w:lang w:val="es-ES"/>
        </w:rPr>
        <w:t>”</w:t>
      </w:r>
      <w:r w:rsidR="00967695" w:rsidRPr="00512F79">
        <w:rPr>
          <w:b/>
          <w:bCs/>
          <w:color w:val="000000" w:themeColor="text1"/>
          <w:sz w:val="22"/>
          <w:szCs w:val="22"/>
          <w:lang w:val="es-ES"/>
        </w:rPr>
        <w:t>.</w:t>
      </w:r>
      <w:r w:rsidR="00967695" w:rsidRPr="00512F79">
        <w:rPr>
          <w:color w:val="000000" w:themeColor="text1"/>
          <w:sz w:val="22"/>
          <w:szCs w:val="22"/>
          <w:lang w:val="es-ES"/>
        </w:rPr>
        <w:t xml:space="preserve"> Cerca de 100 funcionarios de diecisiete países participaron en los cursos.</w:t>
      </w:r>
    </w:p>
    <w:p w14:paraId="5CBC25FD" w14:textId="77777777" w:rsidR="008E7DCC" w:rsidRPr="00512F79" w:rsidRDefault="008E7DCC" w:rsidP="00CB030B">
      <w:pPr>
        <w:pStyle w:val="ListParagraph"/>
        <w:rPr>
          <w:color w:val="000000" w:themeColor="text1"/>
          <w:sz w:val="22"/>
          <w:szCs w:val="22"/>
          <w:lang w:val="es-ES"/>
        </w:rPr>
      </w:pPr>
    </w:p>
    <w:p w14:paraId="6781AC60" w14:textId="5C3396E1" w:rsidR="00F4728E" w:rsidRPr="00077CBB" w:rsidRDefault="00297EAC" w:rsidP="0073527F">
      <w:pPr>
        <w:pStyle w:val="ListParagraph"/>
        <w:numPr>
          <w:ilvl w:val="0"/>
          <w:numId w:val="18"/>
        </w:numPr>
        <w:ind w:left="1440" w:hanging="720"/>
        <w:jc w:val="both"/>
        <w:rPr>
          <w:color w:val="000000" w:themeColor="text1"/>
          <w:sz w:val="22"/>
          <w:szCs w:val="22"/>
          <w:lang w:val="es-ES"/>
        </w:rPr>
      </w:pPr>
      <w:r w:rsidRPr="00077CBB">
        <w:rPr>
          <w:color w:val="000000" w:themeColor="text1"/>
          <w:sz w:val="22"/>
          <w:szCs w:val="22"/>
          <w:lang w:val="es-ES"/>
        </w:rPr>
        <w:t>Se acogió</w:t>
      </w:r>
      <w:r w:rsidR="00967695" w:rsidRPr="00077CBB">
        <w:rPr>
          <w:color w:val="000000" w:themeColor="text1"/>
          <w:sz w:val="22"/>
          <w:szCs w:val="22"/>
          <w:lang w:val="es-ES"/>
        </w:rPr>
        <w:t xml:space="preserve"> el </w:t>
      </w:r>
      <w:r w:rsidR="00967695" w:rsidRPr="00077CBB">
        <w:rPr>
          <w:b/>
          <w:bCs/>
          <w:color w:val="000000" w:themeColor="text1"/>
          <w:sz w:val="22"/>
          <w:szCs w:val="22"/>
          <w:lang w:val="es-ES"/>
        </w:rPr>
        <w:t>Programa de Formación de Líderes en Descarbonización 2022</w:t>
      </w:r>
      <w:r w:rsidR="00967695" w:rsidRPr="00077CBB">
        <w:rPr>
          <w:color w:val="000000" w:themeColor="text1"/>
          <w:sz w:val="22"/>
          <w:szCs w:val="22"/>
          <w:lang w:val="es-ES"/>
        </w:rPr>
        <w:t>, d</w:t>
      </w:r>
      <w:r w:rsidR="0063113B" w:rsidRPr="00077CBB">
        <w:rPr>
          <w:color w:val="000000" w:themeColor="text1"/>
          <w:sz w:val="22"/>
          <w:szCs w:val="22"/>
          <w:lang w:val="es-ES"/>
        </w:rPr>
        <w:t>estinado</w:t>
      </w:r>
      <w:r w:rsidR="00967695" w:rsidRPr="00077CBB">
        <w:rPr>
          <w:color w:val="000000" w:themeColor="text1"/>
          <w:sz w:val="22"/>
          <w:szCs w:val="22"/>
          <w:lang w:val="es-ES"/>
        </w:rPr>
        <w:t xml:space="preserve"> a empoderar a los </w:t>
      </w:r>
      <w:r w:rsidR="006D132B" w:rsidRPr="00077CBB">
        <w:rPr>
          <w:color w:val="000000" w:themeColor="text1"/>
          <w:sz w:val="22"/>
          <w:szCs w:val="22"/>
          <w:lang w:val="es-ES"/>
        </w:rPr>
        <w:t xml:space="preserve">encargados </w:t>
      </w:r>
      <w:r w:rsidR="00967695" w:rsidRPr="00077CBB">
        <w:rPr>
          <w:color w:val="000000" w:themeColor="text1"/>
          <w:sz w:val="22"/>
          <w:szCs w:val="22"/>
          <w:lang w:val="es-ES"/>
        </w:rPr>
        <w:t xml:space="preserve">de la toma de decisiones de América Latina y el Caribe en temas </w:t>
      </w:r>
      <w:r w:rsidR="00077CBB" w:rsidRPr="00077CBB">
        <w:rPr>
          <w:color w:val="000000" w:themeColor="text1"/>
          <w:sz w:val="22"/>
          <w:szCs w:val="22"/>
          <w:lang w:val="es-ES"/>
        </w:rPr>
        <w:t xml:space="preserve">cruciales sobre </w:t>
      </w:r>
      <w:r w:rsidR="00077CBB">
        <w:rPr>
          <w:color w:val="000000" w:themeColor="text1"/>
          <w:sz w:val="22"/>
          <w:szCs w:val="22"/>
          <w:lang w:val="es-ES"/>
        </w:rPr>
        <w:t>la</w:t>
      </w:r>
      <w:r w:rsidR="00967695" w:rsidRPr="00077CBB">
        <w:rPr>
          <w:color w:val="000000" w:themeColor="text1"/>
          <w:sz w:val="22"/>
          <w:szCs w:val="22"/>
          <w:lang w:val="es-ES"/>
        </w:rPr>
        <w:t xml:space="preserve"> descarbonización</w:t>
      </w:r>
      <w:r w:rsidR="00077CBB">
        <w:rPr>
          <w:color w:val="000000" w:themeColor="text1"/>
          <w:sz w:val="22"/>
          <w:szCs w:val="22"/>
          <w:lang w:val="es-ES"/>
        </w:rPr>
        <w:t xml:space="preserve"> y a promover</w:t>
      </w:r>
      <w:r w:rsidR="00967695" w:rsidRPr="00077CBB">
        <w:rPr>
          <w:color w:val="000000" w:themeColor="text1"/>
          <w:sz w:val="22"/>
          <w:szCs w:val="22"/>
          <w:lang w:val="es-ES"/>
        </w:rPr>
        <w:t xml:space="preserve"> el compromiso y la inversión del sector privado. A través de tres sesiones virtuales celebradas entre mayo y junio de 2022, 150 funcionarios gubernamentales pudieron hablar con expertos sobre temas relacionados con la energía, el hidrógeno, la planificación de la descarbonización, las políticas, las </w:t>
      </w:r>
      <w:r w:rsidR="003D06B0" w:rsidRPr="00077CBB">
        <w:rPr>
          <w:color w:val="000000" w:themeColor="text1"/>
          <w:sz w:val="22"/>
          <w:szCs w:val="22"/>
          <w:lang w:val="es-ES"/>
        </w:rPr>
        <w:t xml:space="preserve">adquisiciones </w:t>
      </w:r>
      <w:r w:rsidR="00967695" w:rsidRPr="00077CBB">
        <w:rPr>
          <w:color w:val="000000" w:themeColor="text1"/>
          <w:sz w:val="22"/>
          <w:szCs w:val="22"/>
          <w:lang w:val="es-ES"/>
        </w:rPr>
        <w:t xml:space="preserve">y las </w:t>
      </w:r>
      <w:r w:rsidR="0091619C">
        <w:rPr>
          <w:color w:val="000000" w:themeColor="text1"/>
          <w:sz w:val="22"/>
          <w:szCs w:val="22"/>
          <w:lang w:val="es-ES"/>
        </w:rPr>
        <w:t>alianzas</w:t>
      </w:r>
      <w:r w:rsidR="00967695" w:rsidRPr="00077CBB">
        <w:rPr>
          <w:color w:val="000000" w:themeColor="text1"/>
          <w:sz w:val="22"/>
          <w:szCs w:val="22"/>
          <w:lang w:val="es-ES"/>
        </w:rPr>
        <w:t>.</w:t>
      </w:r>
    </w:p>
    <w:p w14:paraId="685579DB" w14:textId="77777777" w:rsidR="00135759" w:rsidRPr="00512F79" w:rsidRDefault="00135759" w:rsidP="00CB030B">
      <w:pPr>
        <w:pStyle w:val="ListParagraph"/>
        <w:rPr>
          <w:color w:val="000000" w:themeColor="text1"/>
          <w:sz w:val="22"/>
          <w:szCs w:val="22"/>
          <w:lang w:val="es-ES"/>
        </w:rPr>
      </w:pPr>
    </w:p>
    <w:p w14:paraId="74BEC1ED" w14:textId="73A97955" w:rsidR="00F4728E" w:rsidRPr="00512F79" w:rsidRDefault="00077CBB">
      <w:pPr>
        <w:pStyle w:val="ListParagraph"/>
        <w:numPr>
          <w:ilvl w:val="0"/>
          <w:numId w:val="18"/>
        </w:numPr>
        <w:ind w:left="1440" w:hanging="720"/>
        <w:jc w:val="both"/>
        <w:rPr>
          <w:color w:val="000000" w:themeColor="text1"/>
          <w:sz w:val="22"/>
          <w:szCs w:val="22"/>
          <w:lang w:val="es-ES"/>
        </w:rPr>
      </w:pPr>
      <w:r w:rsidRPr="00077CBB">
        <w:rPr>
          <w:color w:val="000000" w:themeColor="text1"/>
          <w:sz w:val="22"/>
          <w:szCs w:val="22"/>
          <w:lang w:val="es-ES"/>
        </w:rPr>
        <w:t xml:space="preserve">Se facilitó la diplomacia energética mediante intercambios de políticas en la XIII Reunión Ministerial </w:t>
      </w:r>
      <w:r w:rsidR="00DF0738">
        <w:rPr>
          <w:color w:val="000000" w:themeColor="text1"/>
          <w:sz w:val="22"/>
          <w:szCs w:val="22"/>
          <w:lang w:val="es-ES"/>
        </w:rPr>
        <w:t>de Energía Limpia</w:t>
      </w:r>
      <w:r w:rsidRPr="00077CBB">
        <w:rPr>
          <w:color w:val="000000" w:themeColor="text1"/>
          <w:sz w:val="22"/>
          <w:szCs w:val="22"/>
          <w:lang w:val="es-ES"/>
        </w:rPr>
        <w:t xml:space="preserve"> y la VII </w:t>
      </w:r>
      <w:r w:rsidR="00065D13">
        <w:rPr>
          <w:color w:val="000000" w:themeColor="text1"/>
          <w:sz w:val="22"/>
          <w:szCs w:val="22"/>
          <w:lang w:val="es-ES"/>
        </w:rPr>
        <w:t>Conferencia Ministerial de la Misión de Innovación</w:t>
      </w:r>
      <w:r w:rsidRPr="00077CBB">
        <w:rPr>
          <w:color w:val="000000" w:themeColor="text1"/>
          <w:sz w:val="22"/>
          <w:szCs w:val="22"/>
          <w:lang w:val="es-ES"/>
        </w:rPr>
        <w:t>, organizadas por Estados Unidos</w:t>
      </w:r>
      <w:r w:rsidR="00065D13">
        <w:rPr>
          <w:color w:val="000000" w:themeColor="text1"/>
          <w:sz w:val="22"/>
          <w:szCs w:val="22"/>
          <w:lang w:val="es-ES"/>
        </w:rPr>
        <w:t>.</w:t>
      </w:r>
      <w:r>
        <w:rPr>
          <w:color w:val="000000" w:themeColor="text1"/>
          <w:sz w:val="22"/>
          <w:szCs w:val="22"/>
          <w:lang w:val="es-ES"/>
        </w:rPr>
        <w:t xml:space="preserve"> </w:t>
      </w:r>
      <w:r w:rsidR="00967695" w:rsidRPr="00512F79">
        <w:rPr>
          <w:color w:val="000000" w:themeColor="text1"/>
          <w:sz w:val="22"/>
          <w:szCs w:val="22"/>
          <w:lang w:val="es-ES"/>
        </w:rPr>
        <w:t xml:space="preserve">Chile, República Dominicana, Panamá y Uruguay </w:t>
      </w:r>
      <w:r w:rsidR="0016214B">
        <w:rPr>
          <w:color w:val="000000" w:themeColor="text1"/>
          <w:sz w:val="22"/>
          <w:szCs w:val="22"/>
          <w:lang w:val="es-ES"/>
        </w:rPr>
        <w:t>intercambiaron</w:t>
      </w:r>
      <w:r w:rsidR="00967695" w:rsidRPr="00512F79">
        <w:rPr>
          <w:color w:val="000000" w:themeColor="text1"/>
          <w:sz w:val="22"/>
          <w:szCs w:val="22"/>
          <w:lang w:val="es-ES"/>
        </w:rPr>
        <w:t xml:space="preserve"> sus experiencias y lecciones aprendidas en la transición energética y la descarbonización hacia 2050, haciendo hincapié en la movilidad eléctrica, la resiliencia de las infraestructuras y la inclusión social.</w:t>
      </w:r>
    </w:p>
    <w:p w14:paraId="19251335" w14:textId="6E4889D6" w:rsidR="00135759" w:rsidRPr="00512F79" w:rsidRDefault="00135759" w:rsidP="00CB030B">
      <w:pPr>
        <w:jc w:val="both"/>
        <w:rPr>
          <w:rFonts w:ascii="Times New Roman" w:eastAsia="Calibri" w:hAnsi="Times New Roman" w:cs="Times New Roman"/>
          <w:color w:val="000000" w:themeColor="text1"/>
          <w:sz w:val="22"/>
          <w:szCs w:val="22"/>
          <w:lang w:val="es-ES"/>
        </w:rPr>
      </w:pPr>
    </w:p>
    <w:p w14:paraId="5522A63F" w14:textId="77777777" w:rsidR="00F4728E" w:rsidRPr="00512F79" w:rsidRDefault="00967695">
      <w:pPr>
        <w:ind w:firstLine="720"/>
        <w:rPr>
          <w:rFonts w:ascii="Times New Roman" w:eastAsia="Calibri" w:hAnsi="Times New Roman" w:cs="Times New Roman"/>
          <w:b/>
          <w:bCs/>
          <w:color w:val="000000" w:themeColor="text1"/>
          <w:sz w:val="22"/>
          <w:szCs w:val="22"/>
          <w:lang w:val="es-ES"/>
        </w:rPr>
      </w:pPr>
      <w:r w:rsidRPr="00512F79">
        <w:rPr>
          <w:rFonts w:ascii="Times New Roman" w:eastAsia="Calibri" w:hAnsi="Times New Roman" w:cs="Times New Roman"/>
          <w:b/>
          <w:bCs/>
          <w:color w:val="000000" w:themeColor="text1"/>
          <w:sz w:val="22"/>
          <w:szCs w:val="22"/>
          <w:lang w:val="es-ES"/>
        </w:rPr>
        <w:t>Secretaría de la Comisión Interamericana de Puertos</w:t>
      </w:r>
    </w:p>
    <w:p w14:paraId="1DBBBA19" w14:textId="77777777" w:rsidR="00141240" w:rsidRPr="00512F79" w:rsidRDefault="00141240" w:rsidP="00CB030B">
      <w:pPr>
        <w:rPr>
          <w:rFonts w:ascii="Times New Roman" w:eastAsia="Calibri" w:hAnsi="Times New Roman" w:cs="Times New Roman"/>
          <w:color w:val="000000" w:themeColor="text1"/>
          <w:sz w:val="22"/>
          <w:szCs w:val="22"/>
          <w:lang w:val="es-ES"/>
        </w:rPr>
      </w:pPr>
    </w:p>
    <w:p w14:paraId="2D50902F" w14:textId="715CF7E2" w:rsidR="00F4728E" w:rsidRPr="00B5288D" w:rsidRDefault="00B5288D">
      <w:pPr>
        <w:pStyle w:val="ListParagraph"/>
        <w:numPr>
          <w:ilvl w:val="0"/>
          <w:numId w:val="22"/>
        </w:numPr>
        <w:ind w:left="1440" w:hanging="720"/>
        <w:contextualSpacing/>
        <w:jc w:val="both"/>
        <w:rPr>
          <w:color w:val="000000" w:themeColor="text1"/>
          <w:sz w:val="22"/>
          <w:szCs w:val="22"/>
          <w:lang w:val="es-ES"/>
        </w:rPr>
      </w:pPr>
      <w:r>
        <w:rPr>
          <w:color w:val="000000" w:themeColor="text1"/>
          <w:sz w:val="22"/>
          <w:szCs w:val="22"/>
          <w:lang w:val="es-ES"/>
        </w:rPr>
        <w:t xml:space="preserve">Se iniciaron </w:t>
      </w:r>
      <w:r w:rsidR="00967695" w:rsidRPr="00512F79">
        <w:rPr>
          <w:color w:val="000000" w:themeColor="text1"/>
          <w:sz w:val="22"/>
          <w:szCs w:val="22"/>
          <w:lang w:val="es-ES"/>
        </w:rPr>
        <w:t xml:space="preserve">conversaciones con la Autoridad Marítima de Panamá para implantar el Programa de Incentivos Portuarios en uno de sus puertos. </w:t>
      </w:r>
      <w:r w:rsidR="00967695" w:rsidRPr="00B5288D">
        <w:rPr>
          <w:color w:val="000000" w:themeColor="text1"/>
          <w:sz w:val="22"/>
          <w:szCs w:val="22"/>
          <w:lang w:val="es-ES"/>
        </w:rPr>
        <w:t xml:space="preserve">La Secretaría </w:t>
      </w:r>
      <w:r w:rsidR="00065D13">
        <w:rPr>
          <w:color w:val="000000" w:themeColor="text1"/>
          <w:sz w:val="22"/>
          <w:szCs w:val="22"/>
          <w:lang w:val="es-ES"/>
        </w:rPr>
        <w:t>de la Comisión Interamericana de Puertos</w:t>
      </w:r>
      <w:r w:rsidR="00967695" w:rsidRPr="00B5288D">
        <w:rPr>
          <w:color w:val="000000" w:themeColor="text1"/>
          <w:sz w:val="22"/>
          <w:szCs w:val="22"/>
          <w:lang w:val="es-ES"/>
        </w:rPr>
        <w:t xml:space="preserve"> espera resultados en 2023.</w:t>
      </w:r>
    </w:p>
    <w:p w14:paraId="733BA69E" w14:textId="77777777" w:rsidR="0040095C" w:rsidRPr="00B93932" w:rsidRDefault="0040095C" w:rsidP="00B93932">
      <w:pPr>
        <w:contextualSpacing/>
        <w:jc w:val="both"/>
        <w:rPr>
          <w:color w:val="000000" w:themeColor="text1"/>
          <w:sz w:val="22"/>
          <w:szCs w:val="22"/>
          <w:lang w:val="es-ES"/>
        </w:rPr>
      </w:pPr>
    </w:p>
    <w:p w14:paraId="06B837FD" w14:textId="77777777" w:rsidR="00F4728E" w:rsidRPr="0040095C" w:rsidRDefault="00967695">
      <w:pPr>
        <w:ind w:firstLine="18"/>
        <w:jc w:val="both"/>
        <w:rPr>
          <w:rFonts w:ascii="Times New Roman" w:eastAsia="Calibri" w:hAnsi="Times New Roman" w:cs="Times New Roman"/>
          <w:b/>
          <w:sz w:val="22"/>
          <w:szCs w:val="22"/>
          <w:u w:val="single"/>
          <w:lang w:val="es-ES"/>
        </w:rPr>
      </w:pPr>
      <w:r w:rsidRPr="0040095C">
        <w:rPr>
          <w:rFonts w:ascii="Times New Roman" w:eastAsia="Calibri" w:hAnsi="Times New Roman" w:cs="Times New Roman"/>
          <w:b/>
          <w:sz w:val="22"/>
          <w:szCs w:val="22"/>
          <w:u w:val="single"/>
          <w:lang w:val="es-ES"/>
        </w:rPr>
        <w:t>OBJETIVO 2.6</w:t>
      </w:r>
    </w:p>
    <w:p w14:paraId="6412F10B" w14:textId="77777777" w:rsidR="00135759" w:rsidRPr="0040095C" w:rsidRDefault="00135759" w:rsidP="00CB030B">
      <w:pPr>
        <w:ind w:firstLine="18"/>
        <w:jc w:val="both"/>
        <w:rPr>
          <w:rFonts w:ascii="Times New Roman" w:eastAsia="Calibri" w:hAnsi="Times New Roman" w:cs="Times New Roman"/>
          <w:b/>
          <w:sz w:val="22"/>
          <w:szCs w:val="22"/>
          <w:u w:val="single"/>
          <w:lang w:val="es-ES"/>
        </w:rPr>
      </w:pPr>
    </w:p>
    <w:p w14:paraId="6448A160" w14:textId="0826779B" w:rsidR="00F4728E" w:rsidRPr="00D1112E" w:rsidRDefault="00C55264">
      <w:pPr>
        <w:ind w:firstLine="360"/>
        <w:jc w:val="both"/>
        <w:rPr>
          <w:rFonts w:ascii="Times New Roman" w:eastAsia="Calibri" w:hAnsi="Times New Roman" w:cs="Times New Roman"/>
          <w:color w:val="000000" w:themeColor="text1"/>
          <w:sz w:val="22"/>
          <w:szCs w:val="22"/>
          <w:lang w:val="es-ES"/>
        </w:rPr>
      </w:pPr>
      <w:r w:rsidRPr="00D1112E">
        <w:rPr>
          <w:rFonts w:ascii="Times New Roman" w:hAnsi="Times New Roman" w:cs="Times New Roman"/>
          <w:sz w:val="22"/>
          <w:szCs w:val="22"/>
          <w:lang w:val="es-US"/>
        </w:rPr>
        <w:t xml:space="preserve">Fortalecer las capacidades de los Estados Miembros para alcanzar instituciones eficientes, eficaces, responsables e inclusivas para el desarrollo sostenible de acuerdo con los objetivos y bases para la acción </w:t>
      </w:r>
      <w:r w:rsidR="00C4694E">
        <w:rPr>
          <w:rFonts w:ascii="Times New Roman" w:hAnsi="Times New Roman" w:cs="Times New Roman"/>
          <w:sz w:val="22"/>
          <w:szCs w:val="22"/>
          <w:lang w:val="es-US"/>
        </w:rPr>
        <w:t xml:space="preserve">estratégicos </w:t>
      </w:r>
      <w:r w:rsidRPr="00D1112E">
        <w:rPr>
          <w:rFonts w:ascii="Times New Roman" w:hAnsi="Times New Roman" w:cs="Times New Roman"/>
          <w:sz w:val="22"/>
          <w:szCs w:val="22"/>
          <w:lang w:val="es-US"/>
        </w:rPr>
        <w:t>estipulados en la sección 3.6 del PIDS.</w:t>
      </w:r>
    </w:p>
    <w:p w14:paraId="3BBD3556" w14:textId="77777777" w:rsidR="003D06B0" w:rsidRPr="00512F79" w:rsidRDefault="003D06B0" w:rsidP="00CB030B">
      <w:pPr>
        <w:tabs>
          <w:tab w:val="left" w:pos="432"/>
        </w:tabs>
        <w:ind w:left="432" w:hanging="432"/>
        <w:jc w:val="both"/>
        <w:rPr>
          <w:rFonts w:ascii="Times New Roman" w:hAnsi="Times New Roman" w:cs="Times New Roman"/>
          <w:color w:val="000000" w:themeColor="text1"/>
          <w:sz w:val="22"/>
          <w:szCs w:val="22"/>
          <w:lang w:val="es-ES"/>
        </w:rPr>
      </w:pPr>
    </w:p>
    <w:p w14:paraId="5163D01E" w14:textId="3D9B36A8" w:rsidR="00F4728E" w:rsidRPr="00512F79" w:rsidRDefault="003E723B">
      <w:pPr>
        <w:pStyle w:val="ListParagraph"/>
        <w:numPr>
          <w:ilvl w:val="0"/>
          <w:numId w:val="21"/>
        </w:numPr>
        <w:ind w:left="1440" w:hanging="720"/>
        <w:jc w:val="both"/>
        <w:rPr>
          <w:color w:val="000000" w:themeColor="text1"/>
          <w:sz w:val="22"/>
          <w:szCs w:val="22"/>
          <w:lang w:val="es-ES"/>
        </w:rPr>
      </w:pPr>
      <w:r>
        <w:rPr>
          <w:color w:val="000000" w:themeColor="text1"/>
          <w:sz w:val="22"/>
          <w:szCs w:val="22"/>
          <w:lang w:val="es-ES"/>
        </w:rPr>
        <w:t>Se p</w:t>
      </w:r>
      <w:r w:rsidR="00034A20" w:rsidRPr="00034A20">
        <w:rPr>
          <w:color w:val="000000" w:themeColor="text1"/>
          <w:sz w:val="22"/>
          <w:szCs w:val="22"/>
          <w:lang w:val="es-ES"/>
        </w:rPr>
        <w:t xml:space="preserve">restó asistencia administrativa y técnica a la Secretaría en el marco del Acuerdo de Promoción Comercial </w:t>
      </w:r>
      <w:r w:rsidR="00034A20">
        <w:rPr>
          <w:color w:val="000000" w:themeColor="text1"/>
          <w:sz w:val="22"/>
          <w:szCs w:val="22"/>
          <w:lang w:val="es-ES"/>
        </w:rPr>
        <w:t>entre Estados Unidos y Perú</w:t>
      </w:r>
      <w:r w:rsidR="00034A20" w:rsidRPr="00034A20">
        <w:rPr>
          <w:color w:val="000000" w:themeColor="text1"/>
          <w:sz w:val="22"/>
          <w:szCs w:val="22"/>
          <w:lang w:val="es-ES"/>
        </w:rPr>
        <w:t xml:space="preserve"> para las presentaciones sobre asuntos de aplicación de la legislación medioambiental, y en la recepción y tramitación de presentaciones públicas relativas a los incumplimientos de una Parte en la aplicación efectiva de su legislación medioambiental.</w:t>
      </w:r>
    </w:p>
    <w:p w14:paraId="66F3AB23" w14:textId="77777777" w:rsidR="003D06B0" w:rsidRPr="00512F79" w:rsidRDefault="003D06B0" w:rsidP="00CB030B">
      <w:pPr>
        <w:ind w:left="1440" w:hanging="720"/>
        <w:jc w:val="both"/>
        <w:rPr>
          <w:rFonts w:ascii="Times New Roman" w:hAnsi="Times New Roman" w:cs="Times New Roman"/>
          <w:color w:val="000000" w:themeColor="text1"/>
          <w:sz w:val="22"/>
          <w:szCs w:val="22"/>
          <w:lang w:val="es-ES"/>
        </w:rPr>
      </w:pPr>
    </w:p>
    <w:p w14:paraId="6BC0FD02" w14:textId="3802C70E" w:rsidR="003D06B0" w:rsidRPr="003E723B" w:rsidRDefault="003E723B" w:rsidP="00E60579">
      <w:pPr>
        <w:pStyle w:val="ListParagraph"/>
        <w:numPr>
          <w:ilvl w:val="0"/>
          <w:numId w:val="21"/>
        </w:numPr>
        <w:ind w:left="1440" w:hanging="720"/>
        <w:contextualSpacing/>
        <w:jc w:val="both"/>
        <w:rPr>
          <w:color w:val="000000" w:themeColor="text1"/>
          <w:sz w:val="22"/>
          <w:szCs w:val="22"/>
          <w:lang w:val="es-ES"/>
        </w:rPr>
      </w:pPr>
      <w:r w:rsidRPr="003E723B">
        <w:rPr>
          <w:color w:val="000000" w:themeColor="text1"/>
          <w:sz w:val="22"/>
          <w:szCs w:val="22"/>
          <w:lang w:val="es-ES"/>
        </w:rPr>
        <w:t xml:space="preserve">Se </w:t>
      </w:r>
      <w:r w:rsidR="0091619C">
        <w:rPr>
          <w:color w:val="000000" w:themeColor="text1"/>
          <w:sz w:val="22"/>
          <w:szCs w:val="22"/>
          <w:lang w:val="es-ES"/>
        </w:rPr>
        <w:t xml:space="preserve">elaboró </w:t>
      </w:r>
      <w:r w:rsidR="00967695" w:rsidRPr="003E723B">
        <w:rPr>
          <w:color w:val="000000" w:themeColor="text1"/>
          <w:sz w:val="22"/>
          <w:szCs w:val="22"/>
          <w:lang w:val="es-ES"/>
        </w:rPr>
        <w:t xml:space="preserve">una propuesta de proyecto </w:t>
      </w:r>
      <w:r w:rsidR="00B5288D" w:rsidRPr="003E723B">
        <w:rPr>
          <w:b/>
          <w:bCs/>
          <w:color w:val="000000" w:themeColor="text1"/>
          <w:sz w:val="22"/>
          <w:szCs w:val="22"/>
          <w:lang w:val="es-ES"/>
        </w:rPr>
        <w:t>“</w:t>
      </w:r>
      <w:r w:rsidR="0091619C">
        <w:rPr>
          <w:b/>
          <w:bCs/>
          <w:color w:val="000000" w:themeColor="text1"/>
          <w:sz w:val="22"/>
          <w:szCs w:val="22"/>
          <w:lang w:val="es-ES"/>
        </w:rPr>
        <w:t>Creación de capacidad de los organismos nacionales de ejecución del FMAM en A</w:t>
      </w:r>
      <w:r w:rsidR="00967695" w:rsidRPr="003E723B">
        <w:rPr>
          <w:b/>
          <w:bCs/>
          <w:color w:val="000000" w:themeColor="text1"/>
          <w:sz w:val="22"/>
          <w:szCs w:val="22"/>
          <w:lang w:val="es-ES"/>
        </w:rPr>
        <w:t>mérica Latina y el Caribe</w:t>
      </w:r>
      <w:r w:rsidR="00B5288D" w:rsidRPr="003E723B">
        <w:rPr>
          <w:b/>
          <w:bCs/>
          <w:color w:val="000000" w:themeColor="text1"/>
          <w:sz w:val="22"/>
          <w:szCs w:val="22"/>
          <w:lang w:val="es-ES"/>
        </w:rPr>
        <w:t>”</w:t>
      </w:r>
      <w:r w:rsidR="00967695" w:rsidRPr="003E723B">
        <w:rPr>
          <w:b/>
          <w:bCs/>
          <w:color w:val="000000" w:themeColor="text1"/>
          <w:sz w:val="22"/>
          <w:szCs w:val="22"/>
          <w:lang w:val="es-ES"/>
        </w:rPr>
        <w:t xml:space="preserve"> </w:t>
      </w:r>
      <w:r w:rsidR="00967695" w:rsidRPr="003E723B">
        <w:rPr>
          <w:color w:val="000000" w:themeColor="text1"/>
          <w:sz w:val="22"/>
          <w:szCs w:val="22"/>
          <w:lang w:val="es-ES"/>
        </w:rPr>
        <w:t>en colaboración con la Secretaría del FMAM y como parte de su Programa de Apoyo a</w:t>
      </w:r>
      <w:r w:rsidR="003B1DFB">
        <w:rPr>
          <w:color w:val="000000" w:themeColor="text1"/>
          <w:sz w:val="22"/>
          <w:szCs w:val="22"/>
          <w:lang w:val="es-ES"/>
        </w:rPr>
        <w:t>l País.</w:t>
      </w:r>
      <w:r w:rsidR="00967695" w:rsidRPr="003E723B">
        <w:rPr>
          <w:color w:val="000000" w:themeColor="text1"/>
          <w:sz w:val="22"/>
          <w:szCs w:val="22"/>
          <w:lang w:val="es-ES"/>
        </w:rPr>
        <w:t xml:space="preserve"> Esta propuesta de </w:t>
      </w:r>
      <w:r w:rsidR="00967695" w:rsidRPr="003E723B">
        <w:rPr>
          <w:color w:val="000000"/>
          <w:sz w:val="22"/>
          <w:szCs w:val="22"/>
          <w:lang w:val="es-ES"/>
        </w:rPr>
        <w:t xml:space="preserve">proyecto </w:t>
      </w:r>
      <w:r w:rsidRPr="003E723B">
        <w:rPr>
          <w:color w:val="000000"/>
          <w:sz w:val="22"/>
          <w:szCs w:val="22"/>
          <w:lang w:val="es-ES"/>
        </w:rPr>
        <w:t>fue</w:t>
      </w:r>
      <w:r w:rsidR="00967695" w:rsidRPr="003E723B">
        <w:rPr>
          <w:color w:val="000000"/>
          <w:sz w:val="22"/>
          <w:szCs w:val="22"/>
          <w:lang w:val="es-ES"/>
        </w:rPr>
        <w:t xml:space="preserve"> aprobada por el Consejo del FMAM en el marco de sus ocho reposiciones</w:t>
      </w:r>
      <w:r w:rsidR="00E24D12">
        <w:rPr>
          <w:color w:val="000000"/>
          <w:sz w:val="22"/>
          <w:szCs w:val="22"/>
          <w:lang w:val="es-ES"/>
        </w:rPr>
        <w:t>. L</w:t>
      </w:r>
      <w:r w:rsidR="00967695" w:rsidRPr="003E723B">
        <w:rPr>
          <w:color w:val="000000"/>
          <w:sz w:val="22"/>
          <w:szCs w:val="22"/>
          <w:lang w:val="es-ES"/>
        </w:rPr>
        <w:t>a S</w:t>
      </w:r>
      <w:r w:rsidR="00E24D12">
        <w:rPr>
          <w:color w:val="000000"/>
          <w:sz w:val="22"/>
          <w:szCs w:val="22"/>
          <w:lang w:val="es-ES"/>
        </w:rPr>
        <w:t>ecretaría General de la OEA</w:t>
      </w:r>
      <w:r w:rsidR="00967695" w:rsidRPr="003E723B">
        <w:rPr>
          <w:color w:val="000000"/>
          <w:sz w:val="22"/>
          <w:szCs w:val="22"/>
          <w:lang w:val="es-ES"/>
        </w:rPr>
        <w:t xml:space="preserve"> </w:t>
      </w:r>
      <w:r w:rsidR="00E24D12">
        <w:rPr>
          <w:color w:val="000000"/>
          <w:sz w:val="22"/>
          <w:szCs w:val="22"/>
          <w:lang w:val="es-ES"/>
        </w:rPr>
        <w:t>está esperando</w:t>
      </w:r>
      <w:r w:rsidR="00967695" w:rsidRPr="003E723B">
        <w:rPr>
          <w:color w:val="000000"/>
          <w:sz w:val="22"/>
          <w:szCs w:val="22"/>
          <w:lang w:val="es-ES"/>
        </w:rPr>
        <w:t xml:space="preserve"> </w:t>
      </w:r>
      <w:r w:rsidR="00E24D12">
        <w:rPr>
          <w:color w:val="000000"/>
          <w:sz w:val="22"/>
          <w:szCs w:val="22"/>
          <w:lang w:val="es-ES"/>
        </w:rPr>
        <w:t>las pautas</w:t>
      </w:r>
      <w:r w:rsidR="00967695" w:rsidRPr="003E723B">
        <w:rPr>
          <w:color w:val="000000"/>
          <w:sz w:val="22"/>
          <w:szCs w:val="22"/>
          <w:lang w:val="es-ES"/>
        </w:rPr>
        <w:t xml:space="preserve"> del FMAM para iniciar el proceso de </w:t>
      </w:r>
      <w:r>
        <w:rPr>
          <w:color w:val="000000"/>
          <w:sz w:val="22"/>
          <w:szCs w:val="22"/>
          <w:lang w:val="es-ES"/>
        </w:rPr>
        <w:t xml:space="preserve">debida </w:t>
      </w:r>
      <w:r w:rsidR="00967695" w:rsidRPr="003E723B">
        <w:rPr>
          <w:color w:val="000000"/>
          <w:sz w:val="22"/>
          <w:szCs w:val="22"/>
          <w:lang w:val="es-ES"/>
        </w:rPr>
        <w:t>diligencia.</w:t>
      </w:r>
    </w:p>
    <w:p w14:paraId="7AEF3781" w14:textId="77777777" w:rsidR="00135759" w:rsidRPr="00512F79" w:rsidRDefault="00135759" w:rsidP="00CB030B">
      <w:pPr>
        <w:jc w:val="both"/>
        <w:rPr>
          <w:rFonts w:ascii="Times New Roman" w:hAnsi="Times New Roman" w:cs="Times New Roman"/>
          <w:color w:val="000000" w:themeColor="text1"/>
          <w:sz w:val="22"/>
          <w:szCs w:val="22"/>
          <w:lang w:val="es-ES"/>
        </w:rPr>
      </w:pPr>
    </w:p>
    <w:p w14:paraId="6097A962" w14:textId="77777777" w:rsidR="003E723B" w:rsidRDefault="003E723B">
      <w:pPr>
        <w:rPr>
          <w:rFonts w:ascii="Times New Roman" w:hAnsi="Times New Roman" w:cs="Times New Roman"/>
          <w:b/>
          <w:bCs/>
          <w:sz w:val="22"/>
          <w:szCs w:val="22"/>
          <w:lang w:val="es-ES"/>
        </w:rPr>
      </w:pPr>
    </w:p>
    <w:p w14:paraId="4C0425DE" w14:textId="0F9EF7DE"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3</w:t>
      </w:r>
    </w:p>
    <w:p w14:paraId="562D80CD" w14:textId="77777777" w:rsidR="00F4728E" w:rsidRPr="00512F79" w:rsidRDefault="00967695">
      <w:pPr>
        <w:pBdr>
          <w:bottom w:val="single" w:sz="6" w:space="1" w:color="auto"/>
        </w:pBdr>
        <w:rPr>
          <w:rFonts w:ascii="Times New Roman" w:hAnsi="Times New Roman" w:cs="Times New Roman"/>
          <w:sz w:val="22"/>
          <w:szCs w:val="22"/>
          <w:lang w:val="es-ES"/>
        </w:rPr>
      </w:pPr>
      <w:r w:rsidRPr="00512F79">
        <w:rPr>
          <w:rFonts w:ascii="Times New Roman" w:hAnsi="Times New Roman" w:cs="Times New Roman"/>
          <w:sz w:val="22"/>
          <w:szCs w:val="22"/>
          <w:lang w:val="es-ES"/>
        </w:rPr>
        <w:t>PROMOVER LA EDUCACIÓN Y EL DESARROLLO HUMANO EN LAS AMÉRICAS</w:t>
      </w:r>
    </w:p>
    <w:p w14:paraId="400DF817" w14:textId="77777777" w:rsidR="00DB1F46" w:rsidRPr="00512F79" w:rsidRDefault="00DB1F46" w:rsidP="00CB030B">
      <w:pPr>
        <w:rPr>
          <w:rFonts w:ascii="Times New Roman" w:hAnsi="Times New Roman" w:cs="Times New Roman"/>
          <w:sz w:val="22"/>
          <w:szCs w:val="22"/>
          <w:lang w:val="es-ES"/>
        </w:rPr>
      </w:pPr>
    </w:p>
    <w:p w14:paraId="2AB3196E" w14:textId="20D1D8BC" w:rsidR="00F4728E" w:rsidRPr="00512F79" w:rsidRDefault="00967695">
      <w:pPr>
        <w:ind w:firstLine="720"/>
        <w:jc w:val="both"/>
        <w:rPr>
          <w:rFonts w:ascii="Times New Roman" w:hAnsi="Times New Roman" w:cs="Times New Roman"/>
          <w:sz w:val="22"/>
          <w:szCs w:val="22"/>
          <w:lang w:val="es-ES"/>
        </w:rPr>
      </w:pPr>
      <w:r w:rsidRPr="00512F79">
        <w:rPr>
          <w:rFonts w:ascii="Times New Roman" w:hAnsi="Times New Roman" w:cs="Times New Roman"/>
          <w:sz w:val="22"/>
          <w:szCs w:val="22"/>
          <w:lang w:val="es-ES"/>
        </w:rPr>
        <w:t xml:space="preserve">La Asamblea General de la Organización de los Estados Americanos, a través de la resolución AG/RES. 2967 (LI-O/21), encomendó a la SEDI </w:t>
      </w:r>
      <w:r w:rsidR="00C0581B">
        <w:rPr>
          <w:rFonts w:ascii="Times New Roman" w:hAnsi="Times New Roman" w:cs="Times New Roman"/>
          <w:sz w:val="22"/>
          <w:szCs w:val="22"/>
          <w:lang w:val="es-ES"/>
        </w:rPr>
        <w:t xml:space="preserve">que presentara </w:t>
      </w:r>
      <w:r w:rsidRPr="00512F79">
        <w:rPr>
          <w:rFonts w:ascii="Times New Roman" w:hAnsi="Times New Roman" w:cs="Times New Roman"/>
          <w:sz w:val="22"/>
          <w:szCs w:val="22"/>
          <w:lang w:val="es-ES"/>
        </w:rPr>
        <w:t xml:space="preserve">el Proyecto de Agenda Educativa Interamericana (AIE) </w:t>
      </w:r>
      <w:r w:rsidR="00A427C5" w:rsidRPr="00512F79">
        <w:rPr>
          <w:rFonts w:ascii="Times New Roman" w:hAnsi="Times New Roman" w:cs="Times New Roman"/>
          <w:sz w:val="22"/>
          <w:szCs w:val="22"/>
          <w:lang w:val="es-ES"/>
        </w:rPr>
        <w:t xml:space="preserve">2022-2027. </w:t>
      </w:r>
      <w:r w:rsidRPr="00512F79">
        <w:rPr>
          <w:rFonts w:ascii="Times New Roman" w:hAnsi="Times New Roman" w:cs="Times New Roman"/>
          <w:sz w:val="22"/>
          <w:szCs w:val="22"/>
          <w:lang w:val="es-ES"/>
        </w:rPr>
        <w:t xml:space="preserve">En este sentido, bajo </w:t>
      </w:r>
      <w:r w:rsidR="002D1E39">
        <w:rPr>
          <w:rFonts w:ascii="Times New Roman" w:hAnsi="Times New Roman" w:cs="Times New Roman"/>
          <w:sz w:val="22"/>
          <w:szCs w:val="22"/>
          <w:lang w:val="es-ES"/>
        </w:rPr>
        <w:t>la dirección</w:t>
      </w:r>
      <w:r w:rsidRPr="00512F79">
        <w:rPr>
          <w:rFonts w:ascii="Times New Roman" w:hAnsi="Times New Roman" w:cs="Times New Roman"/>
          <w:sz w:val="22"/>
          <w:szCs w:val="22"/>
          <w:lang w:val="es-ES"/>
        </w:rPr>
        <w:t xml:space="preserve"> de las </w:t>
      </w:r>
      <w:r w:rsidR="002D1E39">
        <w:rPr>
          <w:rFonts w:ascii="Times New Roman" w:hAnsi="Times New Roman" w:cs="Times New Roman"/>
          <w:sz w:val="22"/>
          <w:szCs w:val="22"/>
          <w:lang w:val="es-ES"/>
        </w:rPr>
        <w:t>a</w:t>
      </w:r>
      <w:r w:rsidRPr="00512F79">
        <w:rPr>
          <w:rFonts w:ascii="Times New Roman" w:hAnsi="Times New Roman" w:cs="Times New Roman"/>
          <w:sz w:val="22"/>
          <w:szCs w:val="22"/>
          <w:lang w:val="es-ES"/>
        </w:rPr>
        <w:t xml:space="preserve">utoridades de la Comisión Interamericana de Educación (CIE), los diálogos entre Ministerios de Educación celebrados en 2022 adquirieron una dinámica que se consolidó en la Reunión Preparatoria </w:t>
      </w:r>
      <w:r w:rsidR="00A25041">
        <w:rPr>
          <w:rFonts w:ascii="Times New Roman" w:hAnsi="Times New Roman" w:cs="Times New Roman"/>
          <w:sz w:val="22"/>
          <w:szCs w:val="22"/>
          <w:lang w:val="es-ES"/>
        </w:rPr>
        <w:t xml:space="preserve">para la IX </w:t>
      </w:r>
      <w:r w:rsidRPr="00512F79">
        <w:rPr>
          <w:rFonts w:ascii="Times New Roman" w:hAnsi="Times New Roman" w:cs="Times New Roman"/>
          <w:sz w:val="22"/>
          <w:szCs w:val="22"/>
          <w:lang w:val="es-ES"/>
        </w:rPr>
        <w:t xml:space="preserve">Reunión Interamericana de Ministros de Educación, celebrada en julio de 2022, </w:t>
      </w:r>
      <w:r w:rsidR="00B65E62">
        <w:rPr>
          <w:rFonts w:ascii="Times New Roman" w:hAnsi="Times New Roman" w:cs="Times New Roman"/>
          <w:sz w:val="22"/>
          <w:szCs w:val="22"/>
          <w:lang w:val="es-ES"/>
        </w:rPr>
        <w:t>durante la cual</w:t>
      </w:r>
      <w:r w:rsidRPr="00512F79">
        <w:rPr>
          <w:rFonts w:ascii="Times New Roman" w:hAnsi="Times New Roman" w:cs="Times New Roman"/>
          <w:sz w:val="22"/>
          <w:szCs w:val="22"/>
          <w:lang w:val="es-ES"/>
        </w:rPr>
        <w:t xml:space="preserve"> representantes de 28 países ratificaron el consenso en torno a las áreas prioritarias y las líneas temáticas que orientarán la </w:t>
      </w:r>
      <w:hyperlink r:id="rId17" w:history="1">
        <w:r w:rsidR="00CF24B0" w:rsidRPr="00512F79">
          <w:rPr>
            <w:rStyle w:val="Hyperlink"/>
            <w:rFonts w:ascii="Times New Roman" w:hAnsi="Times New Roman" w:cs="Times New Roman"/>
            <w:sz w:val="22"/>
            <w:szCs w:val="22"/>
            <w:lang w:val="es-ES"/>
          </w:rPr>
          <w:t>Agenda Educativa Interamericana 2022-2027</w:t>
        </w:r>
      </w:hyperlink>
      <w:r w:rsidRPr="00512F79">
        <w:rPr>
          <w:rFonts w:ascii="Times New Roman" w:hAnsi="Times New Roman" w:cs="Times New Roman"/>
          <w:sz w:val="22"/>
          <w:szCs w:val="22"/>
          <w:lang w:val="es-ES"/>
        </w:rPr>
        <w:t xml:space="preserve">. Asimismo, los representantes de los Ministerios de Educación cumplieron con el objetivo central de generar consensos tanto sobre la </w:t>
      </w:r>
      <w:hyperlink r:id="rId18" w:history="1">
        <w:r w:rsidRPr="00512F79">
          <w:rPr>
            <w:rStyle w:val="Hyperlink"/>
            <w:rFonts w:ascii="Times New Roman" w:hAnsi="Times New Roman" w:cs="Times New Roman"/>
            <w:sz w:val="22"/>
            <w:szCs w:val="22"/>
            <w:lang w:val="es-ES"/>
          </w:rPr>
          <w:t>Declaración Hemisférica de Educación</w:t>
        </w:r>
      </w:hyperlink>
      <w:r w:rsidRPr="00512F79">
        <w:rPr>
          <w:rFonts w:ascii="Times New Roman" w:hAnsi="Times New Roman" w:cs="Times New Roman"/>
          <w:sz w:val="22"/>
          <w:szCs w:val="22"/>
          <w:lang w:val="es-ES"/>
        </w:rPr>
        <w:t xml:space="preserve"> como sobre el </w:t>
      </w:r>
      <w:hyperlink r:id="rId19" w:history="1">
        <w:r w:rsidRPr="00512F79">
          <w:rPr>
            <w:rStyle w:val="Hyperlink"/>
            <w:rFonts w:ascii="Times New Roman" w:hAnsi="Times New Roman" w:cs="Times New Roman"/>
            <w:sz w:val="22"/>
            <w:szCs w:val="22"/>
            <w:lang w:val="es-ES"/>
          </w:rPr>
          <w:t>Plan de Acción Hemisférico</w:t>
        </w:r>
      </w:hyperlink>
      <w:r w:rsidRPr="00512F79">
        <w:rPr>
          <w:rFonts w:ascii="Times New Roman" w:hAnsi="Times New Roman" w:cs="Times New Roman"/>
          <w:sz w:val="22"/>
          <w:szCs w:val="22"/>
          <w:lang w:val="es-ES"/>
        </w:rPr>
        <w:t xml:space="preserve"> de Educación, documentos aprobados por aclamación durante la </w:t>
      </w:r>
      <w:r w:rsidR="00B65E62">
        <w:rPr>
          <w:rFonts w:ascii="Times New Roman" w:hAnsi="Times New Roman" w:cs="Times New Roman"/>
          <w:sz w:val="22"/>
          <w:szCs w:val="22"/>
          <w:lang w:val="es-ES"/>
        </w:rPr>
        <w:t>X</w:t>
      </w:r>
      <w:r w:rsidR="00B912E9">
        <w:rPr>
          <w:rFonts w:ascii="Times New Roman" w:hAnsi="Times New Roman" w:cs="Times New Roman"/>
          <w:sz w:val="22"/>
          <w:szCs w:val="22"/>
          <w:lang w:val="es-ES"/>
        </w:rPr>
        <w:t>I</w:t>
      </w:r>
      <w:r w:rsidR="00135759" w:rsidRPr="00512F79">
        <w:rPr>
          <w:rFonts w:ascii="Times New Roman" w:hAnsi="Times New Roman" w:cs="Times New Roman"/>
          <w:sz w:val="22"/>
          <w:szCs w:val="22"/>
          <w:lang w:val="es-ES"/>
        </w:rPr>
        <w:t xml:space="preserve"> Reunión </w:t>
      </w:r>
      <w:r w:rsidRPr="00512F79">
        <w:rPr>
          <w:rFonts w:ascii="Times New Roman" w:hAnsi="Times New Roman" w:cs="Times New Roman"/>
          <w:sz w:val="22"/>
          <w:szCs w:val="22"/>
          <w:lang w:val="es-ES"/>
        </w:rPr>
        <w:t>Interamericana de Ministros de Educación celebrada los días 10 y 11 de noviembre de 2022.</w:t>
      </w:r>
    </w:p>
    <w:p w14:paraId="6F838128" w14:textId="22FED9B6" w:rsidR="00141240" w:rsidRPr="00512F79" w:rsidRDefault="00141240" w:rsidP="00CB030B">
      <w:pPr>
        <w:jc w:val="both"/>
        <w:rPr>
          <w:rFonts w:ascii="Times New Roman" w:hAnsi="Times New Roman" w:cs="Times New Roman"/>
          <w:sz w:val="22"/>
          <w:szCs w:val="22"/>
          <w:lang w:val="es-ES"/>
        </w:rPr>
      </w:pPr>
    </w:p>
    <w:p w14:paraId="33E36C73" w14:textId="77777777" w:rsidR="00F4728E" w:rsidRPr="00512F79" w:rsidRDefault="00967695">
      <w:pPr>
        <w:ind w:firstLine="18"/>
        <w:jc w:val="both"/>
        <w:rPr>
          <w:rFonts w:ascii="Times New Roman" w:hAnsi="Times New Roman" w:cs="Times New Roman"/>
          <w:b/>
          <w:bCs/>
          <w:sz w:val="22"/>
          <w:szCs w:val="22"/>
          <w:u w:val="single"/>
          <w:lang w:val="es-ES"/>
        </w:rPr>
      </w:pPr>
      <w:r w:rsidRPr="00512F79">
        <w:rPr>
          <w:rFonts w:ascii="Times New Roman" w:hAnsi="Times New Roman" w:cs="Times New Roman"/>
          <w:b/>
          <w:bCs/>
          <w:sz w:val="22"/>
          <w:szCs w:val="22"/>
          <w:u w:val="single"/>
          <w:lang w:val="es-ES"/>
        </w:rPr>
        <w:t>OBJETIVO 3.1</w:t>
      </w:r>
    </w:p>
    <w:p w14:paraId="0134C2D1" w14:textId="77777777" w:rsidR="00135759" w:rsidRPr="00512F79" w:rsidRDefault="00135759" w:rsidP="00CB030B">
      <w:pPr>
        <w:ind w:firstLine="18"/>
        <w:jc w:val="both"/>
        <w:rPr>
          <w:rFonts w:ascii="Times New Roman" w:hAnsi="Times New Roman" w:cs="Times New Roman"/>
          <w:b/>
          <w:bCs/>
          <w:sz w:val="22"/>
          <w:szCs w:val="22"/>
          <w:u w:val="single"/>
          <w:lang w:val="es-ES"/>
        </w:rPr>
      </w:pPr>
    </w:p>
    <w:p w14:paraId="36C4494D" w14:textId="213F80E5" w:rsidR="00F4728E" w:rsidRPr="00EC6419" w:rsidRDefault="00EC6419">
      <w:pPr>
        <w:ind w:firstLine="720"/>
        <w:jc w:val="both"/>
        <w:rPr>
          <w:rFonts w:ascii="Times New Roman" w:hAnsi="Times New Roman" w:cs="Times New Roman"/>
          <w:bCs/>
          <w:sz w:val="22"/>
          <w:szCs w:val="22"/>
          <w:lang w:val="es-ES"/>
        </w:rPr>
      </w:pPr>
      <w:r w:rsidRPr="00EC6419">
        <w:rPr>
          <w:rFonts w:ascii="Times New Roman" w:hAnsi="Times New Roman" w:cs="Times New Roman"/>
          <w:bCs/>
          <w:sz w:val="22"/>
          <w:szCs w:val="22"/>
          <w:lang w:val="es-US"/>
        </w:rPr>
        <w:t>Fortalecer la capacidad institucional de los Estados Miembros para proveer una educación de calidad, inclusiva y con equidad</w:t>
      </w:r>
      <w:r>
        <w:rPr>
          <w:rFonts w:ascii="Times New Roman" w:hAnsi="Times New Roman" w:cs="Times New Roman"/>
          <w:bCs/>
          <w:sz w:val="22"/>
          <w:szCs w:val="22"/>
          <w:lang w:val="es-US"/>
        </w:rPr>
        <w:t>.</w:t>
      </w:r>
    </w:p>
    <w:p w14:paraId="5FAD4372" w14:textId="77777777" w:rsidR="00141240" w:rsidRPr="00512F79" w:rsidRDefault="00141240" w:rsidP="00B93932">
      <w:pPr>
        <w:jc w:val="both"/>
        <w:rPr>
          <w:rFonts w:ascii="Times New Roman" w:hAnsi="Times New Roman" w:cs="Times New Roman"/>
          <w:b/>
          <w:bCs/>
          <w:iCs/>
          <w:color w:val="000000" w:themeColor="text1"/>
          <w:sz w:val="22"/>
          <w:szCs w:val="22"/>
          <w:lang w:val="es-ES"/>
        </w:rPr>
      </w:pPr>
    </w:p>
    <w:p w14:paraId="233CDA6D" w14:textId="407E24C5" w:rsidR="00F4728E" w:rsidRPr="00512F79" w:rsidRDefault="00C56EE4" w:rsidP="006F21AD">
      <w:pPr>
        <w:ind w:left="720"/>
        <w:jc w:val="both"/>
        <w:rPr>
          <w:rFonts w:ascii="Times New Roman" w:eastAsia="Calibri" w:hAnsi="Times New Roman" w:cs="Times New Roman"/>
          <w:b/>
          <w:bCs/>
          <w:color w:val="000000" w:themeColor="text1"/>
          <w:sz w:val="22"/>
          <w:szCs w:val="22"/>
          <w:lang w:val="es-ES"/>
        </w:rPr>
      </w:pPr>
      <w:r>
        <w:rPr>
          <w:rFonts w:ascii="Times New Roman" w:eastAsia="Calibri" w:hAnsi="Times New Roman" w:cs="Times New Roman"/>
          <w:b/>
          <w:bCs/>
          <w:color w:val="000000" w:themeColor="text1"/>
          <w:sz w:val="22"/>
          <w:szCs w:val="22"/>
          <w:lang w:val="es-ES"/>
        </w:rPr>
        <w:t xml:space="preserve">Agenda Educativa Interamericana </w:t>
      </w:r>
      <w:r w:rsidR="00893DF6">
        <w:rPr>
          <w:rFonts w:ascii="Times New Roman" w:eastAsia="Calibri" w:hAnsi="Times New Roman" w:cs="Times New Roman"/>
          <w:b/>
          <w:bCs/>
          <w:color w:val="000000" w:themeColor="text1"/>
          <w:sz w:val="22"/>
          <w:szCs w:val="22"/>
          <w:lang w:val="es-ES"/>
        </w:rPr>
        <w:t>e</w:t>
      </w:r>
      <w:r>
        <w:rPr>
          <w:rFonts w:ascii="Times New Roman" w:eastAsia="Calibri" w:hAnsi="Times New Roman" w:cs="Times New Roman"/>
          <w:b/>
          <w:bCs/>
          <w:color w:val="000000" w:themeColor="text1"/>
          <w:sz w:val="22"/>
          <w:szCs w:val="22"/>
          <w:lang w:val="es-ES"/>
        </w:rPr>
        <w:t xml:space="preserve"> implementación del </w:t>
      </w:r>
      <w:r w:rsidR="006F21AD">
        <w:rPr>
          <w:rFonts w:ascii="Times New Roman" w:eastAsia="Calibri" w:hAnsi="Times New Roman" w:cs="Times New Roman"/>
          <w:b/>
          <w:bCs/>
          <w:color w:val="000000" w:themeColor="text1"/>
          <w:sz w:val="22"/>
          <w:szCs w:val="22"/>
          <w:lang w:val="es-ES"/>
        </w:rPr>
        <w:t>P</w:t>
      </w:r>
      <w:r w:rsidRPr="00512F79">
        <w:rPr>
          <w:rFonts w:ascii="Times New Roman" w:eastAsia="Calibri" w:hAnsi="Times New Roman" w:cs="Times New Roman"/>
          <w:b/>
          <w:bCs/>
          <w:color w:val="000000" w:themeColor="text1"/>
          <w:sz w:val="22"/>
          <w:szCs w:val="22"/>
          <w:lang w:val="es-ES"/>
        </w:rPr>
        <w:t>lan</w:t>
      </w:r>
      <w:r w:rsidR="00CF24B0" w:rsidRPr="00512F79">
        <w:rPr>
          <w:rFonts w:ascii="Times New Roman" w:eastAsia="Calibri" w:hAnsi="Times New Roman" w:cs="Times New Roman"/>
          <w:b/>
          <w:bCs/>
          <w:color w:val="000000" w:themeColor="text1"/>
          <w:sz w:val="22"/>
          <w:szCs w:val="22"/>
          <w:lang w:val="es-ES"/>
        </w:rPr>
        <w:t xml:space="preserve"> de </w:t>
      </w:r>
      <w:r w:rsidR="006F21AD">
        <w:rPr>
          <w:rFonts w:ascii="Times New Roman" w:eastAsia="Calibri" w:hAnsi="Times New Roman" w:cs="Times New Roman"/>
          <w:b/>
          <w:bCs/>
          <w:color w:val="000000" w:themeColor="text1"/>
          <w:sz w:val="22"/>
          <w:szCs w:val="22"/>
          <w:lang w:val="es-ES"/>
        </w:rPr>
        <w:t>T</w:t>
      </w:r>
      <w:r w:rsidR="00CF24B0" w:rsidRPr="00512F79">
        <w:rPr>
          <w:rFonts w:ascii="Times New Roman" w:eastAsia="Calibri" w:hAnsi="Times New Roman" w:cs="Times New Roman"/>
          <w:b/>
          <w:bCs/>
          <w:color w:val="000000" w:themeColor="text1"/>
          <w:sz w:val="22"/>
          <w:szCs w:val="22"/>
          <w:lang w:val="es-ES"/>
        </w:rPr>
        <w:t>rabajo de la C</w:t>
      </w:r>
      <w:r>
        <w:rPr>
          <w:rFonts w:ascii="Times New Roman" w:eastAsia="Calibri" w:hAnsi="Times New Roman" w:cs="Times New Roman"/>
          <w:b/>
          <w:bCs/>
          <w:color w:val="000000" w:themeColor="text1"/>
          <w:sz w:val="22"/>
          <w:szCs w:val="22"/>
          <w:lang w:val="es-ES"/>
        </w:rPr>
        <w:t>omisión Interamericana de Educación</w:t>
      </w:r>
      <w:r w:rsidR="00CF24B0" w:rsidRPr="00512F79">
        <w:rPr>
          <w:rFonts w:ascii="Times New Roman" w:eastAsia="Calibri" w:hAnsi="Times New Roman" w:cs="Times New Roman"/>
          <w:b/>
          <w:bCs/>
          <w:color w:val="000000" w:themeColor="text1"/>
          <w:sz w:val="22"/>
          <w:szCs w:val="22"/>
          <w:lang w:val="es-ES"/>
        </w:rPr>
        <w:t xml:space="preserve"> </w:t>
      </w:r>
      <w:r w:rsidR="00967695" w:rsidRPr="00512F79">
        <w:rPr>
          <w:rFonts w:ascii="Times New Roman" w:eastAsia="Calibri" w:hAnsi="Times New Roman" w:cs="Times New Roman"/>
          <w:b/>
          <w:bCs/>
          <w:color w:val="000000" w:themeColor="text1"/>
          <w:sz w:val="22"/>
          <w:szCs w:val="22"/>
          <w:lang w:val="es-ES"/>
        </w:rPr>
        <w:t>2019-2022</w:t>
      </w:r>
    </w:p>
    <w:p w14:paraId="7ABEF20C" w14:textId="77777777" w:rsidR="00141240" w:rsidRPr="00512F79" w:rsidRDefault="00141240" w:rsidP="00CB030B">
      <w:pPr>
        <w:jc w:val="both"/>
        <w:rPr>
          <w:rFonts w:ascii="Times New Roman" w:hAnsi="Times New Roman" w:cs="Times New Roman"/>
          <w:sz w:val="22"/>
          <w:szCs w:val="22"/>
          <w:lang w:val="es-ES"/>
        </w:rPr>
      </w:pPr>
    </w:p>
    <w:p w14:paraId="70945E10" w14:textId="6F424C5B" w:rsidR="00F4728E" w:rsidRPr="00512F79" w:rsidRDefault="00967695">
      <w:pPr>
        <w:pStyle w:val="ListParagraph"/>
        <w:numPr>
          <w:ilvl w:val="0"/>
          <w:numId w:val="25"/>
        </w:numPr>
        <w:ind w:left="1440" w:hanging="720"/>
        <w:jc w:val="both"/>
        <w:rPr>
          <w:sz w:val="22"/>
          <w:szCs w:val="22"/>
          <w:lang w:val="es-ES"/>
        </w:rPr>
      </w:pPr>
      <w:r w:rsidRPr="00512F79">
        <w:rPr>
          <w:sz w:val="22"/>
          <w:szCs w:val="22"/>
          <w:lang w:val="es-ES"/>
        </w:rPr>
        <w:t xml:space="preserve">En marzo se realizaron dos espacios virtuales de diálogo sobre </w:t>
      </w:r>
      <w:r w:rsidR="00C56EE4">
        <w:rPr>
          <w:sz w:val="22"/>
          <w:szCs w:val="22"/>
          <w:lang w:val="es-ES"/>
        </w:rPr>
        <w:t>p</w:t>
      </w:r>
      <w:r w:rsidRPr="00512F79">
        <w:rPr>
          <w:sz w:val="22"/>
          <w:szCs w:val="22"/>
          <w:lang w:val="es-ES"/>
        </w:rPr>
        <w:t xml:space="preserve">olíticas </w:t>
      </w:r>
      <w:r w:rsidR="00C56EE4">
        <w:rPr>
          <w:sz w:val="22"/>
          <w:szCs w:val="22"/>
          <w:lang w:val="es-ES"/>
        </w:rPr>
        <w:t>p</w:t>
      </w:r>
      <w:r w:rsidRPr="00512F79">
        <w:rPr>
          <w:sz w:val="22"/>
          <w:szCs w:val="22"/>
          <w:lang w:val="es-ES"/>
        </w:rPr>
        <w:t xml:space="preserve">úblicas y programas de Convivencia Escolar, correspondientes al Proyecto #7 del Plan de Trabajo 2019-2022 de la </w:t>
      </w:r>
      <w:r w:rsidR="00A51BEB">
        <w:rPr>
          <w:sz w:val="22"/>
          <w:szCs w:val="22"/>
          <w:lang w:val="es-ES"/>
        </w:rPr>
        <w:t>Comisión Interamericana de Educación (</w:t>
      </w:r>
      <w:r w:rsidRPr="00512F79">
        <w:rPr>
          <w:sz w:val="22"/>
          <w:szCs w:val="22"/>
          <w:lang w:val="es-ES"/>
        </w:rPr>
        <w:t>CIE</w:t>
      </w:r>
      <w:r w:rsidR="00A51BEB">
        <w:rPr>
          <w:sz w:val="22"/>
          <w:szCs w:val="22"/>
          <w:lang w:val="es-ES"/>
        </w:rPr>
        <w:t>)</w:t>
      </w:r>
      <w:r w:rsidRPr="00512F79">
        <w:rPr>
          <w:sz w:val="22"/>
          <w:szCs w:val="22"/>
          <w:lang w:val="es-ES"/>
        </w:rPr>
        <w:t xml:space="preserve">. Bajo </w:t>
      </w:r>
      <w:r w:rsidR="0036459D">
        <w:rPr>
          <w:sz w:val="22"/>
          <w:szCs w:val="22"/>
          <w:lang w:val="es-ES"/>
        </w:rPr>
        <w:t xml:space="preserve">la dirección </w:t>
      </w:r>
      <w:r w:rsidRPr="00512F79">
        <w:rPr>
          <w:sz w:val="22"/>
          <w:szCs w:val="22"/>
          <w:lang w:val="es-ES"/>
        </w:rPr>
        <w:t>del Ministerio de Educación de Colombia se recopilaron programas, iniciativas y buenas prácticas para crear un recurso compartido de buenas prácticas de fácil acceso para todos los funcionarios.</w:t>
      </w:r>
    </w:p>
    <w:p w14:paraId="16EA307D" w14:textId="77777777" w:rsidR="00141240" w:rsidRPr="00512F79" w:rsidRDefault="00141240" w:rsidP="00CB030B">
      <w:pPr>
        <w:ind w:left="720"/>
        <w:jc w:val="both"/>
        <w:rPr>
          <w:rFonts w:ascii="Times New Roman" w:hAnsi="Times New Roman" w:cs="Times New Roman"/>
          <w:color w:val="000000" w:themeColor="text1"/>
          <w:sz w:val="22"/>
          <w:szCs w:val="22"/>
          <w:lang w:val="es-ES"/>
        </w:rPr>
      </w:pPr>
    </w:p>
    <w:p w14:paraId="06E97D2F" w14:textId="33A6082E" w:rsidR="00F4728E" w:rsidRPr="00895BCB" w:rsidRDefault="00967695">
      <w:pPr>
        <w:numPr>
          <w:ilvl w:val="0"/>
          <w:numId w:val="23"/>
        </w:numPr>
        <w:ind w:left="1440" w:hanging="720"/>
        <w:jc w:val="both"/>
        <w:rPr>
          <w:rFonts w:ascii="Times New Roman" w:hAnsi="Times New Roman" w:cs="Times New Roman"/>
          <w:color w:val="000000" w:themeColor="text1"/>
          <w:sz w:val="22"/>
          <w:szCs w:val="22"/>
          <w:lang w:val="es-ES"/>
        </w:rPr>
      </w:pPr>
      <w:r w:rsidRPr="00512F79">
        <w:rPr>
          <w:rFonts w:ascii="Times New Roman" w:eastAsia="Calibri" w:hAnsi="Times New Roman" w:cs="Times New Roman"/>
          <w:sz w:val="22"/>
          <w:szCs w:val="22"/>
          <w:lang w:val="es-ES"/>
        </w:rPr>
        <w:t xml:space="preserve">En junio, a solicitud de funcionarios de Ministerios de Educación, se realizó la tercera sesión virtual sobre Convivencia Escolar donde se acordó presentar la propuesta de Programa Interamericano de Convivencia Escolar para su inclusión en el Plan de Trabajo de </w:t>
      </w:r>
      <w:r w:rsidR="00CF24B0" w:rsidRPr="00512F79">
        <w:rPr>
          <w:rFonts w:ascii="Times New Roman" w:eastAsia="Calibri" w:hAnsi="Times New Roman" w:cs="Times New Roman"/>
          <w:sz w:val="22"/>
          <w:szCs w:val="22"/>
          <w:lang w:val="es-ES"/>
        </w:rPr>
        <w:t xml:space="preserve">la CIE </w:t>
      </w:r>
      <w:r w:rsidR="00996DC7" w:rsidRPr="00512F79">
        <w:rPr>
          <w:rFonts w:ascii="Times New Roman" w:eastAsia="Calibri" w:hAnsi="Times New Roman" w:cs="Times New Roman"/>
          <w:sz w:val="22"/>
          <w:szCs w:val="22"/>
          <w:lang w:val="es-ES"/>
        </w:rPr>
        <w:t>2022-2025</w:t>
      </w:r>
      <w:r w:rsidR="00CF24B0" w:rsidRPr="00512F79">
        <w:rPr>
          <w:rFonts w:ascii="Times New Roman" w:eastAsia="Calibri" w:hAnsi="Times New Roman" w:cs="Times New Roman"/>
          <w:sz w:val="22"/>
          <w:szCs w:val="22"/>
          <w:lang w:val="es-ES"/>
        </w:rPr>
        <w:t>.</w:t>
      </w:r>
    </w:p>
    <w:p w14:paraId="3F63C14B" w14:textId="77777777" w:rsidR="00996DC7" w:rsidRPr="00512F79" w:rsidRDefault="00996DC7" w:rsidP="00CB030B">
      <w:pPr>
        <w:ind w:left="1440" w:hanging="720"/>
        <w:jc w:val="both"/>
        <w:rPr>
          <w:rFonts w:ascii="Times New Roman" w:hAnsi="Times New Roman" w:cs="Times New Roman"/>
          <w:color w:val="000000" w:themeColor="text1"/>
          <w:sz w:val="22"/>
          <w:szCs w:val="22"/>
          <w:lang w:val="es-ES"/>
        </w:rPr>
      </w:pPr>
    </w:p>
    <w:p w14:paraId="467420CE" w14:textId="0375CAE4" w:rsidR="00F4728E" w:rsidRPr="00512F79" w:rsidRDefault="0036459D">
      <w:pPr>
        <w:pStyle w:val="ListParagraph"/>
        <w:numPr>
          <w:ilvl w:val="0"/>
          <w:numId w:val="25"/>
        </w:numPr>
        <w:ind w:left="1440" w:hanging="720"/>
        <w:jc w:val="both"/>
        <w:rPr>
          <w:color w:val="000000" w:themeColor="text1"/>
          <w:sz w:val="22"/>
          <w:szCs w:val="22"/>
          <w:lang w:val="es-ES"/>
        </w:rPr>
      </w:pPr>
      <w:r>
        <w:rPr>
          <w:color w:val="000000" w:themeColor="text1"/>
          <w:sz w:val="22"/>
          <w:szCs w:val="22"/>
          <w:lang w:val="es-ES"/>
        </w:rPr>
        <w:t>Se fomentó</w:t>
      </w:r>
      <w:r w:rsidR="00967695" w:rsidRPr="00512F79">
        <w:rPr>
          <w:color w:val="000000" w:themeColor="text1"/>
          <w:sz w:val="22"/>
          <w:szCs w:val="22"/>
          <w:lang w:val="es-ES"/>
        </w:rPr>
        <w:t xml:space="preserve"> la colaboración entre los </w:t>
      </w:r>
      <w:r w:rsidR="00141240" w:rsidRPr="00512F79">
        <w:rPr>
          <w:color w:val="000000" w:themeColor="text1"/>
          <w:sz w:val="22"/>
          <w:szCs w:val="22"/>
          <w:lang w:val="es-ES"/>
        </w:rPr>
        <w:t xml:space="preserve">Ministerios de </w:t>
      </w:r>
      <w:r>
        <w:rPr>
          <w:color w:val="000000" w:themeColor="text1"/>
          <w:sz w:val="22"/>
          <w:szCs w:val="22"/>
          <w:lang w:val="es-ES"/>
        </w:rPr>
        <w:t>Salud</w:t>
      </w:r>
      <w:r w:rsidR="00141240" w:rsidRPr="00512F79">
        <w:rPr>
          <w:color w:val="000000" w:themeColor="text1"/>
          <w:sz w:val="22"/>
          <w:szCs w:val="22"/>
          <w:lang w:val="es-ES"/>
        </w:rPr>
        <w:t xml:space="preserve"> y </w:t>
      </w:r>
      <w:r>
        <w:rPr>
          <w:color w:val="000000" w:themeColor="text1"/>
          <w:sz w:val="22"/>
          <w:szCs w:val="22"/>
          <w:lang w:val="es-ES"/>
        </w:rPr>
        <w:t xml:space="preserve">de </w:t>
      </w:r>
      <w:r w:rsidR="00141240" w:rsidRPr="00512F79">
        <w:rPr>
          <w:color w:val="000000" w:themeColor="text1"/>
          <w:sz w:val="22"/>
          <w:szCs w:val="22"/>
          <w:lang w:val="es-ES"/>
        </w:rPr>
        <w:t>Educación</w:t>
      </w:r>
      <w:r w:rsidR="00967695" w:rsidRPr="00512F79">
        <w:rPr>
          <w:color w:val="000000" w:themeColor="text1"/>
          <w:sz w:val="22"/>
          <w:szCs w:val="22"/>
          <w:lang w:val="es-ES"/>
        </w:rPr>
        <w:t xml:space="preserve">. Se continuó el </w:t>
      </w:r>
      <w:r w:rsidR="00141240" w:rsidRPr="00512F79">
        <w:rPr>
          <w:color w:val="000000" w:themeColor="text1"/>
          <w:sz w:val="22"/>
          <w:szCs w:val="22"/>
          <w:lang w:val="es-ES"/>
        </w:rPr>
        <w:t xml:space="preserve">trabajo conjunto a través de </w:t>
      </w:r>
      <w:r>
        <w:rPr>
          <w:color w:val="000000" w:themeColor="text1"/>
          <w:sz w:val="22"/>
          <w:szCs w:val="22"/>
          <w:lang w:val="es-ES"/>
        </w:rPr>
        <w:t>la colaboración</w:t>
      </w:r>
      <w:r w:rsidR="00967695" w:rsidRPr="00512F79">
        <w:rPr>
          <w:color w:val="000000" w:themeColor="text1"/>
          <w:sz w:val="22"/>
          <w:szCs w:val="22"/>
          <w:lang w:val="es-ES"/>
        </w:rPr>
        <w:t xml:space="preserve"> </w:t>
      </w:r>
      <w:r w:rsidR="00141240" w:rsidRPr="00512F79">
        <w:rPr>
          <w:color w:val="000000" w:themeColor="text1"/>
          <w:sz w:val="22"/>
          <w:szCs w:val="22"/>
          <w:lang w:val="es-ES"/>
        </w:rPr>
        <w:t xml:space="preserve">con la Organización Panamericana de la Salud con el lanzamiento del </w:t>
      </w:r>
      <w:r w:rsidRPr="0036459D">
        <w:rPr>
          <w:b/>
          <w:bCs/>
          <w:color w:val="000000" w:themeColor="text1"/>
          <w:sz w:val="22"/>
          <w:szCs w:val="22"/>
          <w:lang w:val="es-ES"/>
        </w:rPr>
        <w:t>“</w:t>
      </w:r>
      <w:r w:rsidR="00141240" w:rsidRPr="00512F79">
        <w:rPr>
          <w:b/>
          <w:bCs/>
          <w:color w:val="000000" w:themeColor="text1"/>
          <w:sz w:val="22"/>
          <w:szCs w:val="22"/>
          <w:lang w:val="es-ES"/>
        </w:rPr>
        <w:t xml:space="preserve">Programa Interamericano sobre políticas de alimentación </w:t>
      </w:r>
      <w:r w:rsidR="00967695" w:rsidRPr="00512F79">
        <w:rPr>
          <w:b/>
          <w:bCs/>
          <w:color w:val="000000" w:themeColor="text1"/>
          <w:sz w:val="22"/>
          <w:szCs w:val="22"/>
          <w:lang w:val="es-ES"/>
        </w:rPr>
        <w:t xml:space="preserve">saludable </w:t>
      </w:r>
      <w:r w:rsidR="00141240" w:rsidRPr="00512F79">
        <w:rPr>
          <w:b/>
          <w:bCs/>
          <w:color w:val="000000" w:themeColor="text1"/>
          <w:sz w:val="22"/>
          <w:szCs w:val="22"/>
          <w:lang w:val="es-ES"/>
        </w:rPr>
        <w:t>y actividad física en ambientes escolares</w:t>
      </w:r>
      <w:r>
        <w:rPr>
          <w:b/>
          <w:bCs/>
          <w:color w:val="000000" w:themeColor="text1"/>
          <w:sz w:val="22"/>
          <w:szCs w:val="22"/>
          <w:lang w:val="es-ES"/>
        </w:rPr>
        <w:t>”</w:t>
      </w:r>
      <w:r w:rsidR="00967695" w:rsidRPr="00512F79">
        <w:rPr>
          <w:b/>
          <w:bCs/>
          <w:color w:val="000000" w:themeColor="text1"/>
          <w:sz w:val="22"/>
          <w:szCs w:val="22"/>
          <w:lang w:val="es-ES"/>
        </w:rPr>
        <w:t xml:space="preserve"> </w:t>
      </w:r>
      <w:r w:rsidR="00141240" w:rsidRPr="00512F79">
        <w:rPr>
          <w:color w:val="000000" w:themeColor="text1"/>
          <w:sz w:val="22"/>
          <w:szCs w:val="22"/>
          <w:lang w:val="es-ES"/>
        </w:rPr>
        <w:t xml:space="preserve">el </w:t>
      </w:r>
      <w:r w:rsidR="00245B70">
        <w:rPr>
          <w:color w:val="000000" w:themeColor="text1"/>
          <w:sz w:val="22"/>
          <w:szCs w:val="22"/>
          <w:lang w:val="es-ES"/>
        </w:rPr>
        <w:t xml:space="preserve">día </w:t>
      </w:r>
      <w:r w:rsidR="00141240" w:rsidRPr="00512F79">
        <w:rPr>
          <w:color w:val="000000" w:themeColor="text1"/>
          <w:sz w:val="22"/>
          <w:szCs w:val="22"/>
          <w:lang w:val="es-ES"/>
        </w:rPr>
        <w:t>12 de octubre. Este Programa es producto del trabajo realizado en el marco del proyecto #4 del Plan de Trabajo de la CIE,</w:t>
      </w:r>
      <w:r w:rsidR="00895BCB">
        <w:rPr>
          <w:color w:val="000000" w:themeColor="text1"/>
          <w:sz w:val="22"/>
          <w:szCs w:val="22"/>
          <w:lang w:val="es-ES"/>
        </w:rPr>
        <w:t xml:space="preserve"> al concretarse en su diseño</w:t>
      </w:r>
      <w:r w:rsidR="00141240" w:rsidRPr="00512F79">
        <w:rPr>
          <w:color w:val="000000" w:themeColor="text1"/>
          <w:sz w:val="22"/>
          <w:szCs w:val="22"/>
          <w:lang w:val="es-ES"/>
        </w:rPr>
        <w:t xml:space="preserve"> la sistematización de experiencias de políticas </w:t>
      </w:r>
      <w:r w:rsidR="00895BCB">
        <w:rPr>
          <w:color w:val="000000" w:themeColor="text1"/>
          <w:sz w:val="22"/>
          <w:szCs w:val="22"/>
          <w:lang w:val="es-ES"/>
        </w:rPr>
        <w:t>y programas públicos.</w:t>
      </w:r>
    </w:p>
    <w:p w14:paraId="11F43CD8" w14:textId="77777777" w:rsidR="00996DC7" w:rsidRPr="00512F79" w:rsidRDefault="00996DC7" w:rsidP="00CB030B">
      <w:pPr>
        <w:pStyle w:val="ListParagraph"/>
        <w:ind w:left="1440" w:hanging="720"/>
        <w:jc w:val="both"/>
        <w:rPr>
          <w:color w:val="000000" w:themeColor="text1"/>
          <w:sz w:val="22"/>
          <w:szCs w:val="22"/>
          <w:lang w:val="es-ES"/>
        </w:rPr>
      </w:pPr>
    </w:p>
    <w:p w14:paraId="701B6988" w14:textId="198912CA" w:rsidR="00F4728E" w:rsidRDefault="00967695">
      <w:pPr>
        <w:numPr>
          <w:ilvl w:val="0"/>
          <w:numId w:val="23"/>
        </w:numPr>
        <w:ind w:left="1440" w:hanging="720"/>
        <w:jc w:val="both"/>
        <w:rPr>
          <w:rFonts w:ascii="Times New Roman" w:eastAsia="Calibri" w:hAnsi="Times New Roman" w:cs="Times New Roman"/>
          <w:color w:val="000000" w:themeColor="text1"/>
          <w:sz w:val="22"/>
          <w:szCs w:val="22"/>
          <w:lang w:val="es-ES"/>
        </w:rPr>
      </w:pPr>
      <w:r w:rsidRPr="00512F79">
        <w:rPr>
          <w:rFonts w:ascii="Times New Roman" w:eastAsia="Calibri" w:hAnsi="Times New Roman" w:cs="Times New Roman"/>
          <w:color w:val="000000" w:themeColor="text1"/>
          <w:sz w:val="22"/>
          <w:szCs w:val="22"/>
          <w:lang w:val="es-ES"/>
        </w:rPr>
        <w:t xml:space="preserve">Se </w:t>
      </w:r>
      <w:r w:rsidR="008B4ED6">
        <w:rPr>
          <w:rFonts w:ascii="Times New Roman" w:eastAsia="Calibri" w:hAnsi="Times New Roman" w:cs="Times New Roman"/>
          <w:color w:val="000000" w:themeColor="text1"/>
          <w:sz w:val="22"/>
          <w:szCs w:val="22"/>
          <w:lang w:val="es-ES"/>
        </w:rPr>
        <w:t>concluyó</w:t>
      </w:r>
      <w:r w:rsidRPr="00512F79">
        <w:rPr>
          <w:rFonts w:ascii="Times New Roman" w:eastAsia="Calibri" w:hAnsi="Times New Roman" w:cs="Times New Roman"/>
          <w:color w:val="000000" w:themeColor="text1"/>
          <w:sz w:val="22"/>
          <w:szCs w:val="22"/>
          <w:lang w:val="es-ES"/>
        </w:rPr>
        <w:t xml:space="preserve"> </w:t>
      </w:r>
      <w:r w:rsidR="00141240" w:rsidRPr="00512F79">
        <w:rPr>
          <w:rFonts w:ascii="Times New Roman" w:eastAsia="Calibri" w:hAnsi="Times New Roman" w:cs="Times New Roman"/>
          <w:color w:val="000000" w:themeColor="text1"/>
          <w:sz w:val="22"/>
          <w:szCs w:val="22"/>
          <w:lang w:val="es-ES"/>
        </w:rPr>
        <w:t xml:space="preserve">la sistematización de los diálogos sobre políticas públicas </w:t>
      </w:r>
      <w:r w:rsidRPr="00512F79">
        <w:rPr>
          <w:rFonts w:ascii="Times New Roman" w:eastAsia="Calibri" w:hAnsi="Times New Roman" w:cs="Times New Roman"/>
          <w:color w:val="000000" w:themeColor="text1"/>
          <w:sz w:val="22"/>
          <w:szCs w:val="22"/>
          <w:lang w:val="es-ES"/>
        </w:rPr>
        <w:t xml:space="preserve">mediante la compilación de las contribuciones de los países </w:t>
      </w:r>
      <w:r w:rsidR="00141240" w:rsidRPr="00512F79">
        <w:rPr>
          <w:rFonts w:ascii="Times New Roman" w:eastAsia="Calibri" w:hAnsi="Times New Roman" w:cs="Times New Roman"/>
          <w:color w:val="000000" w:themeColor="text1"/>
          <w:sz w:val="22"/>
          <w:szCs w:val="22"/>
          <w:lang w:val="es-ES"/>
        </w:rPr>
        <w:t xml:space="preserve">sobre lecciones aprendidas, desafíos enfrentados y experiencias locales en temas de gran </w:t>
      </w:r>
      <w:r w:rsidR="008B4ED6">
        <w:rPr>
          <w:rFonts w:ascii="Times New Roman" w:eastAsia="Calibri" w:hAnsi="Times New Roman" w:cs="Times New Roman"/>
          <w:color w:val="000000" w:themeColor="text1"/>
          <w:sz w:val="22"/>
          <w:szCs w:val="22"/>
          <w:lang w:val="es-ES"/>
        </w:rPr>
        <w:t>pertinencia</w:t>
      </w:r>
      <w:r w:rsidR="00141240" w:rsidRPr="00512F79">
        <w:rPr>
          <w:rFonts w:ascii="Times New Roman" w:eastAsia="Calibri" w:hAnsi="Times New Roman" w:cs="Times New Roman"/>
          <w:color w:val="000000" w:themeColor="text1"/>
          <w:sz w:val="22"/>
          <w:szCs w:val="22"/>
          <w:lang w:val="es-ES"/>
        </w:rPr>
        <w:t xml:space="preserve"> para la región</w:t>
      </w:r>
      <w:r w:rsidRPr="00512F79">
        <w:rPr>
          <w:rFonts w:ascii="Times New Roman" w:eastAsia="Calibri" w:hAnsi="Times New Roman" w:cs="Times New Roman"/>
          <w:color w:val="000000" w:themeColor="text1"/>
          <w:sz w:val="22"/>
          <w:szCs w:val="22"/>
          <w:lang w:val="es-ES"/>
        </w:rPr>
        <w:t xml:space="preserve">. </w:t>
      </w:r>
      <w:r w:rsidR="00141240" w:rsidRPr="00512F79">
        <w:rPr>
          <w:rFonts w:ascii="Times New Roman" w:eastAsia="Calibri" w:hAnsi="Times New Roman" w:cs="Times New Roman"/>
          <w:color w:val="000000" w:themeColor="text1"/>
          <w:sz w:val="22"/>
          <w:szCs w:val="22"/>
          <w:lang w:val="es-ES"/>
        </w:rPr>
        <w:t xml:space="preserve">Estos documentos fueron validados por autoridades y funcionarios de los países participantes en </w:t>
      </w:r>
      <w:r w:rsidRPr="00512F79">
        <w:rPr>
          <w:rFonts w:ascii="Times New Roman" w:eastAsia="Calibri" w:hAnsi="Times New Roman" w:cs="Times New Roman"/>
          <w:color w:val="000000" w:themeColor="text1"/>
          <w:sz w:val="22"/>
          <w:szCs w:val="22"/>
          <w:lang w:val="es-ES"/>
        </w:rPr>
        <w:t xml:space="preserve">sus </w:t>
      </w:r>
      <w:r w:rsidR="00141240" w:rsidRPr="00512F79">
        <w:rPr>
          <w:rFonts w:ascii="Times New Roman" w:eastAsia="Calibri" w:hAnsi="Times New Roman" w:cs="Times New Roman"/>
          <w:color w:val="000000" w:themeColor="text1"/>
          <w:sz w:val="22"/>
          <w:szCs w:val="22"/>
          <w:lang w:val="es-ES"/>
        </w:rPr>
        <w:t>respectivos diálogos.</w:t>
      </w:r>
    </w:p>
    <w:p w14:paraId="4AB61E09" w14:textId="77777777" w:rsidR="00895BCB" w:rsidRPr="00512F79" w:rsidRDefault="00895BCB" w:rsidP="00B93932">
      <w:pPr>
        <w:jc w:val="both"/>
        <w:rPr>
          <w:rFonts w:ascii="Times New Roman" w:eastAsia="Calibri" w:hAnsi="Times New Roman" w:cs="Times New Roman"/>
          <w:color w:val="000000" w:themeColor="text1"/>
          <w:sz w:val="22"/>
          <w:szCs w:val="22"/>
          <w:lang w:val="es-ES"/>
        </w:rPr>
      </w:pPr>
    </w:p>
    <w:p w14:paraId="3435E307" w14:textId="0973D27A" w:rsidR="00141240" w:rsidRPr="00895BCB" w:rsidRDefault="00895BCB" w:rsidP="00CB030B">
      <w:pPr>
        <w:jc w:val="both"/>
        <w:rPr>
          <w:rFonts w:ascii="Times New Roman" w:hAnsi="Times New Roman" w:cs="Times New Roman"/>
          <w:color w:val="000000" w:themeColor="text1"/>
          <w:sz w:val="22"/>
          <w:szCs w:val="22"/>
          <w:lang w:val="es-US"/>
        </w:rPr>
      </w:pPr>
      <w:r w:rsidRPr="00A817D7">
        <w:rPr>
          <w:rFonts w:ascii="Times New Roman" w:hAnsi="Times New Roman" w:cs="Times New Roman"/>
          <w:b/>
          <w:sz w:val="22"/>
          <w:szCs w:val="22"/>
          <w:u w:val="single"/>
          <w:lang w:val="es-US"/>
        </w:rPr>
        <w:t>OBJETIVO 3.2</w:t>
      </w:r>
      <w:r w:rsidRPr="00895BCB">
        <w:rPr>
          <w:rFonts w:ascii="Times New Roman" w:hAnsi="Times New Roman" w:cs="Times New Roman"/>
          <w:b/>
          <w:sz w:val="22"/>
          <w:szCs w:val="22"/>
          <w:lang w:val="es-US"/>
        </w:rPr>
        <w:t xml:space="preserve">:  </w:t>
      </w:r>
      <w:r w:rsidRPr="00A817D7">
        <w:rPr>
          <w:rFonts w:ascii="Times New Roman" w:hAnsi="Times New Roman" w:cs="Times New Roman"/>
          <w:bCs/>
          <w:sz w:val="22"/>
          <w:szCs w:val="22"/>
          <w:lang w:val="es-US"/>
        </w:rPr>
        <w:t>Fortalecer la profesión docente en los Estados Miembros mediante la generación de mayores oportunidades de formación</w:t>
      </w:r>
      <w:r w:rsidR="00A817D7">
        <w:rPr>
          <w:rFonts w:ascii="Times New Roman" w:hAnsi="Times New Roman" w:cs="Times New Roman"/>
          <w:bCs/>
          <w:sz w:val="22"/>
          <w:szCs w:val="22"/>
          <w:lang w:val="es-US"/>
        </w:rPr>
        <w:t>.</w:t>
      </w:r>
    </w:p>
    <w:p w14:paraId="23DBE2A5" w14:textId="77777777" w:rsidR="00141240" w:rsidRPr="00512F79" w:rsidRDefault="00141240" w:rsidP="00CB030B">
      <w:pPr>
        <w:jc w:val="both"/>
        <w:rPr>
          <w:rFonts w:ascii="Times New Roman" w:eastAsia="Calibri" w:hAnsi="Times New Roman" w:cs="Times New Roman"/>
          <w:b/>
          <w:bCs/>
          <w:iCs/>
          <w:color w:val="000000" w:themeColor="text1"/>
          <w:sz w:val="22"/>
          <w:szCs w:val="22"/>
          <w:lang w:val="es-ES"/>
        </w:rPr>
      </w:pPr>
    </w:p>
    <w:p w14:paraId="2B54ED06" w14:textId="77777777" w:rsidR="00A817D7" w:rsidRPr="00A817D7" w:rsidRDefault="00A817D7" w:rsidP="00A817D7">
      <w:pPr>
        <w:ind w:firstLine="360"/>
        <w:jc w:val="both"/>
        <w:rPr>
          <w:rFonts w:ascii="Times New Roman" w:hAnsi="Times New Roman" w:cs="Times New Roman"/>
          <w:b/>
          <w:sz w:val="22"/>
          <w:szCs w:val="22"/>
          <w:lang w:val="es-US"/>
        </w:rPr>
      </w:pPr>
      <w:r w:rsidRPr="00A817D7">
        <w:rPr>
          <w:rFonts w:ascii="Times New Roman" w:hAnsi="Times New Roman" w:cs="Times New Roman"/>
          <w:b/>
          <w:sz w:val="22"/>
          <w:szCs w:val="22"/>
          <w:lang w:val="es-US"/>
        </w:rPr>
        <w:t>Red Interamericana de Educación Docente (RIED)</w:t>
      </w:r>
    </w:p>
    <w:p w14:paraId="402877B2" w14:textId="77777777" w:rsidR="00AE5375" w:rsidRPr="00512F79" w:rsidRDefault="00AE5375" w:rsidP="00CB030B">
      <w:pPr>
        <w:jc w:val="both"/>
        <w:rPr>
          <w:rFonts w:ascii="Times New Roman" w:hAnsi="Times New Roman" w:cs="Times New Roman"/>
          <w:color w:val="000000" w:themeColor="text1"/>
          <w:sz w:val="22"/>
          <w:szCs w:val="22"/>
          <w:lang w:val="es-ES"/>
        </w:rPr>
      </w:pPr>
      <w:bookmarkStart w:id="7" w:name="_Hlk94633910"/>
    </w:p>
    <w:p w14:paraId="0D1902DB" w14:textId="4F4D3B2C" w:rsidR="00F4728E" w:rsidRPr="00512F79" w:rsidRDefault="00A817D7">
      <w:pPr>
        <w:pStyle w:val="ListParagraph"/>
        <w:numPr>
          <w:ilvl w:val="0"/>
          <w:numId w:val="25"/>
        </w:numPr>
        <w:ind w:left="1440" w:hanging="720"/>
        <w:jc w:val="both"/>
        <w:rPr>
          <w:color w:val="000000" w:themeColor="text1"/>
          <w:sz w:val="22"/>
          <w:szCs w:val="22"/>
          <w:lang w:val="es-ES"/>
        </w:rPr>
      </w:pPr>
      <w:r>
        <w:rPr>
          <w:color w:val="000000" w:themeColor="text1"/>
          <w:sz w:val="22"/>
          <w:szCs w:val="22"/>
          <w:lang w:val="es-ES"/>
        </w:rPr>
        <w:t>Se mejoró</w:t>
      </w:r>
      <w:r w:rsidR="00967695" w:rsidRPr="00512F79">
        <w:rPr>
          <w:color w:val="000000" w:themeColor="text1"/>
          <w:sz w:val="22"/>
          <w:szCs w:val="22"/>
          <w:lang w:val="es-ES"/>
        </w:rPr>
        <w:t xml:space="preserve"> la capacidad de 65 instituciones de formación docente en 26 </w:t>
      </w:r>
      <w:r w:rsidR="005F30B1" w:rsidRPr="00512F79">
        <w:rPr>
          <w:color w:val="000000" w:themeColor="text1"/>
          <w:sz w:val="22"/>
          <w:szCs w:val="22"/>
          <w:lang w:val="es-ES"/>
        </w:rPr>
        <w:t xml:space="preserve">Estados </w:t>
      </w:r>
      <w:r>
        <w:rPr>
          <w:color w:val="000000" w:themeColor="text1"/>
          <w:sz w:val="22"/>
          <w:szCs w:val="22"/>
          <w:lang w:val="es-ES"/>
        </w:rPr>
        <w:t>M</w:t>
      </w:r>
      <w:r w:rsidR="005F30B1" w:rsidRPr="00512F79">
        <w:rPr>
          <w:color w:val="000000" w:themeColor="text1"/>
          <w:sz w:val="22"/>
          <w:szCs w:val="22"/>
          <w:lang w:val="es-ES"/>
        </w:rPr>
        <w:t xml:space="preserve">iembros </w:t>
      </w:r>
      <w:r w:rsidR="00967695" w:rsidRPr="00512F79">
        <w:rPr>
          <w:color w:val="000000" w:themeColor="text1"/>
          <w:sz w:val="22"/>
          <w:szCs w:val="22"/>
          <w:lang w:val="es-ES"/>
        </w:rPr>
        <w:t xml:space="preserve">de la OEA para impartir </w:t>
      </w:r>
      <w:r w:rsidR="001C5419">
        <w:rPr>
          <w:color w:val="000000" w:themeColor="text1"/>
          <w:sz w:val="22"/>
          <w:szCs w:val="22"/>
          <w:lang w:val="es-ES"/>
        </w:rPr>
        <w:t>educación docente</w:t>
      </w:r>
      <w:r w:rsidR="00967695" w:rsidRPr="00512F79">
        <w:rPr>
          <w:color w:val="000000" w:themeColor="text1"/>
          <w:sz w:val="22"/>
          <w:szCs w:val="22"/>
          <w:lang w:val="es-ES"/>
        </w:rPr>
        <w:t xml:space="preserve"> de calidad en STEM a través de colaboraciones multilaterales en forma de Equipos de Proyecto. De estas instituciones, 40 recibieron </w:t>
      </w:r>
      <w:r w:rsidR="0038046C">
        <w:rPr>
          <w:color w:val="000000" w:themeColor="text1"/>
          <w:sz w:val="22"/>
          <w:szCs w:val="22"/>
          <w:lang w:val="es-ES"/>
        </w:rPr>
        <w:t xml:space="preserve">una </w:t>
      </w:r>
      <w:r w:rsidR="00CF24B0" w:rsidRPr="00512F79">
        <w:rPr>
          <w:color w:val="000000" w:themeColor="text1"/>
          <w:sz w:val="22"/>
          <w:szCs w:val="22"/>
          <w:lang w:val="es-ES"/>
        </w:rPr>
        <w:t xml:space="preserve">financiación </w:t>
      </w:r>
      <w:r w:rsidR="0038046C">
        <w:rPr>
          <w:color w:val="000000" w:themeColor="text1"/>
          <w:sz w:val="22"/>
          <w:szCs w:val="22"/>
          <w:lang w:val="es-ES"/>
        </w:rPr>
        <w:t>inicial</w:t>
      </w:r>
      <w:r w:rsidR="00CF24B0" w:rsidRPr="00512F79">
        <w:rPr>
          <w:color w:val="000000" w:themeColor="text1"/>
          <w:sz w:val="22"/>
          <w:szCs w:val="22"/>
          <w:lang w:val="es-ES"/>
        </w:rPr>
        <w:t xml:space="preserve"> por </w:t>
      </w:r>
      <w:r w:rsidR="0038046C">
        <w:rPr>
          <w:color w:val="000000" w:themeColor="text1"/>
          <w:sz w:val="22"/>
          <w:szCs w:val="22"/>
          <w:lang w:val="es-ES"/>
        </w:rPr>
        <w:t xml:space="preserve">un </w:t>
      </w:r>
      <w:r w:rsidR="00967695" w:rsidRPr="00512F79">
        <w:rPr>
          <w:color w:val="000000" w:themeColor="text1"/>
          <w:sz w:val="22"/>
          <w:szCs w:val="22"/>
          <w:lang w:val="es-ES"/>
        </w:rPr>
        <w:t xml:space="preserve">valor de casi </w:t>
      </w:r>
      <w:r w:rsidR="00BC4D0F">
        <w:rPr>
          <w:color w:val="000000" w:themeColor="text1"/>
          <w:sz w:val="22"/>
          <w:szCs w:val="22"/>
          <w:lang w:val="es-ES"/>
        </w:rPr>
        <w:t>US$</w:t>
      </w:r>
      <w:r w:rsidR="00AE5375" w:rsidRPr="00512F79">
        <w:rPr>
          <w:color w:val="000000" w:themeColor="text1"/>
          <w:sz w:val="22"/>
          <w:szCs w:val="22"/>
          <w:lang w:val="es-ES"/>
        </w:rPr>
        <w:t>500</w:t>
      </w:r>
      <w:r w:rsidR="00967695" w:rsidRPr="00512F79">
        <w:rPr>
          <w:color w:val="000000" w:themeColor="text1"/>
          <w:sz w:val="22"/>
          <w:szCs w:val="22"/>
          <w:lang w:val="es-ES"/>
        </w:rPr>
        <w:t>.000</w:t>
      </w:r>
      <w:r w:rsidR="00AE5375" w:rsidRPr="00512F79">
        <w:rPr>
          <w:color w:val="000000" w:themeColor="text1"/>
          <w:sz w:val="22"/>
          <w:szCs w:val="22"/>
          <w:lang w:val="es-ES"/>
        </w:rPr>
        <w:t xml:space="preserve"> </w:t>
      </w:r>
      <w:r w:rsidR="00967695" w:rsidRPr="00512F79">
        <w:rPr>
          <w:color w:val="000000" w:themeColor="text1"/>
          <w:sz w:val="22"/>
          <w:szCs w:val="22"/>
          <w:lang w:val="es-ES"/>
        </w:rPr>
        <w:t>en premios financieros para poner en marcha programas innovadores de formación de docentes en STEM.</w:t>
      </w:r>
    </w:p>
    <w:p w14:paraId="35479C7A" w14:textId="77777777" w:rsidR="00141240" w:rsidRPr="00512F79" w:rsidRDefault="00141240" w:rsidP="00CB030B">
      <w:pPr>
        <w:ind w:left="1440" w:hanging="720"/>
        <w:rPr>
          <w:rFonts w:ascii="Times New Roman" w:hAnsi="Times New Roman" w:cs="Times New Roman"/>
          <w:color w:val="000000" w:themeColor="text1"/>
          <w:sz w:val="22"/>
          <w:szCs w:val="22"/>
          <w:lang w:val="es-ES"/>
        </w:rPr>
      </w:pPr>
    </w:p>
    <w:p w14:paraId="138F4E53" w14:textId="1BAA4EFF" w:rsidR="00F4728E" w:rsidRPr="00512F79" w:rsidRDefault="00A817D7">
      <w:pPr>
        <w:numPr>
          <w:ilvl w:val="0"/>
          <w:numId w:val="23"/>
        </w:numPr>
        <w:ind w:left="1440" w:hanging="72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realiz</w:t>
      </w:r>
      <w:r w:rsidR="00016E91">
        <w:rPr>
          <w:rFonts w:ascii="Times New Roman" w:eastAsia="Calibri" w:hAnsi="Times New Roman" w:cs="Times New Roman"/>
          <w:color w:val="000000" w:themeColor="text1"/>
          <w:sz w:val="22"/>
          <w:szCs w:val="22"/>
          <w:lang w:val="es-ES"/>
        </w:rPr>
        <w:t>aron</w:t>
      </w:r>
      <w:r w:rsidR="00967695" w:rsidRPr="00512F79">
        <w:rPr>
          <w:rFonts w:ascii="Times New Roman" w:eastAsia="Calibri" w:hAnsi="Times New Roman" w:cs="Times New Roman"/>
          <w:color w:val="000000" w:themeColor="text1"/>
          <w:sz w:val="22"/>
          <w:szCs w:val="22"/>
          <w:lang w:val="es-ES"/>
        </w:rPr>
        <w:t xml:space="preserve"> nueve talleres virtuales denominados </w:t>
      </w:r>
      <w:r w:rsidR="00016E91" w:rsidRPr="00016E91">
        <w:rPr>
          <w:rFonts w:ascii="Times New Roman" w:eastAsia="Calibri" w:hAnsi="Times New Roman" w:cs="Times New Roman"/>
          <w:b/>
          <w:bCs/>
          <w:color w:val="000000" w:themeColor="text1"/>
          <w:sz w:val="22"/>
          <w:szCs w:val="22"/>
          <w:lang w:val="es-ES"/>
        </w:rPr>
        <w:t>“</w:t>
      </w:r>
      <w:r w:rsidR="00967695" w:rsidRPr="00512F79">
        <w:rPr>
          <w:rFonts w:ascii="Times New Roman" w:eastAsia="Calibri" w:hAnsi="Times New Roman" w:cs="Times New Roman"/>
          <w:b/>
          <w:bCs/>
          <w:color w:val="000000" w:themeColor="text1"/>
          <w:sz w:val="22"/>
          <w:szCs w:val="22"/>
          <w:lang w:val="es-ES"/>
        </w:rPr>
        <w:t xml:space="preserve">Transformación </w:t>
      </w:r>
      <w:r>
        <w:rPr>
          <w:rFonts w:ascii="Times New Roman" w:eastAsia="Calibri" w:hAnsi="Times New Roman" w:cs="Times New Roman"/>
          <w:b/>
          <w:bCs/>
          <w:color w:val="000000" w:themeColor="text1"/>
          <w:sz w:val="22"/>
          <w:szCs w:val="22"/>
          <w:lang w:val="es-ES"/>
        </w:rPr>
        <w:t>d</w:t>
      </w:r>
      <w:r w:rsidR="00967695" w:rsidRPr="00512F79">
        <w:rPr>
          <w:rFonts w:ascii="Times New Roman" w:eastAsia="Calibri" w:hAnsi="Times New Roman" w:cs="Times New Roman"/>
          <w:b/>
          <w:bCs/>
          <w:color w:val="000000" w:themeColor="text1"/>
          <w:sz w:val="22"/>
          <w:szCs w:val="22"/>
          <w:lang w:val="es-ES"/>
        </w:rPr>
        <w:t xml:space="preserve">igital en la </w:t>
      </w:r>
      <w:r>
        <w:rPr>
          <w:rFonts w:ascii="Times New Roman" w:eastAsia="Calibri" w:hAnsi="Times New Roman" w:cs="Times New Roman"/>
          <w:b/>
          <w:bCs/>
          <w:color w:val="000000" w:themeColor="text1"/>
          <w:sz w:val="22"/>
          <w:szCs w:val="22"/>
          <w:lang w:val="es-ES"/>
        </w:rPr>
        <w:t>e</w:t>
      </w:r>
      <w:r w:rsidR="00967695" w:rsidRPr="00512F79">
        <w:rPr>
          <w:rFonts w:ascii="Times New Roman" w:eastAsia="Calibri" w:hAnsi="Times New Roman" w:cs="Times New Roman"/>
          <w:b/>
          <w:bCs/>
          <w:color w:val="000000" w:themeColor="text1"/>
          <w:sz w:val="22"/>
          <w:szCs w:val="22"/>
          <w:lang w:val="es-ES"/>
        </w:rPr>
        <w:t xml:space="preserve">ducación: </w:t>
      </w:r>
      <w:r>
        <w:rPr>
          <w:rFonts w:ascii="Times New Roman" w:eastAsia="Calibri" w:hAnsi="Times New Roman" w:cs="Times New Roman"/>
          <w:b/>
          <w:bCs/>
          <w:color w:val="000000" w:themeColor="text1"/>
          <w:sz w:val="22"/>
          <w:szCs w:val="22"/>
          <w:lang w:val="es-ES"/>
        </w:rPr>
        <w:t>o</w:t>
      </w:r>
      <w:r w:rsidR="00967695" w:rsidRPr="00512F79">
        <w:rPr>
          <w:rFonts w:ascii="Times New Roman" w:eastAsia="Calibri" w:hAnsi="Times New Roman" w:cs="Times New Roman"/>
          <w:b/>
          <w:bCs/>
          <w:color w:val="000000" w:themeColor="text1"/>
          <w:sz w:val="22"/>
          <w:szCs w:val="22"/>
          <w:lang w:val="es-ES"/>
        </w:rPr>
        <w:t xml:space="preserve">portunidades para el </w:t>
      </w:r>
      <w:r>
        <w:rPr>
          <w:rFonts w:ascii="Times New Roman" w:eastAsia="Calibri" w:hAnsi="Times New Roman" w:cs="Times New Roman"/>
          <w:b/>
          <w:bCs/>
          <w:color w:val="000000" w:themeColor="text1"/>
          <w:sz w:val="22"/>
          <w:szCs w:val="22"/>
          <w:lang w:val="es-ES"/>
        </w:rPr>
        <w:t>d</w:t>
      </w:r>
      <w:r w:rsidR="00967695" w:rsidRPr="00512F79">
        <w:rPr>
          <w:rFonts w:ascii="Times New Roman" w:eastAsia="Calibri" w:hAnsi="Times New Roman" w:cs="Times New Roman"/>
          <w:b/>
          <w:bCs/>
          <w:color w:val="000000" w:themeColor="text1"/>
          <w:sz w:val="22"/>
          <w:szCs w:val="22"/>
          <w:lang w:val="es-ES"/>
        </w:rPr>
        <w:t xml:space="preserve">esarrollo </w:t>
      </w:r>
      <w:r>
        <w:rPr>
          <w:rFonts w:ascii="Times New Roman" w:eastAsia="Calibri" w:hAnsi="Times New Roman" w:cs="Times New Roman"/>
          <w:b/>
          <w:bCs/>
          <w:color w:val="000000" w:themeColor="text1"/>
          <w:sz w:val="22"/>
          <w:szCs w:val="22"/>
          <w:lang w:val="es-ES"/>
        </w:rPr>
        <w:t>d</w:t>
      </w:r>
      <w:r w:rsidR="00967695" w:rsidRPr="00512F79">
        <w:rPr>
          <w:rFonts w:ascii="Times New Roman" w:eastAsia="Calibri" w:hAnsi="Times New Roman" w:cs="Times New Roman"/>
          <w:b/>
          <w:bCs/>
          <w:color w:val="000000" w:themeColor="text1"/>
          <w:sz w:val="22"/>
          <w:szCs w:val="22"/>
          <w:lang w:val="es-ES"/>
        </w:rPr>
        <w:t xml:space="preserve">ocente en </w:t>
      </w:r>
      <w:r>
        <w:rPr>
          <w:rFonts w:ascii="Times New Roman" w:eastAsia="Calibri" w:hAnsi="Times New Roman" w:cs="Times New Roman"/>
          <w:b/>
          <w:bCs/>
          <w:color w:val="000000" w:themeColor="text1"/>
          <w:sz w:val="22"/>
          <w:szCs w:val="22"/>
          <w:lang w:val="es-ES"/>
        </w:rPr>
        <w:t>t</w:t>
      </w:r>
      <w:r w:rsidR="00967695" w:rsidRPr="00512F79">
        <w:rPr>
          <w:rFonts w:ascii="Times New Roman" w:eastAsia="Calibri" w:hAnsi="Times New Roman" w:cs="Times New Roman"/>
          <w:b/>
          <w:bCs/>
          <w:color w:val="000000" w:themeColor="text1"/>
          <w:sz w:val="22"/>
          <w:szCs w:val="22"/>
          <w:lang w:val="es-ES"/>
        </w:rPr>
        <w:t xml:space="preserve">iempos de </w:t>
      </w:r>
      <w:r>
        <w:rPr>
          <w:rFonts w:ascii="Times New Roman" w:eastAsia="Calibri" w:hAnsi="Times New Roman" w:cs="Times New Roman"/>
          <w:b/>
          <w:bCs/>
          <w:color w:val="000000" w:themeColor="text1"/>
          <w:sz w:val="22"/>
          <w:szCs w:val="22"/>
          <w:lang w:val="es-ES"/>
        </w:rPr>
        <w:t>c</w:t>
      </w:r>
      <w:r w:rsidR="00967695" w:rsidRPr="00512F79">
        <w:rPr>
          <w:rFonts w:ascii="Times New Roman" w:eastAsia="Calibri" w:hAnsi="Times New Roman" w:cs="Times New Roman"/>
          <w:b/>
          <w:bCs/>
          <w:color w:val="000000" w:themeColor="text1"/>
          <w:sz w:val="22"/>
          <w:szCs w:val="22"/>
          <w:lang w:val="es-ES"/>
        </w:rPr>
        <w:t>ambio</w:t>
      </w:r>
      <w:r w:rsidR="00016E91">
        <w:rPr>
          <w:rFonts w:ascii="Times New Roman" w:eastAsia="Calibri" w:hAnsi="Times New Roman" w:cs="Times New Roman"/>
          <w:b/>
          <w:bCs/>
          <w:color w:val="000000" w:themeColor="text1"/>
          <w:sz w:val="22"/>
          <w:szCs w:val="22"/>
          <w:lang w:val="es-ES"/>
        </w:rPr>
        <w:t>”</w:t>
      </w:r>
      <w:r w:rsidR="00967695" w:rsidRPr="00512F79">
        <w:rPr>
          <w:rFonts w:ascii="Times New Roman" w:eastAsia="Calibri" w:hAnsi="Times New Roman" w:cs="Times New Roman"/>
          <w:b/>
          <w:bCs/>
          <w:color w:val="000000" w:themeColor="text1"/>
          <w:sz w:val="22"/>
          <w:szCs w:val="22"/>
          <w:lang w:val="es-ES"/>
        </w:rPr>
        <w:t xml:space="preserve">, </w:t>
      </w:r>
      <w:r w:rsidR="00967695" w:rsidRPr="00512F79">
        <w:rPr>
          <w:rFonts w:ascii="Times New Roman" w:eastAsia="Calibri" w:hAnsi="Times New Roman" w:cs="Times New Roman"/>
          <w:color w:val="000000" w:themeColor="text1"/>
          <w:sz w:val="22"/>
          <w:szCs w:val="22"/>
          <w:lang w:val="es-ES"/>
        </w:rPr>
        <w:t>basado</w:t>
      </w:r>
      <w:r w:rsidR="00BC4D0F">
        <w:rPr>
          <w:rFonts w:ascii="Times New Roman" w:eastAsia="Calibri" w:hAnsi="Times New Roman" w:cs="Times New Roman"/>
          <w:color w:val="000000" w:themeColor="text1"/>
          <w:sz w:val="22"/>
          <w:szCs w:val="22"/>
          <w:lang w:val="es-ES"/>
        </w:rPr>
        <w:t>s</w:t>
      </w:r>
      <w:r w:rsidR="00967695" w:rsidRPr="00512F79">
        <w:rPr>
          <w:rFonts w:ascii="Times New Roman" w:eastAsia="Calibri" w:hAnsi="Times New Roman" w:cs="Times New Roman"/>
          <w:color w:val="000000" w:themeColor="text1"/>
          <w:sz w:val="22"/>
          <w:szCs w:val="22"/>
          <w:lang w:val="es-ES"/>
        </w:rPr>
        <w:t xml:space="preserve"> en alianzas con socios estratégicos. Estos talleres fueron </w:t>
      </w:r>
      <w:r w:rsidR="00141240" w:rsidRPr="00512F79">
        <w:rPr>
          <w:rFonts w:ascii="Times New Roman" w:eastAsia="Calibri" w:hAnsi="Times New Roman" w:cs="Times New Roman"/>
          <w:color w:val="000000" w:themeColor="text1"/>
          <w:sz w:val="22"/>
          <w:szCs w:val="22"/>
          <w:lang w:val="es-ES"/>
        </w:rPr>
        <w:t xml:space="preserve">impartidos por expertos regionales e internacionales que </w:t>
      </w:r>
      <w:r w:rsidR="00AE5557">
        <w:rPr>
          <w:rFonts w:ascii="Times New Roman" w:eastAsia="Calibri" w:hAnsi="Times New Roman" w:cs="Times New Roman"/>
          <w:color w:val="000000" w:themeColor="text1"/>
          <w:sz w:val="22"/>
          <w:szCs w:val="22"/>
          <w:lang w:val="es-ES"/>
        </w:rPr>
        <w:t>aportaron</w:t>
      </w:r>
      <w:r w:rsidR="00141240" w:rsidRPr="00512F79">
        <w:rPr>
          <w:rFonts w:ascii="Times New Roman" w:eastAsia="Calibri" w:hAnsi="Times New Roman" w:cs="Times New Roman"/>
          <w:color w:val="000000" w:themeColor="text1"/>
          <w:sz w:val="22"/>
          <w:szCs w:val="22"/>
          <w:lang w:val="es-ES"/>
        </w:rPr>
        <w:t xml:space="preserve"> conceptos innovadores, estrategias pedagógicas y recursos gratuitos a más de 1.300 docentes, representantes de ministerios y otros educadores de 32 </w:t>
      </w:r>
      <w:r w:rsidR="005F30B1" w:rsidRPr="00512F79">
        <w:rPr>
          <w:rFonts w:ascii="Times New Roman" w:eastAsia="Calibri" w:hAnsi="Times New Roman" w:cs="Times New Roman"/>
          <w:color w:val="000000" w:themeColor="text1"/>
          <w:sz w:val="22"/>
          <w:szCs w:val="22"/>
          <w:lang w:val="es-ES"/>
        </w:rPr>
        <w:t xml:space="preserve">Estados </w:t>
      </w:r>
      <w:r w:rsidR="00BC4D0F">
        <w:rPr>
          <w:rFonts w:ascii="Times New Roman" w:eastAsia="Calibri" w:hAnsi="Times New Roman" w:cs="Times New Roman"/>
          <w:color w:val="000000" w:themeColor="text1"/>
          <w:sz w:val="22"/>
          <w:szCs w:val="22"/>
          <w:lang w:val="es-ES"/>
        </w:rPr>
        <w:t>M</w:t>
      </w:r>
      <w:r w:rsidR="00C67D84" w:rsidRPr="00512F79">
        <w:rPr>
          <w:rFonts w:ascii="Times New Roman" w:eastAsia="Calibri" w:hAnsi="Times New Roman" w:cs="Times New Roman"/>
          <w:color w:val="000000" w:themeColor="text1"/>
          <w:sz w:val="22"/>
          <w:szCs w:val="22"/>
          <w:lang w:val="es-ES"/>
        </w:rPr>
        <w:t xml:space="preserve">iembros </w:t>
      </w:r>
      <w:r w:rsidR="00141240" w:rsidRPr="00512F79">
        <w:rPr>
          <w:rFonts w:ascii="Times New Roman" w:eastAsia="Calibri" w:hAnsi="Times New Roman" w:cs="Times New Roman"/>
          <w:color w:val="000000" w:themeColor="text1"/>
          <w:sz w:val="22"/>
          <w:szCs w:val="22"/>
          <w:lang w:val="es-ES"/>
        </w:rPr>
        <w:t xml:space="preserve">de la OEA con el </w:t>
      </w:r>
      <w:r w:rsidR="00967695" w:rsidRPr="00512F79">
        <w:rPr>
          <w:rFonts w:ascii="Times New Roman" w:eastAsia="Calibri" w:hAnsi="Times New Roman" w:cs="Times New Roman"/>
          <w:color w:val="000000" w:themeColor="text1"/>
          <w:sz w:val="22"/>
          <w:szCs w:val="22"/>
          <w:lang w:val="es-ES"/>
        </w:rPr>
        <w:t xml:space="preserve">fin de ayudar a </w:t>
      </w:r>
      <w:r w:rsidR="001C5419">
        <w:rPr>
          <w:rFonts w:ascii="Times New Roman" w:eastAsia="Calibri" w:hAnsi="Times New Roman" w:cs="Times New Roman"/>
          <w:color w:val="000000" w:themeColor="text1"/>
          <w:sz w:val="22"/>
          <w:szCs w:val="22"/>
          <w:lang w:val="es-ES"/>
        </w:rPr>
        <w:t>estas partes interesadas</w:t>
      </w:r>
      <w:r w:rsidR="00967695" w:rsidRPr="00512F79">
        <w:rPr>
          <w:rFonts w:ascii="Times New Roman" w:eastAsia="Calibri" w:hAnsi="Times New Roman" w:cs="Times New Roman"/>
          <w:color w:val="000000" w:themeColor="text1"/>
          <w:sz w:val="22"/>
          <w:szCs w:val="22"/>
          <w:lang w:val="es-ES"/>
        </w:rPr>
        <w:t xml:space="preserve"> a preparar mejor a sus estudiantes para el aprendizaje del siglo </w:t>
      </w:r>
      <w:r w:rsidR="00BC4D0F">
        <w:rPr>
          <w:rFonts w:ascii="Times New Roman" w:eastAsia="Calibri" w:hAnsi="Times New Roman" w:cs="Times New Roman"/>
          <w:color w:val="000000" w:themeColor="text1"/>
          <w:sz w:val="22"/>
          <w:szCs w:val="22"/>
          <w:lang w:val="es-ES"/>
        </w:rPr>
        <w:t>XXI</w:t>
      </w:r>
      <w:r w:rsidR="00BC4D0F" w:rsidRPr="00512F79">
        <w:rPr>
          <w:rFonts w:ascii="Times New Roman" w:eastAsia="Calibri" w:hAnsi="Times New Roman" w:cs="Times New Roman"/>
          <w:color w:val="000000" w:themeColor="text1"/>
          <w:sz w:val="22"/>
          <w:szCs w:val="22"/>
          <w:lang w:val="es-ES"/>
        </w:rPr>
        <w:t>.</w:t>
      </w:r>
    </w:p>
    <w:p w14:paraId="2B890FEE" w14:textId="77777777" w:rsidR="00141240" w:rsidRPr="00512F79" w:rsidRDefault="00141240" w:rsidP="00CB030B">
      <w:pPr>
        <w:ind w:left="1440" w:hanging="720"/>
        <w:jc w:val="both"/>
        <w:rPr>
          <w:rFonts w:ascii="Times New Roman" w:eastAsia="Calibri" w:hAnsi="Times New Roman" w:cs="Times New Roman"/>
          <w:color w:val="000000" w:themeColor="text1"/>
          <w:sz w:val="22"/>
          <w:szCs w:val="22"/>
          <w:lang w:val="es-ES"/>
        </w:rPr>
      </w:pPr>
    </w:p>
    <w:p w14:paraId="7BBC738E" w14:textId="612F6B11" w:rsidR="00F4728E" w:rsidRPr="00512F79" w:rsidRDefault="00BC4D0F">
      <w:pPr>
        <w:numPr>
          <w:ilvl w:val="0"/>
          <w:numId w:val="23"/>
        </w:numPr>
        <w:ind w:left="1440" w:hanging="72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evaluó</w:t>
      </w:r>
      <w:r w:rsidR="00967695" w:rsidRPr="00512F79">
        <w:rPr>
          <w:rFonts w:ascii="Times New Roman" w:eastAsia="Calibri" w:hAnsi="Times New Roman" w:cs="Times New Roman"/>
          <w:color w:val="000000" w:themeColor="text1"/>
          <w:sz w:val="22"/>
          <w:szCs w:val="22"/>
          <w:lang w:val="es-ES"/>
        </w:rPr>
        <w:t xml:space="preserve"> la programación de </w:t>
      </w:r>
      <w:r>
        <w:rPr>
          <w:rFonts w:ascii="Times New Roman" w:eastAsia="Calibri" w:hAnsi="Times New Roman" w:cs="Times New Roman"/>
          <w:color w:val="000000" w:themeColor="text1"/>
          <w:sz w:val="22"/>
          <w:szCs w:val="22"/>
          <w:lang w:val="es-ES"/>
        </w:rPr>
        <w:t>la Red Interamericana de Educación Docente (RIED)</w:t>
      </w:r>
      <w:r w:rsidR="00967695" w:rsidRPr="00512F79">
        <w:rPr>
          <w:rFonts w:ascii="Times New Roman" w:eastAsia="Calibri" w:hAnsi="Times New Roman" w:cs="Times New Roman"/>
          <w:color w:val="000000" w:themeColor="text1"/>
          <w:sz w:val="22"/>
          <w:szCs w:val="22"/>
          <w:lang w:val="es-ES"/>
        </w:rPr>
        <w:t xml:space="preserve"> en los últimos tres años, </w:t>
      </w:r>
      <w:r w:rsidR="00DD4E35">
        <w:rPr>
          <w:rFonts w:ascii="Times New Roman" w:eastAsia="Calibri" w:hAnsi="Times New Roman" w:cs="Times New Roman"/>
          <w:color w:val="000000" w:themeColor="text1"/>
          <w:sz w:val="22"/>
          <w:szCs w:val="22"/>
          <w:lang w:val="es-ES"/>
        </w:rPr>
        <w:t>lo cual</w:t>
      </w:r>
      <w:r w:rsidR="00967695" w:rsidRPr="00512F79">
        <w:rPr>
          <w:rFonts w:ascii="Times New Roman" w:eastAsia="Calibri" w:hAnsi="Times New Roman" w:cs="Times New Roman"/>
          <w:color w:val="000000" w:themeColor="text1"/>
          <w:sz w:val="22"/>
          <w:szCs w:val="22"/>
          <w:lang w:val="es-ES"/>
        </w:rPr>
        <w:t xml:space="preserve"> representa </w:t>
      </w:r>
      <w:r w:rsidR="00DD4E35">
        <w:rPr>
          <w:rFonts w:ascii="Times New Roman" w:eastAsia="Calibri" w:hAnsi="Times New Roman" w:cs="Times New Roman"/>
          <w:color w:val="000000" w:themeColor="text1"/>
          <w:sz w:val="22"/>
          <w:szCs w:val="22"/>
          <w:lang w:val="es-ES"/>
        </w:rPr>
        <w:t>la labor</w:t>
      </w:r>
      <w:r w:rsidR="00967695" w:rsidRPr="00512F79">
        <w:rPr>
          <w:rFonts w:ascii="Times New Roman" w:eastAsia="Calibri" w:hAnsi="Times New Roman" w:cs="Times New Roman"/>
          <w:color w:val="000000" w:themeColor="text1"/>
          <w:sz w:val="22"/>
          <w:szCs w:val="22"/>
          <w:lang w:val="es-ES"/>
        </w:rPr>
        <w:t xml:space="preserve"> de seis equipos temáticos formados por 58 participantes que representan a 45 instituciones educativas de veinte </w:t>
      </w:r>
      <w:r w:rsidR="005F30B1" w:rsidRPr="00512F79">
        <w:rPr>
          <w:rFonts w:ascii="Times New Roman" w:eastAsia="Calibri" w:hAnsi="Times New Roman" w:cs="Times New Roman"/>
          <w:color w:val="000000" w:themeColor="text1"/>
          <w:sz w:val="22"/>
          <w:szCs w:val="22"/>
          <w:lang w:val="es-ES"/>
        </w:rPr>
        <w:t xml:space="preserve">Estados </w:t>
      </w:r>
      <w:r w:rsidR="00DD4E35">
        <w:rPr>
          <w:rFonts w:ascii="Times New Roman" w:eastAsia="Calibri" w:hAnsi="Times New Roman" w:cs="Times New Roman"/>
          <w:color w:val="000000" w:themeColor="text1"/>
          <w:sz w:val="22"/>
          <w:szCs w:val="22"/>
          <w:lang w:val="es-ES"/>
        </w:rPr>
        <w:t>M</w:t>
      </w:r>
      <w:r w:rsidR="005F30B1" w:rsidRPr="00512F79">
        <w:rPr>
          <w:rFonts w:ascii="Times New Roman" w:eastAsia="Calibri" w:hAnsi="Times New Roman" w:cs="Times New Roman"/>
          <w:color w:val="000000" w:themeColor="text1"/>
          <w:sz w:val="22"/>
          <w:szCs w:val="22"/>
          <w:lang w:val="es-ES"/>
        </w:rPr>
        <w:t xml:space="preserve">iembros, para </w:t>
      </w:r>
      <w:r w:rsidR="00967695" w:rsidRPr="00512F79">
        <w:rPr>
          <w:rFonts w:ascii="Times New Roman" w:eastAsia="Calibri" w:hAnsi="Times New Roman" w:cs="Times New Roman"/>
          <w:color w:val="000000" w:themeColor="text1"/>
          <w:sz w:val="22"/>
          <w:szCs w:val="22"/>
          <w:lang w:val="es-ES"/>
        </w:rPr>
        <w:t>elaborar marcos de mejores prácticas en políticas, programas y prácticas de formación de profesores de STEM.</w:t>
      </w:r>
    </w:p>
    <w:p w14:paraId="65D83E5E" w14:textId="77777777" w:rsidR="00AE5375" w:rsidRPr="00512F79" w:rsidRDefault="00AE5375" w:rsidP="00CB030B">
      <w:pPr>
        <w:ind w:left="720"/>
        <w:jc w:val="both"/>
        <w:rPr>
          <w:rFonts w:ascii="Times New Roman" w:eastAsia="Calibri" w:hAnsi="Times New Roman" w:cs="Times New Roman"/>
          <w:color w:val="000000" w:themeColor="text1"/>
          <w:sz w:val="22"/>
          <w:szCs w:val="22"/>
          <w:lang w:val="es-ES"/>
        </w:rPr>
      </w:pPr>
    </w:p>
    <w:p w14:paraId="07AA11A4" w14:textId="006956E3" w:rsidR="00F4728E" w:rsidRPr="00512F79" w:rsidRDefault="0077701E">
      <w:pPr>
        <w:numPr>
          <w:ilvl w:val="0"/>
          <w:numId w:val="23"/>
        </w:numPr>
        <w:ind w:left="1440" w:hanging="72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c</w:t>
      </w:r>
      <w:r w:rsidR="00967695" w:rsidRPr="00512F79">
        <w:rPr>
          <w:rFonts w:ascii="Times New Roman" w:eastAsia="Calibri" w:hAnsi="Times New Roman" w:cs="Times New Roman"/>
          <w:color w:val="000000" w:themeColor="text1"/>
          <w:sz w:val="22"/>
          <w:szCs w:val="22"/>
          <w:lang w:val="es-ES"/>
        </w:rPr>
        <w:t>ontinuó promoviendo el debate sobre prácticas docentes</w:t>
      </w:r>
      <w:r w:rsidR="00AE5375" w:rsidRPr="00512F79">
        <w:rPr>
          <w:rFonts w:ascii="Times New Roman" w:eastAsia="Calibri" w:hAnsi="Times New Roman" w:cs="Times New Roman"/>
          <w:color w:val="000000" w:themeColor="text1"/>
          <w:sz w:val="22"/>
          <w:szCs w:val="22"/>
          <w:lang w:val="es-ES"/>
        </w:rPr>
        <w:t xml:space="preserve">, </w:t>
      </w:r>
      <w:r w:rsidR="00967695" w:rsidRPr="00512F79">
        <w:rPr>
          <w:rFonts w:ascii="Times New Roman" w:eastAsia="Calibri" w:hAnsi="Times New Roman" w:cs="Times New Roman"/>
          <w:color w:val="000000" w:themeColor="text1"/>
          <w:sz w:val="22"/>
          <w:szCs w:val="22"/>
          <w:lang w:val="es-ES"/>
        </w:rPr>
        <w:t xml:space="preserve">políticas y la difusión de trabajos y oportunidades de desarrollo profesional docente ofrecidos a los 30.000 miembros de la Comunidad Virtual de Práctica </w:t>
      </w:r>
      <w:r>
        <w:rPr>
          <w:rFonts w:ascii="Times New Roman" w:eastAsia="Calibri" w:hAnsi="Times New Roman" w:cs="Times New Roman"/>
          <w:color w:val="000000" w:themeColor="text1"/>
          <w:sz w:val="22"/>
          <w:szCs w:val="22"/>
          <w:lang w:val="es-ES"/>
        </w:rPr>
        <w:t>REID</w:t>
      </w:r>
      <w:r w:rsidR="00967695" w:rsidRPr="00512F79">
        <w:rPr>
          <w:rFonts w:ascii="Times New Roman" w:eastAsia="Calibri" w:hAnsi="Times New Roman" w:cs="Times New Roman"/>
          <w:color w:val="000000" w:themeColor="text1"/>
          <w:sz w:val="22"/>
          <w:szCs w:val="22"/>
          <w:lang w:val="es-ES"/>
        </w:rPr>
        <w:t xml:space="preserve"> </w:t>
      </w:r>
      <w:r w:rsidR="00AE5375" w:rsidRPr="00512F79">
        <w:rPr>
          <w:rFonts w:ascii="Times New Roman" w:eastAsia="Calibri" w:hAnsi="Times New Roman" w:cs="Times New Roman"/>
          <w:color w:val="000000" w:themeColor="text1"/>
          <w:sz w:val="22"/>
          <w:szCs w:val="22"/>
          <w:lang w:val="es-ES"/>
        </w:rPr>
        <w:t xml:space="preserve">en los </w:t>
      </w:r>
      <w:r w:rsidR="00967695" w:rsidRPr="00512F79">
        <w:rPr>
          <w:rFonts w:ascii="Times New Roman" w:eastAsia="Calibri" w:hAnsi="Times New Roman" w:cs="Times New Roman"/>
          <w:color w:val="000000" w:themeColor="text1"/>
          <w:sz w:val="22"/>
          <w:szCs w:val="22"/>
          <w:lang w:val="es-ES"/>
        </w:rPr>
        <w:t xml:space="preserve">34 </w:t>
      </w:r>
      <w:r w:rsidR="005F30B1" w:rsidRPr="00512F79">
        <w:rPr>
          <w:rFonts w:ascii="Times New Roman" w:eastAsia="Calibri" w:hAnsi="Times New Roman" w:cs="Times New Roman"/>
          <w:color w:val="000000" w:themeColor="text1"/>
          <w:sz w:val="22"/>
          <w:szCs w:val="22"/>
          <w:lang w:val="es-ES"/>
        </w:rPr>
        <w:t xml:space="preserve">Estados </w:t>
      </w:r>
      <w:r>
        <w:rPr>
          <w:rFonts w:ascii="Times New Roman" w:eastAsia="Calibri" w:hAnsi="Times New Roman" w:cs="Times New Roman"/>
          <w:color w:val="000000" w:themeColor="text1"/>
          <w:sz w:val="22"/>
          <w:szCs w:val="22"/>
          <w:lang w:val="es-ES"/>
        </w:rPr>
        <w:t>M</w:t>
      </w:r>
      <w:r w:rsidR="00C67D84" w:rsidRPr="00512F79">
        <w:rPr>
          <w:rFonts w:ascii="Times New Roman" w:eastAsia="Calibri" w:hAnsi="Times New Roman" w:cs="Times New Roman"/>
          <w:color w:val="000000" w:themeColor="text1"/>
          <w:sz w:val="22"/>
          <w:szCs w:val="22"/>
          <w:lang w:val="es-ES"/>
        </w:rPr>
        <w:t xml:space="preserve">iembros de </w:t>
      </w:r>
      <w:r w:rsidR="00967695" w:rsidRPr="00512F79">
        <w:rPr>
          <w:rFonts w:ascii="Times New Roman" w:eastAsia="Calibri" w:hAnsi="Times New Roman" w:cs="Times New Roman"/>
          <w:color w:val="000000" w:themeColor="text1"/>
          <w:sz w:val="22"/>
          <w:szCs w:val="22"/>
          <w:lang w:val="es-ES"/>
        </w:rPr>
        <w:t>la OEA.</w:t>
      </w:r>
    </w:p>
    <w:p w14:paraId="0B7E2166" w14:textId="77777777" w:rsidR="00141240" w:rsidRPr="00512F79" w:rsidRDefault="00141240" w:rsidP="00CB030B">
      <w:pPr>
        <w:pStyle w:val="ListParagraph"/>
        <w:ind w:left="1440" w:hanging="720"/>
        <w:rPr>
          <w:color w:val="000000" w:themeColor="text1"/>
          <w:sz w:val="22"/>
          <w:szCs w:val="22"/>
          <w:lang w:val="es-ES"/>
        </w:rPr>
      </w:pPr>
    </w:p>
    <w:p w14:paraId="22736838" w14:textId="7384511C" w:rsidR="00F4728E" w:rsidRPr="00512F79" w:rsidRDefault="0077701E">
      <w:pPr>
        <w:numPr>
          <w:ilvl w:val="0"/>
          <w:numId w:val="23"/>
        </w:numPr>
        <w:ind w:left="1440" w:hanging="72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mejoró</w:t>
      </w:r>
      <w:r w:rsidR="00967695" w:rsidRPr="00512F79">
        <w:rPr>
          <w:rFonts w:ascii="Times New Roman" w:eastAsia="Calibri" w:hAnsi="Times New Roman" w:cs="Times New Roman"/>
          <w:color w:val="000000" w:themeColor="text1"/>
          <w:sz w:val="22"/>
          <w:szCs w:val="22"/>
          <w:lang w:val="es-ES"/>
        </w:rPr>
        <w:t xml:space="preserve"> la capacidad de más de 237.000 educadores STEM de 34 </w:t>
      </w:r>
      <w:r w:rsidR="005F30B1" w:rsidRPr="00512F79">
        <w:rPr>
          <w:rFonts w:ascii="Times New Roman" w:eastAsia="Calibri" w:hAnsi="Times New Roman" w:cs="Times New Roman"/>
          <w:color w:val="000000" w:themeColor="text1"/>
          <w:sz w:val="22"/>
          <w:szCs w:val="22"/>
          <w:lang w:val="es-ES"/>
        </w:rPr>
        <w:t xml:space="preserve">Estados </w:t>
      </w:r>
      <w:r>
        <w:rPr>
          <w:rFonts w:ascii="Times New Roman" w:eastAsia="Calibri" w:hAnsi="Times New Roman" w:cs="Times New Roman"/>
          <w:color w:val="000000" w:themeColor="text1"/>
          <w:sz w:val="22"/>
          <w:szCs w:val="22"/>
          <w:lang w:val="es-ES"/>
        </w:rPr>
        <w:t>M</w:t>
      </w:r>
      <w:r w:rsidR="005F30B1" w:rsidRPr="00512F79">
        <w:rPr>
          <w:rFonts w:ascii="Times New Roman" w:eastAsia="Calibri" w:hAnsi="Times New Roman" w:cs="Times New Roman"/>
          <w:color w:val="000000" w:themeColor="text1"/>
          <w:sz w:val="22"/>
          <w:szCs w:val="22"/>
          <w:lang w:val="es-ES"/>
        </w:rPr>
        <w:t xml:space="preserve">iembros </w:t>
      </w:r>
      <w:r w:rsidR="00967695" w:rsidRPr="00512F79">
        <w:rPr>
          <w:rFonts w:ascii="Times New Roman" w:eastAsia="Calibri" w:hAnsi="Times New Roman" w:cs="Times New Roman"/>
          <w:color w:val="000000" w:themeColor="text1"/>
          <w:sz w:val="22"/>
          <w:szCs w:val="22"/>
          <w:lang w:val="es-ES"/>
        </w:rPr>
        <w:t xml:space="preserve">(incluida la formación presencial de 3.288 educadores) para impartir una educación STEM de calidad a sus </w:t>
      </w:r>
      <w:r>
        <w:rPr>
          <w:rFonts w:ascii="Times New Roman" w:eastAsia="Calibri" w:hAnsi="Times New Roman" w:cs="Times New Roman"/>
          <w:color w:val="000000" w:themeColor="text1"/>
          <w:sz w:val="22"/>
          <w:szCs w:val="22"/>
          <w:lang w:val="es-ES"/>
        </w:rPr>
        <w:t>estudiantes</w:t>
      </w:r>
      <w:r w:rsidR="00967695" w:rsidRPr="00512F79">
        <w:rPr>
          <w:rFonts w:ascii="Times New Roman" w:eastAsia="Calibri" w:hAnsi="Times New Roman" w:cs="Times New Roman"/>
          <w:color w:val="000000" w:themeColor="text1"/>
          <w:sz w:val="22"/>
          <w:szCs w:val="22"/>
          <w:lang w:val="es-ES"/>
        </w:rPr>
        <w:t>.</w:t>
      </w:r>
    </w:p>
    <w:p w14:paraId="5E9A2DC4" w14:textId="77777777" w:rsidR="00141240" w:rsidRPr="00512F79" w:rsidRDefault="00141240" w:rsidP="00CB030B">
      <w:pPr>
        <w:ind w:left="1530" w:hanging="810"/>
        <w:jc w:val="both"/>
        <w:rPr>
          <w:rFonts w:ascii="Times New Roman" w:eastAsia="Calibri" w:hAnsi="Times New Roman" w:cs="Times New Roman"/>
          <w:color w:val="000000" w:themeColor="text1"/>
          <w:sz w:val="22"/>
          <w:szCs w:val="22"/>
          <w:lang w:val="es-ES"/>
        </w:rPr>
      </w:pPr>
    </w:p>
    <w:p w14:paraId="4071E331" w14:textId="6A4DD7E4" w:rsidR="00F4728E" w:rsidRPr="00512F79" w:rsidRDefault="0077701E" w:rsidP="00D83281">
      <w:pPr>
        <w:numPr>
          <w:ilvl w:val="0"/>
          <w:numId w:val="23"/>
        </w:numPr>
        <w:ind w:left="1440" w:hanging="81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En noviembre se celebró</w:t>
      </w:r>
      <w:r w:rsidR="00967695" w:rsidRPr="00512F79">
        <w:rPr>
          <w:rFonts w:ascii="Times New Roman" w:eastAsia="Calibri" w:hAnsi="Times New Roman" w:cs="Times New Roman"/>
          <w:color w:val="000000" w:themeColor="text1"/>
          <w:sz w:val="22"/>
          <w:szCs w:val="22"/>
          <w:lang w:val="es-ES"/>
        </w:rPr>
        <w:t xml:space="preserve"> </w:t>
      </w:r>
      <w:r w:rsidR="00141240" w:rsidRPr="00512F79">
        <w:rPr>
          <w:rFonts w:ascii="Times New Roman" w:eastAsia="Calibri" w:hAnsi="Times New Roman" w:cs="Times New Roman"/>
          <w:color w:val="000000" w:themeColor="text1"/>
          <w:sz w:val="22"/>
          <w:szCs w:val="22"/>
          <w:lang w:val="es-ES"/>
        </w:rPr>
        <w:t xml:space="preserve">el </w:t>
      </w:r>
      <w:r w:rsidR="00CD0E1C">
        <w:rPr>
          <w:rFonts w:ascii="Times New Roman" w:eastAsia="Calibri" w:hAnsi="Times New Roman" w:cs="Times New Roman"/>
          <w:color w:val="000000" w:themeColor="text1"/>
          <w:sz w:val="22"/>
          <w:szCs w:val="22"/>
          <w:lang w:val="es-ES"/>
        </w:rPr>
        <w:t>s</w:t>
      </w:r>
      <w:r w:rsidR="00141240" w:rsidRPr="00512F79">
        <w:rPr>
          <w:rFonts w:ascii="Times New Roman" w:eastAsia="Calibri" w:hAnsi="Times New Roman" w:cs="Times New Roman"/>
          <w:color w:val="000000" w:themeColor="text1"/>
          <w:sz w:val="22"/>
          <w:szCs w:val="22"/>
          <w:lang w:val="es-ES"/>
        </w:rPr>
        <w:t xml:space="preserve">eminario </w:t>
      </w:r>
      <w:r w:rsidR="00CD0E1C">
        <w:rPr>
          <w:rFonts w:ascii="Times New Roman" w:eastAsia="Calibri" w:hAnsi="Times New Roman" w:cs="Times New Roman"/>
          <w:color w:val="000000" w:themeColor="text1"/>
          <w:sz w:val="22"/>
          <w:szCs w:val="22"/>
          <w:lang w:val="es-ES"/>
        </w:rPr>
        <w:t>v</w:t>
      </w:r>
      <w:r w:rsidR="00141240" w:rsidRPr="00512F79">
        <w:rPr>
          <w:rFonts w:ascii="Times New Roman" w:eastAsia="Calibri" w:hAnsi="Times New Roman" w:cs="Times New Roman"/>
          <w:color w:val="000000" w:themeColor="text1"/>
          <w:sz w:val="22"/>
          <w:szCs w:val="22"/>
          <w:lang w:val="es-ES"/>
        </w:rPr>
        <w:t xml:space="preserve">irtual anual bajo </w:t>
      </w:r>
      <w:r w:rsidR="00967695" w:rsidRPr="00512F79">
        <w:rPr>
          <w:rFonts w:ascii="Times New Roman" w:eastAsia="Calibri" w:hAnsi="Times New Roman" w:cs="Times New Roman"/>
          <w:color w:val="000000" w:themeColor="text1"/>
          <w:sz w:val="22"/>
          <w:szCs w:val="22"/>
          <w:lang w:val="es-ES"/>
        </w:rPr>
        <w:t xml:space="preserve">el lema </w:t>
      </w:r>
      <w:r w:rsidR="00EF3817" w:rsidRPr="00817BB5">
        <w:rPr>
          <w:rFonts w:ascii="Times New Roman" w:eastAsia="Calibri" w:hAnsi="Times New Roman" w:cs="Times New Roman"/>
          <w:b/>
          <w:bCs/>
          <w:color w:val="000000" w:themeColor="text1"/>
          <w:sz w:val="22"/>
          <w:szCs w:val="22"/>
          <w:lang w:val="es-ES"/>
        </w:rPr>
        <w:t>“</w:t>
      </w:r>
      <w:r w:rsidR="00141240" w:rsidRPr="00512F79">
        <w:rPr>
          <w:rFonts w:ascii="Times New Roman" w:eastAsia="Calibri" w:hAnsi="Times New Roman" w:cs="Times New Roman"/>
          <w:b/>
          <w:bCs/>
          <w:color w:val="000000" w:themeColor="text1"/>
          <w:sz w:val="22"/>
          <w:szCs w:val="22"/>
          <w:lang w:val="es-ES"/>
        </w:rPr>
        <w:t>Docentes de calidad, futuro de calidad</w:t>
      </w:r>
      <w:r w:rsidR="00EF3817">
        <w:rPr>
          <w:rFonts w:ascii="Times New Roman" w:eastAsia="Calibri" w:hAnsi="Times New Roman" w:cs="Times New Roman"/>
          <w:b/>
          <w:bCs/>
          <w:color w:val="000000" w:themeColor="text1"/>
          <w:sz w:val="22"/>
          <w:szCs w:val="22"/>
          <w:lang w:val="es-ES"/>
        </w:rPr>
        <w:t>”</w:t>
      </w:r>
      <w:r w:rsidR="00141240" w:rsidRPr="00512F79">
        <w:rPr>
          <w:rFonts w:ascii="Times New Roman" w:eastAsia="Calibri" w:hAnsi="Times New Roman" w:cs="Times New Roman"/>
          <w:b/>
          <w:bCs/>
          <w:color w:val="000000" w:themeColor="text1"/>
          <w:sz w:val="22"/>
          <w:szCs w:val="22"/>
          <w:lang w:val="es-ES"/>
        </w:rPr>
        <w:t xml:space="preserve">. </w:t>
      </w:r>
      <w:r w:rsidR="00141240" w:rsidRPr="00512F79">
        <w:rPr>
          <w:rFonts w:ascii="Times New Roman" w:eastAsia="Calibri" w:hAnsi="Times New Roman" w:cs="Times New Roman"/>
          <w:color w:val="000000" w:themeColor="text1"/>
          <w:sz w:val="22"/>
          <w:szCs w:val="22"/>
          <w:lang w:val="es-ES"/>
        </w:rPr>
        <w:t xml:space="preserve">La actividad se centró en </w:t>
      </w:r>
      <w:r w:rsidR="007D5A9F">
        <w:rPr>
          <w:rFonts w:ascii="Times New Roman" w:eastAsia="Calibri" w:hAnsi="Times New Roman" w:cs="Times New Roman"/>
          <w:color w:val="000000" w:themeColor="text1"/>
          <w:sz w:val="22"/>
          <w:szCs w:val="22"/>
          <w:lang w:val="es-ES"/>
        </w:rPr>
        <w:t>la formulación</w:t>
      </w:r>
      <w:r w:rsidR="00141240" w:rsidRPr="00512F79">
        <w:rPr>
          <w:rFonts w:ascii="Times New Roman" w:eastAsia="Calibri" w:hAnsi="Times New Roman" w:cs="Times New Roman"/>
          <w:color w:val="000000" w:themeColor="text1"/>
          <w:sz w:val="22"/>
          <w:szCs w:val="22"/>
          <w:lang w:val="es-ES"/>
        </w:rPr>
        <w:t xml:space="preserve"> </w:t>
      </w:r>
      <w:r w:rsidR="007D5A9F">
        <w:rPr>
          <w:rFonts w:ascii="Times New Roman" w:eastAsia="Calibri" w:hAnsi="Times New Roman" w:cs="Times New Roman"/>
          <w:color w:val="000000" w:themeColor="text1"/>
          <w:sz w:val="22"/>
          <w:szCs w:val="22"/>
          <w:lang w:val="es-ES"/>
        </w:rPr>
        <w:t>e</w:t>
      </w:r>
      <w:r w:rsidR="00141240" w:rsidRPr="00512F79">
        <w:rPr>
          <w:rFonts w:ascii="Times New Roman" w:eastAsia="Calibri" w:hAnsi="Times New Roman" w:cs="Times New Roman"/>
          <w:color w:val="000000" w:themeColor="text1"/>
          <w:sz w:val="22"/>
          <w:szCs w:val="22"/>
          <w:lang w:val="es-ES"/>
        </w:rPr>
        <w:t xml:space="preserve"> </w:t>
      </w:r>
      <w:r w:rsidR="003867FE">
        <w:rPr>
          <w:rFonts w:ascii="Times New Roman" w:eastAsia="Calibri" w:hAnsi="Times New Roman" w:cs="Times New Roman"/>
          <w:color w:val="000000" w:themeColor="text1"/>
          <w:sz w:val="22"/>
          <w:szCs w:val="22"/>
          <w:lang w:val="es-ES"/>
        </w:rPr>
        <w:t>implementación</w:t>
      </w:r>
      <w:r w:rsidR="00141240" w:rsidRPr="00512F79">
        <w:rPr>
          <w:rFonts w:ascii="Times New Roman" w:eastAsia="Calibri" w:hAnsi="Times New Roman" w:cs="Times New Roman"/>
          <w:color w:val="000000" w:themeColor="text1"/>
          <w:sz w:val="22"/>
          <w:szCs w:val="22"/>
          <w:lang w:val="es-ES"/>
        </w:rPr>
        <w:t xml:space="preserve"> de políticas, programas y prácticas eficaces en la formación de docentes en las Américas, </w:t>
      </w:r>
      <w:r w:rsidR="00EF3817">
        <w:rPr>
          <w:rFonts w:ascii="Times New Roman" w:eastAsia="Calibri" w:hAnsi="Times New Roman" w:cs="Times New Roman"/>
          <w:color w:val="000000" w:themeColor="text1"/>
          <w:sz w:val="22"/>
          <w:szCs w:val="22"/>
          <w:lang w:val="es-ES"/>
        </w:rPr>
        <w:t>con vistas a la XI</w:t>
      </w:r>
      <w:r w:rsidR="00141240" w:rsidRPr="00512F79">
        <w:rPr>
          <w:rFonts w:ascii="Times New Roman" w:eastAsia="Calibri" w:hAnsi="Times New Roman" w:cs="Times New Roman"/>
          <w:color w:val="000000" w:themeColor="text1"/>
          <w:sz w:val="22"/>
          <w:szCs w:val="22"/>
          <w:lang w:val="es-ES"/>
        </w:rPr>
        <w:t xml:space="preserve"> Reunión Interamericana de Ministros de Educación. Este espacio de exposición virtual de dos días ofreció a los </w:t>
      </w:r>
      <w:r w:rsidR="005D753C" w:rsidRPr="00512F79">
        <w:rPr>
          <w:rFonts w:ascii="Times New Roman" w:eastAsia="Calibri" w:hAnsi="Times New Roman" w:cs="Times New Roman"/>
          <w:color w:val="000000" w:themeColor="text1"/>
          <w:sz w:val="22"/>
          <w:szCs w:val="22"/>
          <w:lang w:val="es-ES"/>
        </w:rPr>
        <w:t xml:space="preserve">Ministerios </w:t>
      </w:r>
      <w:r w:rsidR="00141240" w:rsidRPr="00512F79">
        <w:rPr>
          <w:rFonts w:ascii="Times New Roman" w:eastAsia="Calibri" w:hAnsi="Times New Roman" w:cs="Times New Roman"/>
          <w:color w:val="000000" w:themeColor="text1"/>
          <w:sz w:val="22"/>
          <w:szCs w:val="22"/>
          <w:lang w:val="es-ES"/>
        </w:rPr>
        <w:t xml:space="preserve">y otras instituciones </w:t>
      </w:r>
      <w:r w:rsidR="003867FE">
        <w:rPr>
          <w:rFonts w:ascii="Times New Roman" w:eastAsia="Calibri" w:hAnsi="Times New Roman" w:cs="Times New Roman"/>
          <w:color w:val="000000" w:themeColor="text1"/>
          <w:sz w:val="22"/>
          <w:szCs w:val="22"/>
          <w:lang w:val="es-ES"/>
        </w:rPr>
        <w:t>socias</w:t>
      </w:r>
      <w:r w:rsidR="00141240" w:rsidRPr="00512F79">
        <w:rPr>
          <w:rFonts w:ascii="Times New Roman" w:eastAsia="Calibri" w:hAnsi="Times New Roman" w:cs="Times New Roman"/>
          <w:color w:val="000000" w:themeColor="text1"/>
          <w:sz w:val="22"/>
          <w:szCs w:val="22"/>
          <w:lang w:val="es-ES"/>
        </w:rPr>
        <w:t xml:space="preserve"> de los </w:t>
      </w:r>
      <w:r w:rsidR="005F30B1" w:rsidRPr="00512F79">
        <w:rPr>
          <w:rFonts w:ascii="Times New Roman" w:eastAsia="Calibri" w:hAnsi="Times New Roman" w:cs="Times New Roman"/>
          <w:color w:val="000000" w:themeColor="text1"/>
          <w:sz w:val="22"/>
          <w:szCs w:val="22"/>
          <w:lang w:val="es-ES"/>
        </w:rPr>
        <w:t xml:space="preserve">Estados </w:t>
      </w:r>
      <w:r w:rsidR="00521FD9">
        <w:rPr>
          <w:rFonts w:ascii="Times New Roman" w:eastAsia="Calibri" w:hAnsi="Times New Roman" w:cs="Times New Roman"/>
          <w:color w:val="000000" w:themeColor="text1"/>
          <w:sz w:val="22"/>
          <w:szCs w:val="22"/>
          <w:lang w:val="es-ES"/>
        </w:rPr>
        <w:t>M</w:t>
      </w:r>
      <w:r w:rsidR="00C67D84" w:rsidRPr="00512F79">
        <w:rPr>
          <w:rFonts w:ascii="Times New Roman" w:eastAsia="Calibri" w:hAnsi="Times New Roman" w:cs="Times New Roman"/>
          <w:color w:val="000000" w:themeColor="text1"/>
          <w:sz w:val="22"/>
          <w:szCs w:val="22"/>
          <w:lang w:val="es-ES"/>
        </w:rPr>
        <w:t xml:space="preserve">iembros de </w:t>
      </w:r>
      <w:r w:rsidR="00141240" w:rsidRPr="00512F79">
        <w:rPr>
          <w:rFonts w:ascii="Times New Roman" w:eastAsia="Calibri" w:hAnsi="Times New Roman" w:cs="Times New Roman"/>
          <w:color w:val="000000" w:themeColor="text1"/>
          <w:sz w:val="22"/>
          <w:szCs w:val="22"/>
          <w:lang w:val="es-ES"/>
        </w:rPr>
        <w:t xml:space="preserve">la OEA la oportunidad de </w:t>
      </w:r>
      <w:r w:rsidR="00AE5557">
        <w:rPr>
          <w:rFonts w:ascii="Times New Roman" w:eastAsia="Calibri" w:hAnsi="Times New Roman" w:cs="Times New Roman"/>
          <w:color w:val="000000" w:themeColor="text1"/>
          <w:sz w:val="22"/>
          <w:szCs w:val="22"/>
          <w:lang w:val="es-ES"/>
        </w:rPr>
        <w:t>presentar</w:t>
      </w:r>
      <w:r w:rsidR="00141240" w:rsidRPr="00512F79">
        <w:rPr>
          <w:rFonts w:ascii="Times New Roman" w:eastAsia="Calibri" w:hAnsi="Times New Roman" w:cs="Times New Roman"/>
          <w:color w:val="000000" w:themeColor="text1"/>
          <w:sz w:val="22"/>
          <w:szCs w:val="22"/>
          <w:lang w:val="es-ES"/>
        </w:rPr>
        <w:t xml:space="preserve"> sus iniciativas de formación docente a más de 10.000 educadores y </w:t>
      </w:r>
      <w:r w:rsidR="00521FD9">
        <w:rPr>
          <w:rFonts w:ascii="Times New Roman" w:eastAsia="Calibri" w:hAnsi="Times New Roman" w:cs="Times New Roman"/>
          <w:color w:val="000000" w:themeColor="text1"/>
          <w:sz w:val="22"/>
          <w:szCs w:val="22"/>
          <w:lang w:val="es-ES"/>
        </w:rPr>
        <w:t>autoridades</w:t>
      </w:r>
      <w:r w:rsidR="00141240" w:rsidRPr="00512F79">
        <w:rPr>
          <w:rFonts w:ascii="Times New Roman" w:eastAsia="Calibri" w:hAnsi="Times New Roman" w:cs="Times New Roman"/>
          <w:color w:val="000000" w:themeColor="text1"/>
          <w:sz w:val="22"/>
          <w:szCs w:val="22"/>
          <w:lang w:val="es-ES"/>
        </w:rPr>
        <w:t xml:space="preserve"> de la región.</w:t>
      </w:r>
    </w:p>
    <w:p w14:paraId="6F3D9DCC" w14:textId="77777777" w:rsidR="00141240" w:rsidRPr="00512F79" w:rsidRDefault="00141240" w:rsidP="00CB030B">
      <w:pPr>
        <w:ind w:left="720"/>
        <w:jc w:val="both"/>
        <w:rPr>
          <w:rFonts w:ascii="Times New Roman" w:hAnsi="Times New Roman" w:cs="Times New Roman"/>
          <w:color w:val="000000" w:themeColor="text1"/>
          <w:sz w:val="22"/>
          <w:szCs w:val="22"/>
          <w:lang w:val="es-ES"/>
        </w:rPr>
      </w:pPr>
    </w:p>
    <w:p w14:paraId="6C25A724" w14:textId="43C650DE" w:rsidR="00F4728E" w:rsidRPr="00512F79" w:rsidRDefault="00F77C06">
      <w:pPr>
        <w:numPr>
          <w:ilvl w:val="0"/>
          <w:numId w:val="23"/>
        </w:numPr>
        <w:ind w:left="1440" w:hanging="72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 xml:space="preserve">REID </w:t>
      </w:r>
      <w:r w:rsidR="00967695" w:rsidRPr="00512F79">
        <w:rPr>
          <w:rFonts w:ascii="Times New Roman" w:eastAsia="Calibri" w:hAnsi="Times New Roman" w:cs="Times New Roman"/>
          <w:color w:val="000000" w:themeColor="text1"/>
          <w:sz w:val="22"/>
          <w:szCs w:val="22"/>
          <w:lang w:val="es-ES"/>
        </w:rPr>
        <w:t xml:space="preserve">y el Portal Educativo de las Américas, con el apoyo de la Fundación </w:t>
      </w:r>
      <w:r w:rsidR="00967695" w:rsidRPr="00512F79">
        <w:rPr>
          <w:rFonts w:ascii="Times New Roman" w:eastAsia="Calibri" w:hAnsi="Times New Roman" w:cs="Times New Roman"/>
          <w:i/>
          <w:iCs/>
          <w:color w:val="000000" w:themeColor="text1"/>
          <w:sz w:val="22"/>
          <w:szCs w:val="22"/>
          <w:lang w:val="es-ES"/>
        </w:rPr>
        <w:t xml:space="preserve">Profuturo, llevaron a cabo </w:t>
      </w:r>
      <w:r w:rsidR="00967695" w:rsidRPr="00512F79">
        <w:rPr>
          <w:rFonts w:ascii="Times New Roman" w:eastAsia="Calibri" w:hAnsi="Times New Roman" w:cs="Times New Roman"/>
          <w:color w:val="000000" w:themeColor="text1"/>
          <w:sz w:val="22"/>
          <w:szCs w:val="22"/>
          <w:lang w:val="es-ES"/>
        </w:rPr>
        <w:t>las siguientes actividades:</w:t>
      </w:r>
    </w:p>
    <w:p w14:paraId="65CBA14C" w14:textId="77777777" w:rsidR="00141240" w:rsidRPr="00512F79" w:rsidRDefault="00141240" w:rsidP="00CB030B">
      <w:pPr>
        <w:ind w:left="720"/>
        <w:jc w:val="both"/>
        <w:rPr>
          <w:rFonts w:ascii="Times New Roman" w:hAnsi="Times New Roman" w:cs="Times New Roman"/>
          <w:color w:val="000000" w:themeColor="text1"/>
          <w:sz w:val="22"/>
          <w:szCs w:val="22"/>
          <w:lang w:val="es-ES"/>
        </w:rPr>
      </w:pPr>
    </w:p>
    <w:p w14:paraId="7B89EFD5" w14:textId="5BBF649D" w:rsidR="00F4728E" w:rsidRPr="00F77C06" w:rsidRDefault="00F77C06">
      <w:pPr>
        <w:numPr>
          <w:ilvl w:val="1"/>
          <w:numId w:val="23"/>
        </w:numPr>
        <w:ind w:left="1980" w:hanging="54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f</w:t>
      </w:r>
      <w:r w:rsidR="00967695" w:rsidRPr="00512F79">
        <w:rPr>
          <w:rFonts w:ascii="Times New Roman" w:eastAsia="Calibri" w:hAnsi="Times New Roman" w:cs="Times New Roman"/>
          <w:color w:val="000000" w:themeColor="text1"/>
          <w:sz w:val="22"/>
          <w:szCs w:val="22"/>
          <w:lang w:val="es-ES"/>
        </w:rPr>
        <w:t xml:space="preserve">inalizó el </w:t>
      </w:r>
      <w:r w:rsidR="00141240" w:rsidRPr="00512F79">
        <w:rPr>
          <w:rFonts w:ascii="Times New Roman" w:eastAsia="Calibri" w:hAnsi="Times New Roman" w:cs="Times New Roman"/>
          <w:b/>
          <w:bCs/>
          <w:color w:val="000000" w:themeColor="text1"/>
          <w:sz w:val="22"/>
          <w:szCs w:val="22"/>
          <w:lang w:val="es-ES"/>
        </w:rPr>
        <w:t>Mapeo de Buenas Prácticas en Educación Digital de las Américas</w:t>
      </w:r>
      <w:r w:rsidR="00141240" w:rsidRPr="00512F79">
        <w:rPr>
          <w:rFonts w:ascii="Times New Roman" w:eastAsia="Calibri" w:hAnsi="Times New Roman" w:cs="Times New Roman"/>
          <w:color w:val="000000" w:themeColor="text1"/>
          <w:sz w:val="22"/>
          <w:szCs w:val="22"/>
          <w:lang w:val="es-ES"/>
        </w:rPr>
        <w:t xml:space="preserve">, </w:t>
      </w:r>
      <w:r w:rsidR="007D5A9F">
        <w:rPr>
          <w:rFonts w:ascii="Times New Roman" w:eastAsia="Calibri" w:hAnsi="Times New Roman" w:cs="Times New Roman"/>
          <w:color w:val="000000" w:themeColor="text1"/>
          <w:sz w:val="22"/>
          <w:szCs w:val="22"/>
          <w:lang w:val="es-ES"/>
        </w:rPr>
        <w:t>el cual</w:t>
      </w:r>
      <w:r w:rsidR="00141240" w:rsidRPr="00512F79">
        <w:rPr>
          <w:rFonts w:ascii="Times New Roman" w:eastAsia="Calibri" w:hAnsi="Times New Roman" w:cs="Times New Roman"/>
          <w:color w:val="000000" w:themeColor="text1"/>
          <w:sz w:val="22"/>
          <w:szCs w:val="22"/>
          <w:lang w:val="es-ES"/>
        </w:rPr>
        <w:t xml:space="preserve"> recibió más de 170 solicitudes de </w:t>
      </w:r>
      <w:r w:rsidR="00CF24B0" w:rsidRPr="00512F79">
        <w:rPr>
          <w:rFonts w:ascii="Times New Roman" w:eastAsia="Calibri" w:hAnsi="Times New Roman" w:cs="Times New Roman"/>
          <w:color w:val="000000" w:themeColor="text1"/>
          <w:sz w:val="22"/>
          <w:szCs w:val="22"/>
          <w:lang w:val="es-ES"/>
        </w:rPr>
        <w:t>organizaciones de la sociedad civil (</w:t>
      </w:r>
      <w:r w:rsidR="00141240" w:rsidRPr="00512F79">
        <w:rPr>
          <w:rFonts w:ascii="Times New Roman" w:eastAsia="Calibri" w:hAnsi="Times New Roman" w:cs="Times New Roman"/>
          <w:color w:val="000000" w:themeColor="text1"/>
          <w:sz w:val="22"/>
          <w:szCs w:val="22"/>
          <w:lang w:val="es-ES"/>
        </w:rPr>
        <w:t>OSC</w:t>
      </w:r>
      <w:r w:rsidR="00CF24B0" w:rsidRPr="00512F79">
        <w:rPr>
          <w:rFonts w:ascii="Times New Roman" w:eastAsia="Calibri" w:hAnsi="Times New Roman" w:cs="Times New Roman"/>
          <w:color w:val="000000" w:themeColor="text1"/>
          <w:sz w:val="22"/>
          <w:szCs w:val="22"/>
          <w:lang w:val="es-ES"/>
        </w:rPr>
        <w:t xml:space="preserve">) </w:t>
      </w:r>
      <w:r w:rsidR="00141240" w:rsidRPr="00512F79">
        <w:rPr>
          <w:rFonts w:ascii="Times New Roman" w:eastAsia="Calibri" w:hAnsi="Times New Roman" w:cs="Times New Roman"/>
          <w:color w:val="000000" w:themeColor="text1"/>
          <w:sz w:val="22"/>
          <w:szCs w:val="22"/>
          <w:lang w:val="es-ES"/>
        </w:rPr>
        <w:t xml:space="preserve">y escuelas de 19 países. </w:t>
      </w:r>
      <w:r>
        <w:rPr>
          <w:rFonts w:ascii="Times New Roman" w:eastAsia="Calibri" w:hAnsi="Times New Roman" w:cs="Times New Roman"/>
          <w:color w:val="000000" w:themeColor="text1"/>
          <w:sz w:val="22"/>
          <w:szCs w:val="22"/>
          <w:lang w:val="es-ES"/>
        </w:rPr>
        <w:t>REID</w:t>
      </w:r>
      <w:r w:rsidR="00141240" w:rsidRPr="00F77C06">
        <w:rPr>
          <w:rFonts w:ascii="Times New Roman" w:eastAsia="Calibri" w:hAnsi="Times New Roman" w:cs="Times New Roman"/>
          <w:color w:val="000000" w:themeColor="text1"/>
          <w:sz w:val="22"/>
          <w:szCs w:val="22"/>
          <w:lang w:val="es-ES"/>
        </w:rPr>
        <w:t xml:space="preserve"> formó parte del comité evaluador de esta actividad.</w:t>
      </w:r>
    </w:p>
    <w:p w14:paraId="75C2C3F9" w14:textId="67A9B9CE" w:rsidR="00F4728E" w:rsidRPr="00512F79" w:rsidRDefault="002E7222">
      <w:pPr>
        <w:numPr>
          <w:ilvl w:val="1"/>
          <w:numId w:val="23"/>
        </w:numPr>
        <w:ind w:left="1980" w:hanging="54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M</w:t>
      </w:r>
      <w:r w:rsidR="00F77C06">
        <w:rPr>
          <w:rFonts w:ascii="Times New Roman" w:eastAsia="Calibri" w:hAnsi="Times New Roman" w:cs="Times New Roman"/>
          <w:color w:val="000000" w:themeColor="text1"/>
          <w:sz w:val="22"/>
          <w:szCs w:val="22"/>
          <w:lang w:val="es-ES"/>
        </w:rPr>
        <w:t>ás</w:t>
      </w:r>
      <w:r w:rsidR="00141240" w:rsidRPr="00512F79">
        <w:rPr>
          <w:rFonts w:ascii="Times New Roman" w:eastAsia="Calibri" w:hAnsi="Times New Roman" w:cs="Times New Roman"/>
          <w:color w:val="000000" w:themeColor="text1"/>
          <w:sz w:val="22"/>
          <w:szCs w:val="22"/>
          <w:lang w:val="es-ES"/>
        </w:rPr>
        <w:t xml:space="preserve"> de 950 profesores de Bahamas, Barbados, Beli</w:t>
      </w:r>
      <w:r w:rsidR="00F77C06">
        <w:rPr>
          <w:rFonts w:ascii="Times New Roman" w:eastAsia="Calibri" w:hAnsi="Times New Roman" w:cs="Times New Roman"/>
          <w:color w:val="000000" w:themeColor="text1"/>
          <w:sz w:val="22"/>
          <w:szCs w:val="22"/>
          <w:lang w:val="es-ES"/>
        </w:rPr>
        <w:t>z</w:t>
      </w:r>
      <w:r w:rsidR="00141240" w:rsidRPr="00512F79">
        <w:rPr>
          <w:rFonts w:ascii="Times New Roman" w:eastAsia="Calibri" w:hAnsi="Times New Roman" w:cs="Times New Roman"/>
          <w:color w:val="000000" w:themeColor="text1"/>
          <w:sz w:val="22"/>
          <w:szCs w:val="22"/>
          <w:lang w:val="es-ES"/>
        </w:rPr>
        <w:t>e, Guyana y Santa Lucía</w:t>
      </w:r>
      <w:r>
        <w:rPr>
          <w:rFonts w:ascii="Times New Roman" w:eastAsia="Calibri" w:hAnsi="Times New Roman" w:cs="Times New Roman"/>
          <w:color w:val="000000" w:themeColor="text1"/>
          <w:sz w:val="22"/>
          <w:szCs w:val="22"/>
          <w:lang w:val="es-ES"/>
        </w:rPr>
        <w:t xml:space="preserve"> recibieron capacitación</w:t>
      </w:r>
      <w:r w:rsidR="00141240" w:rsidRPr="00512F79">
        <w:rPr>
          <w:rFonts w:ascii="Times New Roman" w:eastAsia="Calibri" w:hAnsi="Times New Roman" w:cs="Times New Roman"/>
          <w:color w:val="000000" w:themeColor="text1"/>
          <w:sz w:val="22"/>
          <w:szCs w:val="22"/>
          <w:lang w:val="es-ES"/>
        </w:rPr>
        <w:t xml:space="preserve"> en innovación e integración de </w:t>
      </w:r>
      <w:r w:rsidR="009F2648">
        <w:rPr>
          <w:rFonts w:ascii="Times New Roman" w:eastAsia="Calibri" w:hAnsi="Times New Roman" w:cs="Times New Roman"/>
          <w:color w:val="000000" w:themeColor="text1"/>
          <w:sz w:val="22"/>
          <w:szCs w:val="22"/>
          <w:lang w:val="es-ES"/>
        </w:rPr>
        <w:t>tecnologías de la información y la comunicación (TIC)</w:t>
      </w:r>
      <w:r w:rsidR="00141240" w:rsidRPr="00512F79">
        <w:rPr>
          <w:rFonts w:ascii="Times New Roman" w:eastAsia="Calibri" w:hAnsi="Times New Roman" w:cs="Times New Roman"/>
          <w:color w:val="000000" w:themeColor="text1"/>
          <w:sz w:val="22"/>
          <w:szCs w:val="22"/>
          <w:lang w:val="es-ES"/>
        </w:rPr>
        <w:t xml:space="preserve"> en el aula.</w:t>
      </w:r>
    </w:p>
    <w:p w14:paraId="4BE52290" w14:textId="1B943D69" w:rsidR="00F4728E" w:rsidRPr="00512F79" w:rsidRDefault="009F2648">
      <w:pPr>
        <w:numPr>
          <w:ilvl w:val="1"/>
          <w:numId w:val="23"/>
        </w:numPr>
        <w:ind w:left="1980" w:hanging="54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amplió</w:t>
      </w:r>
      <w:r w:rsidR="00967695" w:rsidRPr="00512F79">
        <w:rPr>
          <w:rFonts w:ascii="Times New Roman" w:eastAsia="Calibri" w:hAnsi="Times New Roman" w:cs="Times New Roman"/>
          <w:color w:val="000000" w:themeColor="text1"/>
          <w:sz w:val="22"/>
          <w:szCs w:val="22"/>
          <w:lang w:val="es-ES"/>
        </w:rPr>
        <w:t xml:space="preserve"> la </w:t>
      </w:r>
      <w:r w:rsidR="00141240" w:rsidRPr="00512F79">
        <w:rPr>
          <w:rFonts w:ascii="Times New Roman" w:eastAsia="Calibri" w:hAnsi="Times New Roman" w:cs="Times New Roman"/>
          <w:color w:val="000000" w:themeColor="text1"/>
          <w:sz w:val="22"/>
          <w:szCs w:val="22"/>
          <w:lang w:val="es-ES"/>
        </w:rPr>
        <w:t xml:space="preserve">oferta de formación del profesorado a </w:t>
      </w:r>
      <w:r w:rsidR="00967695" w:rsidRPr="00512F79">
        <w:rPr>
          <w:rFonts w:ascii="Times New Roman" w:eastAsia="Calibri" w:hAnsi="Times New Roman" w:cs="Times New Roman"/>
          <w:color w:val="000000" w:themeColor="text1"/>
          <w:sz w:val="22"/>
          <w:szCs w:val="22"/>
          <w:lang w:val="es-ES"/>
        </w:rPr>
        <w:t xml:space="preserve">catorce </w:t>
      </w:r>
      <w:r w:rsidR="00141240" w:rsidRPr="00512F79">
        <w:rPr>
          <w:rFonts w:ascii="Times New Roman" w:eastAsia="Calibri" w:hAnsi="Times New Roman" w:cs="Times New Roman"/>
          <w:color w:val="000000" w:themeColor="text1"/>
          <w:sz w:val="22"/>
          <w:szCs w:val="22"/>
          <w:lang w:val="es-ES"/>
        </w:rPr>
        <w:t xml:space="preserve">países de CARICOM, </w:t>
      </w:r>
      <w:r w:rsidR="00967695" w:rsidRPr="00512F79">
        <w:rPr>
          <w:rFonts w:ascii="Times New Roman" w:eastAsia="Calibri" w:hAnsi="Times New Roman" w:cs="Times New Roman"/>
          <w:color w:val="000000" w:themeColor="text1"/>
          <w:sz w:val="22"/>
          <w:szCs w:val="22"/>
          <w:lang w:val="es-ES"/>
        </w:rPr>
        <w:t xml:space="preserve">con más de 1.600 profesores matriculados. </w:t>
      </w:r>
    </w:p>
    <w:p w14:paraId="306BD8F0" w14:textId="61D01FB5" w:rsidR="00F4728E" w:rsidRPr="00512F79" w:rsidRDefault="00F77C06">
      <w:pPr>
        <w:numPr>
          <w:ilvl w:val="1"/>
          <w:numId w:val="23"/>
        </w:numPr>
        <w:ind w:left="1980" w:hanging="54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concedieron</w:t>
      </w:r>
      <w:r w:rsidR="00967695" w:rsidRPr="00512F79">
        <w:rPr>
          <w:rFonts w:ascii="Times New Roman" w:eastAsia="Calibri" w:hAnsi="Times New Roman" w:cs="Times New Roman"/>
          <w:color w:val="000000" w:themeColor="text1"/>
          <w:sz w:val="22"/>
          <w:szCs w:val="22"/>
          <w:lang w:val="es-ES"/>
        </w:rPr>
        <w:t xml:space="preserve"> </w:t>
      </w:r>
      <w:r w:rsidR="00141240" w:rsidRPr="00512F79">
        <w:rPr>
          <w:rFonts w:ascii="Times New Roman" w:eastAsia="Calibri" w:hAnsi="Times New Roman" w:cs="Times New Roman"/>
          <w:color w:val="000000" w:themeColor="text1"/>
          <w:sz w:val="22"/>
          <w:szCs w:val="22"/>
          <w:lang w:val="es-ES"/>
        </w:rPr>
        <w:t xml:space="preserve">4.000 becas </w:t>
      </w:r>
      <w:r w:rsidR="00967695" w:rsidRPr="00512F79">
        <w:rPr>
          <w:rFonts w:ascii="Times New Roman" w:eastAsia="Calibri" w:hAnsi="Times New Roman" w:cs="Times New Roman"/>
          <w:color w:val="000000" w:themeColor="text1"/>
          <w:sz w:val="22"/>
          <w:szCs w:val="22"/>
          <w:lang w:val="es-ES"/>
        </w:rPr>
        <w:t xml:space="preserve">para dos </w:t>
      </w:r>
      <w:r w:rsidR="00141240" w:rsidRPr="00512F79">
        <w:rPr>
          <w:rFonts w:ascii="Times New Roman" w:eastAsia="Calibri" w:hAnsi="Times New Roman" w:cs="Times New Roman"/>
          <w:color w:val="000000" w:themeColor="text1"/>
          <w:sz w:val="22"/>
          <w:szCs w:val="22"/>
          <w:lang w:val="es-ES"/>
        </w:rPr>
        <w:t>cursos destinados a reforzar las competencias digitales de los profesores, en coordinación con la Presidencia del Consejo de Ministros de Perú.</w:t>
      </w:r>
    </w:p>
    <w:p w14:paraId="346E34DF" w14:textId="4296E0C0" w:rsidR="00F4728E" w:rsidRPr="00512F79" w:rsidRDefault="007D5A9F">
      <w:pPr>
        <w:numPr>
          <w:ilvl w:val="1"/>
          <w:numId w:val="23"/>
        </w:numPr>
        <w:ind w:left="1980" w:hanging="54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inscribieron aproximadamente</w:t>
      </w:r>
      <w:r w:rsidR="00967695" w:rsidRPr="00512F79">
        <w:rPr>
          <w:rFonts w:ascii="Times New Roman" w:eastAsia="Calibri" w:hAnsi="Times New Roman" w:cs="Times New Roman"/>
          <w:color w:val="000000" w:themeColor="text1"/>
          <w:sz w:val="22"/>
          <w:szCs w:val="22"/>
          <w:lang w:val="es-ES"/>
        </w:rPr>
        <w:t xml:space="preserve"> </w:t>
      </w:r>
      <w:r w:rsidR="00141240" w:rsidRPr="00512F79">
        <w:rPr>
          <w:rFonts w:ascii="Times New Roman" w:eastAsia="Calibri" w:hAnsi="Times New Roman" w:cs="Times New Roman"/>
          <w:color w:val="000000" w:themeColor="text1"/>
          <w:sz w:val="22"/>
          <w:szCs w:val="22"/>
          <w:lang w:val="es-ES"/>
        </w:rPr>
        <w:t>7.900 profesores guatemaltecos en cursos de formación docente en coordinación con la Dirección General de Gestión de la Calidad Educativa del Ministerio de Educación y la organización de la sociedad civil DECA.</w:t>
      </w:r>
    </w:p>
    <w:p w14:paraId="02EF2602" w14:textId="60DBE38F" w:rsidR="00F4728E" w:rsidRPr="00512F79" w:rsidRDefault="002E7222">
      <w:pPr>
        <w:numPr>
          <w:ilvl w:val="1"/>
          <w:numId w:val="23"/>
        </w:numPr>
        <w:ind w:left="1980" w:hanging="540"/>
        <w:jc w:val="both"/>
        <w:rPr>
          <w:rFonts w:ascii="Times New Roman" w:eastAsia="Calibri" w:hAnsi="Times New Roman" w:cs="Times New Roman"/>
          <w:color w:val="000000" w:themeColor="text1"/>
          <w:sz w:val="22"/>
          <w:szCs w:val="22"/>
          <w:lang w:val="es-ES"/>
        </w:rPr>
      </w:pPr>
      <w:r>
        <w:rPr>
          <w:rFonts w:ascii="Times New Roman" w:eastAsia="Calibri" w:hAnsi="Times New Roman" w:cs="Times New Roman"/>
          <w:color w:val="000000" w:themeColor="text1"/>
          <w:sz w:val="22"/>
          <w:szCs w:val="22"/>
          <w:lang w:val="es-ES"/>
        </w:rPr>
        <w:t>Se celebraron</w:t>
      </w:r>
      <w:r w:rsidR="00967695" w:rsidRPr="00512F79">
        <w:rPr>
          <w:rFonts w:ascii="Times New Roman" w:eastAsia="Calibri" w:hAnsi="Times New Roman" w:cs="Times New Roman"/>
          <w:color w:val="000000" w:themeColor="text1"/>
          <w:sz w:val="22"/>
          <w:szCs w:val="22"/>
          <w:lang w:val="es-ES"/>
        </w:rPr>
        <w:t xml:space="preserve"> dos </w:t>
      </w:r>
      <w:r w:rsidR="00141240" w:rsidRPr="00512F79">
        <w:rPr>
          <w:rFonts w:ascii="Times New Roman" w:eastAsia="Calibri" w:hAnsi="Times New Roman" w:cs="Times New Roman"/>
          <w:color w:val="000000" w:themeColor="text1"/>
          <w:sz w:val="22"/>
          <w:szCs w:val="22"/>
          <w:lang w:val="es-ES"/>
        </w:rPr>
        <w:t xml:space="preserve">seminarios web con especialistas en buenas prácticas educativas </w:t>
      </w:r>
      <w:r w:rsidR="00967695" w:rsidRPr="00512F79">
        <w:rPr>
          <w:rFonts w:ascii="Times New Roman" w:eastAsia="Calibri" w:hAnsi="Times New Roman" w:cs="Times New Roman"/>
          <w:color w:val="000000" w:themeColor="text1"/>
          <w:sz w:val="22"/>
          <w:szCs w:val="22"/>
          <w:lang w:val="es-ES"/>
        </w:rPr>
        <w:t xml:space="preserve">que recibieron más de </w:t>
      </w:r>
      <w:r w:rsidR="00141240" w:rsidRPr="00512F79">
        <w:rPr>
          <w:rFonts w:ascii="Times New Roman" w:eastAsia="Calibri" w:hAnsi="Times New Roman" w:cs="Times New Roman"/>
          <w:color w:val="000000" w:themeColor="text1"/>
          <w:sz w:val="22"/>
          <w:szCs w:val="22"/>
          <w:lang w:val="es-ES"/>
        </w:rPr>
        <w:t xml:space="preserve">1.000 </w:t>
      </w:r>
      <w:r w:rsidR="00967695" w:rsidRPr="00512F79">
        <w:rPr>
          <w:rFonts w:ascii="Times New Roman" w:eastAsia="Calibri" w:hAnsi="Times New Roman" w:cs="Times New Roman"/>
          <w:color w:val="000000" w:themeColor="text1"/>
          <w:sz w:val="22"/>
          <w:szCs w:val="22"/>
          <w:lang w:val="es-ES"/>
        </w:rPr>
        <w:t>visitas</w:t>
      </w:r>
      <w:r w:rsidR="00141240" w:rsidRPr="00512F79">
        <w:rPr>
          <w:rFonts w:ascii="Times New Roman" w:eastAsia="Calibri" w:hAnsi="Times New Roman" w:cs="Times New Roman"/>
          <w:color w:val="000000" w:themeColor="text1"/>
          <w:sz w:val="22"/>
          <w:szCs w:val="22"/>
          <w:lang w:val="es-ES"/>
        </w:rPr>
        <w:t>.</w:t>
      </w:r>
    </w:p>
    <w:bookmarkEnd w:id="7"/>
    <w:p w14:paraId="0F3DD714" w14:textId="77777777" w:rsidR="00141240" w:rsidRPr="00512F79" w:rsidRDefault="00141240" w:rsidP="00CB030B">
      <w:pPr>
        <w:jc w:val="both"/>
        <w:rPr>
          <w:rFonts w:ascii="Times New Roman" w:eastAsia="Calibri" w:hAnsi="Times New Roman" w:cs="Times New Roman"/>
          <w:i/>
          <w:iCs/>
          <w:color w:val="000000" w:themeColor="text1"/>
          <w:sz w:val="22"/>
          <w:szCs w:val="22"/>
          <w:lang w:val="es-ES"/>
        </w:rPr>
      </w:pPr>
    </w:p>
    <w:p w14:paraId="74C0693A" w14:textId="77777777" w:rsidR="00537E6B" w:rsidRDefault="00537E6B">
      <w:pPr>
        <w:ind w:firstLine="720"/>
        <w:jc w:val="both"/>
        <w:rPr>
          <w:rFonts w:ascii="Times New Roman" w:eastAsia="Calibri" w:hAnsi="Times New Roman" w:cs="Times New Roman"/>
          <w:b/>
          <w:bCs/>
          <w:color w:val="000000" w:themeColor="text1"/>
          <w:sz w:val="22"/>
          <w:szCs w:val="22"/>
          <w:lang w:val="es-ES"/>
        </w:rPr>
      </w:pPr>
    </w:p>
    <w:p w14:paraId="3A3AA8BA" w14:textId="77777777" w:rsidR="00537E6B" w:rsidRDefault="00537E6B">
      <w:pPr>
        <w:ind w:firstLine="720"/>
        <w:jc w:val="both"/>
        <w:rPr>
          <w:rFonts w:ascii="Times New Roman" w:eastAsia="Calibri" w:hAnsi="Times New Roman" w:cs="Times New Roman"/>
          <w:b/>
          <w:bCs/>
          <w:color w:val="000000" w:themeColor="text1"/>
          <w:sz w:val="22"/>
          <w:szCs w:val="22"/>
          <w:lang w:val="es-ES"/>
        </w:rPr>
      </w:pPr>
    </w:p>
    <w:p w14:paraId="2B91C9C8" w14:textId="1491D8E6" w:rsidR="00F4728E" w:rsidRPr="00512F79" w:rsidRDefault="00967695">
      <w:pPr>
        <w:ind w:firstLine="720"/>
        <w:jc w:val="both"/>
        <w:rPr>
          <w:rFonts w:ascii="Times New Roman" w:eastAsia="Calibri" w:hAnsi="Times New Roman" w:cs="Times New Roman"/>
          <w:b/>
          <w:bCs/>
          <w:color w:val="000000" w:themeColor="text1"/>
          <w:sz w:val="22"/>
          <w:szCs w:val="22"/>
          <w:lang w:val="es-ES"/>
        </w:rPr>
      </w:pPr>
      <w:r w:rsidRPr="00512F79">
        <w:rPr>
          <w:rFonts w:ascii="Times New Roman" w:eastAsia="Calibri" w:hAnsi="Times New Roman" w:cs="Times New Roman"/>
          <w:b/>
          <w:bCs/>
          <w:color w:val="000000" w:themeColor="text1"/>
          <w:sz w:val="22"/>
          <w:szCs w:val="22"/>
          <w:lang w:val="es-ES"/>
        </w:rPr>
        <w:t>Portal Educativo de las Américas</w:t>
      </w:r>
    </w:p>
    <w:p w14:paraId="4CD3275F" w14:textId="77777777" w:rsidR="005D753C" w:rsidRPr="00512F79" w:rsidRDefault="005D753C" w:rsidP="00CB030B">
      <w:pPr>
        <w:ind w:firstLine="720"/>
        <w:jc w:val="both"/>
        <w:rPr>
          <w:rFonts w:ascii="Times New Roman" w:eastAsia="Calibri" w:hAnsi="Times New Roman" w:cs="Times New Roman"/>
          <w:i/>
          <w:iCs/>
          <w:color w:val="000000" w:themeColor="text1"/>
          <w:sz w:val="22"/>
          <w:szCs w:val="22"/>
          <w:lang w:val="es-ES"/>
        </w:rPr>
      </w:pPr>
    </w:p>
    <w:p w14:paraId="12F6DA33" w14:textId="65B4689D" w:rsidR="00F4728E" w:rsidRPr="00512F79" w:rsidRDefault="00B1411E">
      <w:pPr>
        <w:pStyle w:val="ListParagraph"/>
        <w:numPr>
          <w:ilvl w:val="0"/>
          <w:numId w:val="24"/>
        </w:numPr>
        <w:ind w:left="1440" w:hanging="720"/>
        <w:jc w:val="both"/>
        <w:rPr>
          <w:rFonts w:eastAsia="Cambria"/>
          <w:color w:val="000000" w:themeColor="text1"/>
          <w:sz w:val="22"/>
          <w:szCs w:val="22"/>
          <w:lang w:val="es-ES"/>
        </w:rPr>
      </w:pPr>
      <w:r>
        <w:rPr>
          <w:rFonts w:eastAsia="Cambria"/>
          <w:color w:val="000000" w:themeColor="text1"/>
          <w:sz w:val="22"/>
          <w:szCs w:val="22"/>
          <w:lang w:val="es-ES"/>
        </w:rPr>
        <w:t>E</w:t>
      </w:r>
      <w:r w:rsidR="00967695" w:rsidRPr="00512F79">
        <w:rPr>
          <w:rFonts w:eastAsia="Cambria"/>
          <w:color w:val="000000" w:themeColor="text1"/>
          <w:sz w:val="22"/>
          <w:szCs w:val="22"/>
          <w:lang w:val="es-ES"/>
        </w:rPr>
        <w:t xml:space="preserve">n el marco de la Fundación </w:t>
      </w:r>
      <w:r w:rsidR="00967695" w:rsidRPr="00512F79">
        <w:rPr>
          <w:rFonts w:eastAsia="Cambria"/>
          <w:i/>
          <w:iCs/>
          <w:color w:val="000000" w:themeColor="text1"/>
          <w:sz w:val="22"/>
          <w:szCs w:val="22"/>
          <w:lang w:val="es-ES"/>
        </w:rPr>
        <w:t xml:space="preserve">ProFuturo </w:t>
      </w:r>
      <w:r>
        <w:rPr>
          <w:rFonts w:eastAsia="Cambria"/>
          <w:color w:val="000000" w:themeColor="text1"/>
          <w:sz w:val="22"/>
          <w:szCs w:val="22"/>
          <w:lang w:val="es-ES"/>
        </w:rPr>
        <w:t>se desarrollaron</w:t>
      </w:r>
      <w:r w:rsidRPr="00512F79">
        <w:rPr>
          <w:rFonts w:eastAsia="Cambria"/>
          <w:color w:val="000000" w:themeColor="text1"/>
          <w:sz w:val="22"/>
          <w:szCs w:val="22"/>
          <w:lang w:val="es-ES"/>
        </w:rPr>
        <w:t xml:space="preserve"> las siguientes iniciativas </w:t>
      </w:r>
      <w:r w:rsidR="00CE6009">
        <w:rPr>
          <w:rFonts w:eastAsia="Cambria"/>
          <w:color w:val="000000" w:themeColor="text1"/>
          <w:sz w:val="22"/>
          <w:szCs w:val="22"/>
          <w:lang w:val="es-ES"/>
        </w:rPr>
        <w:t xml:space="preserve">a fin de </w:t>
      </w:r>
      <w:r w:rsidR="00967695" w:rsidRPr="00512F79">
        <w:rPr>
          <w:rFonts w:eastAsia="Cambria"/>
          <w:color w:val="000000" w:themeColor="text1"/>
          <w:sz w:val="22"/>
          <w:szCs w:val="22"/>
          <w:lang w:val="es-ES"/>
        </w:rPr>
        <w:t xml:space="preserve">profundizar la coordinación entre las </w:t>
      </w:r>
      <w:r w:rsidR="00F87080">
        <w:rPr>
          <w:rFonts w:eastAsia="Cambria"/>
          <w:color w:val="000000" w:themeColor="text1"/>
          <w:sz w:val="22"/>
          <w:szCs w:val="22"/>
          <w:lang w:val="es-ES"/>
        </w:rPr>
        <w:t>organizaciones de la sociedad civil</w:t>
      </w:r>
      <w:r w:rsidR="00967695" w:rsidRPr="00512F79">
        <w:rPr>
          <w:rFonts w:eastAsia="Cambria"/>
          <w:color w:val="000000" w:themeColor="text1"/>
          <w:sz w:val="22"/>
          <w:szCs w:val="22"/>
          <w:lang w:val="es-ES"/>
        </w:rPr>
        <w:t xml:space="preserve">, enriquecer el diálogo hemisférico y contribuir a los objetivos de </w:t>
      </w:r>
      <w:r w:rsidR="00A427C5" w:rsidRPr="00512F79">
        <w:rPr>
          <w:rFonts w:eastAsia="Cambria"/>
          <w:color w:val="000000" w:themeColor="text1"/>
          <w:sz w:val="22"/>
          <w:szCs w:val="22"/>
          <w:lang w:val="es-ES"/>
        </w:rPr>
        <w:t>la A</w:t>
      </w:r>
      <w:r w:rsidR="00F87080">
        <w:rPr>
          <w:rFonts w:eastAsia="Cambria"/>
          <w:color w:val="000000" w:themeColor="text1"/>
          <w:sz w:val="22"/>
          <w:szCs w:val="22"/>
          <w:lang w:val="es-ES"/>
        </w:rPr>
        <w:t>genda Interamericana de Educación</w:t>
      </w:r>
      <w:r w:rsidR="00A427C5" w:rsidRPr="00512F79">
        <w:rPr>
          <w:rFonts w:eastAsia="Cambria"/>
          <w:color w:val="000000" w:themeColor="text1"/>
          <w:sz w:val="22"/>
          <w:szCs w:val="22"/>
          <w:lang w:val="es-ES"/>
        </w:rPr>
        <w:t>:</w:t>
      </w:r>
    </w:p>
    <w:p w14:paraId="59E1F04A" w14:textId="77777777" w:rsidR="005D753C" w:rsidRPr="00512F79" w:rsidRDefault="005D753C" w:rsidP="00CB030B">
      <w:pPr>
        <w:jc w:val="both"/>
        <w:rPr>
          <w:rFonts w:ascii="Times New Roman" w:eastAsia="Cambria" w:hAnsi="Times New Roman" w:cs="Times New Roman"/>
          <w:color w:val="000000" w:themeColor="text1"/>
          <w:sz w:val="22"/>
          <w:szCs w:val="22"/>
          <w:lang w:val="es-ES"/>
        </w:rPr>
      </w:pPr>
    </w:p>
    <w:p w14:paraId="231D8728" w14:textId="21C29353" w:rsidR="00F4728E" w:rsidRPr="00512F79" w:rsidRDefault="00B1411E">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Publicación de</w:t>
      </w:r>
      <w:r w:rsidR="00967695" w:rsidRPr="00512F79">
        <w:rPr>
          <w:rFonts w:eastAsia="Cambria"/>
          <w:color w:val="000000" w:themeColor="text1"/>
          <w:sz w:val="22"/>
          <w:szCs w:val="22"/>
          <w:lang w:val="es-ES"/>
        </w:rPr>
        <w:t xml:space="preserve"> </w:t>
      </w:r>
      <w:r w:rsidRPr="00B1411E">
        <w:rPr>
          <w:rFonts w:eastAsia="Cambria"/>
          <w:b/>
          <w:bCs/>
          <w:color w:val="000000" w:themeColor="text1"/>
          <w:sz w:val="22"/>
          <w:szCs w:val="22"/>
          <w:lang w:val="es-ES"/>
        </w:rPr>
        <w:t>“</w:t>
      </w:r>
      <w:r w:rsidR="00967695" w:rsidRPr="00512F79">
        <w:rPr>
          <w:rFonts w:eastAsia="Cambria"/>
          <w:b/>
          <w:bCs/>
          <w:color w:val="000000" w:themeColor="text1"/>
          <w:sz w:val="22"/>
          <w:szCs w:val="22"/>
          <w:lang w:val="es-ES"/>
        </w:rPr>
        <w:t>Las organizaciones de la sociedad civil y sus contribuciones a la continuidad educativa en una pandemia</w:t>
      </w:r>
      <w:r>
        <w:rPr>
          <w:rFonts w:eastAsia="Cambria"/>
          <w:b/>
          <w:bCs/>
          <w:color w:val="000000" w:themeColor="text1"/>
          <w:sz w:val="22"/>
          <w:szCs w:val="22"/>
          <w:lang w:val="es-ES"/>
        </w:rPr>
        <w:t>”</w:t>
      </w:r>
      <w:r w:rsidR="00967695" w:rsidRPr="00512F79">
        <w:rPr>
          <w:rFonts w:eastAsia="Cambria"/>
          <w:b/>
          <w:bCs/>
          <w:color w:val="000000" w:themeColor="text1"/>
          <w:sz w:val="22"/>
          <w:szCs w:val="22"/>
          <w:lang w:val="es-ES"/>
        </w:rPr>
        <w:t xml:space="preserve">, </w:t>
      </w:r>
      <w:r w:rsidR="00967695" w:rsidRPr="0044606D">
        <w:rPr>
          <w:rFonts w:eastAsia="Cambria"/>
          <w:color w:val="000000" w:themeColor="text1"/>
          <w:sz w:val="22"/>
          <w:szCs w:val="22"/>
          <w:lang w:val="es-ES"/>
        </w:rPr>
        <w:t>con la</w:t>
      </w:r>
      <w:r w:rsidR="00967695" w:rsidRPr="00512F79">
        <w:rPr>
          <w:rFonts w:eastAsia="Cambria"/>
          <w:b/>
          <w:bCs/>
          <w:color w:val="000000" w:themeColor="text1"/>
          <w:sz w:val="22"/>
          <w:szCs w:val="22"/>
          <w:lang w:val="es-ES"/>
        </w:rPr>
        <w:t xml:space="preserve"> </w:t>
      </w:r>
      <w:r w:rsidR="00967695" w:rsidRPr="00512F79">
        <w:rPr>
          <w:rFonts w:eastAsia="Cambria"/>
          <w:color w:val="000000" w:themeColor="text1"/>
          <w:sz w:val="22"/>
          <w:szCs w:val="22"/>
          <w:lang w:val="es-ES"/>
        </w:rPr>
        <w:t xml:space="preserve">participación de 68 </w:t>
      </w:r>
      <w:r w:rsidR="0044606D">
        <w:rPr>
          <w:rFonts w:eastAsia="Cambria"/>
          <w:color w:val="000000" w:themeColor="text1"/>
          <w:sz w:val="22"/>
          <w:szCs w:val="22"/>
          <w:lang w:val="es-ES"/>
        </w:rPr>
        <w:t>organizaciones de la sociedad civil</w:t>
      </w:r>
      <w:r w:rsidR="00967695" w:rsidRPr="00512F79">
        <w:rPr>
          <w:rFonts w:eastAsia="Cambria"/>
          <w:color w:val="000000" w:themeColor="text1"/>
          <w:sz w:val="22"/>
          <w:szCs w:val="22"/>
          <w:lang w:val="es-ES"/>
        </w:rPr>
        <w:t xml:space="preserve"> </w:t>
      </w:r>
      <w:r w:rsidR="00FF1419">
        <w:rPr>
          <w:rFonts w:eastAsia="Cambria"/>
          <w:color w:val="000000" w:themeColor="text1"/>
          <w:sz w:val="22"/>
          <w:szCs w:val="22"/>
          <w:lang w:val="es-ES"/>
        </w:rPr>
        <w:t xml:space="preserve">(OSC) </w:t>
      </w:r>
      <w:r w:rsidR="00967695" w:rsidRPr="00512F79">
        <w:rPr>
          <w:rFonts w:eastAsia="Cambria"/>
          <w:color w:val="000000" w:themeColor="text1"/>
          <w:sz w:val="22"/>
          <w:szCs w:val="22"/>
          <w:lang w:val="es-ES"/>
        </w:rPr>
        <w:t xml:space="preserve">de dieciséis países, y </w:t>
      </w:r>
      <w:r w:rsidR="0044606D" w:rsidRPr="0044606D">
        <w:rPr>
          <w:rFonts w:eastAsia="Cambria"/>
          <w:b/>
          <w:bCs/>
          <w:color w:val="000000" w:themeColor="text1"/>
          <w:sz w:val="22"/>
          <w:szCs w:val="22"/>
          <w:lang w:val="es-ES"/>
        </w:rPr>
        <w:t>“</w:t>
      </w:r>
      <w:r w:rsidR="00967695" w:rsidRPr="00512F79">
        <w:rPr>
          <w:rFonts w:eastAsia="Cambria"/>
          <w:b/>
          <w:bCs/>
          <w:color w:val="000000" w:themeColor="text1"/>
          <w:sz w:val="22"/>
          <w:szCs w:val="22"/>
          <w:lang w:val="es-ES"/>
        </w:rPr>
        <w:t xml:space="preserve">Reconstrucción educativa </w:t>
      </w:r>
      <w:r w:rsidR="00FF1419" w:rsidRPr="00512F79">
        <w:rPr>
          <w:rFonts w:eastAsia="Cambria"/>
          <w:b/>
          <w:bCs/>
          <w:color w:val="000000" w:themeColor="text1"/>
          <w:sz w:val="22"/>
          <w:szCs w:val="22"/>
          <w:lang w:val="es-ES"/>
        </w:rPr>
        <w:t>pospandemia</w:t>
      </w:r>
      <w:r w:rsidR="00967695" w:rsidRPr="00512F79">
        <w:rPr>
          <w:rFonts w:eastAsia="Cambria"/>
          <w:b/>
          <w:bCs/>
          <w:color w:val="000000" w:themeColor="text1"/>
          <w:sz w:val="22"/>
          <w:szCs w:val="22"/>
          <w:lang w:val="es-ES"/>
        </w:rPr>
        <w:t xml:space="preserve"> y uso de la tecnología en el retorno progresivo a la asistencia</w:t>
      </w:r>
      <w:r w:rsidR="0044606D">
        <w:rPr>
          <w:rFonts w:eastAsia="Cambria"/>
          <w:b/>
          <w:bCs/>
          <w:color w:val="000000" w:themeColor="text1"/>
          <w:sz w:val="22"/>
          <w:szCs w:val="22"/>
          <w:lang w:val="es-ES"/>
        </w:rPr>
        <w:t>”</w:t>
      </w:r>
      <w:r w:rsidR="00967695" w:rsidRPr="00512F79">
        <w:rPr>
          <w:rFonts w:eastAsia="Cambria"/>
          <w:color w:val="000000" w:themeColor="text1"/>
          <w:sz w:val="22"/>
          <w:szCs w:val="22"/>
          <w:lang w:val="es-ES"/>
        </w:rPr>
        <w:t>, con la participación de 30 OSC de doce países.</w:t>
      </w:r>
    </w:p>
    <w:p w14:paraId="3ED6DEF3" w14:textId="77777777"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Organización de mesas redondas con más de </w:t>
      </w:r>
      <w:r w:rsidR="00141240" w:rsidRPr="00512F79">
        <w:rPr>
          <w:rFonts w:eastAsia="Cambria"/>
          <w:color w:val="000000" w:themeColor="text1"/>
          <w:sz w:val="22"/>
          <w:szCs w:val="22"/>
          <w:lang w:val="es-ES"/>
        </w:rPr>
        <w:t>80 representantes de Ministerios de Educación y organizaciones de la sociedad civil.</w:t>
      </w:r>
    </w:p>
    <w:p w14:paraId="5433ECD0" w14:textId="24EDB18E" w:rsidR="00F4728E" w:rsidRPr="00512F79" w:rsidRDefault="00537E6B">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 xml:space="preserve">Organizaciones de la Sociedad Civil </w:t>
      </w:r>
      <w:r w:rsidR="006803B9">
        <w:rPr>
          <w:rFonts w:eastAsia="Cambria"/>
          <w:color w:val="000000" w:themeColor="text1"/>
          <w:sz w:val="22"/>
          <w:szCs w:val="22"/>
          <w:lang w:val="es-ES"/>
        </w:rPr>
        <w:t>intercambiaron</w:t>
      </w:r>
      <w:r w:rsidR="00967695" w:rsidRPr="00512F79">
        <w:rPr>
          <w:rFonts w:eastAsia="Cambria"/>
          <w:color w:val="000000" w:themeColor="text1"/>
          <w:sz w:val="22"/>
          <w:szCs w:val="22"/>
          <w:lang w:val="es-ES"/>
        </w:rPr>
        <w:t xml:space="preserve"> sus perspectivas sobre los materiales didácticos digitales en el marco de la </w:t>
      </w:r>
      <w:r w:rsidR="00141240" w:rsidRPr="00512F79">
        <w:rPr>
          <w:rFonts w:eastAsia="Cambria"/>
          <w:color w:val="000000" w:themeColor="text1"/>
          <w:sz w:val="22"/>
          <w:szCs w:val="22"/>
          <w:lang w:val="es-ES"/>
        </w:rPr>
        <w:t xml:space="preserve">Fundación Telefónica, Omar Dengo (Costa Rica) y la Fundación DECA (Guatemala) </w:t>
      </w:r>
      <w:r w:rsidR="00967695" w:rsidRPr="00512F79">
        <w:rPr>
          <w:rFonts w:eastAsia="Cambria"/>
          <w:color w:val="000000" w:themeColor="text1"/>
          <w:sz w:val="22"/>
          <w:szCs w:val="22"/>
          <w:lang w:val="es-ES"/>
        </w:rPr>
        <w:t xml:space="preserve">en </w:t>
      </w:r>
      <w:r w:rsidR="00141240" w:rsidRPr="00512F79">
        <w:rPr>
          <w:rFonts w:eastAsia="Cambria"/>
          <w:color w:val="000000" w:themeColor="text1"/>
          <w:sz w:val="22"/>
          <w:szCs w:val="22"/>
          <w:lang w:val="es-ES"/>
        </w:rPr>
        <w:t>el Foro de la Sociedad Civil.</w:t>
      </w:r>
    </w:p>
    <w:p w14:paraId="6710CDEA" w14:textId="77777777"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La </w:t>
      </w:r>
      <w:r w:rsidR="00141240" w:rsidRPr="00512F79">
        <w:rPr>
          <w:rFonts w:eastAsia="Cambria"/>
          <w:color w:val="000000" w:themeColor="text1"/>
          <w:sz w:val="22"/>
          <w:szCs w:val="22"/>
          <w:lang w:val="es-ES"/>
        </w:rPr>
        <w:t>Fundación Padre Arrupe (El Salvador), la Fundación Gabriel Lewis Galindo (Panamá), la Fundación Telefónica Movistar Chile, la Fundación Telefónica Movistar Uruguay y la Fundación Telefónica Perú se unieron al proceso de registro de Organizaciones de la Sociedad Civil de la OEA.</w:t>
      </w:r>
    </w:p>
    <w:p w14:paraId="03E333B1" w14:textId="77777777" w:rsidR="00141240" w:rsidRPr="00512F79" w:rsidRDefault="00141240" w:rsidP="00CB030B">
      <w:pPr>
        <w:pStyle w:val="ListParagraph"/>
        <w:ind w:left="1440"/>
        <w:jc w:val="both"/>
        <w:rPr>
          <w:rFonts w:eastAsia="Cambria"/>
          <w:color w:val="000000" w:themeColor="text1"/>
          <w:sz w:val="22"/>
          <w:szCs w:val="22"/>
          <w:lang w:val="es-ES"/>
        </w:rPr>
      </w:pPr>
    </w:p>
    <w:p w14:paraId="0AB8687F" w14:textId="1C9C8EEC" w:rsidR="00F4728E" w:rsidRPr="00512F79" w:rsidRDefault="00967695">
      <w:pPr>
        <w:pStyle w:val="ListParagraph"/>
        <w:numPr>
          <w:ilvl w:val="0"/>
          <w:numId w:val="24"/>
        </w:numPr>
        <w:ind w:left="1440" w:hanging="720"/>
        <w:jc w:val="both"/>
        <w:rPr>
          <w:rFonts w:eastAsia="Cambria"/>
          <w:color w:val="000000" w:themeColor="text1"/>
          <w:sz w:val="22"/>
          <w:szCs w:val="22"/>
          <w:lang w:val="es-ES"/>
        </w:rPr>
      </w:pPr>
      <w:r w:rsidRPr="00512F79">
        <w:rPr>
          <w:rFonts w:eastAsia="Cambria"/>
          <w:color w:val="000000" w:themeColor="text1"/>
          <w:sz w:val="22"/>
          <w:szCs w:val="22"/>
          <w:lang w:val="es-ES"/>
        </w:rPr>
        <w:t xml:space="preserve">615 ciudadanos de 22 </w:t>
      </w:r>
      <w:r w:rsidR="005F30B1" w:rsidRPr="00512F79">
        <w:rPr>
          <w:rFonts w:eastAsia="Cambria"/>
          <w:color w:val="000000" w:themeColor="text1"/>
          <w:sz w:val="22"/>
          <w:szCs w:val="22"/>
          <w:lang w:val="es-ES"/>
        </w:rPr>
        <w:t xml:space="preserve">Estados </w:t>
      </w:r>
      <w:r w:rsidR="00C169F7">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w:t>
      </w:r>
      <w:r w:rsidRPr="00512F79">
        <w:rPr>
          <w:rFonts w:eastAsia="Cambria"/>
          <w:color w:val="000000" w:themeColor="text1"/>
          <w:sz w:val="22"/>
          <w:szCs w:val="22"/>
          <w:lang w:val="es-ES"/>
        </w:rPr>
        <w:t xml:space="preserve">se matricularon en cursos y diplomas en línea, </w:t>
      </w:r>
      <w:r w:rsidR="005D753C" w:rsidRPr="00512F79">
        <w:rPr>
          <w:rFonts w:eastAsia="Cambria"/>
          <w:color w:val="000000" w:themeColor="text1"/>
          <w:sz w:val="22"/>
          <w:szCs w:val="22"/>
          <w:lang w:val="es-ES"/>
        </w:rPr>
        <w:t xml:space="preserve">y </w:t>
      </w:r>
      <w:r w:rsidRPr="00512F79">
        <w:rPr>
          <w:rFonts w:eastAsia="Cambria"/>
          <w:color w:val="000000" w:themeColor="text1"/>
          <w:sz w:val="22"/>
          <w:szCs w:val="22"/>
          <w:lang w:val="es-ES"/>
        </w:rPr>
        <w:t xml:space="preserve">234 </w:t>
      </w:r>
      <w:r w:rsidR="00A11DD4">
        <w:rPr>
          <w:rFonts w:eastAsia="Cambria"/>
          <w:color w:val="000000" w:themeColor="text1"/>
          <w:sz w:val="22"/>
          <w:szCs w:val="22"/>
          <w:lang w:val="es-ES"/>
        </w:rPr>
        <w:t>recibieron</w:t>
      </w:r>
      <w:r w:rsidRPr="00512F79">
        <w:rPr>
          <w:rFonts w:eastAsia="Cambria"/>
          <w:color w:val="000000" w:themeColor="text1"/>
          <w:sz w:val="22"/>
          <w:szCs w:val="22"/>
          <w:lang w:val="es-ES"/>
        </w:rPr>
        <w:t xml:space="preserve"> </w:t>
      </w:r>
      <w:r w:rsidR="00996DC7" w:rsidRPr="00512F79">
        <w:rPr>
          <w:rFonts w:eastAsia="Cambria"/>
          <w:color w:val="000000" w:themeColor="text1"/>
          <w:sz w:val="22"/>
          <w:szCs w:val="22"/>
          <w:lang w:val="es-ES"/>
        </w:rPr>
        <w:t>becas par</w:t>
      </w:r>
      <w:r w:rsidRPr="00512F79">
        <w:rPr>
          <w:rFonts w:eastAsia="Cambria"/>
          <w:color w:val="000000" w:themeColor="text1"/>
          <w:sz w:val="22"/>
          <w:szCs w:val="22"/>
          <w:lang w:val="es-ES"/>
        </w:rPr>
        <w:t xml:space="preserve">ciales </w:t>
      </w:r>
      <w:r w:rsidR="00996DC7" w:rsidRPr="00512F79">
        <w:rPr>
          <w:rFonts w:eastAsia="Cambria"/>
          <w:color w:val="000000" w:themeColor="text1"/>
          <w:sz w:val="22"/>
          <w:szCs w:val="22"/>
          <w:lang w:val="es-ES"/>
        </w:rPr>
        <w:t xml:space="preserve">impartidas </w:t>
      </w:r>
      <w:r w:rsidRPr="00512F79">
        <w:rPr>
          <w:rFonts w:eastAsia="Cambria"/>
          <w:color w:val="000000" w:themeColor="text1"/>
          <w:sz w:val="22"/>
          <w:szCs w:val="22"/>
          <w:lang w:val="es-ES"/>
        </w:rPr>
        <w:t>en el Aula Virtual del Portal Educativo de las Américas.</w:t>
      </w:r>
    </w:p>
    <w:p w14:paraId="366C463E" w14:textId="77777777" w:rsidR="00361BA0" w:rsidRPr="00512F79" w:rsidRDefault="00361BA0" w:rsidP="00361BA0">
      <w:pPr>
        <w:pStyle w:val="ListParagraph"/>
        <w:ind w:left="1440"/>
        <w:jc w:val="both"/>
        <w:rPr>
          <w:rFonts w:eastAsia="Cambria"/>
          <w:color w:val="000000" w:themeColor="text1"/>
          <w:sz w:val="22"/>
          <w:szCs w:val="22"/>
          <w:lang w:val="es-ES"/>
        </w:rPr>
      </w:pPr>
    </w:p>
    <w:p w14:paraId="5F8D857C" w14:textId="699A54AE" w:rsidR="00F4728E" w:rsidRPr="00512F79" w:rsidRDefault="00967695">
      <w:pPr>
        <w:pStyle w:val="ListParagraph"/>
        <w:numPr>
          <w:ilvl w:val="0"/>
          <w:numId w:val="24"/>
        </w:numPr>
        <w:ind w:left="1440" w:hanging="720"/>
        <w:jc w:val="both"/>
        <w:rPr>
          <w:rFonts w:eastAsia="Cambria"/>
          <w:color w:val="000000" w:themeColor="text1"/>
          <w:sz w:val="22"/>
          <w:szCs w:val="22"/>
          <w:lang w:val="es-ES"/>
        </w:rPr>
      </w:pPr>
      <w:r w:rsidRPr="00512F79">
        <w:rPr>
          <w:rFonts w:eastAsia="Cambria"/>
          <w:color w:val="000000" w:themeColor="text1"/>
          <w:sz w:val="22"/>
          <w:szCs w:val="22"/>
          <w:lang w:val="es-ES"/>
        </w:rPr>
        <w:t xml:space="preserve">3.291 personas </w:t>
      </w:r>
      <w:r w:rsidR="005D753C" w:rsidRPr="00512F79">
        <w:rPr>
          <w:rFonts w:eastAsia="Cambria"/>
          <w:color w:val="000000" w:themeColor="text1"/>
          <w:sz w:val="22"/>
          <w:szCs w:val="22"/>
          <w:lang w:val="es-ES"/>
        </w:rPr>
        <w:t xml:space="preserve">recibieron </w:t>
      </w:r>
      <w:r w:rsidRPr="00512F79">
        <w:rPr>
          <w:rFonts w:eastAsia="Cambria"/>
          <w:color w:val="000000" w:themeColor="text1"/>
          <w:sz w:val="22"/>
          <w:szCs w:val="22"/>
          <w:lang w:val="es-ES"/>
        </w:rPr>
        <w:t xml:space="preserve">acceso gratuito a </w:t>
      </w:r>
      <w:r w:rsidR="005D753C" w:rsidRPr="00512F79">
        <w:rPr>
          <w:rFonts w:eastAsia="Cambria"/>
          <w:color w:val="000000" w:themeColor="text1"/>
          <w:sz w:val="22"/>
          <w:szCs w:val="22"/>
          <w:lang w:val="es-ES"/>
        </w:rPr>
        <w:t xml:space="preserve">cursos masivos abiertos en línea </w:t>
      </w:r>
      <w:r w:rsidRPr="00512F79">
        <w:rPr>
          <w:rFonts w:eastAsia="Cambria"/>
          <w:color w:val="000000" w:themeColor="text1"/>
          <w:sz w:val="22"/>
          <w:szCs w:val="22"/>
          <w:lang w:val="es-ES"/>
        </w:rPr>
        <w:t xml:space="preserve">en los </w:t>
      </w:r>
      <w:r w:rsidR="005D753C" w:rsidRPr="00512F79">
        <w:rPr>
          <w:rFonts w:eastAsia="Cambria"/>
          <w:color w:val="000000" w:themeColor="text1"/>
          <w:sz w:val="22"/>
          <w:szCs w:val="22"/>
          <w:lang w:val="es-ES"/>
        </w:rPr>
        <w:t xml:space="preserve">ámbitos de </w:t>
      </w:r>
      <w:r w:rsidRPr="00512F79">
        <w:rPr>
          <w:rFonts w:eastAsia="Cambria"/>
          <w:color w:val="000000" w:themeColor="text1"/>
          <w:sz w:val="22"/>
          <w:szCs w:val="22"/>
          <w:lang w:val="es-ES"/>
        </w:rPr>
        <w:t>educación, derechos humanos, asuntos de género</w:t>
      </w:r>
      <w:r w:rsidR="005D753C" w:rsidRPr="00512F79">
        <w:rPr>
          <w:rFonts w:eastAsia="Cambria"/>
          <w:color w:val="000000" w:themeColor="text1"/>
          <w:sz w:val="22"/>
          <w:szCs w:val="22"/>
          <w:lang w:val="es-ES"/>
        </w:rPr>
        <w:t xml:space="preserve">, </w:t>
      </w:r>
      <w:r w:rsidRPr="00512F79">
        <w:rPr>
          <w:rFonts w:eastAsia="Cambria"/>
          <w:color w:val="000000" w:themeColor="text1"/>
          <w:sz w:val="22"/>
          <w:szCs w:val="22"/>
          <w:lang w:val="es-ES"/>
        </w:rPr>
        <w:t xml:space="preserve">educación STEM-STEAM </w:t>
      </w:r>
      <w:r w:rsidR="005D753C" w:rsidRPr="00512F79">
        <w:rPr>
          <w:rFonts w:eastAsia="Cambria"/>
          <w:color w:val="000000" w:themeColor="text1"/>
          <w:sz w:val="22"/>
          <w:szCs w:val="22"/>
          <w:lang w:val="es-ES"/>
        </w:rPr>
        <w:t xml:space="preserve">y </w:t>
      </w:r>
      <w:r w:rsidR="00A51530">
        <w:rPr>
          <w:rFonts w:eastAsia="Cambria"/>
          <w:color w:val="000000" w:themeColor="text1"/>
          <w:sz w:val="22"/>
          <w:szCs w:val="22"/>
          <w:lang w:val="es-ES"/>
        </w:rPr>
        <w:t>seguridad cibernética</w:t>
      </w:r>
      <w:r w:rsidR="005D753C" w:rsidRPr="00512F79">
        <w:rPr>
          <w:rFonts w:eastAsia="Cambria"/>
          <w:color w:val="000000" w:themeColor="text1"/>
          <w:sz w:val="22"/>
          <w:szCs w:val="22"/>
          <w:lang w:val="es-ES"/>
        </w:rPr>
        <w:t>.</w:t>
      </w:r>
    </w:p>
    <w:p w14:paraId="34FBE6CA" w14:textId="77777777" w:rsidR="00361BA0" w:rsidRPr="00512F79" w:rsidRDefault="00361BA0" w:rsidP="00361BA0">
      <w:pPr>
        <w:pStyle w:val="ListParagraph"/>
        <w:rPr>
          <w:rFonts w:eastAsia="Cambria"/>
          <w:color w:val="000000" w:themeColor="text1"/>
          <w:sz w:val="22"/>
          <w:szCs w:val="22"/>
          <w:lang w:val="es-ES"/>
        </w:rPr>
      </w:pPr>
    </w:p>
    <w:p w14:paraId="5346CC79" w14:textId="0738CB09" w:rsidR="00F4728E" w:rsidRPr="00512F79" w:rsidRDefault="006803B9">
      <w:pPr>
        <w:pStyle w:val="ListParagraph"/>
        <w:numPr>
          <w:ilvl w:val="0"/>
          <w:numId w:val="24"/>
        </w:numPr>
        <w:ind w:left="1440" w:hanging="720"/>
        <w:jc w:val="both"/>
        <w:rPr>
          <w:rFonts w:eastAsia="Cambria"/>
          <w:color w:val="000000" w:themeColor="text1"/>
          <w:sz w:val="22"/>
          <w:szCs w:val="22"/>
          <w:lang w:val="es-ES"/>
        </w:rPr>
      </w:pPr>
      <w:r>
        <w:rPr>
          <w:rFonts w:eastAsia="Cambria"/>
          <w:color w:val="000000" w:themeColor="text1"/>
          <w:sz w:val="22"/>
          <w:szCs w:val="22"/>
          <w:lang w:val="es-ES"/>
        </w:rPr>
        <w:t>Se produjeron</w:t>
      </w:r>
      <w:r w:rsidR="00967695" w:rsidRPr="00512F79">
        <w:rPr>
          <w:rFonts w:eastAsia="Cambria"/>
          <w:color w:val="000000" w:themeColor="text1"/>
          <w:sz w:val="22"/>
          <w:szCs w:val="22"/>
          <w:lang w:val="es-ES"/>
        </w:rPr>
        <w:t xml:space="preserve"> catorce cursos virtuales en coordinación con socios estratégicos de la OEA, con:</w:t>
      </w:r>
    </w:p>
    <w:p w14:paraId="323F2FF7" w14:textId="77777777" w:rsidR="00141240" w:rsidRPr="00512F79" w:rsidRDefault="00141240" w:rsidP="00CB030B">
      <w:pPr>
        <w:pStyle w:val="ListParagraph"/>
        <w:rPr>
          <w:color w:val="000000" w:themeColor="text1"/>
          <w:sz w:val="22"/>
          <w:szCs w:val="22"/>
          <w:lang w:val="es-ES"/>
        </w:rPr>
      </w:pPr>
    </w:p>
    <w:p w14:paraId="5E1F2369" w14:textId="00F8EB59"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color w:val="000000" w:themeColor="text1"/>
          <w:sz w:val="22"/>
          <w:szCs w:val="22"/>
          <w:lang w:val="es-ES"/>
        </w:rPr>
        <w:t xml:space="preserve">2.580 personas </w:t>
      </w:r>
      <w:r w:rsidR="006803B9">
        <w:rPr>
          <w:color w:val="000000" w:themeColor="text1"/>
          <w:sz w:val="22"/>
          <w:szCs w:val="22"/>
          <w:lang w:val="es-ES"/>
        </w:rPr>
        <w:t>que recibieron formación</w:t>
      </w:r>
      <w:r w:rsidRPr="00512F79">
        <w:rPr>
          <w:color w:val="000000" w:themeColor="text1"/>
          <w:sz w:val="22"/>
          <w:szCs w:val="22"/>
          <w:lang w:val="es-ES"/>
        </w:rPr>
        <w:t xml:space="preserve"> en derechos humanos (</w:t>
      </w:r>
      <w:r w:rsidR="004C0712" w:rsidRPr="00512F79">
        <w:rPr>
          <w:color w:val="000000" w:themeColor="text1"/>
          <w:sz w:val="22"/>
          <w:szCs w:val="22"/>
          <w:lang w:val="es-ES"/>
        </w:rPr>
        <w:t>Comisión Interamericana de Derechos Humanos</w:t>
      </w:r>
      <w:r w:rsidRPr="00512F79">
        <w:rPr>
          <w:color w:val="000000" w:themeColor="text1"/>
          <w:sz w:val="22"/>
          <w:szCs w:val="22"/>
          <w:lang w:val="es-ES"/>
        </w:rPr>
        <w:t>)</w:t>
      </w:r>
      <w:r w:rsidR="005D753C" w:rsidRPr="00512F79">
        <w:rPr>
          <w:color w:val="000000" w:themeColor="text1"/>
          <w:sz w:val="22"/>
          <w:szCs w:val="22"/>
          <w:lang w:val="es-ES"/>
        </w:rPr>
        <w:t>,</w:t>
      </w:r>
    </w:p>
    <w:p w14:paraId="6B9E4ABC" w14:textId="0F362D14"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color w:val="000000" w:themeColor="text1"/>
          <w:sz w:val="22"/>
          <w:szCs w:val="22"/>
          <w:lang w:val="es-ES"/>
        </w:rPr>
        <w:t xml:space="preserve">400 personas </w:t>
      </w:r>
      <w:r w:rsidR="006803B9">
        <w:rPr>
          <w:color w:val="000000" w:themeColor="text1"/>
          <w:sz w:val="22"/>
          <w:szCs w:val="22"/>
          <w:lang w:val="es-ES"/>
        </w:rPr>
        <w:t>capacitadas</w:t>
      </w:r>
      <w:r w:rsidRPr="00512F79">
        <w:rPr>
          <w:color w:val="000000" w:themeColor="text1"/>
          <w:sz w:val="22"/>
          <w:szCs w:val="22"/>
          <w:lang w:val="es-ES"/>
        </w:rPr>
        <w:t xml:space="preserve"> en prevención y atención a la trata de seres humanos (</w:t>
      </w:r>
      <w:r w:rsidR="004C0712" w:rsidRPr="00512F79">
        <w:rPr>
          <w:color w:val="000000" w:themeColor="text1"/>
          <w:sz w:val="22"/>
          <w:szCs w:val="22"/>
          <w:lang w:val="es-ES"/>
        </w:rPr>
        <w:t>Departamento de Seguridad Pública</w:t>
      </w:r>
      <w:r w:rsidRPr="00512F79">
        <w:rPr>
          <w:color w:val="000000" w:themeColor="text1"/>
          <w:sz w:val="22"/>
          <w:szCs w:val="22"/>
          <w:lang w:val="es-ES"/>
        </w:rPr>
        <w:t>)</w:t>
      </w:r>
      <w:r w:rsidR="005D753C" w:rsidRPr="00512F79">
        <w:rPr>
          <w:color w:val="000000" w:themeColor="text1"/>
          <w:sz w:val="22"/>
          <w:szCs w:val="22"/>
          <w:lang w:val="es-ES"/>
        </w:rPr>
        <w:t>, y</w:t>
      </w:r>
    </w:p>
    <w:p w14:paraId="32A5F51A" w14:textId="5BB8918C"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50 personas </w:t>
      </w:r>
      <w:r w:rsidR="006803B9">
        <w:rPr>
          <w:rFonts w:eastAsia="Cambria"/>
          <w:color w:val="000000" w:themeColor="text1"/>
          <w:sz w:val="22"/>
          <w:szCs w:val="22"/>
          <w:lang w:val="es-ES"/>
        </w:rPr>
        <w:t>capacitadas</w:t>
      </w:r>
      <w:r w:rsidRPr="00512F79">
        <w:rPr>
          <w:rFonts w:eastAsia="Cambria"/>
          <w:color w:val="000000" w:themeColor="text1"/>
          <w:sz w:val="22"/>
          <w:szCs w:val="22"/>
          <w:lang w:val="es-ES"/>
        </w:rPr>
        <w:t xml:space="preserve"> en prevención de la violencia de género en el lugar de trabajo (alianza con la </w:t>
      </w:r>
      <w:r w:rsidR="005D753C" w:rsidRPr="00512F79">
        <w:rPr>
          <w:rFonts w:eastAsia="Cambria"/>
          <w:color w:val="000000" w:themeColor="text1"/>
          <w:sz w:val="22"/>
          <w:szCs w:val="22"/>
          <w:lang w:val="es-ES"/>
        </w:rPr>
        <w:t xml:space="preserve">Comisión Interamericana </w:t>
      </w:r>
      <w:r w:rsidR="009F53F1" w:rsidRPr="00512F79">
        <w:rPr>
          <w:rFonts w:eastAsia="Cambria"/>
          <w:color w:val="000000" w:themeColor="text1"/>
          <w:sz w:val="22"/>
          <w:szCs w:val="22"/>
          <w:lang w:val="es-ES"/>
        </w:rPr>
        <w:t xml:space="preserve">de </w:t>
      </w:r>
      <w:r w:rsidR="005D753C" w:rsidRPr="00512F79">
        <w:rPr>
          <w:rFonts w:eastAsia="Cambria"/>
          <w:color w:val="000000" w:themeColor="text1"/>
          <w:sz w:val="22"/>
          <w:szCs w:val="22"/>
          <w:lang w:val="es-ES"/>
        </w:rPr>
        <w:t xml:space="preserve">Mujeres (CIM) </w:t>
      </w:r>
      <w:r w:rsidRPr="00512F79">
        <w:rPr>
          <w:rFonts w:eastAsia="Cambria"/>
          <w:color w:val="000000" w:themeColor="text1"/>
          <w:sz w:val="22"/>
          <w:szCs w:val="22"/>
          <w:lang w:val="es-ES"/>
        </w:rPr>
        <w:t xml:space="preserve">y </w:t>
      </w:r>
      <w:r w:rsidR="005D753C" w:rsidRPr="00512F79">
        <w:rPr>
          <w:rFonts w:eastAsia="Cambria"/>
          <w:color w:val="000000" w:themeColor="text1"/>
          <w:sz w:val="22"/>
          <w:szCs w:val="22"/>
          <w:lang w:val="es-ES"/>
        </w:rPr>
        <w:t xml:space="preserve">la </w:t>
      </w:r>
      <w:r w:rsidRPr="00512F79">
        <w:rPr>
          <w:rFonts w:eastAsia="Cambria"/>
          <w:color w:val="000000" w:themeColor="text1"/>
          <w:sz w:val="22"/>
          <w:szCs w:val="22"/>
          <w:lang w:val="es-ES"/>
        </w:rPr>
        <w:t>Red</w:t>
      </w:r>
      <w:r w:rsidR="005D753C" w:rsidRPr="00512F79">
        <w:rPr>
          <w:rFonts w:eastAsia="Cambria"/>
          <w:color w:val="000000" w:themeColor="text1"/>
          <w:sz w:val="22"/>
          <w:szCs w:val="22"/>
          <w:lang w:val="es-ES"/>
        </w:rPr>
        <w:t xml:space="preserve"> Interamericana para la Administración Laboral (</w:t>
      </w:r>
      <w:r w:rsidRPr="00512F79">
        <w:rPr>
          <w:rFonts w:eastAsia="Cambria"/>
          <w:color w:val="000000" w:themeColor="text1"/>
          <w:sz w:val="22"/>
          <w:szCs w:val="22"/>
          <w:lang w:val="es-ES"/>
        </w:rPr>
        <w:t>RIAL)</w:t>
      </w:r>
      <w:r w:rsidR="005D753C" w:rsidRPr="00512F79">
        <w:rPr>
          <w:rFonts w:eastAsia="Cambria"/>
          <w:color w:val="000000" w:themeColor="text1"/>
          <w:sz w:val="22"/>
          <w:szCs w:val="22"/>
          <w:lang w:val="es-ES"/>
        </w:rPr>
        <w:t>)</w:t>
      </w:r>
      <w:r w:rsidRPr="00512F79">
        <w:rPr>
          <w:rFonts w:eastAsia="Cambria"/>
          <w:color w:val="000000" w:themeColor="text1"/>
          <w:sz w:val="22"/>
          <w:szCs w:val="22"/>
          <w:lang w:val="es-ES"/>
        </w:rPr>
        <w:t>.</w:t>
      </w:r>
    </w:p>
    <w:p w14:paraId="14138B17" w14:textId="77777777" w:rsidR="00141240" w:rsidRPr="00512F79" w:rsidRDefault="00141240" w:rsidP="00CB030B">
      <w:pPr>
        <w:jc w:val="both"/>
        <w:rPr>
          <w:rFonts w:ascii="Times New Roman" w:eastAsia="Calibri" w:hAnsi="Times New Roman" w:cs="Times New Roman"/>
          <w:color w:val="000000" w:themeColor="text1"/>
          <w:sz w:val="22"/>
          <w:szCs w:val="22"/>
          <w:lang w:val="es-ES"/>
        </w:rPr>
      </w:pPr>
    </w:p>
    <w:p w14:paraId="23B8A204" w14:textId="77777777" w:rsidR="00F4728E" w:rsidRPr="00512F79" w:rsidRDefault="00967695">
      <w:pPr>
        <w:jc w:val="both"/>
        <w:rPr>
          <w:rFonts w:ascii="Times New Roman" w:eastAsia="Calibri" w:hAnsi="Times New Roman" w:cs="Times New Roman"/>
          <w:b/>
          <w:bCs/>
          <w:color w:val="000000" w:themeColor="text1"/>
          <w:sz w:val="22"/>
          <w:szCs w:val="22"/>
          <w:u w:val="single"/>
          <w:lang w:val="es-ES"/>
        </w:rPr>
      </w:pPr>
      <w:bookmarkStart w:id="8" w:name="_Hlk94634094"/>
      <w:r w:rsidRPr="00512F79">
        <w:rPr>
          <w:rFonts w:ascii="Times New Roman" w:eastAsia="Calibri" w:hAnsi="Times New Roman" w:cs="Times New Roman"/>
          <w:b/>
          <w:bCs/>
          <w:color w:val="000000" w:themeColor="text1"/>
          <w:sz w:val="22"/>
          <w:szCs w:val="22"/>
          <w:u w:val="single"/>
          <w:lang w:val="es-ES"/>
        </w:rPr>
        <w:t>OBJETIVO 3.3</w:t>
      </w:r>
    </w:p>
    <w:p w14:paraId="6220A730" w14:textId="77777777" w:rsidR="00E85D19" w:rsidRPr="00512F79" w:rsidRDefault="00E85D19" w:rsidP="00CB030B">
      <w:pPr>
        <w:jc w:val="both"/>
        <w:rPr>
          <w:rFonts w:ascii="Times New Roman" w:eastAsia="Calibri" w:hAnsi="Times New Roman" w:cs="Times New Roman"/>
          <w:b/>
          <w:bCs/>
          <w:color w:val="000000" w:themeColor="text1"/>
          <w:sz w:val="22"/>
          <w:szCs w:val="22"/>
          <w:u w:val="single"/>
          <w:lang w:val="es-ES"/>
        </w:rPr>
      </w:pPr>
    </w:p>
    <w:p w14:paraId="7D2C3670" w14:textId="64832CD5" w:rsidR="00F4728E" w:rsidRPr="00CD5C42" w:rsidRDefault="00CD5C42">
      <w:pPr>
        <w:ind w:firstLine="720"/>
        <w:jc w:val="both"/>
        <w:rPr>
          <w:rFonts w:ascii="Times New Roman" w:eastAsia="Calibri" w:hAnsi="Times New Roman" w:cs="Times New Roman"/>
          <w:bCs/>
          <w:color w:val="000000" w:themeColor="text1"/>
          <w:sz w:val="22"/>
          <w:szCs w:val="22"/>
          <w:lang w:val="es-ES"/>
        </w:rPr>
      </w:pPr>
      <w:r w:rsidRPr="00CD5C42">
        <w:rPr>
          <w:rFonts w:ascii="Times New Roman" w:hAnsi="Times New Roman" w:cs="Times New Roman"/>
          <w:bCs/>
          <w:sz w:val="22"/>
          <w:szCs w:val="22"/>
          <w:lang w:val="es-US"/>
        </w:rPr>
        <w:t>Fortalecer la capacidad institucional de los Estados Miembros para proveer una atención integral de la primera infancia</w:t>
      </w:r>
      <w:r w:rsidR="00967695" w:rsidRPr="00CD5C42">
        <w:rPr>
          <w:rFonts w:ascii="Times New Roman" w:eastAsia="Calibri" w:hAnsi="Times New Roman" w:cs="Times New Roman"/>
          <w:bCs/>
          <w:color w:val="000000" w:themeColor="text1"/>
          <w:sz w:val="22"/>
          <w:szCs w:val="22"/>
          <w:lang w:val="es-ES"/>
        </w:rPr>
        <w:t>.</w:t>
      </w:r>
    </w:p>
    <w:p w14:paraId="3DB2B7B4" w14:textId="77777777" w:rsidR="00141240" w:rsidRPr="00512F79" w:rsidRDefault="00141240" w:rsidP="00CB030B">
      <w:pPr>
        <w:contextualSpacing/>
        <w:jc w:val="both"/>
        <w:rPr>
          <w:rFonts w:ascii="Times New Roman" w:eastAsia="Cambria" w:hAnsi="Times New Roman" w:cs="Times New Roman"/>
          <w:color w:val="000000" w:themeColor="text1"/>
          <w:sz w:val="22"/>
          <w:szCs w:val="22"/>
          <w:lang w:val="es-ES"/>
        </w:rPr>
      </w:pPr>
    </w:p>
    <w:p w14:paraId="24314F5D" w14:textId="1A09170C" w:rsidR="00F4728E" w:rsidRPr="003A4694" w:rsidRDefault="003A4694" w:rsidP="0038416B">
      <w:pPr>
        <w:pStyle w:val="ListParagraph"/>
        <w:numPr>
          <w:ilvl w:val="0"/>
          <w:numId w:val="45"/>
        </w:numPr>
        <w:ind w:hanging="720"/>
        <w:contextualSpacing/>
        <w:jc w:val="both"/>
        <w:rPr>
          <w:rFonts w:eastAsia="Cambria"/>
          <w:color w:val="000000" w:themeColor="text1"/>
          <w:sz w:val="22"/>
          <w:szCs w:val="22"/>
          <w:lang w:val="es-ES"/>
        </w:rPr>
      </w:pPr>
      <w:r>
        <w:rPr>
          <w:sz w:val="22"/>
          <w:szCs w:val="22"/>
          <w:lang w:val="es-US"/>
        </w:rPr>
        <w:t>Se f</w:t>
      </w:r>
      <w:r w:rsidRPr="003A4694">
        <w:rPr>
          <w:sz w:val="22"/>
          <w:szCs w:val="22"/>
          <w:lang w:val="es-US"/>
        </w:rPr>
        <w:t xml:space="preserve">irmó un acuerdo de copatrocinio con la Universidad de las Indias Occidentales (UWI) para </w:t>
      </w:r>
      <w:r>
        <w:rPr>
          <w:sz w:val="22"/>
          <w:szCs w:val="22"/>
          <w:lang w:val="es-US"/>
        </w:rPr>
        <w:t>otorgar</w:t>
      </w:r>
      <w:r w:rsidRPr="003A4694">
        <w:rPr>
          <w:sz w:val="22"/>
          <w:szCs w:val="22"/>
          <w:lang w:val="es-US"/>
        </w:rPr>
        <w:t xml:space="preserve"> diecinueve becas para el </w:t>
      </w:r>
      <w:r w:rsidR="00A51530">
        <w:rPr>
          <w:sz w:val="22"/>
          <w:szCs w:val="22"/>
          <w:lang w:val="es-US"/>
        </w:rPr>
        <w:t>año</w:t>
      </w:r>
      <w:r w:rsidRPr="003A4694">
        <w:rPr>
          <w:sz w:val="22"/>
          <w:szCs w:val="22"/>
          <w:lang w:val="es-US"/>
        </w:rPr>
        <w:t xml:space="preserve"> académico 2021-2022 a los becarios del Programa de Alianzas OEA-UWI para la Educación y la Formación de los Estados </w:t>
      </w:r>
      <w:r w:rsidR="00DA3E96">
        <w:rPr>
          <w:sz w:val="22"/>
          <w:szCs w:val="22"/>
          <w:lang w:val="es-US"/>
        </w:rPr>
        <w:t>M</w:t>
      </w:r>
      <w:r w:rsidRPr="003A4694">
        <w:rPr>
          <w:sz w:val="22"/>
          <w:szCs w:val="22"/>
          <w:lang w:val="es-US"/>
        </w:rPr>
        <w:t xml:space="preserve">iembros anglófonos del Caribe matriculados en el curso certificado de Desarrollo de la Primera Infancia y Estudios </w:t>
      </w:r>
      <w:r>
        <w:rPr>
          <w:sz w:val="22"/>
          <w:szCs w:val="22"/>
          <w:lang w:val="es-US"/>
        </w:rPr>
        <w:t>de la Familia.</w:t>
      </w:r>
    </w:p>
    <w:p w14:paraId="4CEA4381" w14:textId="77777777" w:rsidR="00141240" w:rsidRPr="00512F79" w:rsidRDefault="00141240" w:rsidP="00CB030B">
      <w:pPr>
        <w:ind w:firstLine="18"/>
        <w:jc w:val="both"/>
        <w:rPr>
          <w:rFonts w:ascii="Times New Roman" w:hAnsi="Times New Roman" w:cs="Times New Roman"/>
          <w:color w:val="000000" w:themeColor="text1"/>
          <w:sz w:val="22"/>
          <w:szCs w:val="22"/>
          <w:lang w:val="es-ES"/>
        </w:rPr>
      </w:pPr>
    </w:p>
    <w:bookmarkEnd w:id="8"/>
    <w:p w14:paraId="12BE7330" w14:textId="77777777" w:rsidR="00F4728E" w:rsidRPr="00512F79" w:rsidRDefault="00967695">
      <w:pPr>
        <w:jc w:val="both"/>
        <w:rPr>
          <w:rFonts w:ascii="Times New Roman" w:eastAsia="Calibri" w:hAnsi="Times New Roman" w:cs="Times New Roman"/>
          <w:b/>
          <w:bCs/>
          <w:color w:val="000000" w:themeColor="text1"/>
          <w:sz w:val="22"/>
          <w:szCs w:val="22"/>
          <w:u w:val="single"/>
          <w:lang w:val="es-ES"/>
        </w:rPr>
      </w:pPr>
      <w:r w:rsidRPr="00512F79">
        <w:rPr>
          <w:rFonts w:ascii="Times New Roman" w:eastAsia="Calibri" w:hAnsi="Times New Roman" w:cs="Times New Roman"/>
          <w:b/>
          <w:bCs/>
          <w:color w:val="000000" w:themeColor="text1"/>
          <w:sz w:val="22"/>
          <w:szCs w:val="22"/>
          <w:u w:val="single"/>
          <w:lang w:val="es-ES"/>
        </w:rPr>
        <w:t>OBJETIVO 3.4</w:t>
      </w:r>
    </w:p>
    <w:p w14:paraId="2E2B6E38" w14:textId="77777777" w:rsidR="00E85D19" w:rsidRPr="00512F79" w:rsidRDefault="00E85D19" w:rsidP="00CB030B">
      <w:pPr>
        <w:jc w:val="both"/>
        <w:rPr>
          <w:rFonts w:ascii="Times New Roman" w:eastAsia="Calibri" w:hAnsi="Times New Roman" w:cs="Times New Roman"/>
          <w:b/>
          <w:bCs/>
          <w:color w:val="000000" w:themeColor="text1"/>
          <w:sz w:val="22"/>
          <w:szCs w:val="22"/>
          <w:u w:val="single"/>
          <w:lang w:val="es-ES"/>
        </w:rPr>
      </w:pPr>
    </w:p>
    <w:p w14:paraId="36C1B5D1" w14:textId="60EC5146" w:rsidR="003A4694" w:rsidRPr="003A4694" w:rsidRDefault="003A4694" w:rsidP="003A4694">
      <w:pPr>
        <w:ind w:firstLine="720"/>
        <w:jc w:val="both"/>
        <w:rPr>
          <w:rFonts w:ascii="Times New Roman" w:hAnsi="Times New Roman" w:cs="Times New Roman"/>
          <w:bCs/>
          <w:noProof/>
          <w:sz w:val="22"/>
          <w:szCs w:val="22"/>
          <w:lang w:val="es-US"/>
        </w:rPr>
      </w:pPr>
      <w:r w:rsidRPr="003A4694">
        <w:rPr>
          <w:rFonts w:ascii="Times New Roman" w:hAnsi="Times New Roman" w:cs="Times New Roman"/>
          <w:bCs/>
          <w:sz w:val="22"/>
          <w:szCs w:val="22"/>
          <w:lang w:val="es-US"/>
        </w:rPr>
        <w:t>Fomentar el acceso en los Estados Miembros a oportunidades educativas de calidad, inclusivas y equitativas en todos los niveles, todas las modalidades y en los cuatro idiomas oficiales de la Organización</w:t>
      </w:r>
      <w:r w:rsidR="00DA3E96">
        <w:rPr>
          <w:rFonts w:ascii="Times New Roman" w:hAnsi="Times New Roman" w:cs="Times New Roman"/>
          <w:bCs/>
          <w:sz w:val="22"/>
          <w:szCs w:val="22"/>
          <w:lang w:val="es-US"/>
        </w:rPr>
        <w:t>.</w:t>
      </w:r>
      <w:r w:rsidRPr="003A4694">
        <w:rPr>
          <w:rFonts w:ascii="Times New Roman" w:hAnsi="Times New Roman" w:cs="Times New Roman"/>
          <w:bCs/>
          <w:sz w:val="22"/>
          <w:szCs w:val="22"/>
          <w:lang w:val="es-US"/>
        </w:rPr>
        <w:t xml:space="preserve"> </w:t>
      </w:r>
    </w:p>
    <w:p w14:paraId="0F0133DD" w14:textId="77777777" w:rsidR="00141240" w:rsidRPr="00512F79" w:rsidRDefault="00141240" w:rsidP="00CB030B">
      <w:pPr>
        <w:ind w:firstLine="18"/>
        <w:jc w:val="both"/>
        <w:rPr>
          <w:rFonts w:ascii="Times New Roman" w:hAnsi="Times New Roman" w:cs="Times New Roman"/>
          <w:b/>
          <w:bCs/>
          <w:color w:val="000000" w:themeColor="text1"/>
          <w:sz w:val="22"/>
          <w:szCs w:val="22"/>
          <w:lang w:val="es-ES"/>
        </w:rPr>
      </w:pPr>
    </w:p>
    <w:p w14:paraId="041E6847" w14:textId="77777777" w:rsidR="00F4728E" w:rsidRPr="00512F79" w:rsidRDefault="00967695">
      <w:pPr>
        <w:ind w:firstLine="720"/>
        <w:jc w:val="both"/>
        <w:rPr>
          <w:rFonts w:ascii="Times New Roman" w:eastAsia="Cambria" w:hAnsi="Times New Roman" w:cs="Times New Roman"/>
          <w:b/>
          <w:bCs/>
          <w:color w:val="000000" w:themeColor="text1"/>
          <w:sz w:val="22"/>
          <w:szCs w:val="22"/>
          <w:lang w:val="es-ES"/>
        </w:rPr>
      </w:pPr>
      <w:r w:rsidRPr="00512F79">
        <w:rPr>
          <w:rFonts w:ascii="Times New Roman" w:eastAsia="Cambria" w:hAnsi="Times New Roman" w:cs="Times New Roman"/>
          <w:b/>
          <w:bCs/>
          <w:color w:val="000000" w:themeColor="text1"/>
          <w:sz w:val="22"/>
          <w:szCs w:val="22"/>
          <w:lang w:val="es-ES"/>
        </w:rPr>
        <w:t>Programas de becas y formación de la OEA</w:t>
      </w:r>
    </w:p>
    <w:p w14:paraId="7895C21A" w14:textId="77777777" w:rsidR="00FA78B8" w:rsidRPr="00512F79" w:rsidRDefault="00FA78B8" w:rsidP="00CB030B">
      <w:pPr>
        <w:jc w:val="both"/>
        <w:rPr>
          <w:rFonts w:ascii="Times New Roman" w:eastAsia="Cambria" w:hAnsi="Times New Roman" w:cs="Times New Roman"/>
          <w:color w:val="000000" w:themeColor="text1"/>
          <w:sz w:val="22"/>
          <w:szCs w:val="22"/>
          <w:lang w:val="es-ES"/>
        </w:rPr>
      </w:pPr>
    </w:p>
    <w:p w14:paraId="1D93312E" w14:textId="6E74DA67" w:rsidR="00F4728E" w:rsidRPr="00512F79" w:rsidRDefault="00967695">
      <w:pPr>
        <w:pStyle w:val="ListParagraph"/>
        <w:numPr>
          <w:ilvl w:val="0"/>
          <w:numId w:val="24"/>
        </w:numPr>
        <w:ind w:left="1440" w:hanging="720"/>
        <w:jc w:val="both"/>
        <w:rPr>
          <w:rFonts w:eastAsia="Cambria"/>
          <w:color w:val="000000" w:themeColor="text1"/>
          <w:sz w:val="22"/>
          <w:szCs w:val="22"/>
          <w:lang w:val="es-ES"/>
        </w:rPr>
      </w:pPr>
      <w:r w:rsidRPr="00512F79">
        <w:rPr>
          <w:rFonts w:eastAsia="Cambria"/>
          <w:color w:val="000000" w:themeColor="text1"/>
          <w:sz w:val="22"/>
          <w:szCs w:val="22"/>
          <w:lang w:val="es-ES"/>
        </w:rPr>
        <w:t xml:space="preserve">Con el apoyo de los Gobiernos </w:t>
      </w:r>
      <w:r w:rsidR="00F02923" w:rsidRPr="00512F79">
        <w:rPr>
          <w:rFonts w:eastAsia="Cambria"/>
          <w:color w:val="000000" w:themeColor="text1"/>
          <w:sz w:val="22"/>
          <w:szCs w:val="22"/>
          <w:lang w:val="es-ES"/>
        </w:rPr>
        <w:t xml:space="preserve">de </w:t>
      </w:r>
      <w:r w:rsidRPr="00512F79">
        <w:rPr>
          <w:rFonts w:eastAsia="Cambria"/>
          <w:color w:val="000000" w:themeColor="text1"/>
          <w:sz w:val="22"/>
          <w:szCs w:val="22"/>
          <w:lang w:val="es-ES"/>
        </w:rPr>
        <w:t xml:space="preserve">Bahamas, Brasil, Chile y México, y en colaboración con diversas instituciones regionales e internacionales, se concedieron 3.432 becas a ciudadanos de 34 </w:t>
      </w:r>
      <w:r w:rsidR="005F30B1" w:rsidRPr="00512F79">
        <w:rPr>
          <w:rFonts w:eastAsia="Cambria"/>
          <w:color w:val="000000" w:themeColor="text1"/>
          <w:sz w:val="22"/>
          <w:szCs w:val="22"/>
          <w:lang w:val="es-ES"/>
        </w:rPr>
        <w:t xml:space="preserve">Estados </w:t>
      </w:r>
      <w:r w:rsidR="00551B46">
        <w:rPr>
          <w:rFonts w:eastAsia="Cambria"/>
          <w:color w:val="000000" w:themeColor="text1"/>
          <w:sz w:val="22"/>
          <w:szCs w:val="22"/>
          <w:lang w:val="es-ES"/>
        </w:rPr>
        <w:t>M</w:t>
      </w:r>
      <w:r w:rsidR="005F30B1" w:rsidRPr="00512F79">
        <w:rPr>
          <w:rFonts w:eastAsia="Cambria"/>
          <w:color w:val="000000" w:themeColor="text1"/>
          <w:sz w:val="22"/>
          <w:szCs w:val="22"/>
          <w:lang w:val="es-ES"/>
        </w:rPr>
        <w:t>iembros</w:t>
      </w:r>
      <w:r w:rsidRPr="00512F79">
        <w:rPr>
          <w:rFonts w:eastAsia="Cambria"/>
          <w:color w:val="000000" w:themeColor="text1"/>
          <w:sz w:val="22"/>
          <w:szCs w:val="22"/>
          <w:lang w:val="es-ES"/>
        </w:rPr>
        <w:t>.</w:t>
      </w:r>
    </w:p>
    <w:p w14:paraId="4D5E16C1" w14:textId="77777777" w:rsidR="00141240" w:rsidRPr="00512F79" w:rsidRDefault="00141240" w:rsidP="00CB030B">
      <w:pPr>
        <w:pStyle w:val="ListParagraph"/>
        <w:ind w:left="1440" w:hanging="720"/>
        <w:jc w:val="both"/>
        <w:rPr>
          <w:rFonts w:eastAsia="Cambria"/>
          <w:color w:val="000000" w:themeColor="text1"/>
          <w:sz w:val="22"/>
          <w:szCs w:val="22"/>
          <w:lang w:val="es-ES"/>
        </w:rPr>
      </w:pPr>
    </w:p>
    <w:p w14:paraId="32D26CD5" w14:textId="4909653C" w:rsidR="00F4728E" w:rsidRPr="00512F79" w:rsidRDefault="00006284">
      <w:pPr>
        <w:pStyle w:val="ListParagraph"/>
        <w:numPr>
          <w:ilvl w:val="0"/>
          <w:numId w:val="24"/>
        </w:numPr>
        <w:ind w:left="1440" w:hanging="720"/>
        <w:jc w:val="both"/>
        <w:rPr>
          <w:rFonts w:eastAsia="Cambria"/>
          <w:color w:val="000000" w:themeColor="text1"/>
          <w:sz w:val="22"/>
          <w:szCs w:val="22"/>
          <w:lang w:val="es-ES"/>
        </w:rPr>
      </w:pPr>
      <w:r>
        <w:rPr>
          <w:color w:val="000000" w:themeColor="text1"/>
          <w:sz w:val="22"/>
          <w:szCs w:val="22"/>
          <w:lang w:val="es-ES"/>
        </w:rPr>
        <w:t>Se ofrecieron</w:t>
      </w:r>
      <w:r w:rsidR="00967695" w:rsidRPr="00512F79">
        <w:rPr>
          <w:color w:val="000000" w:themeColor="text1"/>
          <w:sz w:val="22"/>
          <w:szCs w:val="22"/>
          <w:lang w:val="es-ES"/>
        </w:rPr>
        <w:t xml:space="preserve"> </w:t>
      </w:r>
      <w:r w:rsidR="00141240" w:rsidRPr="00512F79">
        <w:rPr>
          <w:color w:val="000000" w:themeColor="text1"/>
          <w:sz w:val="22"/>
          <w:szCs w:val="22"/>
          <w:lang w:val="es-ES"/>
        </w:rPr>
        <w:t xml:space="preserve">más de 11.000 becas a través de asociaciones con </w:t>
      </w:r>
      <w:r w:rsidR="00141240" w:rsidRPr="00806C82">
        <w:rPr>
          <w:color w:val="000000" w:themeColor="text1"/>
          <w:sz w:val="22"/>
          <w:szCs w:val="22"/>
          <w:lang w:val="es-ES"/>
        </w:rPr>
        <w:t>Soluciones Integrales de Formación y Gestión</w:t>
      </w:r>
      <w:r w:rsidR="00141240" w:rsidRPr="00512F79">
        <w:rPr>
          <w:i/>
          <w:iCs/>
          <w:color w:val="000000" w:themeColor="text1"/>
          <w:sz w:val="22"/>
          <w:szCs w:val="22"/>
          <w:lang w:val="es-ES"/>
        </w:rPr>
        <w:t xml:space="preserve"> </w:t>
      </w:r>
      <w:r w:rsidR="00141240" w:rsidRPr="00512F79">
        <w:rPr>
          <w:color w:val="000000" w:themeColor="text1"/>
          <w:sz w:val="22"/>
          <w:szCs w:val="22"/>
          <w:lang w:val="es-ES"/>
        </w:rPr>
        <w:t>(</w:t>
      </w:r>
      <w:r w:rsidR="00967695" w:rsidRPr="00512F79">
        <w:rPr>
          <w:color w:val="000000" w:themeColor="text1"/>
          <w:sz w:val="22"/>
          <w:szCs w:val="22"/>
          <w:lang w:val="es-ES"/>
        </w:rPr>
        <w:t>Structuralia</w:t>
      </w:r>
      <w:r w:rsidR="00141240" w:rsidRPr="00512F79">
        <w:rPr>
          <w:color w:val="000000" w:themeColor="text1"/>
          <w:sz w:val="22"/>
          <w:szCs w:val="22"/>
          <w:lang w:val="es-ES"/>
        </w:rPr>
        <w:t xml:space="preserve">) </w:t>
      </w:r>
      <w:r w:rsidR="00967695" w:rsidRPr="00512F79">
        <w:rPr>
          <w:color w:val="000000" w:themeColor="text1"/>
          <w:sz w:val="22"/>
          <w:szCs w:val="22"/>
          <w:lang w:val="es-ES"/>
        </w:rPr>
        <w:t xml:space="preserve">y </w:t>
      </w:r>
      <w:r w:rsidR="00967695" w:rsidRPr="00806C82">
        <w:rPr>
          <w:color w:val="000000" w:themeColor="text1"/>
          <w:sz w:val="22"/>
          <w:szCs w:val="22"/>
          <w:lang w:val="es-ES"/>
        </w:rPr>
        <w:t>Formato Educativo Escuela de Negocios</w:t>
      </w:r>
      <w:r w:rsidR="00967695" w:rsidRPr="00512F79">
        <w:rPr>
          <w:i/>
          <w:iCs/>
          <w:color w:val="000000" w:themeColor="text1"/>
          <w:sz w:val="22"/>
          <w:szCs w:val="22"/>
          <w:lang w:val="es-ES"/>
        </w:rPr>
        <w:t xml:space="preserve"> </w:t>
      </w:r>
      <w:r w:rsidR="00141240" w:rsidRPr="00512F79">
        <w:rPr>
          <w:color w:val="000000" w:themeColor="text1"/>
          <w:sz w:val="22"/>
          <w:szCs w:val="22"/>
          <w:lang w:val="es-ES"/>
        </w:rPr>
        <w:t xml:space="preserve">en España, </w:t>
      </w:r>
      <w:r w:rsidR="00967695" w:rsidRPr="00512F79">
        <w:rPr>
          <w:color w:val="000000" w:themeColor="text1"/>
          <w:sz w:val="22"/>
          <w:szCs w:val="22"/>
          <w:lang w:val="es-ES"/>
        </w:rPr>
        <w:t xml:space="preserve">y </w:t>
      </w:r>
      <w:r w:rsidR="00141240" w:rsidRPr="00806C82">
        <w:rPr>
          <w:i/>
          <w:iCs/>
          <w:color w:val="000000" w:themeColor="text1"/>
          <w:sz w:val="22"/>
          <w:szCs w:val="22"/>
          <w:lang w:val="es-ES"/>
        </w:rPr>
        <w:t>Marconi International University</w:t>
      </w:r>
      <w:r w:rsidR="00141240" w:rsidRPr="00512F79">
        <w:rPr>
          <w:color w:val="000000" w:themeColor="text1"/>
          <w:sz w:val="22"/>
          <w:szCs w:val="22"/>
          <w:lang w:val="es-ES"/>
        </w:rPr>
        <w:t xml:space="preserve"> en Estados Unidos</w:t>
      </w:r>
      <w:r w:rsidR="00967695" w:rsidRPr="00512F79">
        <w:rPr>
          <w:color w:val="000000" w:themeColor="text1"/>
          <w:sz w:val="22"/>
          <w:szCs w:val="22"/>
          <w:lang w:val="es-ES"/>
        </w:rPr>
        <w:t>.</w:t>
      </w:r>
    </w:p>
    <w:p w14:paraId="4E6B1A46" w14:textId="77777777" w:rsidR="00141240" w:rsidRPr="00512F79" w:rsidRDefault="00141240" w:rsidP="00CB030B">
      <w:pPr>
        <w:pStyle w:val="ListParagraph"/>
        <w:ind w:left="1440" w:hanging="720"/>
        <w:rPr>
          <w:rFonts w:eastAsia="Cambria"/>
          <w:color w:val="000000" w:themeColor="text1"/>
          <w:sz w:val="22"/>
          <w:szCs w:val="22"/>
          <w:lang w:val="es-ES"/>
        </w:rPr>
      </w:pPr>
    </w:p>
    <w:p w14:paraId="4DA5E6EB" w14:textId="157081A5" w:rsidR="00F4728E" w:rsidRPr="00512F79" w:rsidRDefault="00967695">
      <w:pPr>
        <w:pStyle w:val="ListParagraph"/>
        <w:numPr>
          <w:ilvl w:val="0"/>
          <w:numId w:val="24"/>
        </w:numPr>
        <w:ind w:left="1440" w:hanging="720"/>
        <w:jc w:val="both"/>
        <w:rPr>
          <w:rFonts w:eastAsia="Cambria"/>
          <w:color w:val="000000" w:themeColor="text1"/>
          <w:sz w:val="22"/>
          <w:szCs w:val="22"/>
          <w:lang w:val="es-ES"/>
        </w:rPr>
      </w:pPr>
      <w:r w:rsidRPr="00512F79">
        <w:rPr>
          <w:rFonts w:eastAsia="Cambria"/>
          <w:color w:val="000000" w:themeColor="text1"/>
          <w:sz w:val="22"/>
          <w:szCs w:val="22"/>
          <w:lang w:val="es-ES"/>
        </w:rPr>
        <w:t xml:space="preserve">El </w:t>
      </w:r>
      <w:r w:rsidR="00F02923" w:rsidRPr="00512F79">
        <w:rPr>
          <w:rFonts w:eastAsia="Cambria"/>
          <w:color w:val="000000" w:themeColor="text1"/>
          <w:sz w:val="22"/>
          <w:szCs w:val="22"/>
          <w:lang w:val="es-ES"/>
        </w:rPr>
        <w:t xml:space="preserve">Comité de Selección de Cursos de Desarrollo Profesional del Programa de Becas de Desarrollo Profesional preseleccionó </w:t>
      </w:r>
      <w:r w:rsidRPr="00512F79">
        <w:rPr>
          <w:rFonts w:eastAsia="Cambria"/>
          <w:color w:val="000000" w:themeColor="text1"/>
          <w:sz w:val="22"/>
          <w:szCs w:val="22"/>
          <w:lang w:val="es-ES"/>
        </w:rPr>
        <w:t xml:space="preserve">23 propuestas de cursos </w:t>
      </w:r>
      <w:r w:rsidR="00F02923" w:rsidRPr="00512F79">
        <w:rPr>
          <w:rFonts w:eastAsia="Cambria"/>
          <w:color w:val="000000" w:themeColor="text1"/>
          <w:sz w:val="22"/>
          <w:szCs w:val="22"/>
          <w:lang w:val="es-ES"/>
        </w:rPr>
        <w:t xml:space="preserve">(de un total </w:t>
      </w:r>
      <w:r w:rsidRPr="00512F79">
        <w:rPr>
          <w:rFonts w:eastAsia="Cambria"/>
          <w:color w:val="000000" w:themeColor="text1"/>
          <w:sz w:val="22"/>
          <w:szCs w:val="22"/>
          <w:lang w:val="es-ES"/>
        </w:rPr>
        <w:t>de 53</w:t>
      </w:r>
      <w:r w:rsidR="00F02923" w:rsidRPr="00512F79">
        <w:rPr>
          <w:rFonts w:eastAsia="Cambria"/>
          <w:color w:val="000000" w:themeColor="text1"/>
          <w:sz w:val="22"/>
          <w:szCs w:val="22"/>
          <w:lang w:val="es-ES"/>
        </w:rPr>
        <w:t xml:space="preserve">) </w:t>
      </w:r>
      <w:r w:rsidRPr="00512F79">
        <w:rPr>
          <w:rFonts w:eastAsia="Cambria"/>
          <w:color w:val="000000" w:themeColor="text1"/>
          <w:sz w:val="22"/>
          <w:szCs w:val="22"/>
          <w:lang w:val="es-ES"/>
        </w:rPr>
        <w:t xml:space="preserve">recibidas de </w:t>
      </w:r>
      <w:r w:rsidR="00F02923" w:rsidRPr="00512F79">
        <w:rPr>
          <w:rFonts w:eastAsia="Cambria"/>
          <w:color w:val="000000" w:themeColor="text1"/>
          <w:sz w:val="22"/>
          <w:szCs w:val="22"/>
          <w:lang w:val="es-ES"/>
        </w:rPr>
        <w:t xml:space="preserve">diecisiete </w:t>
      </w:r>
      <w:r w:rsidRPr="00512F79">
        <w:rPr>
          <w:rFonts w:eastAsia="Cambria"/>
          <w:color w:val="000000" w:themeColor="text1"/>
          <w:sz w:val="22"/>
          <w:szCs w:val="22"/>
          <w:lang w:val="es-ES"/>
        </w:rPr>
        <w:t xml:space="preserve">instituciones diferentes de ocho </w:t>
      </w:r>
      <w:r w:rsidR="00006284">
        <w:rPr>
          <w:rFonts w:eastAsia="Cambria"/>
          <w:color w:val="000000" w:themeColor="text1"/>
          <w:sz w:val="22"/>
          <w:szCs w:val="22"/>
          <w:lang w:val="es-ES"/>
        </w:rPr>
        <w:t>Estados Miembros</w:t>
      </w:r>
      <w:r w:rsidR="00C67D84" w:rsidRPr="00512F79">
        <w:rPr>
          <w:rFonts w:eastAsia="Cambria"/>
          <w:color w:val="000000" w:themeColor="text1"/>
          <w:sz w:val="22"/>
          <w:szCs w:val="22"/>
          <w:lang w:val="es-ES"/>
        </w:rPr>
        <w:t xml:space="preserve"> de </w:t>
      </w:r>
      <w:r w:rsidRPr="00512F79">
        <w:rPr>
          <w:rFonts w:eastAsia="Cambria"/>
          <w:color w:val="000000" w:themeColor="text1"/>
          <w:sz w:val="22"/>
          <w:szCs w:val="22"/>
          <w:lang w:val="es-ES"/>
        </w:rPr>
        <w:t>la OEA (Argentina, Brasil, Chile,</w:t>
      </w:r>
      <w:r w:rsidR="00006284">
        <w:rPr>
          <w:rFonts w:eastAsia="Cambria"/>
          <w:color w:val="000000" w:themeColor="text1"/>
          <w:sz w:val="22"/>
          <w:szCs w:val="22"/>
          <w:lang w:val="es-ES"/>
        </w:rPr>
        <w:t xml:space="preserve"> Estados Unidos,</w:t>
      </w:r>
      <w:r w:rsidRPr="00512F79">
        <w:rPr>
          <w:rFonts w:eastAsia="Cambria"/>
          <w:color w:val="000000" w:themeColor="text1"/>
          <w:sz w:val="22"/>
          <w:szCs w:val="22"/>
          <w:lang w:val="es-ES"/>
        </w:rPr>
        <w:t xml:space="preserve"> México, Perú, Trinidad y Tobago</w:t>
      </w:r>
      <w:r w:rsidR="00006284">
        <w:rPr>
          <w:rFonts w:eastAsia="Cambria"/>
          <w:color w:val="000000" w:themeColor="text1"/>
          <w:sz w:val="22"/>
          <w:szCs w:val="22"/>
          <w:lang w:val="es-ES"/>
        </w:rPr>
        <w:t>,</w:t>
      </w:r>
      <w:r w:rsidR="00F02923" w:rsidRPr="00512F79">
        <w:rPr>
          <w:rFonts w:eastAsia="Cambria"/>
          <w:color w:val="000000" w:themeColor="text1"/>
          <w:sz w:val="22"/>
          <w:szCs w:val="22"/>
          <w:lang w:val="es-ES"/>
        </w:rPr>
        <w:t xml:space="preserve"> </w:t>
      </w:r>
      <w:r w:rsidRPr="00512F79">
        <w:rPr>
          <w:rFonts w:eastAsia="Cambria"/>
          <w:color w:val="000000" w:themeColor="text1"/>
          <w:sz w:val="22"/>
          <w:szCs w:val="22"/>
          <w:lang w:val="es-ES"/>
        </w:rPr>
        <w:t>y Uruguay) y tres países observadores permanentes de la OEA (China, España e Italia).</w:t>
      </w:r>
    </w:p>
    <w:p w14:paraId="74F5E007" w14:textId="77777777" w:rsidR="00141240" w:rsidRPr="00512F79" w:rsidRDefault="00141240" w:rsidP="00CB030B">
      <w:pPr>
        <w:pStyle w:val="ListParagraph"/>
        <w:jc w:val="both"/>
        <w:rPr>
          <w:rFonts w:eastAsia="Cambria"/>
          <w:color w:val="000000" w:themeColor="text1"/>
          <w:sz w:val="22"/>
          <w:szCs w:val="22"/>
          <w:lang w:val="es-ES"/>
        </w:rPr>
      </w:pPr>
    </w:p>
    <w:p w14:paraId="7098A068" w14:textId="53E95268" w:rsidR="00F4728E" w:rsidRPr="00512F79" w:rsidRDefault="0041346C">
      <w:pPr>
        <w:pStyle w:val="ListParagraph"/>
        <w:numPr>
          <w:ilvl w:val="0"/>
          <w:numId w:val="24"/>
        </w:numPr>
        <w:ind w:left="1440" w:hanging="720"/>
        <w:jc w:val="both"/>
        <w:rPr>
          <w:rFonts w:eastAsia="Cambria"/>
          <w:color w:val="000000" w:themeColor="text1"/>
          <w:sz w:val="22"/>
          <w:szCs w:val="22"/>
          <w:lang w:val="es-ES"/>
        </w:rPr>
      </w:pPr>
      <w:r>
        <w:rPr>
          <w:rFonts w:eastAsia="Cambria"/>
          <w:color w:val="000000" w:themeColor="text1"/>
          <w:sz w:val="22"/>
          <w:szCs w:val="22"/>
          <w:lang w:val="es-ES"/>
        </w:rPr>
        <w:t>En junio de 2023 se impartirá u</w:t>
      </w:r>
      <w:r w:rsidR="00967695" w:rsidRPr="00512F79">
        <w:rPr>
          <w:rFonts w:eastAsia="Cambria"/>
          <w:color w:val="000000" w:themeColor="text1"/>
          <w:sz w:val="22"/>
          <w:szCs w:val="22"/>
          <w:lang w:val="es-ES"/>
        </w:rPr>
        <w:t xml:space="preserve">n total de </w:t>
      </w:r>
      <w:r w:rsidR="00F02923" w:rsidRPr="00512F79">
        <w:rPr>
          <w:rFonts w:eastAsia="Cambria"/>
          <w:color w:val="000000" w:themeColor="text1"/>
          <w:sz w:val="22"/>
          <w:szCs w:val="22"/>
          <w:lang w:val="es-ES"/>
        </w:rPr>
        <w:t xml:space="preserve">siete </w:t>
      </w:r>
      <w:r w:rsidR="00967695" w:rsidRPr="00512F79">
        <w:rPr>
          <w:rFonts w:eastAsia="Cambria"/>
          <w:color w:val="000000" w:themeColor="text1"/>
          <w:sz w:val="22"/>
          <w:szCs w:val="22"/>
          <w:lang w:val="es-ES"/>
        </w:rPr>
        <w:t xml:space="preserve">cursos </w:t>
      </w:r>
      <w:r w:rsidR="00F02923" w:rsidRPr="00512F79">
        <w:rPr>
          <w:rFonts w:eastAsia="Cambria"/>
          <w:color w:val="000000" w:themeColor="text1"/>
          <w:sz w:val="22"/>
          <w:szCs w:val="22"/>
          <w:lang w:val="es-ES"/>
        </w:rPr>
        <w:t xml:space="preserve">del Programa de Becas para el Desarrollo Profesional </w:t>
      </w:r>
      <w:r>
        <w:rPr>
          <w:rFonts w:eastAsia="Cambria"/>
          <w:color w:val="000000" w:themeColor="text1"/>
          <w:sz w:val="22"/>
          <w:szCs w:val="22"/>
          <w:lang w:val="es-ES"/>
        </w:rPr>
        <w:t xml:space="preserve">que están en consonancia </w:t>
      </w:r>
      <w:r w:rsidR="00967695" w:rsidRPr="00512F79">
        <w:rPr>
          <w:rFonts w:eastAsia="Cambria"/>
          <w:color w:val="000000" w:themeColor="text1"/>
          <w:sz w:val="22"/>
          <w:szCs w:val="22"/>
          <w:lang w:val="es-ES"/>
        </w:rPr>
        <w:t>con las prioridades de los países de la OEA</w:t>
      </w:r>
      <w:r w:rsidR="008D2331" w:rsidRPr="00512F79">
        <w:rPr>
          <w:rFonts w:eastAsia="Cambria"/>
          <w:color w:val="000000" w:themeColor="text1"/>
          <w:sz w:val="22"/>
          <w:szCs w:val="22"/>
          <w:lang w:val="es-ES"/>
        </w:rPr>
        <w:t>.</w:t>
      </w:r>
    </w:p>
    <w:p w14:paraId="72ADA06D" w14:textId="77777777" w:rsidR="009F53F1" w:rsidRPr="00512F79" w:rsidRDefault="009F53F1" w:rsidP="00CB030B">
      <w:pPr>
        <w:pStyle w:val="ListParagraph"/>
        <w:rPr>
          <w:rFonts w:eastAsia="Cambria"/>
          <w:color w:val="000000" w:themeColor="text1"/>
          <w:sz w:val="22"/>
          <w:szCs w:val="22"/>
          <w:lang w:val="es-ES"/>
        </w:rPr>
      </w:pPr>
    </w:p>
    <w:p w14:paraId="2A4EAA39" w14:textId="77777777"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Cursos 1 y 2 - </w:t>
      </w:r>
      <w:r w:rsidR="00141240" w:rsidRPr="00512F79">
        <w:rPr>
          <w:rFonts w:eastAsia="Cambria"/>
          <w:b/>
          <w:bCs/>
          <w:color w:val="000000" w:themeColor="text1"/>
          <w:sz w:val="22"/>
          <w:szCs w:val="22"/>
          <w:lang w:val="es-ES"/>
        </w:rPr>
        <w:t xml:space="preserve">Energías renovables y desarrollo sostenible </w:t>
      </w:r>
      <w:r w:rsidR="00F02923" w:rsidRPr="00512F79">
        <w:rPr>
          <w:rFonts w:eastAsia="Cambria"/>
          <w:color w:val="000000" w:themeColor="text1"/>
          <w:sz w:val="22"/>
          <w:szCs w:val="22"/>
          <w:lang w:val="es-ES"/>
        </w:rPr>
        <w:t>(alto potencial de empleabilidad)</w:t>
      </w:r>
    </w:p>
    <w:p w14:paraId="26E50AAD" w14:textId="715DE285"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Curso 3 - </w:t>
      </w:r>
      <w:r w:rsidR="00141240" w:rsidRPr="00512F79">
        <w:rPr>
          <w:rFonts w:eastAsia="Cambria"/>
          <w:b/>
          <w:bCs/>
          <w:color w:val="000000" w:themeColor="text1"/>
          <w:sz w:val="22"/>
          <w:szCs w:val="22"/>
          <w:lang w:val="es-ES"/>
        </w:rPr>
        <w:t xml:space="preserve">Gestión del riesgo de </w:t>
      </w:r>
      <w:r w:rsidR="00752018">
        <w:rPr>
          <w:rFonts w:eastAsia="Cambria"/>
          <w:b/>
          <w:bCs/>
          <w:color w:val="000000" w:themeColor="text1"/>
          <w:sz w:val="22"/>
          <w:szCs w:val="22"/>
          <w:lang w:val="es-ES"/>
        </w:rPr>
        <w:t>desastres</w:t>
      </w:r>
      <w:r w:rsidR="00141240" w:rsidRPr="00512F79">
        <w:rPr>
          <w:rFonts w:eastAsia="Cambria"/>
          <w:b/>
          <w:bCs/>
          <w:color w:val="000000" w:themeColor="text1"/>
          <w:sz w:val="22"/>
          <w:szCs w:val="22"/>
          <w:lang w:val="es-ES"/>
        </w:rPr>
        <w:t xml:space="preserve"> </w:t>
      </w:r>
      <w:r w:rsidRPr="00512F79">
        <w:rPr>
          <w:rFonts w:eastAsia="Cambria"/>
          <w:color w:val="000000" w:themeColor="text1"/>
          <w:sz w:val="22"/>
          <w:szCs w:val="22"/>
          <w:lang w:val="es-ES"/>
        </w:rPr>
        <w:t xml:space="preserve">(para </w:t>
      </w:r>
      <w:r w:rsidR="00752018">
        <w:rPr>
          <w:rFonts w:eastAsia="Cambria"/>
          <w:color w:val="000000" w:themeColor="text1"/>
          <w:sz w:val="22"/>
          <w:szCs w:val="22"/>
          <w:lang w:val="es-ES"/>
        </w:rPr>
        <w:t>fortalecer</w:t>
      </w:r>
      <w:r w:rsidRPr="00512F79">
        <w:rPr>
          <w:rFonts w:eastAsia="Cambria"/>
          <w:color w:val="000000" w:themeColor="text1"/>
          <w:sz w:val="22"/>
          <w:szCs w:val="22"/>
          <w:lang w:val="es-ES"/>
        </w:rPr>
        <w:t xml:space="preserve"> la capacidad de genera</w:t>
      </w:r>
      <w:r w:rsidR="00752018">
        <w:rPr>
          <w:rFonts w:eastAsia="Cambria"/>
          <w:color w:val="000000" w:themeColor="text1"/>
          <w:sz w:val="22"/>
          <w:szCs w:val="22"/>
          <w:lang w:val="es-ES"/>
        </w:rPr>
        <w:t>r</w:t>
      </w:r>
      <w:r w:rsidRPr="00512F79">
        <w:rPr>
          <w:rFonts w:eastAsia="Cambria"/>
          <w:color w:val="000000" w:themeColor="text1"/>
          <w:sz w:val="22"/>
          <w:szCs w:val="22"/>
          <w:lang w:val="es-ES"/>
        </w:rPr>
        <w:t xml:space="preserve"> proyectos a escala local)</w:t>
      </w:r>
    </w:p>
    <w:p w14:paraId="3BD74AA4" w14:textId="12E8C4C0"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Curso 4 - </w:t>
      </w:r>
      <w:r w:rsidR="00141240" w:rsidRPr="00512F79">
        <w:rPr>
          <w:rFonts w:eastAsia="Cambria"/>
          <w:b/>
          <w:bCs/>
          <w:color w:val="000000" w:themeColor="text1"/>
          <w:sz w:val="22"/>
          <w:szCs w:val="22"/>
          <w:lang w:val="es-ES"/>
        </w:rPr>
        <w:t xml:space="preserve">Recuperación ecológica y desarrollo sostenible </w:t>
      </w:r>
      <w:r w:rsidRPr="00512F79">
        <w:rPr>
          <w:rFonts w:eastAsia="Cambria"/>
          <w:color w:val="000000" w:themeColor="text1"/>
          <w:sz w:val="22"/>
          <w:szCs w:val="22"/>
          <w:lang w:val="es-ES"/>
        </w:rPr>
        <w:t xml:space="preserve">(especialmente centrado en el </w:t>
      </w:r>
      <w:r w:rsidR="00141240" w:rsidRPr="00512F79">
        <w:rPr>
          <w:rFonts w:eastAsia="Cambria"/>
          <w:color w:val="000000" w:themeColor="text1"/>
          <w:sz w:val="22"/>
          <w:szCs w:val="22"/>
          <w:lang w:val="es-ES"/>
        </w:rPr>
        <w:t xml:space="preserve">vínculo entre los retos ambientales y </w:t>
      </w:r>
      <w:r w:rsidR="00C844A9">
        <w:rPr>
          <w:rFonts w:eastAsia="Cambria"/>
          <w:color w:val="000000" w:themeColor="text1"/>
          <w:sz w:val="22"/>
          <w:szCs w:val="22"/>
          <w:lang w:val="es-ES"/>
        </w:rPr>
        <w:t>laborales</w:t>
      </w:r>
      <w:r w:rsidR="00141240" w:rsidRPr="00512F79">
        <w:rPr>
          <w:rFonts w:eastAsia="Cambria"/>
          <w:color w:val="000000" w:themeColor="text1"/>
          <w:sz w:val="22"/>
          <w:szCs w:val="22"/>
          <w:lang w:val="es-ES"/>
        </w:rPr>
        <w:t xml:space="preserve">, </w:t>
      </w:r>
      <w:r w:rsidRPr="00512F79">
        <w:rPr>
          <w:rFonts w:eastAsia="Cambria"/>
          <w:color w:val="000000" w:themeColor="text1"/>
          <w:sz w:val="22"/>
          <w:szCs w:val="22"/>
          <w:lang w:val="es-ES"/>
        </w:rPr>
        <w:t xml:space="preserve">y </w:t>
      </w:r>
      <w:r w:rsidR="00141240" w:rsidRPr="00512F79">
        <w:rPr>
          <w:rFonts w:eastAsia="Cambria"/>
          <w:color w:val="000000" w:themeColor="text1"/>
          <w:sz w:val="22"/>
          <w:szCs w:val="22"/>
          <w:lang w:val="es-ES"/>
        </w:rPr>
        <w:t xml:space="preserve">con </w:t>
      </w:r>
      <w:r w:rsidRPr="00512F79">
        <w:rPr>
          <w:rFonts w:eastAsia="Cambria"/>
          <w:color w:val="000000" w:themeColor="text1"/>
          <w:sz w:val="22"/>
          <w:szCs w:val="22"/>
          <w:lang w:val="es-ES"/>
        </w:rPr>
        <w:t xml:space="preserve">especial </w:t>
      </w:r>
      <w:r w:rsidR="00141240" w:rsidRPr="00512F79">
        <w:rPr>
          <w:rFonts w:eastAsia="Cambria"/>
          <w:color w:val="000000" w:themeColor="text1"/>
          <w:sz w:val="22"/>
          <w:szCs w:val="22"/>
          <w:lang w:val="es-ES"/>
        </w:rPr>
        <w:t xml:space="preserve">énfasis en la respuesta a </w:t>
      </w:r>
      <w:r w:rsidRPr="00512F79">
        <w:rPr>
          <w:rFonts w:eastAsia="Cambria"/>
          <w:color w:val="000000" w:themeColor="text1"/>
          <w:sz w:val="22"/>
          <w:szCs w:val="22"/>
          <w:lang w:val="es-ES"/>
        </w:rPr>
        <w:t xml:space="preserve">Covid-19 </w:t>
      </w:r>
      <w:r w:rsidR="00141240" w:rsidRPr="00512F79">
        <w:rPr>
          <w:rFonts w:eastAsia="Cambria"/>
          <w:color w:val="000000" w:themeColor="text1"/>
          <w:sz w:val="22"/>
          <w:szCs w:val="22"/>
          <w:lang w:val="es-ES"/>
        </w:rPr>
        <w:t>y su</w:t>
      </w:r>
      <w:r w:rsidR="00C844A9">
        <w:rPr>
          <w:rFonts w:eastAsia="Cambria"/>
          <w:color w:val="000000" w:themeColor="text1"/>
          <w:sz w:val="22"/>
          <w:szCs w:val="22"/>
          <w:lang w:val="es-ES"/>
        </w:rPr>
        <w:t xml:space="preserve"> repercusión</w:t>
      </w:r>
      <w:r w:rsidR="00141240" w:rsidRPr="00512F79">
        <w:rPr>
          <w:rFonts w:eastAsia="Cambria"/>
          <w:color w:val="000000" w:themeColor="text1"/>
          <w:sz w:val="22"/>
          <w:szCs w:val="22"/>
          <w:lang w:val="es-ES"/>
        </w:rPr>
        <w:t xml:space="preserve"> en la economía y el empleo</w:t>
      </w:r>
      <w:r w:rsidR="008D2331" w:rsidRPr="00512F79">
        <w:rPr>
          <w:rFonts w:eastAsia="Cambria"/>
          <w:color w:val="000000" w:themeColor="text1"/>
          <w:sz w:val="22"/>
          <w:szCs w:val="22"/>
          <w:lang w:val="es-ES"/>
        </w:rPr>
        <w:t>)</w:t>
      </w:r>
    </w:p>
    <w:p w14:paraId="4D574D78" w14:textId="43AB363E"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Curso 5 - </w:t>
      </w:r>
      <w:r w:rsidRPr="00512F79">
        <w:rPr>
          <w:rFonts w:eastAsia="Cambria"/>
          <w:b/>
          <w:bCs/>
          <w:color w:val="000000" w:themeColor="text1"/>
          <w:sz w:val="22"/>
          <w:szCs w:val="22"/>
          <w:lang w:val="es-ES"/>
        </w:rPr>
        <w:t xml:space="preserve">Turismo sostenible y desarrollo local en zonas rurales </w:t>
      </w:r>
      <w:r w:rsidRPr="00512F79">
        <w:rPr>
          <w:rFonts w:eastAsia="Cambria"/>
          <w:color w:val="000000" w:themeColor="text1"/>
          <w:sz w:val="22"/>
          <w:szCs w:val="22"/>
          <w:lang w:val="es-ES"/>
        </w:rPr>
        <w:t>(</w:t>
      </w:r>
      <w:r w:rsidR="00C844A9">
        <w:rPr>
          <w:rFonts w:eastAsia="Cambria"/>
          <w:color w:val="000000" w:themeColor="text1"/>
          <w:sz w:val="22"/>
          <w:szCs w:val="22"/>
          <w:lang w:val="es-ES"/>
        </w:rPr>
        <w:t>fortalecer</w:t>
      </w:r>
      <w:r w:rsidR="00141240" w:rsidRPr="00512F79">
        <w:rPr>
          <w:rFonts w:eastAsia="Cambria"/>
          <w:color w:val="000000" w:themeColor="text1"/>
          <w:sz w:val="22"/>
          <w:szCs w:val="22"/>
          <w:lang w:val="es-ES"/>
        </w:rPr>
        <w:t xml:space="preserve"> la capacidad de </w:t>
      </w:r>
      <w:r w:rsidR="00C844A9">
        <w:rPr>
          <w:rFonts w:eastAsia="Cambria"/>
          <w:color w:val="000000" w:themeColor="text1"/>
          <w:sz w:val="22"/>
          <w:szCs w:val="22"/>
          <w:lang w:val="es-ES"/>
        </w:rPr>
        <w:t>elaborar</w:t>
      </w:r>
      <w:r w:rsidR="00141240" w:rsidRPr="00512F79">
        <w:rPr>
          <w:rFonts w:eastAsia="Cambria"/>
          <w:color w:val="000000" w:themeColor="text1"/>
          <w:sz w:val="22"/>
          <w:szCs w:val="22"/>
          <w:lang w:val="es-ES"/>
        </w:rPr>
        <w:t xml:space="preserve"> estrategias de desarrollo local </w:t>
      </w:r>
      <w:r w:rsidRPr="00512F79">
        <w:rPr>
          <w:rFonts w:eastAsia="Cambria"/>
          <w:color w:val="000000" w:themeColor="text1"/>
          <w:sz w:val="22"/>
          <w:szCs w:val="22"/>
          <w:lang w:val="es-ES"/>
        </w:rPr>
        <w:t>para construir modelos de</w:t>
      </w:r>
      <w:r w:rsidR="00141240" w:rsidRPr="00512F79">
        <w:rPr>
          <w:rFonts w:eastAsia="Cambria"/>
          <w:color w:val="000000" w:themeColor="text1"/>
          <w:sz w:val="22"/>
          <w:szCs w:val="22"/>
          <w:lang w:val="es-ES"/>
        </w:rPr>
        <w:t xml:space="preserve"> turismo responsable </w:t>
      </w:r>
      <w:r w:rsidRPr="00512F79">
        <w:rPr>
          <w:rFonts w:eastAsia="Cambria"/>
          <w:color w:val="000000" w:themeColor="text1"/>
          <w:sz w:val="22"/>
          <w:szCs w:val="22"/>
          <w:lang w:val="es-ES"/>
        </w:rPr>
        <w:t xml:space="preserve">que </w:t>
      </w:r>
      <w:r w:rsidR="00141240" w:rsidRPr="00512F79">
        <w:rPr>
          <w:rFonts w:eastAsia="Cambria"/>
          <w:color w:val="000000" w:themeColor="text1"/>
          <w:sz w:val="22"/>
          <w:szCs w:val="22"/>
          <w:lang w:val="es-ES"/>
        </w:rPr>
        <w:t xml:space="preserve">puedan capitalizar </w:t>
      </w:r>
      <w:r w:rsidRPr="00512F79">
        <w:rPr>
          <w:rFonts w:eastAsia="Cambria"/>
          <w:color w:val="000000" w:themeColor="text1"/>
          <w:sz w:val="22"/>
          <w:szCs w:val="22"/>
          <w:lang w:val="es-ES"/>
        </w:rPr>
        <w:t xml:space="preserve">su </w:t>
      </w:r>
      <w:r w:rsidR="00141240" w:rsidRPr="00512F79">
        <w:rPr>
          <w:rFonts w:eastAsia="Cambria"/>
          <w:color w:val="000000" w:themeColor="text1"/>
          <w:sz w:val="22"/>
          <w:szCs w:val="22"/>
          <w:lang w:val="es-ES"/>
        </w:rPr>
        <w:t>inmenso potencial en términos de prosperidad económica, inclusión social y preservación cultural y ambiental</w:t>
      </w:r>
      <w:r w:rsidRPr="00512F79">
        <w:rPr>
          <w:rFonts w:eastAsia="Cambria"/>
          <w:color w:val="000000" w:themeColor="text1"/>
          <w:sz w:val="22"/>
          <w:szCs w:val="22"/>
          <w:lang w:val="es-ES"/>
        </w:rPr>
        <w:t>).</w:t>
      </w:r>
    </w:p>
    <w:p w14:paraId="2943D0E8" w14:textId="39DABA4F"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Curso 6 - </w:t>
      </w:r>
      <w:r w:rsidRPr="00512F79">
        <w:rPr>
          <w:rFonts w:eastAsia="Cambria"/>
          <w:b/>
          <w:bCs/>
          <w:color w:val="000000" w:themeColor="text1"/>
          <w:sz w:val="22"/>
          <w:szCs w:val="22"/>
          <w:lang w:val="es-ES"/>
        </w:rPr>
        <w:t xml:space="preserve">Educación inclusiva </w:t>
      </w:r>
      <w:r w:rsidRPr="00512F79">
        <w:rPr>
          <w:rFonts w:eastAsia="Cambria"/>
          <w:color w:val="000000" w:themeColor="text1"/>
          <w:sz w:val="22"/>
          <w:szCs w:val="22"/>
          <w:lang w:val="es-ES"/>
        </w:rPr>
        <w:t>(fomenta</w:t>
      </w:r>
      <w:r w:rsidR="00693649">
        <w:rPr>
          <w:rFonts w:eastAsia="Cambria"/>
          <w:color w:val="000000" w:themeColor="text1"/>
          <w:sz w:val="22"/>
          <w:szCs w:val="22"/>
          <w:lang w:val="es-ES"/>
        </w:rPr>
        <w:t>r</w:t>
      </w:r>
      <w:r w:rsidRPr="00512F79">
        <w:rPr>
          <w:rFonts w:eastAsia="Cambria"/>
          <w:color w:val="000000" w:themeColor="text1"/>
          <w:sz w:val="22"/>
          <w:szCs w:val="22"/>
          <w:lang w:val="es-ES"/>
        </w:rPr>
        <w:t xml:space="preserve"> el pensamiento crítico sobre </w:t>
      </w:r>
      <w:r w:rsidR="00141240" w:rsidRPr="00512F79">
        <w:rPr>
          <w:rFonts w:eastAsia="Cambria"/>
          <w:color w:val="000000" w:themeColor="text1"/>
          <w:sz w:val="22"/>
          <w:szCs w:val="22"/>
          <w:lang w:val="es-ES"/>
        </w:rPr>
        <w:t xml:space="preserve">herramientas </w:t>
      </w:r>
      <w:r w:rsidRPr="00512F79">
        <w:rPr>
          <w:rFonts w:eastAsia="Cambria"/>
          <w:color w:val="000000" w:themeColor="text1"/>
          <w:sz w:val="22"/>
          <w:szCs w:val="22"/>
          <w:lang w:val="es-ES"/>
        </w:rPr>
        <w:t xml:space="preserve">y </w:t>
      </w:r>
      <w:r w:rsidR="00141240" w:rsidRPr="00512F79">
        <w:rPr>
          <w:rFonts w:eastAsia="Cambria"/>
          <w:color w:val="000000" w:themeColor="text1"/>
          <w:sz w:val="22"/>
          <w:szCs w:val="22"/>
          <w:lang w:val="es-ES"/>
        </w:rPr>
        <w:t xml:space="preserve">estrategias de inclusión eficaces </w:t>
      </w:r>
      <w:r w:rsidRPr="00512F79">
        <w:rPr>
          <w:rFonts w:eastAsia="Cambria"/>
          <w:color w:val="000000" w:themeColor="text1"/>
          <w:sz w:val="22"/>
          <w:szCs w:val="22"/>
          <w:lang w:val="es-ES"/>
        </w:rPr>
        <w:t xml:space="preserve">que promuevan </w:t>
      </w:r>
      <w:r w:rsidR="00141240" w:rsidRPr="00512F79">
        <w:rPr>
          <w:rFonts w:eastAsia="Cambria"/>
          <w:color w:val="000000" w:themeColor="text1"/>
          <w:sz w:val="22"/>
          <w:szCs w:val="22"/>
          <w:lang w:val="es-ES"/>
        </w:rPr>
        <w:t>entornos educativos favorables.</w:t>
      </w:r>
    </w:p>
    <w:p w14:paraId="29B225BB" w14:textId="46FB948B"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Curso 7 - </w:t>
      </w:r>
      <w:r w:rsidRPr="00512F79">
        <w:rPr>
          <w:rFonts w:eastAsia="Cambria"/>
          <w:b/>
          <w:bCs/>
          <w:color w:val="000000" w:themeColor="text1"/>
          <w:sz w:val="22"/>
          <w:szCs w:val="22"/>
          <w:lang w:val="es-ES"/>
        </w:rPr>
        <w:t xml:space="preserve">Introducción a las nuevas tecnologías </w:t>
      </w:r>
      <w:r w:rsidRPr="00512F79">
        <w:rPr>
          <w:rFonts w:eastAsia="Cambria"/>
          <w:color w:val="000000" w:themeColor="text1"/>
          <w:sz w:val="22"/>
          <w:szCs w:val="22"/>
          <w:lang w:val="es-ES"/>
        </w:rPr>
        <w:t>(</w:t>
      </w:r>
      <w:r w:rsidR="00693649">
        <w:rPr>
          <w:rFonts w:eastAsia="Cambria"/>
          <w:color w:val="000000" w:themeColor="text1"/>
          <w:sz w:val="22"/>
          <w:szCs w:val="22"/>
          <w:lang w:val="es-ES"/>
        </w:rPr>
        <w:t>señala</w:t>
      </w:r>
      <w:r w:rsidR="00141240" w:rsidRPr="00512F79">
        <w:rPr>
          <w:rFonts w:eastAsia="Cambria"/>
          <w:color w:val="000000" w:themeColor="text1"/>
          <w:sz w:val="22"/>
          <w:szCs w:val="22"/>
          <w:lang w:val="es-ES"/>
        </w:rPr>
        <w:t xml:space="preserve"> </w:t>
      </w:r>
      <w:r w:rsidRPr="00512F79">
        <w:rPr>
          <w:rFonts w:eastAsia="Cambria"/>
          <w:color w:val="000000" w:themeColor="text1"/>
          <w:sz w:val="22"/>
          <w:szCs w:val="22"/>
          <w:lang w:val="es-ES"/>
        </w:rPr>
        <w:t xml:space="preserve">los </w:t>
      </w:r>
      <w:r w:rsidR="00141240" w:rsidRPr="00512F79">
        <w:rPr>
          <w:rFonts w:eastAsia="Cambria"/>
          <w:color w:val="000000" w:themeColor="text1"/>
          <w:sz w:val="22"/>
          <w:szCs w:val="22"/>
          <w:lang w:val="es-ES"/>
        </w:rPr>
        <w:t xml:space="preserve">beneficios de la transformación digital y describe las tecnologías de la 4ª Revolución Industrial que generarán nuevos modelos </w:t>
      </w:r>
      <w:r w:rsidR="00693649">
        <w:rPr>
          <w:rFonts w:eastAsia="Cambria"/>
          <w:color w:val="000000" w:themeColor="text1"/>
          <w:sz w:val="22"/>
          <w:szCs w:val="22"/>
          <w:lang w:val="es-ES"/>
        </w:rPr>
        <w:t>empresariales</w:t>
      </w:r>
      <w:r w:rsidR="00141240" w:rsidRPr="00512F79">
        <w:rPr>
          <w:rFonts w:eastAsia="Cambria"/>
          <w:color w:val="000000" w:themeColor="text1"/>
          <w:sz w:val="22"/>
          <w:szCs w:val="22"/>
          <w:lang w:val="es-ES"/>
        </w:rPr>
        <w:t xml:space="preserve"> </w:t>
      </w:r>
      <w:r w:rsidRPr="00512F79">
        <w:rPr>
          <w:rFonts w:eastAsia="Cambria"/>
          <w:color w:val="000000" w:themeColor="text1"/>
          <w:sz w:val="22"/>
          <w:szCs w:val="22"/>
          <w:lang w:val="es-ES"/>
        </w:rPr>
        <w:t xml:space="preserve">y </w:t>
      </w:r>
      <w:r w:rsidR="00141240" w:rsidRPr="00512F79">
        <w:rPr>
          <w:rFonts w:eastAsia="Cambria"/>
          <w:color w:val="000000" w:themeColor="text1"/>
          <w:sz w:val="22"/>
          <w:szCs w:val="22"/>
          <w:lang w:val="es-ES"/>
        </w:rPr>
        <w:t xml:space="preserve">nuevos productos/servicios, aumentando </w:t>
      </w:r>
      <w:r w:rsidRPr="00512F79">
        <w:rPr>
          <w:rFonts w:eastAsia="Cambria"/>
          <w:color w:val="000000" w:themeColor="text1"/>
          <w:sz w:val="22"/>
          <w:szCs w:val="22"/>
          <w:lang w:val="es-ES"/>
        </w:rPr>
        <w:t xml:space="preserve">en última instancia </w:t>
      </w:r>
      <w:r w:rsidR="00141240" w:rsidRPr="00512F79">
        <w:rPr>
          <w:rFonts w:eastAsia="Cambria"/>
          <w:color w:val="000000" w:themeColor="text1"/>
          <w:sz w:val="22"/>
          <w:szCs w:val="22"/>
          <w:lang w:val="es-ES"/>
        </w:rPr>
        <w:t>la productividad y generando nuevos puestos de trabajo en la industria</w:t>
      </w:r>
      <w:r w:rsidRPr="00512F79">
        <w:rPr>
          <w:rFonts w:eastAsia="Cambria"/>
          <w:color w:val="000000" w:themeColor="text1"/>
          <w:sz w:val="22"/>
          <w:szCs w:val="22"/>
          <w:lang w:val="es-ES"/>
        </w:rPr>
        <w:t>).</w:t>
      </w:r>
    </w:p>
    <w:p w14:paraId="06EC6487" w14:textId="77777777" w:rsidR="00141240" w:rsidRPr="00512F79" w:rsidRDefault="00141240" w:rsidP="00CB030B">
      <w:pPr>
        <w:pStyle w:val="ListParagraph"/>
        <w:rPr>
          <w:color w:val="000000" w:themeColor="text1"/>
          <w:sz w:val="22"/>
          <w:szCs w:val="22"/>
          <w:lang w:val="es-ES"/>
        </w:rPr>
      </w:pPr>
    </w:p>
    <w:p w14:paraId="325E3B6B" w14:textId="2CEBF8E1" w:rsidR="00F4728E" w:rsidRPr="00512F79" w:rsidRDefault="00967695">
      <w:pPr>
        <w:pStyle w:val="ListParagraph"/>
        <w:numPr>
          <w:ilvl w:val="0"/>
          <w:numId w:val="24"/>
        </w:numPr>
        <w:ind w:left="1440" w:hanging="720"/>
        <w:jc w:val="both"/>
        <w:rPr>
          <w:rFonts w:eastAsia="Cambria"/>
          <w:color w:val="000000" w:themeColor="text1"/>
          <w:sz w:val="22"/>
          <w:szCs w:val="22"/>
          <w:lang w:val="es-ES"/>
        </w:rPr>
      </w:pPr>
      <w:r w:rsidRPr="00512F79">
        <w:rPr>
          <w:rFonts w:eastAsia="Cambria"/>
          <w:color w:val="000000" w:themeColor="text1"/>
          <w:sz w:val="22"/>
          <w:szCs w:val="22"/>
          <w:lang w:val="es-ES"/>
        </w:rPr>
        <w:t xml:space="preserve">El Programa de Becas Académicas recibió </w:t>
      </w:r>
      <w:r w:rsidR="00174DB3" w:rsidRPr="00512F79">
        <w:rPr>
          <w:rFonts w:eastAsia="Cambria"/>
          <w:color w:val="000000" w:themeColor="text1"/>
          <w:sz w:val="22"/>
          <w:szCs w:val="22"/>
          <w:lang w:val="es-ES"/>
        </w:rPr>
        <w:t xml:space="preserve">89 </w:t>
      </w:r>
      <w:r w:rsidRPr="00512F79">
        <w:rPr>
          <w:rFonts w:eastAsia="Cambria"/>
          <w:color w:val="000000" w:themeColor="text1"/>
          <w:sz w:val="22"/>
          <w:szCs w:val="22"/>
          <w:lang w:val="es-ES"/>
        </w:rPr>
        <w:t xml:space="preserve">solicitudes de 28 </w:t>
      </w:r>
      <w:r w:rsidR="005F30B1" w:rsidRPr="00512F79">
        <w:rPr>
          <w:rFonts w:eastAsia="Cambria"/>
          <w:color w:val="000000" w:themeColor="text1"/>
          <w:sz w:val="22"/>
          <w:szCs w:val="22"/>
          <w:lang w:val="es-ES"/>
        </w:rPr>
        <w:t xml:space="preserve">Estados </w:t>
      </w:r>
      <w:r w:rsidR="00693649">
        <w:rPr>
          <w:rFonts w:eastAsia="Cambria"/>
          <w:color w:val="000000" w:themeColor="text1"/>
          <w:sz w:val="22"/>
          <w:szCs w:val="22"/>
          <w:lang w:val="es-ES"/>
        </w:rPr>
        <w:t>M</w:t>
      </w:r>
      <w:r w:rsidR="005F30B1" w:rsidRPr="00512F79">
        <w:rPr>
          <w:rFonts w:eastAsia="Cambria"/>
          <w:color w:val="000000" w:themeColor="text1"/>
          <w:sz w:val="22"/>
          <w:szCs w:val="22"/>
          <w:lang w:val="es-ES"/>
        </w:rPr>
        <w:t xml:space="preserve">iembros </w:t>
      </w:r>
      <w:r w:rsidRPr="00512F79">
        <w:rPr>
          <w:rFonts w:eastAsia="Cambria"/>
          <w:color w:val="000000" w:themeColor="text1"/>
          <w:sz w:val="22"/>
          <w:szCs w:val="22"/>
          <w:lang w:val="es-ES"/>
        </w:rPr>
        <w:t xml:space="preserve">en respuesta a la Convocatoria de Solicitudes de Becas 2022. </w:t>
      </w:r>
      <w:r w:rsidR="00174DB3" w:rsidRPr="00512F79">
        <w:rPr>
          <w:rFonts w:eastAsia="Cambria"/>
          <w:color w:val="000000" w:themeColor="text1"/>
          <w:sz w:val="22"/>
          <w:szCs w:val="22"/>
          <w:lang w:val="es-ES"/>
        </w:rPr>
        <w:t>Se ofrecieron 34 becas</w:t>
      </w:r>
      <w:r w:rsidR="000718FF">
        <w:rPr>
          <w:rFonts w:eastAsia="Cambria"/>
          <w:color w:val="000000" w:themeColor="text1"/>
          <w:sz w:val="22"/>
          <w:szCs w:val="22"/>
          <w:lang w:val="es-ES"/>
        </w:rPr>
        <w:t>. S</w:t>
      </w:r>
      <w:r w:rsidR="00174DB3" w:rsidRPr="00512F79">
        <w:rPr>
          <w:rFonts w:eastAsia="Cambria"/>
          <w:color w:val="000000" w:themeColor="text1"/>
          <w:sz w:val="22"/>
          <w:szCs w:val="22"/>
          <w:lang w:val="es-ES"/>
        </w:rPr>
        <w:t xml:space="preserve">e aceptaron seis ofertas para estudios de grado y 24 ofertas para estudios de posgrado. </w:t>
      </w:r>
    </w:p>
    <w:p w14:paraId="5716EBC6" w14:textId="77777777" w:rsidR="00174DB3" w:rsidRPr="00512F79" w:rsidRDefault="00174DB3" w:rsidP="00CB030B">
      <w:pPr>
        <w:pStyle w:val="ListParagraph"/>
        <w:jc w:val="both"/>
        <w:rPr>
          <w:rFonts w:eastAsia="Cambria"/>
          <w:color w:val="000000" w:themeColor="text1"/>
          <w:sz w:val="22"/>
          <w:szCs w:val="22"/>
          <w:lang w:val="es-ES"/>
        </w:rPr>
      </w:pPr>
    </w:p>
    <w:p w14:paraId="641A5275" w14:textId="70B59A3C"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Se </w:t>
      </w:r>
      <w:r w:rsidR="00693649">
        <w:rPr>
          <w:rFonts w:eastAsia="Cambria"/>
          <w:color w:val="000000" w:themeColor="text1"/>
          <w:sz w:val="22"/>
          <w:szCs w:val="22"/>
          <w:lang w:val="es-ES"/>
        </w:rPr>
        <w:t>otorgaron</w:t>
      </w:r>
      <w:r w:rsidRPr="00512F79">
        <w:rPr>
          <w:rFonts w:eastAsia="Cambria"/>
          <w:color w:val="000000" w:themeColor="text1"/>
          <w:sz w:val="22"/>
          <w:szCs w:val="22"/>
          <w:lang w:val="es-ES"/>
        </w:rPr>
        <w:t xml:space="preserve"> becas académicas para los dos últimos años de estudios universitarios a ciudadanos de los </w:t>
      </w:r>
      <w:r w:rsidR="005F30B1" w:rsidRPr="00512F79">
        <w:rPr>
          <w:rFonts w:eastAsia="Cambria"/>
          <w:color w:val="000000" w:themeColor="text1"/>
          <w:sz w:val="22"/>
          <w:szCs w:val="22"/>
          <w:lang w:val="es-ES"/>
        </w:rPr>
        <w:t xml:space="preserve">Estados </w:t>
      </w:r>
      <w:r w:rsidR="00693649">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w:t>
      </w:r>
      <w:r w:rsidRPr="00512F79">
        <w:rPr>
          <w:rFonts w:eastAsia="Cambria"/>
          <w:color w:val="000000" w:themeColor="text1"/>
          <w:sz w:val="22"/>
          <w:szCs w:val="22"/>
          <w:lang w:val="es-ES"/>
        </w:rPr>
        <w:t>anglófonos del Caribe y Surinam</w:t>
      </w:r>
      <w:r w:rsidR="00693649">
        <w:rPr>
          <w:rFonts w:eastAsia="Cambria"/>
          <w:color w:val="000000" w:themeColor="text1"/>
          <w:sz w:val="22"/>
          <w:szCs w:val="22"/>
          <w:lang w:val="es-ES"/>
        </w:rPr>
        <w:t>e</w:t>
      </w:r>
      <w:r w:rsidRPr="00512F79">
        <w:rPr>
          <w:rFonts w:eastAsia="Cambria"/>
          <w:color w:val="000000" w:themeColor="text1"/>
          <w:sz w:val="22"/>
          <w:szCs w:val="22"/>
          <w:lang w:val="es-ES"/>
        </w:rPr>
        <w:t>.</w:t>
      </w:r>
    </w:p>
    <w:p w14:paraId="60DA437E" w14:textId="3169CF13" w:rsidR="00F4728E" w:rsidRPr="00512F79" w:rsidRDefault="00693649">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 xml:space="preserve">Se otorgaron </w:t>
      </w:r>
      <w:r w:rsidR="00967695" w:rsidRPr="00512F79">
        <w:rPr>
          <w:rFonts w:eastAsia="Cambria"/>
          <w:color w:val="000000" w:themeColor="text1"/>
          <w:sz w:val="22"/>
          <w:szCs w:val="22"/>
          <w:lang w:val="es-ES"/>
        </w:rPr>
        <w:t xml:space="preserve">becas de postgrado para estudios de </w:t>
      </w:r>
      <w:r w:rsidR="00174DB3" w:rsidRPr="00512F79">
        <w:rPr>
          <w:rFonts w:eastAsia="Cambria"/>
          <w:color w:val="000000" w:themeColor="text1"/>
          <w:sz w:val="22"/>
          <w:szCs w:val="22"/>
          <w:lang w:val="es-ES"/>
        </w:rPr>
        <w:t>máster</w:t>
      </w:r>
      <w:r w:rsidR="00967695" w:rsidRPr="00512F79">
        <w:rPr>
          <w:rFonts w:eastAsia="Cambria"/>
          <w:color w:val="000000" w:themeColor="text1"/>
          <w:sz w:val="22"/>
          <w:szCs w:val="22"/>
          <w:lang w:val="es-ES"/>
        </w:rPr>
        <w:t xml:space="preserve">, doctorado y/o investigación de postgrado a ciudadanos de todos los </w:t>
      </w:r>
      <w:r w:rsidR="005F30B1" w:rsidRPr="00512F79">
        <w:rPr>
          <w:rFonts w:eastAsia="Cambria"/>
          <w:color w:val="000000" w:themeColor="text1"/>
          <w:sz w:val="22"/>
          <w:szCs w:val="22"/>
          <w:lang w:val="es-ES"/>
        </w:rPr>
        <w:t xml:space="preserve">Estados </w:t>
      </w:r>
      <w:r>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de </w:t>
      </w:r>
      <w:r w:rsidR="00967695" w:rsidRPr="00512F79">
        <w:rPr>
          <w:rFonts w:eastAsia="Cambria"/>
          <w:color w:val="000000" w:themeColor="text1"/>
          <w:sz w:val="22"/>
          <w:szCs w:val="22"/>
          <w:lang w:val="es-ES"/>
        </w:rPr>
        <w:t>la OEA.</w:t>
      </w:r>
    </w:p>
    <w:p w14:paraId="305C35AE" w14:textId="1DBB477A"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Los beneficiarios de las becas reciben hasta </w:t>
      </w:r>
      <w:r w:rsidR="00423A1C">
        <w:rPr>
          <w:rFonts w:eastAsia="Cambria"/>
          <w:color w:val="000000" w:themeColor="text1"/>
          <w:sz w:val="22"/>
          <w:szCs w:val="22"/>
          <w:lang w:val="es-ES"/>
        </w:rPr>
        <w:t>US$</w:t>
      </w:r>
      <w:r w:rsidRPr="00512F79">
        <w:rPr>
          <w:rFonts w:eastAsia="Cambria"/>
          <w:color w:val="000000" w:themeColor="text1"/>
          <w:sz w:val="22"/>
          <w:szCs w:val="22"/>
          <w:lang w:val="es-ES"/>
        </w:rPr>
        <w:t xml:space="preserve">10.000 por año académico durante un máximo de dos años académicos para cursar estudios en instituciones académicas </w:t>
      </w:r>
      <w:r w:rsidR="00423A1C">
        <w:rPr>
          <w:rFonts w:eastAsia="Cambria"/>
          <w:color w:val="000000" w:themeColor="text1"/>
          <w:sz w:val="22"/>
          <w:szCs w:val="22"/>
          <w:lang w:val="es-ES"/>
        </w:rPr>
        <w:t>prestigiosas</w:t>
      </w:r>
      <w:r w:rsidRPr="00512F79">
        <w:rPr>
          <w:rFonts w:eastAsia="Cambria"/>
          <w:color w:val="000000" w:themeColor="text1"/>
          <w:sz w:val="22"/>
          <w:szCs w:val="22"/>
          <w:lang w:val="es-ES"/>
        </w:rPr>
        <w:t xml:space="preserve"> de </w:t>
      </w:r>
      <w:r w:rsidR="005F30B1" w:rsidRPr="00512F79">
        <w:rPr>
          <w:rFonts w:eastAsia="Cambria"/>
          <w:color w:val="000000" w:themeColor="text1"/>
          <w:sz w:val="22"/>
          <w:szCs w:val="22"/>
          <w:lang w:val="es-ES"/>
        </w:rPr>
        <w:t xml:space="preserve">los Estados </w:t>
      </w:r>
      <w:r w:rsidR="00423A1C">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de </w:t>
      </w:r>
      <w:r w:rsidRPr="00512F79">
        <w:rPr>
          <w:rFonts w:eastAsia="Cambria"/>
          <w:color w:val="000000" w:themeColor="text1"/>
          <w:sz w:val="22"/>
          <w:szCs w:val="22"/>
          <w:lang w:val="es-ES"/>
        </w:rPr>
        <w:t xml:space="preserve">la OEA, </w:t>
      </w:r>
      <w:r w:rsidR="00174DB3" w:rsidRPr="00512F79">
        <w:rPr>
          <w:rFonts w:eastAsia="Cambria"/>
          <w:color w:val="000000" w:themeColor="text1"/>
          <w:sz w:val="22"/>
          <w:szCs w:val="22"/>
          <w:lang w:val="es-ES"/>
        </w:rPr>
        <w:t xml:space="preserve">ya sea en </w:t>
      </w:r>
      <w:r w:rsidRPr="00512F79">
        <w:rPr>
          <w:rFonts w:eastAsia="Cambria"/>
          <w:color w:val="000000" w:themeColor="text1"/>
          <w:sz w:val="22"/>
          <w:szCs w:val="22"/>
          <w:lang w:val="es-ES"/>
        </w:rPr>
        <w:t xml:space="preserve">modalidad presencial, en línea o semipresencial. </w:t>
      </w:r>
    </w:p>
    <w:p w14:paraId="0D62485D" w14:textId="77777777" w:rsidR="00A427C5" w:rsidRPr="00512F79" w:rsidRDefault="00A427C5" w:rsidP="00CB030B">
      <w:pPr>
        <w:jc w:val="both"/>
        <w:rPr>
          <w:rFonts w:ascii="Times New Roman" w:eastAsia="Cambria" w:hAnsi="Times New Roman" w:cs="Times New Roman"/>
          <w:color w:val="000000" w:themeColor="text1"/>
          <w:sz w:val="22"/>
          <w:szCs w:val="22"/>
          <w:lang w:val="es-ES"/>
        </w:rPr>
      </w:pPr>
    </w:p>
    <w:p w14:paraId="5C84262E" w14:textId="141C0673" w:rsidR="00F4728E" w:rsidRPr="000718FF" w:rsidRDefault="004C0712">
      <w:pPr>
        <w:ind w:firstLine="720"/>
        <w:jc w:val="both"/>
        <w:rPr>
          <w:rFonts w:ascii="Times New Roman" w:eastAsia="Cambria" w:hAnsi="Times New Roman" w:cs="Times New Roman"/>
          <w:b/>
          <w:bCs/>
          <w:color w:val="000000" w:themeColor="text1"/>
          <w:sz w:val="22"/>
          <w:szCs w:val="22"/>
          <w:lang w:val="es-ES"/>
        </w:rPr>
      </w:pPr>
      <w:r w:rsidRPr="000718FF">
        <w:rPr>
          <w:rFonts w:ascii="Times New Roman" w:eastAsia="Cambria" w:hAnsi="Times New Roman" w:cs="Times New Roman"/>
          <w:b/>
          <w:bCs/>
          <w:color w:val="000000" w:themeColor="text1"/>
          <w:sz w:val="22"/>
          <w:szCs w:val="22"/>
          <w:lang w:val="es-ES"/>
        </w:rPr>
        <w:t xml:space="preserve">Fondo </w:t>
      </w:r>
      <w:r w:rsidR="00967695" w:rsidRPr="000718FF">
        <w:rPr>
          <w:rFonts w:ascii="Times New Roman" w:eastAsia="Cambria" w:hAnsi="Times New Roman" w:cs="Times New Roman"/>
          <w:b/>
          <w:bCs/>
          <w:color w:val="000000" w:themeColor="text1"/>
          <w:sz w:val="22"/>
          <w:szCs w:val="22"/>
          <w:lang w:val="es-ES"/>
        </w:rPr>
        <w:t>Panamericano Leo S. Rowe</w:t>
      </w:r>
    </w:p>
    <w:p w14:paraId="3817561D" w14:textId="77777777" w:rsidR="003C1314" w:rsidRPr="000718FF" w:rsidRDefault="003C1314" w:rsidP="00CB030B">
      <w:pPr>
        <w:jc w:val="both"/>
        <w:rPr>
          <w:rFonts w:ascii="Times New Roman" w:eastAsia="Cambria" w:hAnsi="Times New Roman" w:cs="Times New Roman"/>
          <w:i/>
          <w:iCs/>
          <w:color w:val="000000" w:themeColor="text1"/>
          <w:sz w:val="22"/>
          <w:szCs w:val="22"/>
          <w:lang w:val="es-ES"/>
        </w:rPr>
      </w:pPr>
    </w:p>
    <w:p w14:paraId="54B9A7F9" w14:textId="6177DFDA" w:rsidR="00F4728E" w:rsidRPr="006E744C" w:rsidRDefault="003C1314">
      <w:pPr>
        <w:pStyle w:val="ListParagraph"/>
        <w:numPr>
          <w:ilvl w:val="0"/>
          <w:numId w:val="24"/>
        </w:numPr>
        <w:ind w:left="1440" w:hanging="720"/>
        <w:jc w:val="both"/>
        <w:rPr>
          <w:rFonts w:eastAsia="Cambria"/>
          <w:color w:val="000000" w:themeColor="text1"/>
          <w:sz w:val="22"/>
          <w:szCs w:val="22"/>
          <w:lang w:val="es-ES"/>
        </w:rPr>
      </w:pPr>
      <w:r w:rsidRPr="00512F79">
        <w:rPr>
          <w:rFonts w:eastAsia="Cambria"/>
          <w:color w:val="000000" w:themeColor="text1"/>
          <w:sz w:val="22"/>
          <w:szCs w:val="22"/>
          <w:lang w:val="es-ES"/>
        </w:rPr>
        <w:t xml:space="preserve">El Fondo Rowe </w:t>
      </w:r>
      <w:r w:rsidR="00967695" w:rsidRPr="00512F79">
        <w:rPr>
          <w:rFonts w:eastAsia="Cambria"/>
          <w:color w:val="000000" w:themeColor="text1"/>
          <w:sz w:val="22"/>
          <w:szCs w:val="22"/>
          <w:lang w:val="es-ES"/>
        </w:rPr>
        <w:t xml:space="preserve">es un programa de préstamos educativos de la OEA que </w:t>
      </w:r>
      <w:r w:rsidRPr="00512F79">
        <w:rPr>
          <w:rFonts w:eastAsia="Cambria"/>
          <w:color w:val="000000" w:themeColor="text1"/>
          <w:sz w:val="22"/>
          <w:szCs w:val="22"/>
          <w:lang w:val="es-ES"/>
        </w:rPr>
        <w:t xml:space="preserve">ayuda a los </w:t>
      </w:r>
      <w:r w:rsidR="00967695" w:rsidRPr="00512F79">
        <w:rPr>
          <w:rFonts w:eastAsia="Cambria"/>
          <w:color w:val="000000" w:themeColor="text1"/>
          <w:sz w:val="22"/>
          <w:szCs w:val="22"/>
          <w:lang w:val="es-ES"/>
        </w:rPr>
        <w:t xml:space="preserve">ciudadanos de América Latina y el Caribe de </w:t>
      </w:r>
      <w:r w:rsidR="005F30B1" w:rsidRPr="00512F79">
        <w:rPr>
          <w:rFonts w:eastAsia="Cambria"/>
          <w:color w:val="000000" w:themeColor="text1"/>
          <w:sz w:val="22"/>
          <w:szCs w:val="22"/>
          <w:lang w:val="es-ES"/>
        </w:rPr>
        <w:t xml:space="preserve">los Estados </w:t>
      </w:r>
      <w:r w:rsidR="006E744C">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w:t>
      </w:r>
      <w:r w:rsidR="00967695" w:rsidRPr="00512F79">
        <w:rPr>
          <w:rFonts w:eastAsia="Cambria"/>
          <w:color w:val="000000" w:themeColor="text1"/>
          <w:sz w:val="22"/>
          <w:szCs w:val="22"/>
          <w:lang w:val="es-ES"/>
        </w:rPr>
        <w:t>de la OEA a financiar sus estudios o investigaciones en universidades acreditadas de los Estados Unidos mediante la concesión de préstamos sin intereses de hasta 15.000 dólares.</w:t>
      </w:r>
      <w:r w:rsidRPr="00512F79">
        <w:rPr>
          <w:rFonts w:eastAsia="Cambria"/>
          <w:color w:val="000000" w:themeColor="text1"/>
          <w:sz w:val="22"/>
          <w:szCs w:val="22"/>
          <w:lang w:val="es-ES"/>
        </w:rPr>
        <w:t xml:space="preserve"> </w:t>
      </w:r>
      <w:r w:rsidRPr="006E744C">
        <w:rPr>
          <w:rFonts w:eastAsia="Cambria"/>
          <w:color w:val="000000" w:themeColor="text1"/>
          <w:sz w:val="22"/>
          <w:szCs w:val="22"/>
          <w:lang w:val="es-ES"/>
        </w:rPr>
        <w:t>En 2022, el fondo:</w:t>
      </w:r>
    </w:p>
    <w:p w14:paraId="70474E36" w14:textId="77777777" w:rsidR="003C1314" w:rsidRPr="006E744C" w:rsidRDefault="003C1314" w:rsidP="00CB030B">
      <w:pPr>
        <w:pStyle w:val="ListParagraph"/>
        <w:jc w:val="both"/>
        <w:rPr>
          <w:rFonts w:eastAsia="Cambria"/>
          <w:color w:val="000000" w:themeColor="text1"/>
          <w:sz w:val="22"/>
          <w:szCs w:val="22"/>
          <w:lang w:val="es-ES"/>
        </w:rPr>
      </w:pPr>
    </w:p>
    <w:p w14:paraId="716DDF8F" w14:textId="00FA1647" w:rsidR="00F4728E" w:rsidRPr="00512F79" w:rsidRDefault="00065AA3">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Administró</w:t>
      </w:r>
      <w:r w:rsidR="00967695" w:rsidRPr="00512F79">
        <w:rPr>
          <w:rFonts w:eastAsia="Cambria"/>
          <w:color w:val="000000" w:themeColor="text1"/>
          <w:sz w:val="22"/>
          <w:szCs w:val="22"/>
          <w:lang w:val="es-ES"/>
        </w:rPr>
        <w:t xml:space="preserve"> una cartera de inversiones de </w:t>
      </w:r>
      <w:r w:rsidR="006E744C">
        <w:rPr>
          <w:rFonts w:eastAsia="Cambria"/>
          <w:color w:val="000000" w:themeColor="text1"/>
          <w:sz w:val="22"/>
          <w:szCs w:val="22"/>
          <w:lang w:val="es-ES"/>
        </w:rPr>
        <w:t>US$</w:t>
      </w:r>
      <w:r w:rsidR="00967695" w:rsidRPr="00512F79">
        <w:rPr>
          <w:rFonts w:eastAsia="Cambria"/>
          <w:color w:val="000000" w:themeColor="text1"/>
          <w:sz w:val="22"/>
          <w:szCs w:val="22"/>
          <w:lang w:val="es-ES"/>
        </w:rPr>
        <w:t>19,4</w:t>
      </w:r>
      <w:r>
        <w:rPr>
          <w:rFonts w:eastAsia="Cambria"/>
          <w:color w:val="000000" w:themeColor="text1"/>
          <w:sz w:val="22"/>
          <w:szCs w:val="22"/>
          <w:lang w:val="es-ES"/>
        </w:rPr>
        <w:t xml:space="preserve"> millones</w:t>
      </w:r>
      <w:r w:rsidR="003C1314" w:rsidRPr="00512F79">
        <w:rPr>
          <w:rFonts w:eastAsia="Cambria"/>
          <w:color w:val="000000" w:themeColor="text1"/>
          <w:sz w:val="22"/>
          <w:szCs w:val="22"/>
          <w:lang w:val="es-ES"/>
        </w:rPr>
        <w:t>.</w:t>
      </w:r>
    </w:p>
    <w:p w14:paraId="1F266491" w14:textId="4E15DAC2"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Administró 377 cuentas de préstamo por valor de </w:t>
      </w:r>
      <w:r w:rsidR="006E744C">
        <w:rPr>
          <w:rFonts w:eastAsia="Cambria"/>
          <w:color w:val="000000" w:themeColor="text1"/>
          <w:sz w:val="22"/>
          <w:szCs w:val="22"/>
          <w:lang w:val="es-ES"/>
        </w:rPr>
        <w:t>US$</w:t>
      </w:r>
      <w:r w:rsidRPr="00512F79">
        <w:rPr>
          <w:rFonts w:eastAsia="Cambria"/>
          <w:color w:val="000000" w:themeColor="text1"/>
          <w:sz w:val="22"/>
          <w:szCs w:val="22"/>
          <w:lang w:val="es-ES"/>
        </w:rPr>
        <w:t xml:space="preserve">2,37 millones con una tasa de </w:t>
      </w:r>
      <w:r w:rsidR="006E744C">
        <w:rPr>
          <w:rFonts w:eastAsia="Cambria"/>
          <w:color w:val="000000" w:themeColor="text1"/>
          <w:sz w:val="22"/>
          <w:szCs w:val="22"/>
          <w:lang w:val="es-ES"/>
        </w:rPr>
        <w:t>penalización</w:t>
      </w:r>
      <w:r w:rsidRPr="00512F79">
        <w:rPr>
          <w:rFonts w:eastAsia="Cambria"/>
          <w:color w:val="000000" w:themeColor="text1"/>
          <w:sz w:val="22"/>
          <w:szCs w:val="22"/>
          <w:lang w:val="es-ES"/>
        </w:rPr>
        <w:t xml:space="preserve"> </w:t>
      </w:r>
      <w:r w:rsidR="003C1314" w:rsidRPr="00512F79">
        <w:rPr>
          <w:rFonts w:eastAsia="Cambria"/>
          <w:color w:val="000000" w:themeColor="text1"/>
          <w:sz w:val="22"/>
          <w:szCs w:val="22"/>
          <w:lang w:val="es-ES"/>
        </w:rPr>
        <w:t>de un solo dígito.</w:t>
      </w:r>
    </w:p>
    <w:p w14:paraId="1EECCCA5" w14:textId="58F0202B" w:rsidR="00F4728E" w:rsidRPr="00512F79" w:rsidRDefault="006E744C">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Otorgó US$</w:t>
      </w:r>
      <w:r w:rsidR="003C1314" w:rsidRPr="00512F79">
        <w:rPr>
          <w:rFonts w:eastAsia="Cambria"/>
          <w:color w:val="000000" w:themeColor="text1"/>
          <w:sz w:val="22"/>
          <w:szCs w:val="22"/>
          <w:lang w:val="es-ES"/>
        </w:rPr>
        <w:t>663</w:t>
      </w:r>
      <w:r w:rsidR="00967695" w:rsidRPr="00512F79">
        <w:rPr>
          <w:rFonts w:eastAsia="Cambria"/>
          <w:color w:val="000000" w:themeColor="text1"/>
          <w:sz w:val="22"/>
          <w:szCs w:val="22"/>
          <w:lang w:val="es-ES"/>
        </w:rPr>
        <w:t xml:space="preserve">.158 en </w:t>
      </w:r>
      <w:r>
        <w:rPr>
          <w:rFonts w:eastAsia="Cambria"/>
          <w:color w:val="000000" w:themeColor="text1"/>
          <w:sz w:val="22"/>
          <w:szCs w:val="22"/>
          <w:lang w:val="es-ES"/>
        </w:rPr>
        <w:t>asistencia financiera</w:t>
      </w:r>
      <w:r w:rsidR="003C1314" w:rsidRPr="00512F79">
        <w:rPr>
          <w:rFonts w:eastAsia="Cambria"/>
          <w:color w:val="000000" w:themeColor="text1"/>
          <w:sz w:val="22"/>
          <w:szCs w:val="22"/>
          <w:lang w:val="es-ES"/>
        </w:rPr>
        <w:t xml:space="preserve">, </w:t>
      </w:r>
      <w:r w:rsidR="00967695" w:rsidRPr="00512F79">
        <w:rPr>
          <w:rFonts w:eastAsia="Cambria"/>
          <w:color w:val="000000" w:themeColor="text1"/>
          <w:sz w:val="22"/>
          <w:szCs w:val="22"/>
          <w:lang w:val="es-ES"/>
        </w:rPr>
        <w:t xml:space="preserve">ayudando a estudiantes internacionales de </w:t>
      </w:r>
      <w:r w:rsidR="003C1314" w:rsidRPr="00512F79">
        <w:rPr>
          <w:rFonts w:eastAsia="Cambria"/>
          <w:color w:val="000000" w:themeColor="text1"/>
          <w:sz w:val="22"/>
          <w:szCs w:val="22"/>
          <w:lang w:val="es-ES"/>
        </w:rPr>
        <w:t xml:space="preserve">diecisiete </w:t>
      </w:r>
      <w:r w:rsidR="00967695" w:rsidRPr="00512F79">
        <w:rPr>
          <w:rFonts w:eastAsia="Cambria"/>
          <w:color w:val="000000" w:themeColor="text1"/>
          <w:sz w:val="22"/>
          <w:szCs w:val="22"/>
          <w:lang w:val="es-ES"/>
        </w:rPr>
        <w:t xml:space="preserve">de los 32 </w:t>
      </w:r>
      <w:r w:rsidR="005F30B1" w:rsidRPr="00512F79">
        <w:rPr>
          <w:rFonts w:eastAsia="Cambria"/>
          <w:color w:val="000000" w:themeColor="text1"/>
          <w:sz w:val="22"/>
          <w:szCs w:val="22"/>
          <w:lang w:val="es-ES"/>
        </w:rPr>
        <w:t xml:space="preserve">Estados </w:t>
      </w:r>
      <w:r>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de </w:t>
      </w:r>
      <w:r w:rsidR="00967695" w:rsidRPr="00512F79">
        <w:rPr>
          <w:rFonts w:eastAsia="Cambria"/>
          <w:color w:val="000000" w:themeColor="text1"/>
          <w:sz w:val="22"/>
          <w:szCs w:val="22"/>
          <w:lang w:val="es-ES"/>
        </w:rPr>
        <w:t>la OEA que cumplen los requisitos.</w:t>
      </w:r>
    </w:p>
    <w:p w14:paraId="7D7391BB" w14:textId="6874B240" w:rsidR="00F4728E" w:rsidRPr="00DB7C48" w:rsidRDefault="00DB7C48">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Ayudó financieramente</w:t>
      </w:r>
      <w:r w:rsidR="00967695" w:rsidRPr="00512F79">
        <w:rPr>
          <w:rFonts w:eastAsia="Cambria"/>
          <w:color w:val="000000" w:themeColor="text1"/>
          <w:sz w:val="22"/>
          <w:szCs w:val="22"/>
          <w:lang w:val="es-ES"/>
        </w:rPr>
        <w:t xml:space="preserve"> a cerca de 100 estudiantes internacionales de la región a cubrir sus gastos de matrícula y </w:t>
      </w:r>
      <w:r w:rsidR="00A305A6">
        <w:rPr>
          <w:rFonts w:eastAsia="Cambria"/>
          <w:color w:val="000000" w:themeColor="text1"/>
          <w:sz w:val="22"/>
          <w:szCs w:val="22"/>
          <w:lang w:val="es-ES"/>
        </w:rPr>
        <w:t>vivienda</w:t>
      </w:r>
      <w:r w:rsidR="00967695" w:rsidRPr="00512F79">
        <w:rPr>
          <w:rFonts w:eastAsia="Cambria"/>
          <w:color w:val="000000" w:themeColor="text1"/>
          <w:sz w:val="22"/>
          <w:szCs w:val="22"/>
          <w:lang w:val="es-ES"/>
        </w:rPr>
        <w:t xml:space="preserve"> mientras estudiaban en universidades </w:t>
      </w:r>
      <w:r w:rsidR="00A305A6">
        <w:rPr>
          <w:rFonts w:eastAsia="Cambria"/>
          <w:color w:val="000000" w:themeColor="text1"/>
          <w:sz w:val="22"/>
          <w:szCs w:val="22"/>
          <w:lang w:val="es-ES"/>
        </w:rPr>
        <w:t xml:space="preserve">en </w:t>
      </w:r>
      <w:r w:rsidR="00967695" w:rsidRPr="00512F79">
        <w:rPr>
          <w:rFonts w:eastAsia="Cambria"/>
          <w:color w:val="000000" w:themeColor="text1"/>
          <w:sz w:val="22"/>
          <w:szCs w:val="22"/>
          <w:lang w:val="es-ES"/>
        </w:rPr>
        <w:t>Estados Unidos.</w:t>
      </w:r>
      <w:r w:rsidR="003C1314" w:rsidRPr="00512F79">
        <w:rPr>
          <w:rFonts w:eastAsia="Cambria"/>
          <w:color w:val="000000" w:themeColor="text1"/>
          <w:sz w:val="22"/>
          <w:szCs w:val="22"/>
          <w:lang w:val="es-ES"/>
        </w:rPr>
        <w:t xml:space="preserve"> </w:t>
      </w:r>
      <w:r w:rsidR="003C1314" w:rsidRPr="00DB7C48">
        <w:rPr>
          <w:rFonts w:eastAsia="Cambria"/>
          <w:color w:val="000000" w:themeColor="text1"/>
          <w:sz w:val="22"/>
          <w:szCs w:val="22"/>
          <w:lang w:val="es-ES"/>
        </w:rPr>
        <w:t>De esos 100:</w:t>
      </w:r>
    </w:p>
    <w:p w14:paraId="55AAB130" w14:textId="77777777" w:rsidR="00F4728E" w:rsidRPr="00512F79" w:rsidRDefault="00967695">
      <w:pPr>
        <w:pStyle w:val="ListParagraph"/>
        <w:numPr>
          <w:ilvl w:val="2"/>
          <w:numId w:val="24"/>
        </w:numPr>
        <w:ind w:left="2520"/>
        <w:jc w:val="both"/>
        <w:rPr>
          <w:rFonts w:eastAsia="Cambria"/>
          <w:color w:val="000000" w:themeColor="text1"/>
          <w:sz w:val="22"/>
          <w:szCs w:val="22"/>
        </w:rPr>
      </w:pPr>
      <w:r w:rsidRPr="00512F79">
        <w:rPr>
          <w:rFonts w:eastAsia="Cambria"/>
          <w:color w:val="000000" w:themeColor="text1"/>
          <w:sz w:val="22"/>
          <w:szCs w:val="22"/>
        </w:rPr>
        <w:t>79 eran estudiantes de posgrado;</w:t>
      </w:r>
    </w:p>
    <w:p w14:paraId="105C5AD4" w14:textId="4CBD3556" w:rsidR="00F4728E" w:rsidRPr="00512F79" w:rsidRDefault="00967695">
      <w:pPr>
        <w:pStyle w:val="ListParagraph"/>
        <w:numPr>
          <w:ilvl w:val="2"/>
          <w:numId w:val="24"/>
        </w:numPr>
        <w:ind w:left="2520"/>
        <w:jc w:val="both"/>
        <w:rPr>
          <w:rFonts w:eastAsia="Cambria"/>
          <w:color w:val="000000" w:themeColor="text1"/>
          <w:sz w:val="22"/>
          <w:szCs w:val="22"/>
        </w:rPr>
      </w:pPr>
      <w:r w:rsidRPr="00512F79">
        <w:rPr>
          <w:rFonts w:eastAsia="Cambria"/>
          <w:color w:val="000000" w:themeColor="text1"/>
          <w:sz w:val="22"/>
          <w:szCs w:val="22"/>
        </w:rPr>
        <w:t>el 48% eran mujeres</w:t>
      </w:r>
      <w:r w:rsidR="006E744C">
        <w:rPr>
          <w:rFonts w:eastAsia="Cambria"/>
          <w:color w:val="000000" w:themeColor="text1"/>
          <w:sz w:val="22"/>
          <w:szCs w:val="22"/>
        </w:rPr>
        <w:t>,</w:t>
      </w:r>
      <w:r w:rsidRPr="00512F79">
        <w:rPr>
          <w:rFonts w:eastAsia="Cambria"/>
          <w:color w:val="000000" w:themeColor="text1"/>
          <w:sz w:val="22"/>
          <w:szCs w:val="22"/>
        </w:rPr>
        <w:t xml:space="preserve"> y</w:t>
      </w:r>
    </w:p>
    <w:p w14:paraId="42152911" w14:textId="050A5670" w:rsidR="00F4728E" w:rsidRPr="00512F79" w:rsidRDefault="00967695">
      <w:pPr>
        <w:pStyle w:val="ListParagraph"/>
        <w:numPr>
          <w:ilvl w:val="2"/>
          <w:numId w:val="24"/>
        </w:numPr>
        <w:ind w:left="2520"/>
        <w:jc w:val="both"/>
        <w:rPr>
          <w:rFonts w:eastAsia="Cambria"/>
          <w:color w:val="000000" w:themeColor="text1"/>
          <w:sz w:val="22"/>
          <w:szCs w:val="22"/>
          <w:lang w:val="es-ES"/>
        </w:rPr>
      </w:pPr>
      <w:r w:rsidRPr="00512F79">
        <w:rPr>
          <w:rFonts w:eastAsia="Cambria"/>
          <w:color w:val="000000" w:themeColor="text1"/>
          <w:sz w:val="22"/>
          <w:szCs w:val="22"/>
          <w:lang w:val="es-ES"/>
        </w:rPr>
        <w:t xml:space="preserve">Todos participaron en estudios </w:t>
      </w:r>
      <w:r w:rsidR="00065AA3">
        <w:rPr>
          <w:rFonts w:eastAsia="Cambria"/>
          <w:color w:val="000000" w:themeColor="text1"/>
          <w:sz w:val="22"/>
          <w:szCs w:val="22"/>
          <w:lang w:val="es-ES"/>
        </w:rPr>
        <w:t>presenciales</w:t>
      </w:r>
      <w:r w:rsidRPr="00512F79">
        <w:rPr>
          <w:rFonts w:eastAsia="Cambria"/>
          <w:color w:val="000000" w:themeColor="text1"/>
          <w:sz w:val="22"/>
          <w:szCs w:val="22"/>
          <w:lang w:val="es-ES"/>
        </w:rPr>
        <w:t xml:space="preserve"> (tradicionales). </w:t>
      </w:r>
    </w:p>
    <w:p w14:paraId="40D557E7" w14:textId="612E982E" w:rsidR="00F4728E" w:rsidRPr="00512F79" w:rsidRDefault="00154113">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Otorgó</w:t>
      </w:r>
      <w:r w:rsidR="00967695" w:rsidRPr="00512F79">
        <w:rPr>
          <w:rFonts w:eastAsia="Cambria"/>
          <w:color w:val="000000" w:themeColor="text1"/>
          <w:sz w:val="22"/>
          <w:szCs w:val="22"/>
          <w:lang w:val="es-ES"/>
        </w:rPr>
        <w:t xml:space="preserve"> préstamos educativos y de emergencia a funcionarios de la </w:t>
      </w:r>
      <w:r w:rsidR="00C67D84" w:rsidRPr="00512F79">
        <w:rPr>
          <w:rFonts w:eastAsia="Cambria"/>
          <w:color w:val="000000" w:themeColor="text1"/>
          <w:sz w:val="22"/>
          <w:szCs w:val="22"/>
          <w:lang w:val="es-ES"/>
        </w:rPr>
        <w:t xml:space="preserve">SG/OEA </w:t>
      </w:r>
      <w:r w:rsidR="00967695" w:rsidRPr="00512F79">
        <w:rPr>
          <w:rFonts w:eastAsia="Cambria"/>
          <w:color w:val="000000" w:themeColor="text1"/>
          <w:sz w:val="22"/>
          <w:szCs w:val="22"/>
          <w:lang w:val="es-ES"/>
        </w:rPr>
        <w:t>para la educación de sus dependientes.</w:t>
      </w:r>
    </w:p>
    <w:p w14:paraId="539A13E1" w14:textId="1525D1B1" w:rsidR="00F4728E" w:rsidRPr="00512F79" w:rsidRDefault="00154113">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Otorgó</w:t>
      </w:r>
      <w:r w:rsidR="00967695" w:rsidRPr="00512F79">
        <w:rPr>
          <w:rFonts w:eastAsia="Cambria"/>
          <w:color w:val="000000" w:themeColor="text1"/>
          <w:sz w:val="22"/>
          <w:szCs w:val="22"/>
          <w:lang w:val="es-ES"/>
        </w:rPr>
        <w:t xml:space="preserve"> becas de ayuda de emergencia </w:t>
      </w:r>
      <w:r w:rsidR="003C1314" w:rsidRPr="00512F79">
        <w:rPr>
          <w:rFonts w:eastAsia="Cambria"/>
          <w:color w:val="000000" w:themeColor="text1"/>
          <w:sz w:val="22"/>
          <w:szCs w:val="22"/>
          <w:lang w:val="es-ES"/>
        </w:rPr>
        <w:t xml:space="preserve">Covid-19 a estudiantes que cursaban estudios en Estados Unidos, ayudando así a compensar los </w:t>
      </w:r>
      <w:r w:rsidR="00967695" w:rsidRPr="00512F79">
        <w:rPr>
          <w:rFonts w:eastAsia="Cambria"/>
          <w:color w:val="000000" w:themeColor="text1"/>
          <w:sz w:val="22"/>
          <w:szCs w:val="22"/>
          <w:lang w:val="es-ES"/>
        </w:rPr>
        <w:t>problemas económicos creados por la pandemia</w:t>
      </w:r>
      <w:r w:rsidR="003C1314" w:rsidRPr="00512F79">
        <w:rPr>
          <w:rFonts w:eastAsia="Cambria"/>
          <w:color w:val="000000" w:themeColor="text1"/>
          <w:sz w:val="22"/>
          <w:szCs w:val="22"/>
          <w:lang w:val="es-ES"/>
        </w:rPr>
        <w:t>.</w:t>
      </w:r>
    </w:p>
    <w:p w14:paraId="58F98C35" w14:textId="516F7AD7" w:rsidR="00F4728E" w:rsidRPr="00512F79" w:rsidRDefault="0049266D">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Continuó</w:t>
      </w:r>
      <w:r w:rsidR="00967695" w:rsidRPr="00512F79">
        <w:rPr>
          <w:rFonts w:eastAsia="Cambria"/>
          <w:color w:val="000000" w:themeColor="text1"/>
          <w:sz w:val="22"/>
          <w:szCs w:val="22"/>
          <w:lang w:val="es-ES"/>
        </w:rPr>
        <w:t xml:space="preserve"> la campaña de recaudación de fondos </w:t>
      </w:r>
      <w:r w:rsidR="0000039D" w:rsidRPr="0000039D">
        <w:rPr>
          <w:rFonts w:eastAsia="Cambria"/>
          <w:b/>
          <w:bCs/>
          <w:color w:val="000000" w:themeColor="text1"/>
          <w:sz w:val="22"/>
          <w:szCs w:val="22"/>
          <w:lang w:val="es-ES"/>
        </w:rPr>
        <w:t>“</w:t>
      </w:r>
      <w:r>
        <w:rPr>
          <w:rFonts w:eastAsia="Cambria"/>
          <w:b/>
          <w:bCs/>
          <w:color w:val="000000" w:themeColor="text1"/>
          <w:sz w:val="22"/>
          <w:szCs w:val="22"/>
          <w:lang w:val="es-ES"/>
        </w:rPr>
        <w:t>Dona a la educación</w:t>
      </w:r>
      <w:r w:rsidR="0000039D">
        <w:rPr>
          <w:rFonts w:eastAsia="Cambria"/>
          <w:b/>
          <w:bCs/>
          <w:color w:val="000000" w:themeColor="text1"/>
          <w:sz w:val="22"/>
          <w:szCs w:val="22"/>
          <w:lang w:val="es-ES"/>
        </w:rPr>
        <w:t>”</w:t>
      </w:r>
      <w:r w:rsidR="009F53F1" w:rsidRPr="00512F79">
        <w:rPr>
          <w:rFonts w:eastAsia="Cambria"/>
          <w:b/>
          <w:bCs/>
          <w:color w:val="000000" w:themeColor="text1"/>
          <w:sz w:val="22"/>
          <w:szCs w:val="22"/>
          <w:lang w:val="es-ES"/>
        </w:rPr>
        <w:t xml:space="preserve"> </w:t>
      </w:r>
      <w:r w:rsidR="00967695" w:rsidRPr="00512F79">
        <w:rPr>
          <w:rFonts w:eastAsia="Cambria"/>
          <w:color w:val="000000" w:themeColor="text1"/>
          <w:sz w:val="22"/>
          <w:szCs w:val="22"/>
          <w:lang w:val="es-ES"/>
        </w:rPr>
        <w:t xml:space="preserve">para </w:t>
      </w:r>
      <w:r w:rsidR="00806C82">
        <w:rPr>
          <w:rFonts w:eastAsia="Cambria"/>
          <w:color w:val="000000" w:themeColor="text1"/>
          <w:sz w:val="22"/>
          <w:szCs w:val="22"/>
          <w:lang w:val="es-ES"/>
        </w:rPr>
        <w:t>aportar</w:t>
      </w:r>
      <w:r w:rsidR="00967695" w:rsidRPr="00512F79">
        <w:rPr>
          <w:rFonts w:eastAsia="Cambria"/>
          <w:color w:val="000000" w:themeColor="text1"/>
          <w:sz w:val="22"/>
          <w:szCs w:val="22"/>
          <w:lang w:val="es-ES"/>
        </w:rPr>
        <w:t xml:space="preserve"> más becas de emergencia.</w:t>
      </w:r>
    </w:p>
    <w:p w14:paraId="7884B58D" w14:textId="0961CA7A" w:rsidR="00F4728E" w:rsidRPr="00512F79" w:rsidRDefault="00967695">
      <w:pPr>
        <w:pStyle w:val="ListParagraph"/>
        <w:numPr>
          <w:ilvl w:val="1"/>
          <w:numId w:val="24"/>
        </w:numPr>
        <w:ind w:left="1980" w:hanging="540"/>
        <w:jc w:val="both"/>
        <w:rPr>
          <w:rFonts w:eastAsia="Cambria"/>
          <w:color w:val="000000" w:themeColor="text1"/>
          <w:sz w:val="22"/>
          <w:szCs w:val="22"/>
          <w:lang w:val="es-ES"/>
        </w:rPr>
      </w:pPr>
      <w:r w:rsidRPr="00512F79">
        <w:rPr>
          <w:rFonts w:eastAsia="Cambria"/>
          <w:color w:val="000000" w:themeColor="text1"/>
          <w:sz w:val="22"/>
          <w:szCs w:val="22"/>
          <w:lang w:val="es-ES"/>
        </w:rPr>
        <w:t xml:space="preserve">En colaboración con otras instituciones relacionadas con la educación superior, </w:t>
      </w:r>
      <w:r w:rsidR="0000039D">
        <w:rPr>
          <w:rFonts w:eastAsia="Cambria"/>
          <w:color w:val="000000" w:themeColor="text1"/>
          <w:sz w:val="22"/>
          <w:szCs w:val="22"/>
          <w:lang w:val="es-ES"/>
        </w:rPr>
        <w:t>se realizaron</w:t>
      </w:r>
      <w:r w:rsidRPr="00512F79">
        <w:rPr>
          <w:rFonts w:eastAsia="Cambria"/>
          <w:color w:val="000000" w:themeColor="text1"/>
          <w:sz w:val="22"/>
          <w:szCs w:val="22"/>
          <w:lang w:val="es-ES"/>
        </w:rPr>
        <w:t xml:space="preserve"> seminarios web para ciudadanos de los </w:t>
      </w:r>
      <w:r w:rsidR="005F30B1" w:rsidRPr="00512F79">
        <w:rPr>
          <w:rFonts w:eastAsia="Cambria"/>
          <w:color w:val="000000" w:themeColor="text1"/>
          <w:sz w:val="22"/>
          <w:szCs w:val="22"/>
          <w:lang w:val="es-ES"/>
        </w:rPr>
        <w:t xml:space="preserve">Estados </w:t>
      </w:r>
      <w:r w:rsidR="0000039D">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de </w:t>
      </w:r>
      <w:r w:rsidRPr="00512F79">
        <w:rPr>
          <w:rFonts w:eastAsia="Cambria"/>
          <w:color w:val="000000" w:themeColor="text1"/>
          <w:sz w:val="22"/>
          <w:szCs w:val="22"/>
          <w:lang w:val="es-ES"/>
        </w:rPr>
        <w:t>la OEA.</w:t>
      </w:r>
    </w:p>
    <w:p w14:paraId="1635DC6F" w14:textId="3B45BE24" w:rsidR="00F4728E" w:rsidRPr="00512F79" w:rsidRDefault="0000039D">
      <w:pPr>
        <w:pStyle w:val="ListParagraph"/>
        <w:numPr>
          <w:ilvl w:val="1"/>
          <w:numId w:val="24"/>
        </w:numPr>
        <w:ind w:left="1980" w:hanging="540"/>
        <w:jc w:val="both"/>
        <w:rPr>
          <w:rFonts w:eastAsia="Cambria"/>
          <w:color w:val="000000" w:themeColor="text1"/>
          <w:sz w:val="22"/>
          <w:szCs w:val="22"/>
          <w:lang w:val="es-ES"/>
        </w:rPr>
      </w:pPr>
      <w:r>
        <w:rPr>
          <w:rFonts w:eastAsia="Cambria"/>
          <w:color w:val="000000" w:themeColor="text1"/>
          <w:sz w:val="22"/>
          <w:szCs w:val="22"/>
          <w:lang w:val="es-ES"/>
        </w:rPr>
        <w:t>Se organizaron s</w:t>
      </w:r>
      <w:r w:rsidR="00967695" w:rsidRPr="00512F79">
        <w:rPr>
          <w:rFonts w:eastAsia="Cambria"/>
          <w:color w:val="000000" w:themeColor="text1"/>
          <w:sz w:val="22"/>
          <w:szCs w:val="22"/>
          <w:lang w:val="es-ES"/>
        </w:rPr>
        <w:t>eminarios web en colaboración con instituciones relacionadas con la enseñanza superior.</w:t>
      </w:r>
    </w:p>
    <w:p w14:paraId="26F01CAE" w14:textId="77777777" w:rsidR="00F21F21" w:rsidRPr="00512F79" w:rsidRDefault="00F21F21" w:rsidP="00CB030B">
      <w:pPr>
        <w:contextualSpacing/>
        <w:jc w:val="both"/>
        <w:rPr>
          <w:rFonts w:ascii="Times New Roman" w:eastAsia="Calibri" w:hAnsi="Times New Roman" w:cs="Times New Roman"/>
          <w:i/>
          <w:iCs/>
          <w:color w:val="000000" w:themeColor="text1"/>
          <w:sz w:val="22"/>
          <w:szCs w:val="22"/>
          <w:lang w:val="es-ES"/>
        </w:rPr>
      </w:pPr>
    </w:p>
    <w:p w14:paraId="2B564BB1" w14:textId="77777777" w:rsidR="00F4728E" w:rsidRPr="00512F79" w:rsidRDefault="00967695">
      <w:pPr>
        <w:ind w:firstLine="720"/>
        <w:contextualSpacing/>
        <w:jc w:val="both"/>
        <w:rPr>
          <w:rFonts w:ascii="Times New Roman" w:eastAsia="Calibri" w:hAnsi="Times New Roman" w:cs="Times New Roman"/>
          <w:b/>
          <w:bCs/>
          <w:color w:val="000000" w:themeColor="text1"/>
          <w:sz w:val="22"/>
          <w:szCs w:val="22"/>
          <w:lang w:val="es-ES"/>
        </w:rPr>
      </w:pPr>
      <w:r w:rsidRPr="00512F79">
        <w:rPr>
          <w:rFonts w:ascii="Times New Roman" w:eastAsia="Calibri" w:hAnsi="Times New Roman" w:cs="Times New Roman"/>
          <w:b/>
          <w:bCs/>
          <w:color w:val="000000" w:themeColor="text1"/>
          <w:sz w:val="22"/>
          <w:szCs w:val="22"/>
          <w:lang w:val="es-ES"/>
        </w:rPr>
        <w:t>Secretaría de la Comisión Interamericana de Puertos</w:t>
      </w:r>
    </w:p>
    <w:p w14:paraId="29E60B40" w14:textId="77777777" w:rsidR="0094654F" w:rsidRPr="00512F79" w:rsidRDefault="0094654F" w:rsidP="00CB030B">
      <w:pPr>
        <w:contextualSpacing/>
        <w:jc w:val="both"/>
        <w:rPr>
          <w:rFonts w:ascii="Times New Roman" w:hAnsi="Times New Roman" w:cs="Times New Roman"/>
          <w:color w:val="000000" w:themeColor="text1"/>
          <w:sz w:val="22"/>
          <w:szCs w:val="22"/>
          <w:lang w:val="es-ES"/>
        </w:rPr>
      </w:pPr>
    </w:p>
    <w:p w14:paraId="28A29613" w14:textId="68F0EA6F" w:rsidR="00F4728E" w:rsidRPr="00512F79" w:rsidRDefault="00553B25">
      <w:pPr>
        <w:pStyle w:val="ListParagraph"/>
        <w:numPr>
          <w:ilvl w:val="0"/>
          <w:numId w:val="24"/>
        </w:numPr>
        <w:ind w:left="1440" w:hanging="720"/>
        <w:contextualSpacing/>
        <w:jc w:val="both"/>
        <w:rPr>
          <w:rFonts w:eastAsia="Cambria"/>
          <w:color w:val="000000" w:themeColor="text1"/>
          <w:sz w:val="22"/>
          <w:szCs w:val="22"/>
          <w:lang w:val="es-ES"/>
        </w:rPr>
      </w:pPr>
      <w:r>
        <w:rPr>
          <w:rFonts w:eastAsia="Cambria"/>
          <w:color w:val="000000" w:themeColor="text1"/>
          <w:sz w:val="22"/>
          <w:szCs w:val="22"/>
          <w:lang w:val="es-ES"/>
        </w:rPr>
        <w:t>Demostr</w:t>
      </w:r>
      <w:r w:rsidR="00386233">
        <w:rPr>
          <w:rFonts w:eastAsia="Cambria"/>
          <w:color w:val="000000" w:themeColor="text1"/>
          <w:sz w:val="22"/>
          <w:szCs w:val="22"/>
          <w:lang w:val="es-ES"/>
        </w:rPr>
        <w:t>ó</w:t>
      </w:r>
      <w:r>
        <w:rPr>
          <w:rFonts w:eastAsia="Cambria"/>
          <w:color w:val="000000" w:themeColor="text1"/>
          <w:sz w:val="22"/>
          <w:szCs w:val="22"/>
          <w:lang w:val="es-ES"/>
        </w:rPr>
        <w:t xml:space="preserve"> </w:t>
      </w:r>
      <w:r w:rsidR="00967695" w:rsidRPr="00512F79">
        <w:rPr>
          <w:rFonts w:eastAsia="Cambria"/>
          <w:color w:val="000000" w:themeColor="text1"/>
          <w:sz w:val="22"/>
          <w:szCs w:val="22"/>
          <w:lang w:val="es-ES"/>
        </w:rPr>
        <w:t xml:space="preserve">mejores prácticas a 2.038 funcionarios portuarios de 28 </w:t>
      </w:r>
      <w:r w:rsidR="005F30B1" w:rsidRPr="00512F79">
        <w:rPr>
          <w:rFonts w:eastAsia="Cambria"/>
          <w:color w:val="000000" w:themeColor="text1"/>
          <w:sz w:val="22"/>
          <w:szCs w:val="22"/>
          <w:lang w:val="es-ES"/>
        </w:rPr>
        <w:t xml:space="preserve">Estados </w:t>
      </w:r>
      <w:r w:rsidR="00AE6D4F">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w:t>
      </w:r>
      <w:r w:rsidR="00967695" w:rsidRPr="00512F79">
        <w:rPr>
          <w:rFonts w:eastAsia="Cambria"/>
          <w:color w:val="000000" w:themeColor="text1"/>
          <w:sz w:val="22"/>
          <w:szCs w:val="22"/>
          <w:lang w:val="es-ES"/>
        </w:rPr>
        <w:t>de la OEA a través de una serie de doce seminarios web técnicos organizados en colaboración con siete socios estratégicos. Los temas abordados fueron el desarrollo portuario, la igualdad de género, la protección y la seguridad portuarias, las aduanas, los puertos de cruceros, la gestión sostenible, la responsabilidad social y la innovación tecnológica.</w:t>
      </w:r>
    </w:p>
    <w:p w14:paraId="52FFC75B" w14:textId="77777777" w:rsidR="006C0224" w:rsidRPr="00512F79" w:rsidRDefault="006C0224" w:rsidP="00CB030B">
      <w:pPr>
        <w:pStyle w:val="ListParagraph"/>
        <w:ind w:left="1440" w:hanging="720"/>
        <w:jc w:val="both"/>
        <w:rPr>
          <w:rFonts w:eastAsia="Cambria"/>
          <w:color w:val="000000" w:themeColor="text1"/>
          <w:sz w:val="22"/>
          <w:szCs w:val="22"/>
          <w:lang w:val="es-ES"/>
        </w:rPr>
      </w:pPr>
    </w:p>
    <w:p w14:paraId="00642967" w14:textId="2A17A16C" w:rsidR="00F4728E" w:rsidRPr="00512F79" w:rsidRDefault="00386233">
      <w:pPr>
        <w:pStyle w:val="ListParagraph"/>
        <w:numPr>
          <w:ilvl w:val="0"/>
          <w:numId w:val="24"/>
        </w:numPr>
        <w:ind w:left="1440" w:hanging="720"/>
        <w:contextualSpacing/>
        <w:jc w:val="both"/>
        <w:rPr>
          <w:rFonts w:eastAsia="Cambria"/>
          <w:color w:val="000000" w:themeColor="text1"/>
          <w:sz w:val="22"/>
          <w:szCs w:val="22"/>
          <w:lang w:val="es-ES"/>
        </w:rPr>
      </w:pPr>
      <w:r>
        <w:rPr>
          <w:rFonts w:eastAsia="Cambria"/>
          <w:color w:val="000000" w:themeColor="text1"/>
          <w:sz w:val="22"/>
          <w:szCs w:val="22"/>
          <w:lang w:val="es-ES"/>
        </w:rPr>
        <w:t>Celebró</w:t>
      </w:r>
      <w:r w:rsidR="00967695" w:rsidRPr="00512F79">
        <w:rPr>
          <w:rFonts w:eastAsia="Cambria"/>
          <w:color w:val="000000" w:themeColor="text1"/>
          <w:sz w:val="22"/>
          <w:szCs w:val="22"/>
          <w:lang w:val="es-ES"/>
        </w:rPr>
        <w:t xml:space="preserve"> cuatro</w:t>
      </w:r>
      <w:r w:rsidR="00AE6D4F">
        <w:rPr>
          <w:rFonts w:eastAsia="Cambria"/>
          <w:color w:val="000000" w:themeColor="text1"/>
          <w:sz w:val="22"/>
          <w:szCs w:val="22"/>
          <w:lang w:val="es-ES"/>
        </w:rPr>
        <w:t xml:space="preserve"> e</w:t>
      </w:r>
      <w:r w:rsidR="00967695" w:rsidRPr="00512F79">
        <w:rPr>
          <w:rFonts w:eastAsia="Cambria"/>
          <w:color w:val="000000" w:themeColor="text1"/>
          <w:sz w:val="22"/>
          <w:szCs w:val="22"/>
          <w:lang w:val="es-ES"/>
        </w:rPr>
        <w:t xml:space="preserve">ventos </w:t>
      </w:r>
      <w:r w:rsidR="00AE6D4F">
        <w:rPr>
          <w:rFonts w:eastAsia="Cambria"/>
          <w:color w:val="000000" w:themeColor="text1"/>
          <w:sz w:val="22"/>
          <w:szCs w:val="22"/>
          <w:lang w:val="es-ES"/>
        </w:rPr>
        <w:t>h</w:t>
      </w:r>
      <w:r w:rsidR="00967695" w:rsidRPr="00512F79">
        <w:rPr>
          <w:rFonts w:eastAsia="Cambria"/>
          <w:color w:val="000000" w:themeColor="text1"/>
          <w:sz w:val="22"/>
          <w:szCs w:val="22"/>
          <w:lang w:val="es-ES"/>
        </w:rPr>
        <w:t xml:space="preserve">emisféricos en </w:t>
      </w:r>
      <w:r w:rsidR="0094654F" w:rsidRPr="00512F79">
        <w:rPr>
          <w:rFonts w:eastAsia="Cambria"/>
          <w:color w:val="000000" w:themeColor="text1"/>
          <w:sz w:val="22"/>
          <w:szCs w:val="22"/>
          <w:lang w:val="es-ES"/>
        </w:rPr>
        <w:t xml:space="preserve">colaboración </w:t>
      </w:r>
      <w:r w:rsidR="00967695" w:rsidRPr="00512F79">
        <w:rPr>
          <w:rFonts w:eastAsia="Cambria"/>
          <w:color w:val="000000" w:themeColor="text1"/>
          <w:sz w:val="22"/>
          <w:szCs w:val="22"/>
          <w:lang w:val="es-ES"/>
        </w:rPr>
        <w:t xml:space="preserve">con Autoridades Portuarias Nacionales, </w:t>
      </w:r>
      <w:r w:rsidR="0094654F" w:rsidRPr="00512F79">
        <w:rPr>
          <w:rFonts w:eastAsia="Cambria"/>
          <w:color w:val="000000" w:themeColor="text1"/>
          <w:sz w:val="22"/>
          <w:szCs w:val="22"/>
          <w:lang w:val="es-ES"/>
        </w:rPr>
        <w:t xml:space="preserve">presentando </w:t>
      </w:r>
      <w:r w:rsidR="00967695" w:rsidRPr="00512F79">
        <w:rPr>
          <w:rFonts w:eastAsia="Cambria"/>
          <w:color w:val="000000" w:themeColor="text1"/>
          <w:sz w:val="22"/>
          <w:szCs w:val="22"/>
          <w:lang w:val="es-ES"/>
        </w:rPr>
        <w:t xml:space="preserve">a </w:t>
      </w:r>
      <w:r w:rsidR="0094654F" w:rsidRPr="00512F79">
        <w:rPr>
          <w:rFonts w:eastAsia="Cambria"/>
          <w:color w:val="000000" w:themeColor="text1"/>
          <w:sz w:val="22"/>
          <w:szCs w:val="22"/>
          <w:lang w:val="es-ES"/>
        </w:rPr>
        <w:t xml:space="preserve">más de 2.100 </w:t>
      </w:r>
      <w:r w:rsidR="00967695" w:rsidRPr="00512F79">
        <w:rPr>
          <w:rFonts w:eastAsia="Cambria"/>
          <w:color w:val="000000" w:themeColor="text1"/>
          <w:sz w:val="22"/>
          <w:szCs w:val="22"/>
          <w:lang w:val="es-ES"/>
        </w:rPr>
        <w:t xml:space="preserve">funcionarios portuarios de 29 </w:t>
      </w:r>
      <w:r w:rsidR="005F30B1" w:rsidRPr="00512F79">
        <w:rPr>
          <w:rFonts w:eastAsia="Cambria"/>
          <w:color w:val="000000" w:themeColor="text1"/>
          <w:sz w:val="22"/>
          <w:szCs w:val="22"/>
          <w:lang w:val="es-ES"/>
        </w:rPr>
        <w:t xml:space="preserve">Estados </w:t>
      </w:r>
      <w:r w:rsidR="00AE6D4F">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w:t>
      </w:r>
      <w:r w:rsidR="00967695" w:rsidRPr="00512F79">
        <w:rPr>
          <w:rFonts w:eastAsia="Cambria"/>
          <w:color w:val="000000" w:themeColor="text1"/>
          <w:sz w:val="22"/>
          <w:szCs w:val="22"/>
          <w:lang w:val="es-ES"/>
        </w:rPr>
        <w:t>de la OEA prácticas exitosas en Gestión Portuaria Sostenible y Protección Ambiental (México)</w:t>
      </w:r>
      <w:r w:rsidR="0094654F" w:rsidRPr="00512F79">
        <w:rPr>
          <w:rFonts w:eastAsia="Cambria"/>
          <w:color w:val="000000" w:themeColor="text1"/>
          <w:sz w:val="22"/>
          <w:szCs w:val="22"/>
          <w:lang w:val="es-ES"/>
        </w:rPr>
        <w:t xml:space="preserve">; </w:t>
      </w:r>
      <w:r w:rsidR="00AE6D4F">
        <w:rPr>
          <w:rFonts w:eastAsia="Cambria"/>
          <w:color w:val="000000" w:themeColor="text1"/>
          <w:sz w:val="22"/>
          <w:szCs w:val="22"/>
          <w:lang w:val="es-ES"/>
        </w:rPr>
        <w:t xml:space="preserve">Hidrovías, </w:t>
      </w:r>
      <w:r w:rsidR="00967695" w:rsidRPr="00512F79">
        <w:rPr>
          <w:rFonts w:eastAsia="Cambria"/>
          <w:color w:val="000000" w:themeColor="text1"/>
          <w:sz w:val="22"/>
          <w:szCs w:val="22"/>
          <w:lang w:val="es-ES"/>
        </w:rPr>
        <w:t xml:space="preserve">Puertos Interiores y </w:t>
      </w:r>
      <w:r w:rsidR="00AE6D4F">
        <w:rPr>
          <w:rFonts w:eastAsia="Cambria"/>
          <w:color w:val="000000" w:themeColor="text1"/>
          <w:sz w:val="22"/>
          <w:szCs w:val="22"/>
          <w:lang w:val="es-ES"/>
        </w:rPr>
        <w:t xml:space="preserve">de </w:t>
      </w:r>
      <w:r w:rsidR="00967695" w:rsidRPr="00512F79">
        <w:rPr>
          <w:rFonts w:eastAsia="Cambria"/>
          <w:color w:val="000000" w:themeColor="text1"/>
          <w:sz w:val="22"/>
          <w:szCs w:val="22"/>
          <w:lang w:val="es-ES"/>
        </w:rPr>
        <w:t>Cruceros (Argentina)</w:t>
      </w:r>
      <w:r w:rsidR="0094654F" w:rsidRPr="00512F79">
        <w:rPr>
          <w:rFonts w:eastAsia="Cambria"/>
          <w:color w:val="000000" w:themeColor="text1"/>
          <w:sz w:val="22"/>
          <w:szCs w:val="22"/>
          <w:lang w:val="es-ES"/>
        </w:rPr>
        <w:t xml:space="preserve">; </w:t>
      </w:r>
      <w:r w:rsidR="00967695" w:rsidRPr="00512F79">
        <w:rPr>
          <w:rFonts w:eastAsia="Cambria"/>
          <w:color w:val="000000" w:themeColor="text1"/>
          <w:sz w:val="22"/>
          <w:szCs w:val="22"/>
          <w:lang w:val="es-ES"/>
        </w:rPr>
        <w:t xml:space="preserve">Protección </w:t>
      </w:r>
      <w:r w:rsidR="00F522B4">
        <w:rPr>
          <w:rFonts w:eastAsia="Cambria"/>
          <w:color w:val="000000" w:themeColor="text1"/>
          <w:sz w:val="22"/>
          <w:szCs w:val="22"/>
          <w:lang w:val="es-ES"/>
        </w:rPr>
        <w:t xml:space="preserve">y Seguridad </w:t>
      </w:r>
      <w:r w:rsidR="00967695" w:rsidRPr="00512F79">
        <w:rPr>
          <w:rFonts w:eastAsia="Cambria"/>
          <w:color w:val="000000" w:themeColor="text1"/>
          <w:sz w:val="22"/>
          <w:szCs w:val="22"/>
          <w:lang w:val="es-ES"/>
        </w:rPr>
        <w:t>Portuaria</w:t>
      </w:r>
      <w:r w:rsidR="00F522B4">
        <w:rPr>
          <w:rFonts w:eastAsia="Cambria"/>
          <w:color w:val="000000" w:themeColor="text1"/>
          <w:sz w:val="22"/>
          <w:szCs w:val="22"/>
          <w:lang w:val="es-ES"/>
        </w:rPr>
        <w:t>, y</w:t>
      </w:r>
      <w:r w:rsidR="0094654F" w:rsidRPr="00512F79">
        <w:rPr>
          <w:rFonts w:eastAsia="Cambria"/>
          <w:color w:val="000000" w:themeColor="text1"/>
          <w:sz w:val="22"/>
          <w:szCs w:val="22"/>
          <w:lang w:val="es-ES"/>
        </w:rPr>
        <w:t xml:space="preserve"> Relaciones</w:t>
      </w:r>
      <w:r w:rsidR="00967695" w:rsidRPr="00512F79">
        <w:rPr>
          <w:rFonts w:eastAsia="Cambria"/>
          <w:color w:val="000000" w:themeColor="text1"/>
          <w:sz w:val="22"/>
          <w:szCs w:val="22"/>
          <w:lang w:val="es-ES"/>
        </w:rPr>
        <w:t xml:space="preserve"> Puerto-Ciudad (Barbados y </w:t>
      </w:r>
      <w:r w:rsidR="00AE6D4F">
        <w:rPr>
          <w:rFonts w:eastAsia="Cambria"/>
          <w:color w:val="000000" w:themeColor="text1"/>
          <w:sz w:val="22"/>
          <w:szCs w:val="22"/>
          <w:lang w:val="es-ES"/>
        </w:rPr>
        <w:t>Estados Unidos</w:t>
      </w:r>
      <w:r w:rsidR="00967695" w:rsidRPr="00512F79">
        <w:rPr>
          <w:rFonts w:eastAsia="Cambria"/>
          <w:color w:val="000000" w:themeColor="text1"/>
          <w:sz w:val="22"/>
          <w:szCs w:val="22"/>
          <w:lang w:val="es-ES"/>
        </w:rPr>
        <w:t>)</w:t>
      </w:r>
      <w:r w:rsidR="00AE6D4F">
        <w:rPr>
          <w:rFonts w:eastAsia="Cambria"/>
          <w:color w:val="000000" w:themeColor="text1"/>
          <w:sz w:val="22"/>
          <w:szCs w:val="22"/>
          <w:lang w:val="es-ES"/>
        </w:rPr>
        <w:t>,</w:t>
      </w:r>
      <w:r w:rsidR="0094654F" w:rsidRPr="00512F79">
        <w:rPr>
          <w:rFonts w:eastAsia="Cambria"/>
          <w:color w:val="000000" w:themeColor="text1"/>
          <w:sz w:val="22"/>
          <w:szCs w:val="22"/>
          <w:lang w:val="es-ES"/>
        </w:rPr>
        <w:t xml:space="preserve"> y Relaciones</w:t>
      </w:r>
      <w:r w:rsidR="00967695" w:rsidRPr="00512F79">
        <w:rPr>
          <w:rFonts w:eastAsia="Cambria"/>
          <w:color w:val="000000" w:themeColor="text1"/>
          <w:sz w:val="22"/>
          <w:szCs w:val="22"/>
          <w:lang w:val="es-ES"/>
        </w:rPr>
        <w:t xml:space="preserve"> Puerto-Ciudad, Responsabilidad </w:t>
      </w:r>
      <w:r w:rsidR="00912F5D">
        <w:rPr>
          <w:rFonts w:eastAsia="Cambria"/>
          <w:color w:val="000000" w:themeColor="text1"/>
          <w:sz w:val="22"/>
          <w:szCs w:val="22"/>
          <w:lang w:val="es-ES"/>
        </w:rPr>
        <w:t>Social y Equidad de Género</w:t>
      </w:r>
      <w:r w:rsidR="00967695" w:rsidRPr="00512F79">
        <w:rPr>
          <w:rFonts w:eastAsia="Cambria"/>
          <w:color w:val="000000" w:themeColor="text1"/>
          <w:sz w:val="22"/>
          <w:szCs w:val="22"/>
          <w:lang w:val="es-ES"/>
        </w:rPr>
        <w:t xml:space="preserve"> (Perú).</w:t>
      </w:r>
    </w:p>
    <w:p w14:paraId="5A650634" w14:textId="77777777" w:rsidR="006C0224" w:rsidRPr="00512F79" w:rsidRDefault="006C0224" w:rsidP="00CB030B">
      <w:pPr>
        <w:pStyle w:val="ListParagraph"/>
        <w:ind w:left="1440" w:hanging="720"/>
        <w:rPr>
          <w:rFonts w:eastAsia="Cambria"/>
          <w:color w:val="000000" w:themeColor="text1"/>
          <w:sz w:val="22"/>
          <w:szCs w:val="22"/>
          <w:lang w:val="es-ES"/>
        </w:rPr>
      </w:pPr>
    </w:p>
    <w:p w14:paraId="1D95075F" w14:textId="487F9CE9" w:rsidR="00F4728E" w:rsidRPr="00512F79" w:rsidRDefault="00A62A14">
      <w:pPr>
        <w:pStyle w:val="ListParagraph"/>
        <w:numPr>
          <w:ilvl w:val="0"/>
          <w:numId w:val="24"/>
        </w:numPr>
        <w:ind w:left="1440" w:hanging="720"/>
        <w:contextualSpacing/>
        <w:jc w:val="both"/>
        <w:rPr>
          <w:rFonts w:eastAsia="Cambria"/>
          <w:color w:val="000000" w:themeColor="text1"/>
          <w:sz w:val="22"/>
          <w:szCs w:val="22"/>
          <w:lang w:val="es-ES"/>
        </w:rPr>
      </w:pPr>
      <w:r>
        <w:rPr>
          <w:rFonts w:eastAsia="Cambria"/>
          <w:color w:val="000000" w:themeColor="text1"/>
          <w:sz w:val="22"/>
          <w:szCs w:val="22"/>
          <w:lang w:val="es-ES"/>
        </w:rPr>
        <w:t>E</w:t>
      </w:r>
      <w:r w:rsidR="00967695" w:rsidRPr="00512F79">
        <w:rPr>
          <w:rFonts w:eastAsia="Cambria"/>
          <w:color w:val="000000" w:themeColor="text1"/>
          <w:sz w:val="22"/>
          <w:szCs w:val="22"/>
          <w:lang w:val="es-ES"/>
        </w:rPr>
        <w:t xml:space="preserve">n colaboración con la Autoridad Portuaria Nacional de Perú y el Centro Nacional de Capacitación Portuaria de Argentina, </w:t>
      </w:r>
      <w:r>
        <w:rPr>
          <w:rFonts w:eastAsia="Cambria"/>
          <w:color w:val="000000" w:themeColor="text1"/>
          <w:sz w:val="22"/>
          <w:szCs w:val="22"/>
          <w:lang w:val="es-ES"/>
        </w:rPr>
        <w:t>se impartió capacitación</w:t>
      </w:r>
      <w:r w:rsidRPr="00512F79">
        <w:rPr>
          <w:rFonts w:eastAsia="Cambria"/>
          <w:color w:val="000000" w:themeColor="text1"/>
          <w:sz w:val="22"/>
          <w:szCs w:val="22"/>
          <w:lang w:val="es-ES"/>
        </w:rPr>
        <w:t xml:space="preserve"> </w:t>
      </w:r>
      <w:r w:rsidR="00967695" w:rsidRPr="00512F79">
        <w:rPr>
          <w:rFonts w:eastAsia="Cambria"/>
          <w:color w:val="000000" w:themeColor="text1"/>
          <w:sz w:val="22"/>
          <w:szCs w:val="22"/>
          <w:lang w:val="es-ES"/>
        </w:rPr>
        <w:t xml:space="preserve">a 565 </w:t>
      </w:r>
      <w:r>
        <w:rPr>
          <w:rFonts w:eastAsia="Cambria"/>
          <w:color w:val="000000" w:themeColor="text1"/>
          <w:sz w:val="22"/>
          <w:szCs w:val="22"/>
          <w:lang w:val="es-ES"/>
        </w:rPr>
        <w:t xml:space="preserve">funcionarios </w:t>
      </w:r>
      <w:r w:rsidR="00967695" w:rsidRPr="00512F79">
        <w:rPr>
          <w:rFonts w:eastAsia="Cambria"/>
          <w:color w:val="000000" w:themeColor="text1"/>
          <w:sz w:val="22"/>
          <w:szCs w:val="22"/>
          <w:lang w:val="es-ES"/>
        </w:rPr>
        <w:t xml:space="preserve">portuarios de 28 </w:t>
      </w:r>
      <w:r w:rsidR="005F30B1" w:rsidRPr="00512F79">
        <w:rPr>
          <w:rFonts w:eastAsia="Cambria"/>
          <w:color w:val="000000" w:themeColor="text1"/>
          <w:sz w:val="22"/>
          <w:szCs w:val="22"/>
          <w:lang w:val="es-ES"/>
        </w:rPr>
        <w:t xml:space="preserve">Estados </w:t>
      </w:r>
      <w:r w:rsidR="00553B25">
        <w:rPr>
          <w:rFonts w:eastAsia="Cambria"/>
          <w:color w:val="000000" w:themeColor="text1"/>
          <w:sz w:val="22"/>
          <w:szCs w:val="22"/>
          <w:lang w:val="es-ES"/>
        </w:rPr>
        <w:t>M</w:t>
      </w:r>
      <w:r w:rsidR="00C67D84" w:rsidRPr="00512F79">
        <w:rPr>
          <w:rFonts w:eastAsia="Cambria"/>
          <w:color w:val="000000" w:themeColor="text1"/>
          <w:sz w:val="22"/>
          <w:szCs w:val="22"/>
          <w:lang w:val="es-ES"/>
        </w:rPr>
        <w:t xml:space="preserve">iembros de </w:t>
      </w:r>
      <w:r w:rsidR="00967695" w:rsidRPr="00512F79">
        <w:rPr>
          <w:rFonts w:eastAsia="Cambria"/>
          <w:color w:val="000000" w:themeColor="text1"/>
          <w:sz w:val="22"/>
          <w:szCs w:val="22"/>
          <w:lang w:val="es-ES"/>
        </w:rPr>
        <w:t xml:space="preserve">la OEA </w:t>
      </w:r>
      <w:r w:rsidR="00B20338" w:rsidRPr="00512F79">
        <w:rPr>
          <w:rFonts w:eastAsia="Cambria"/>
          <w:color w:val="000000" w:themeColor="text1"/>
          <w:sz w:val="22"/>
          <w:szCs w:val="22"/>
          <w:lang w:val="es-ES"/>
        </w:rPr>
        <w:t xml:space="preserve">en 29 cursos certificados de desarrollo profesional mediante becas por </w:t>
      </w:r>
      <w:r>
        <w:rPr>
          <w:rFonts w:eastAsia="Cambria"/>
          <w:color w:val="000000" w:themeColor="text1"/>
          <w:sz w:val="22"/>
          <w:szCs w:val="22"/>
          <w:lang w:val="es-ES"/>
        </w:rPr>
        <w:t xml:space="preserve">un </w:t>
      </w:r>
      <w:r w:rsidR="00B20338" w:rsidRPr="00512F79">
        <w:rPr>
          <w:rFonts w:eastAsia="Cambria"/>
          <w:color w:val="000000" w:themeColor="text1"/>
          <w:sz w:val="22"/>
          <w:szCs w:val="22"/>
          <w:lang w:val="es-ES"/>
        </w:rPr>
        <w:t xml:space="preserve">valor de </w:t>
      </w:r>
      <w:r w:rsidR="00553B25">
        <w:rPr>
          <w:rFonts w:eastAsia="Cambria"/>
          <w:color w:val="000000" w:themeColor="text1"/>
          <w:sz w:val="22"/>
          <w:szCs w:val="22"/>
          <w:lang w:val="es-ES"/>
        </w:rPr>
        <w:t>US$</w:t>
      </w:r>
      <w:r w:rsidR="00B20338" w:rsidRPr="00512F79">
        <w:rPr>
          <w:rFonts w:eastAsia="Cambria"/>
          <w:color w:val="000000" w:themeColor="text1"/>
          <w:sz w:val="22"/>
          <w:szCs w:val="22"/>
          <w:lang w:val="es-ES"/>
        </w:rPr>
        <w:t>526.950. Los temas incluyeron gestión de proyectos, riesgo en operaciones de transporte marítimo, gestión de recursos humanos, sistema de distribución en logística portuaria, la mujer en la gestión portuaria, seguridad operacional, competitividad portuaria, análisis de datos, concesiones portuarias y toma de decisiones.</w:t>
      </w:r>
    </w:p>
    <w:p w14:paraId="67D375C9" w14:textId="77777777" w:rsidR="00F21F21" w:rsidRPr="00512F79" w:rsidRDefault="00F21F21" w:rsidP="00CB030B">
      <w:pPr>
        <w:pStyle w:val="ListParagraph"/>
        <w:contextualSpacing/>
        <w:jc w:val="both"/>
        <w:rPr>
          <w:rFonts w:eastAsia="Cambria"/>
          <w:color w:val="000000" w:themeColor="text1"/>
          <w:sz w:val="22"/>
          <w:szCs w:val="22"/>
          <w:lang w:val="es-ES"/>
        </w:rPr>
      </w:pPr>
    </w:p>
    <w:p w14:paraId="79488EC4" w14:textId="59052B80" w:rsidR="00F4728E" w:rsidRPr="00512F79" w:rsidRDefault="00967695">
      <w:pPr>
        <w:pStyle w:val="ListParagraph"/>
        <w:numPr>
          <w:ilvl w:val="0"/>
          <w:numId w:val="24"/>
        </w:numPr>
        <w:ind w:left="1440" w:hanging="720"/>
        <w:contextualSpacing/>
        <w:jc w:val="both"/>
        <w:rPr>
          <w:rFonts w:eastAsia="Cambria"/>
          <w:color w:val="000000" w:themeColor="text1"/>
          <w:sz w:val="22"/>
          <w:szCs w:val="22"/>
          <w:lang w:val="es-ES"/>
        </w:rPr>
      </w:pPr>
      <w:r w:rsidRPr="00512F79">
        <w:rPr>
          <w:rFonts w:eastAsia="Cambria"/>
          <w:color w:val="000000" w:themeColor="text1"/>
          <w:sz w:val="22"/>
          <w:szCs w:val="22"/>
          <w:lang w:val="es-ES"/>
        </w:rPr>
        <w:t xml:space="preserve">El personal portuario de </w:t>
      </w:r>
      <w:r w:rsidR="00A62A14">
        <w:rPr>
          <w:rFonts w:eastAsia="Cambria"/>
          <w:color w:val="000000" w:themeColor="text1"/>
          <w:sz w:val="22"/>
          <w:szCs w:val="22"/>
          <w:lang w:val="es-ES"/>
        </w:rPr>
        <w:t>Saint Maarten</w:t>
      </w:r>
      <w:r w:rsidRPr="00512F79">
        <w:rPr>
          <w:rFonts w:eastAsia="Cambria"/>
          <w:color w:val="000000" w:themeColor="text1"/>
          <w:sz w:val="22"/>
          <w:szCs w:val="22"/>
          <w:lang w:val="es-ES"/>
        </w:rPr>
        <w:t xml:space="preserve"> también </w:t>
      </w:r>
      <w:r w:rsidR="0050791E">
        <w:rPr>
          <w:rFonts w:eastAsia="Cambria"/>
          <w:color w:val="000000" w:themeColor="text1"/>
          <w:sz w:val="22"/>
          <w:szCs w:val="22"/>
          <w:lang w:val="es-ES"/>
        </w:rPr>
        <w:t>participó en</w:t>
      </w:r>
      <w:r w:rsidRPr="00512F79">
        <w:rPr>
          <w:rFonts w:eastAsia="Cambria"/>
          <w:color w:val="000000" w:themeColor="text1"/>
          <w:sz w:val="22"/>
          <w:szCs w:val="22"/>
          <w:lang w:val="es-ES"/>
        </w:rPr>
        <w:t xml:space="preserve"> estas actividades gracias a un memorando de entendimiento entre </w:t>
      </w:r>
      <w:r w:rsidR="0050791E">
        <w:rPr>
          <w:rFonts w:eastAsia="Cambria"/>
          <w:color w:val="000000" w:themeColor="text1"/>
          <w:sz w:val="22"/>
          <w:szCs w:val="22"/>
          <w:lang w:val="es-ES"/>
        </w:rPr>
        <w:t>la</w:t>
      </w:r>
      <w:r w:rsidRPr="00512F79">
        <w:rPr>
          <w:rFonts w:eastAsia="Cambria"/>
          <w:color w:val="000000" w:themeColor="text1"/>
          <w:sz w:val="22"/>
          <w:szCs w:val="22"/>
          <w:lang w:val="es-ES"/>
        </w:rPr>
        <w:t xml:space="preserve"> CIP y la </w:t>
      </w:r>
      <w:r w:rsidR="006C0224" w:rsidRPr="00512F79">
        <w:rPr>
          <w:rFonts w:eastAsia="Cambria"/>
          <w:color w:val="000000" w:themeColor="text1"/>
          <w:sz w:val="22"/>
          <w:szCs w:val="22"/>
          <w:lang w:val="es-ES"/>
        </w:rPr>
        <w:t>Asociación de Gestión Portuaria del Caribe</w:t>
      </w:r>
      <w:r w:rsidR="004C0712" w:rsidRPr="00512F79">
        <w:rPr>
          <w:rFonts w:eastAsia="Cambria"/>
          <w:color w:val="000000" w:themeColor="text1"/>
          <w:sz w:val="22"/>
          <w:szCs w:val="22"/>
          <w:lang w:val="es-ES"/>
        </w:rPr>
        <w:t>.</w:t>
      </w:r>
    </w:p>
    <w:p w14:paraId="6BF2C3B9" w14:textId="5B4B7609" w:rsidR="00784AE3" w:rsidRPr="00512F79" w:rsidRDefault="00784AE3" w:rsidP="00CB030B">
      <w:pPr>
        <w:rPr>
          <w:rFonts w:ascii="Times New Roman" w:hAnsi="Times New Roman" w:cs="Times New Roman"/>
          <w:sz w:val="22"/>
          <w:szCs w:val="22"/>
          <w:lang w:val="es-ES"/>
        </w:rPr>
      </w:pPr>
    </w:p>
    <w:p w14:paraId="2F20B3D8" w14:textId="77777777" w:rsidR="00A427C5" w:rsidRPr="00512F79" w:rsidRDefault="00A427C5" w:rsidP="00CB030B">
      <w:pPr>
        <w:rPr>
          <w:rFonts w:ascii="Times New Roman" w:hAnsi="Times New Roman" w:cs="Times New Roman"/>
          <w:sz w:val="22"/>
          <w:szCs w:val="22"/>
          <w:lang w:val="es-ES"/>
        </w:rPr>
      </w:pPr>
    </w:p>
    <w:p w14:paraId="6F99F9D3" w14:textId="77777777"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4</w:t>
      </w:r>
    </w:p>
    <w:p w14:paraId="011200FA" w14:textId="22EB1033" w:rsidR="00F4728E" w:rsidRPr="00512F79" w:rsidRDefault="00967695">
      <w:pPr>
        <w:pBdr>
          <w:bottom w:val="single" w:sz="6" w:space="1" w:color="auto"/>
        </w:pBdr>
        <w:rPr>
          <w:rFonts w:ascii="Times New Roman" w:hAnsi="Times New Roman" w:cs="Times New Roman"/>
          <w:sz w:val="22"/>
          <w:szCs w:val="22"/>
          <w:lang w:val="es-ES"/>
        </w:rPr>
      </w:pPr>
      <w:r w:rsidRPr="00512F79">
        <w:rPr>
          <w:rFonts w:ascii="Times New Roman" w:hAnsi="Times New Roman" w:cs="Times New Roman"/>
          <w:sz w:val="22"/>
          <w:szCs w:val="22"/>
          <w:lang w:val="es-ES"/>
        </w:rPr>
        <w:t xml:space="preserve">PROMOVER </w:t>
      </w:r>
      <w:r w:rsidR="00F522B4">
        <w:rPr>
          <w:rFonts w:ascii="Times New Roman" w:hAnsi="Times New Roman" w:cs="Times New Roman"/>
          <w:sz w:val="22"/>
          <w:szCs w:val="22"/>
          <w:lang w:val="es-ES"/>
        </w:rPr>
        <w:t>EL</w:t>
      </w:r>
      <w:r w:rsidRPr="00512F79">
        <w:rPr>
          <w:rFonts w:ascii="Times New Roman" w:hAnsi="Times New Roman" w:cs="Times New Roman"/>
          <w:sz w:val="22"/>
          <w:szCs w:val="22"/>
          <w:lang w:val="es-ES"/>
        </w:rPr>
        <w:t xml:space="preserve"> TRABAJO DECENTE, DIGNO Y PRODUCTIVO PARA TODOS</w:t>
      </w:r>
    </w:p>
    <w:p w14:paraId="4EB46545" w14:textId="799DE80C" w:rsidR="00784AE3" w:rsidRPr="00512F79" w:rsidRDefault="00784AE3" w:rsidP="00CB030B">
      <w:pPr>
        <w:rPr>
          <w:rFonts w:ascii="Times New Roman" w:hAnsi="Times New Roman" w:cs="Times New Roman"/>
          <w:sz w:val="22"/>
          <w:szCs w:val="22"/>
          <w:lang w:val="es-ES"/>
        </w:rPr>
      </w:pPr>
    </w:p>
    <w:p w14:paraId="2ABC2AE6" w14:textId="1D534D61" w:rsidR="00F4728E" w:rsidRPr="00512F79" w:rsidRDefault="008C36DA">
      <w:pPr>
        <w:ind w:firstLine="720"/>
        <w:jc w:val="both"/>
        <w:rPr>
          <w:rFonts w:ascii="Times New Roman" w:hAnsi="Times New Roman" w:cs="Times New Roman"/>
          <w:sz w:val="22"/>
          <w:szCs w:val="22"/>
          <w:lang w:val="es-ES"/>
        </w:rPr>
      </w:pPr>
      <w:r w:rsidRPr="008C36DA">
        <w:rPr>
          <w:rFonts w:ascii="Times New Roman" w:hAnsi="Times New Roman" w:cs="Times New Roman"/>
          <w:sz w:val="22"/>
          <w:szCs w:val="22"/>
          <w:lang w:val="es-US"/>
        </w:rPr>
        <w:t xml:space="preserve">La SEDI refuerza la capacidad de los Estados Miembros para mejorar las condiciones laborales, promover los derechos laborales y crear puestos de trabajo; en esencia, para promover el empleo productivo y el trabajo decente para todos.  </w:t>
      </w:r>
      <w:r w:rsidR="00967695" w:rsidRPr="008C36DA">
        <w:rPr>
          <w:rFonts w:ascii="Times New Roman" w:hAnsi="Times New Roman" w:cs="Times New Roman"/>
          <w:sz w:val="22"/>
          <w:szCs w:val="22"/>
          <w:lang w:val="es-ES"/>
        </w:rPr>
        <w:t>Su</w:t>
      </w:r>
      <w:r w:rsidR="00150B7A" w:rsidRPr="008C36DA">
        <w:rPr>
          <w:rFonts w:ascii="Times New Roman" w:hAnsi="Times New Roman" w:cs="Times New Roman"/>
          <w:sz w:val="22"/>
          <w:szCs w:val="22"/>
          <w:lang w:val="es-ES"/>
        </w:rPr>
        <w:t xml:space="preserve"> labor se centra</w:t>
      </w:r>
      <w:r w:rsidR="00967695" w:rsidRPr="008C36DA">
        <w:rPr>
          <w:rFonts w:ascii="Times New Roman" w:hAnsi="Times New Roman" w:cs="Times New Roman"/>
          <w:sz w:val="22"/>
          <w:szCs w:val="22"/>
          <w:lang w:val="es-ES"/>
        </w:rPr>
        <w:t xml:space="preserve"> en cumplir los mandatos de la Conferencia Interamericana de Ministros de Trabajo (CIMT</w:t>
      </w:r>
      <w:r w:rsidR="00967695" w:rsidRPr="00512F79">
        <w:rPr>
          <w:rFonts w:ascii="Times New Roman" w:hAnsi="Times New Roman" w:cs="Times New Roman"/>
          <w:sz w:val="22"/>
          <w:szCs w:val="22"/>
          <w:lang w:val="es-ES"/>
        </w:rPr>
        <w:t>)</w:t>
      </w:r>
      <w:r w:rsidR="00150B7A">
        <w:rPr>
          <w:rFonts w:ascii="Times New Roman" w:hAnsi="Times New Roman" w:cs="Times New Roman"/>
          <w:sz w:val="22"/>
          <w:szCs w:val="22"/>
          <w:lang w:val="es-ES"/>
        </w:rPr>
        <w:t>, la cual</w:t>
      </w:r>
      <w:r w:rsidR="00967695" w:rsidRPr="00512F79">
        <w:rPr>
          <w:rFonts w:ascii="Times New Roman" w:hAnsi="Times New Roman" w:cs="Times New Roman"/>
          <w:sz w:val="22"/>
          <w:szCs w:val="22"/>
          <w:lang w:val="es-ES"/>
        </w:rPr>
        <w:t xml:space="preserve">, en su última reunión de septiembre de 2021, reconoció las consecuencias negativas de la </w:t>
      </w:r>
      <w:r w:rsidR="00A427C5" w:rsidRPr="00512F79">
        <w:rPr>
          <w:rFonts w:ascii="Times New Roman" w:hAnsi="Times New Roman" w:cs="Times New Roman"/>
          <w:sz w:val="22"/>
          <w:szCs w:val="22"/>
          <w:lang w:val="es-ES"/>
        </w:rPr>
        <w:t xml:space="preserve">pandemia </w:t>
      </w:r>
      <w:r w:rsidR="00967695" w:rsidRPr="00512F79">
        <w:rPr>
          <w:rFonts w:ascii="Times New Roman" w:hAnsi="Times New Roman" w:cs="Times New Roman"/>
          <w:sz w:val="22"/>
          <w:szCs w:val="22"/>
          <w:lang w:val="es-ES"/>
        </w:rPr>
        <w:t xml:space="preserve">en los niveles de empleo, participación laboral y desigualdad. La CIMT también orientó las acciones regionales hacia la construcción de un mundo </w:t>
      </w:r>
      <w:r w:rsidR="00150B7A">
        <w:rPr>
          <w:rFonts w:ascii="Times New Roman" w:hAnsi="Times New Roman" w:cs="Times New Roman"/>
          <w:sz w:val="22"/>
          <w:szCs w:val="22"/>
          <w:lang w:val="es-ES"/>
        </w:rPr>
        <w:t>laboral</w:t>
      </w:r>
      <w:r w:rsidR="00967695" w:rsidRPr="00512F79">
        <w:rPr>
          <w:rFonts w:ascii="Times New Roman" w:hAnsi="Times New Roman" w:cs="Times New Roman"/>
          <w:sz w:val="22"/>
          <w:szCs w:val="22"/>
          <w:lang w:val="es-ES"/>
        </w:rPr>
        <w:t xml:space="preserve"> más resiliente y el logro de una recuperación del empleo sostenible, justa y centrada en las personas. En 2022, las acciones de la SEDI en </w:t>
      </w:r>
      <w:r w:rsidR="00150B7A">
        <w:rPr>
          <w:rFonts w:ascii="Times New Roman" w:hAnsi="Times New Roman" w:cs="Times New Roman"/>
          <w:sz w:val="22"/>
          <w:szCs w:val="22"/>
          <w:lang w:val="es-ES"/>
        </w:rPr>
        <w:t>este sector</w:t>
      </w:r>
      <w:r w:rsidR="00967695" w:rsidRPr="00512F79">
        <w:rPr>
          <w:rFonts w:ascii="Times New Roman" w:hAnsi="Times New Roman" w:cs="Times New Roman"/>
          <w:sz w:val="22"/>
          <w:szCs w:val="22"/>
          <w:lang w:val="es-ES"/>
        </w:rPr>
        <w:t xml:space="preserve">, apoyadas principalmente por la </w:t>
      </w:r>
      <w:r>
        <w:rPr>
          <w:rFonts w:ascii="Times New Roman" w:hAnsi="Times New Roman" w:cs="Times New Roman"/>
          <w:sz w:val="22"/>
          <w:szCs w:val="22"/>
          <w:lang w:val="es-ES"/>
        </w:rPr>
        <w:t>Red Interamericana para la Administración Laboral (</w:t>
      </w:r>
      <w:r w:rsidR="00967695" w:rsidRPr="00512F79">
        <w:rPr>
          <w:rFonts w:ascii="Times New Roman" w:hAnsi="Times New Roman" w:cs="Times New Roman"/>
          <w:sz w:val="22"/>
          <w:szCs w:val="22"/>
          <w:lang w:val="es-ES"/>
        </w:rPr>
        <w:t>RIAL</w:t>
      </w:r>
      <w:r>
        <w:rPr>
          <w:rFonts w:ascii="Times New Roman" w:hAnsi="Times New Roman" w:cs="Times New Roman"/>
          <w:sz w:val="22"/>
          <w:szCs w:val="22"/>
          <w:lang w:val="es-ES"/>
        </w:rPr>
        <w:t>)</w:t>
      </w:r>
      <w:r w:rsidR="00967695" w:rsidRPr="00512F79">
        <w:rPr>
          <w:rFonts w:ascii="Times New Roman" w:hAnsi="Times New Roman" w:cs="Times New Roman"/>
          <w:sz w:val="22"/>
          <w:szCs w:val="22"/>
          <w:lang w:val="es-ES"/>
        </w:rPr>
        <w:t xml:space="preserve">, se centraron en profundizar el diálogo social entre </w:t>
      </w:r>
      <w:r w:rsidR="00150B7A">
        <w:rPr>
          <w:rFonts w:ascii="Times New Roman" w:hAnsi="Times New Roman" w:cs="Times New Roman"/>
          <w:sz w:val="22"/>
          <w:szCs w:val="22"/>
          <w:lang w:val="es-ES"/>
        </w:rPr>
        <w:t>G</w:t>
      </w:r>
      <w:r w:rsidR="00967695" w:rsidRPr="00512F79">
        <w:rPr>
          <w:rFonts w:ascii="Times New Roman" w:hAnsi="Times New Roman" w:cs="Times New Roman"/>
          <w:sz w:val="22"/>
          <w:szCs w:val="22"/>
          <w:lang w:val="es-ES"/>
        </w:rPr>
        <w:t>obiernos, trabajadores y empleadores</w:t>
      </w:r>
      <w:r w:rsidR="00150B7A">
        <w:rPr>
          <w:rFonts w:ascii="Times New Roman" w:hAnsi="Times New Roman" w:cs="Times New Roman"/>
          <w:sz w:val="22"/>
          <w:szCs w:val="22"/>
          <w:lang w:val="es-ES"/>
        </w:rPr>
        <w:t>,</w:t>
      </w:r>
      <w:r w:rsidR="00967695" w:rsidRPr="00512F79">
        <w:rPr>
          <w:rFonts w:ascii="Times New Roman" w:hAnsi="Times New Roman" w:cs="Times New Roman"/>
          <w:sz w:val="22"/>
          <w:szCs w:val="22"/>
          <w:lang w:val="es-ES"/>
        </w:rPr>
        <w:t xml:space="preserve"> y </w:t>
      </w:r>
      <w:r>
        <w:rPr>
          <w:rFonts w:ascii="Times New Roman" w:hAnsi="Times New Roman" w:cs="Times New Roman"/>
          <w:sz w:val="22"/>
          <w:szCs w:val="22"/>
          <w:lang w:val="es-ES"/>
        </w:rPr>
        <w:t xml:space="preserve">en </w:t>
      </w:r>
      <w:r w:rsidR="00967695" w:rsidRPr="00512F79">
        <w:rPr>
          <w:rFonts w:ascii="Times New Roman" w:hAnsi="Times New Roman" w:cs="Times New Roman"/>
          <w:sz w:val="22"/>
          <w:szCs w:val="22"/>
          <w:lang w:val="es-ES"/>
        </w:rPr>
        <w:t xml:space="preserve">fortalecer las capacidades de los Ministerios de Trabajo en </w:t>
      </w:r>
      <w:r w:rsidR="00150B7A">
        <w:rPr>
          <w:rFonts w:ascii="Times New Roman" w:hAnsi="Times New Roman" w:cs="Times New Roman"/>
          <w:sz w:val="22"/>
          <w:szCs w:val="22"/>
          <w:lang w:val="es-ES"/>
        </w:rPr>
        <w:t>su labor de</w:t>
      </w:r>
      <w:r w:rsidR="00967695" w:rsidRPr="00512F79">
        <w:rPr>
          <w:rFonts w:ascii="Times New Roman" w:hAnsi="Times New Roman" w:cs="Times New Roman"/>
          <w:sz w:val="22"/>
          <w:szCs w:val="22"/>
          <w:lang w:val="es-ES"/>
        </w:rPr>
        <w:t xml:space="preserve"> mejorar la inspección laboral, regular el teletrabajo, </w:t>
      </w:r>
      <w:r w:rsidR="00150B7A">
        <w:rPr>
          <w:rFonts w:ascii="Times New Roman" w:hAnsi="Times New Roman" w:cs="Times New Roman"/>
          <w:sz w:val="22"/>
          <w:szCs w:val="22"/>
          <w:lang w:val="es-ES"/>
        </w:rPr>
        <w:t>ofrecer</w:t>
      </w:r>
      <w:r w:rsidR="00967695" w:rsidRPr="00512F79">
        <w:rPr>
          <w:rFonts w:ascii="Times New Roman" w:hAnsi="Times New Roman" w:cs="Times New Roman"/>
          <w:sz w:val="22"/>
          <w:szCs w:val="22"/>
          <w:lang w:val="es-ES"/>
        </w:rPr>
        <w:t xml:space="preserve"> </w:t>
      </w:r>
      <w:r w:rsidR="00A427C5" w:rsidRPr="00512F79">
        <w:rPr>
          <w:rFonts w:ascii="Times New Roman" w:hAnsi="Times New Roman" w:cs="Times New Roman"/>
          <w:sz w:val="22"/>
          <w:szCs w:val="22"/>
          <w:lang w:val="es-ES"/>
        </w:rPr>
        <w:t xml:space="preserve">formación </w:t>
      </w:r>
      <w:r w:rsidR="00967695" w:rsidRPr="00512F79">
        <w:rPr>
          <w:rFonts w:ascii="Times New Roman" w:hAnsi="Times New Roman" w:cs="Times New Roman"/>
          <w:sz w:val="22"/>
          <w:szCs w:val="22"/>
          <w:lang w:val="es-ES"/>
        </w:rPr>
        <w:t>y desarrollar habilidades</w:t>
      </w:r>
      <w:r w:rsidR="00150B7A">
        <w:rPr>
          <w:rFonts w:ascii="Times New Roman" w:hAnsi="Times New Roman" w:cs="Times New Roman"/>
          <w:sz w:val="22"/>
          <w:szCs w:val="22"/>
          <w:lang w:val="es-ES"/>
        </w:rPr>
        <w:t xml:space="preserve"> pertinentes</w:t>
      </w:r>
      <w:r w:rsidR="00967695" w:rsidRPr="00512F79">
        <w:rPr>
          <w:rFonts w:ascii="Times New Roman" w:hAnsi="Times New Roman" w:cs="Times New Roman"/>
          <w:sz w:val="22"/>
          <w:szCs w:val="22"/>
          <w:lang w:val="es-ES"/>
        </w:rPr>
        <w:t xml:space="preserve"> para el mercado laboral, contribuir a una transición de la economía informal a la economía formal, lograr mayor igualdad en el empleo y prevenir la violencia en el trabajo.</w:t>
      </w:r>
    </w:p>
    <w:p w14:paraId="3DD09635" w14:textId="2BEA7D68" w:rsidR="005F30B1" w:rsidRPr="00512F79" w:rsidRDefault="005F30B1" w:rsidP="00CB030B">
      <w:pPr>
        <w:jc w:val="both"/>
        <w:rPr>
          <w:rFonts w:ascii="Times New Roman" w:hAnsi="Times New Roman" w:cs="Times New Roman"/>
          <w:sz w:val="22"/>
          <w:szCs w:val="22"/>
          <w:lang w:val="es-ES"/>
        </w:rPr>
      </w:pPr>
    </w:p>
    <w:p w14:paraId="0FC67640" w14:textId="77777777" w:rsidR="00F4728E" w:rsidRPr="00512F79" w:rsidRDefault="00967695">
      <w:pPr>
        <w:jc w:val="both"/>
        <w:rPr>
          <w:rFonts w:ascii="Times New Roman" w:hAnsi="Times New Roman" w:cs="Times New Roman"/>
          <w:b/>
          <w:bCs/>
          <w:noProof/>
          <w:color w:val="000000" w:themeColor="text1"/>
          <w:sz w:val="22"/>
          <w:szCs w:val="22"/>
          <w:u w:val="single"/>
          <w:lang w:val="es-ES"/>
        </w:rPr>
      </w:pPr>
      <w:r w:rsidRPr="00512F79">
        <w:rPr>
          <w:rFonts w:ascii="Times New Roman" w:hAnsi="Times New Roman" w:cs="Times New Roman"/>
          <w:b/>
          <w:bCs/>
          <w:sz w:val="22"/>
          <w:szCs w:val="22"/>
          <w:u w:val="single"/>
          <w:lang w:val="es-ES"/>
        </w:rPr>
        <w:t>OBJETIVO 4.1</w:t>
      </w:r>
    </w:p>
    <w:p w14:paraId="7B2C9967" w14:textId="77777777" w:rsidR="009F53F1" w:rsidRPr="00512F79" w:rsidRDefault="009F53F1" w:rsidP="00CB030B">
      <w:pPr>
        <w:jc w:val="both"/>
        <w:rPr>
          <w:rFonts w:ascii="Times New Roman" w:hAnsi="Times New Roman" w:cs="Times New Roman"/>
          <w:sz w:val="22"/>
          <w:szCs w:val="22"/>
          <w:lang w:val="es-ES"/>
        </w:rPr>
      </w:pPr>
    </w:p>
    <w:p w14:paraId="5ABEBE65" w14:textId="1FE42D71" w:rsidR="00337821" w:rsidRPr="00E37D51" w:rsidRDefault="00337821" w:rsidP="00CD5C42">
      <w:pPr>
        <w:ind w:firstLine="720"/>
        <w:jc w:val="both"/>
        <w:rPr>
          <w:rFonts w:ascii="Times New Roman" w:hAnsi="Times New Roman" w:cs="Times New Roman"/>
          <w:bCs/>
          <w:sz w:val="22"/>
          <w:szCs w:val="22"/>
          <w:lang w:val="es-US"/>
        </w:rPr>
      </w:pPr>
      <w:r w:rsidRPr="00E37D51">
        <w:rPr>
          <w:rFonts w:ascii="Times New Roman" w:hAnsi="Times New Roman" w:cs="Times New Roman"/>
          <w:bCs/>
          <w:sz w:val="22"/>
          <w:szCs w:val="22"/>
          <w:lang w:val="es-US"/>
        </w:rPr>
        <w:t xml:space="preserve">Reforzar la capacidad de los Estados Miembros para el fortalecimiento de los sistemas de educación y de formación </w:t>
      </w:r>
      <w:r w:rsidR="008C36DA">
        <w:rPr>
          <w:rFonts w:ascii="Times New Roman" w:hAnsi="Times New Roman" w:cs="Times New Roman"/>
          <w:bCs/>
          <w:sz w:val="22"/>
          <w:szCs w:val="22"/>
          <w:lang w:val="es-US"/>
        </w:rPr>
        <w:t>continua</w:t>
      </w:r>
      <w:r w:rsidR="00B325AD">
        <w:rPr>
          <w:rFonts w:ascii="Times New Roman" w:hAnsi="Times New Roman" w:cs="Times New Roman"/>
          <w:bCs/>
          <w:sz w:val="22"/>
          <w:szCs w:val="22"/>
          <w:lang w:val="es-US"/>
        </w:rPr>
        <w:t>.</w:t>
      </w:r>
    </w:p>
    <w:p w14:paraId="3AF8A622" w14:textId="77777777" w:rsidR="00E37D51" w:rsidRPr="003C15F1" w:rsidRDefault="00E37D51" w:rsidP="00CD5C42">
      <w:pPr>
        <w:ind w:firstLine="720"/>
        <w:jc w:val="both"/>
        <w:rPr>
          <w:b/>
          <w:bCs/>
          <w:noProof/>
          <w:sz w:val="22"/>
          <w:szCs w:val="22"/>
          <w:lang w:val="es-US"/>
        </w:rPr>
      </w:pPr>
    </w:p>
    <w:p w14:paraId="35A52CDB" w14:textId="58240512" w:rsidR="00F4728E" w:rsidRPr="00512F79" w:rsidRDefault="00967695">
      <w:pPr>
        <w:pStyle w:val="ListParagraph"/>
        <w:numPr>
          <w:ilvl w:val="0"/>
          <w:numId w:val="24"/>
        </w:numPr>
        <w:ind w:left="1440" w:hanging="720"/>
        <w:jc w:val="both"/>
        <w:rPr>
          <w:rFonts w:eastAsia="Cambria"/>
          <w:noProof/>
          <w:color w:val="000000" w:themeColor="text1"/>
          <w:sz w:val="22"/>
          <w:szCs w:val="22"/>
          <w:lang w:val="es-ES"/>
        </w:rPr>
      </w:pPr>
      <w:r w:rsidRPr="00512F79">
        <w:rPr>
          <w:rFonts w:eastAsia="Cambria"/>
          <w:noProof/>
          <w:color w:val="000000" w:themeColor="text1"/>
          <w:sz w:val="22"/>
          <w:szCs w:val="22"/>
          <w:lang w:val="es-ES"/>
        </w:rPr>
        <w:t xml:space="preserve">Se continuó promoviendo la colaboración entre los Ministerios de Trabajo y Educación de la </w:t>
      </w:r>
      <w:r w:rsidR="00371E2D">
        <w:rPr>
          <w:rFonts w:eastAsia="Cambria"/>
          <w:noProof/>
          <w:color w:val="000000" w:themeColor="text1"/>
          <w:sz w:val="22"/>
          <w:szCs w:val="22"/>
          <w:lang w:val="es-ES"/>
        </w:rPr>
        <w:t>Red Interamericana para la Administración Laboral (</w:t>
      </w:r>
      <w:r w:rsidRPr="00512F79">
        <w:rPr>
          <w:rFonts w:eastAsia="Cambria"/>
          <w:noProof/>
          <w:color w:val="000000" w:themeColor="text1"/>
          <w:sz w:val="22"/>
          <w:szCs w:val="22"/>
          <w:lang w:val="es-ES"/>
        </w:rPr>
        <w:t>RIAL</w:t>
      </w:r>
      <w:r w:rsidR="00371E2D">
        <w:rPr>
          <w:rFonts w:eastAsia="Cambria"/>
          <w:noProof/>
          <w:color w:val="000000" w:themeColor="text1"/>
          <w:sz w:val="22"/>
          <w:szCs w:val="22"/>
          <w:lang w:val="es-ES"/>
        </w:rPr>
        <w:t>)</w:t>
      </w:r>
      <w:r w:rsidRPr="00512F79">
        <w:rPr>
          <w:rFonts w:eastAsia="Cambria"/>
          <w:noProof/>
          <w:color w:val="000000" w:themeColor="text1"/>
          <w:sz w:val="22"/>
          <w:szCs w:val="22"/>
          <w:lang w:val="es-ES"/>
        </w:rPr>
        <w:t xml:space="preserve"> en el marco de los procesos ministeriales de Trabajo y Educación. La coordinación entre ambas carteras sectoriales se determinó como prioritaria en el Plan de Trabajo 2022-2024 de la </w:t>
      </w:r>
      <w:r w:rsidR="008C36DA">
        <w:rPr>
          <w:rFonts w:eastAsia="Cambria"/>
          <w:noProof/>
          <w:color w:val="000000" w:themeColor="text1"/>
          <w:sz w:val="22"/>
          <w:szCs w:val="22"/>
          <w:lang w:val="es-ES"/>
        </w:rPr>
        <w:t>Conferencia Interamericana de Ministros de Trabajo</w:t>
      </w:r>
      <w:r w:rsidRPr="00512F79">
        <w:rPr>
          <w:rFonts w:eastAsia="Cambria"/>
          <w:noProof/>
          <w:color w:val="000000" w:themeColor="text1"/>
          <w:sz w:val="22"/>
          <w:szCs w:val="22"/>
          <w:lang w:val="es-ES"/>
        </w:rPr>
        <w:t xml:space="preserve"> (destacando las actividades a realizar en 2023 y 2024), así como en </w:t>
      </w:r>
      <w:r w:rsidR="00BF4B76" w:rsidRPr="00512F79">
        <w:rPr>
          <w:rFonts w:eastAsia="Cambria"/>
          <w:noProof/>
          <w:color w:val="000000" w:themeColor="text1"/>
          <w:sz w:val="22"/>
          <w:szCs w:val="22"/>
          <w:lang w:val="es-ES"/>
        </w:rPr>
        <w:t xml:space="preserve">la segunda fase de implementación de la </w:t>
      </w:r>
      <w:r w:rsidR="008C36DA">
        <w:rPr>
          <w:rFonts w:eastAsia="Cambria"/>
          <w:noProof/>
          <w:color w:val="000000" w:themeColor="text1"/>
          <w:sz w:val="22"/>
          <w:szCs w:val="22"/>
          <w:lang w:val="es-ES"/>
        </w:rPr>
        <w:t>Agenda Educativa Interamericana (AEI)</w:t>
      </w:r>
      <w:r w:rsidR="00BF4B76" w:rsidRPr="00512F79">
        <w:rPr>
          <w:rFonts w:eastAsia="Cambria"/>
          <w:noProof/>
          <w:color w:val="000000" w:themeColor="text1"/>
          <w:sz w:val="22"/>
          <w:szCs w:val="22"/>
          <w:lang w:val="es-ES"/>
        </w:rPr>
        <w:t>.</w:t>
      </w:r>
    </w:p>
    <w:p w14:paraId="640850A5" w14:textId="77777777" w:rsidR="00A427C5" w:rsidRPr="00512F79" w:rsidRDefault="00A427C5" w:rsidP="00CB030B">
      <w:pPr>
        <w:pStyle w:val="ListParagraph"/>
        <w:ind w:left="1440" w:hanging="720"/>
        <w:jc w:val="both"/>
        <w:rPr>
          <w:rFonts w:eastAsia="Cambria"/>
          <w:noProof/>
          <w:color w:val="000000" w:themeColor="text1"/>
          <w:sz w:val="22"/>
          <w:szCs w:val="22"/>
          <w:lang w:val="es-ES"/>
        </w:rPr>
      </w:pPr>
    </w:p>
    <w:p w14:paraId="1CB6A3E1" w14:textId="09B63DC2" w:rsidR="00F4728E" w:rsidRPr="00512F79" w:rsidRDefault="00967695">
      <w:pPr>
        <w:pStyle w:val="ListParagraph"/>
        <w:numPr>
          <w:ilvl w:val="0"/>
          <w:numId w:val="24"/>
        </w:numPr>
        <w:ind w:left="1440" w:hanging="720"/>
        <w:jc w:val="both"/>
        <w:rPr>
          <w:rFonts w:eastAsia="Cambria"/>
          <w:noProof/>
          <w:color w:val="000000" w:themeColor="text1"/>
          <w:sz w:val="22"/>
          <w:szCs w:val="22"/>
          <w:lang w:val="es-ES"/>
        </w:rPr>
      </w:pPr>
      <w:r w:rsidRPr="00512F79">
        <w:rPr>
          <w:rFonts w:eastAsia="Cambria"/>
          <w:noProof/>
          <w:color w:val="000000" w:themeColor="text1"/>
          <w:sz w:val="22"/>
          <w:szCs w:val="22"/>
          <w:lang w:val="es-ES"/>
        </w:rPr>
        <w:t>Los Ministerios de Trabajo de Perú y Ecuador están desarrollando programas de formación en competencias digitales y</w:t>
      </w:r>
      <w:r w:rsidR="005D460A">
        <w:rPr>
          <w:rFonts w:eastAsia="Cambria"/>
          <w:noProof/>
          <w:color w:val="000000" w:themeColor="text1"/>
          <w:sz w:val="22"/>
          <w:szCs w:val="22"/>
          <w:lang w:val="es-ES"/>
        </w:rPr>
        <w:t xml:space="preserve"> en</w:t>
      </w:r>
      <w:r w:rsidRPr="00512F79">
        <w:rPr>
          <w:rFonts w:eastAsia="Cambria"/>
          <w:noProof/>
          <w:color w:val="000000" w:themeColor="text1"/>
          <w:sz w:val="22"/>
          <w:szCs w:val="22"/>
          <w:lang w:val="es-ES"/>
        </w:rPr>
        <w:t xml:space="preserve"> cualificaciones nacionales tras recibir asistencia técnica de Paraguay y Colombia a través de la cooperación bilateral RIAL/OEA.</w:t>
      </w:r>
    </w:p>
    <w:p w14:paraId="3ED28E9D" w14:textId="77777777" w:rsidR="00FF0178" w:rsidRPr="00512F79" w:rsidRDefault="00FF0178" w:rsidP="00CB030B">
      <w:pPr>
        <w:pStyle w:val="ListParagraph"/>
        <w:ind w:left="1440" w:hanging="720"/>
        <w:rPr>
          <w:rFonts w:eastAsia="Cambria"/>
          <w:noProof/>
          <w:color w:val="000000" w:themeColor="text1"/>
          <w:sz w:val="22"/>
          <w:szCs w:val="22"/>
          <w:lang w:val="es-ES"/>
        </w:rPr>
      </w:pPr>
    </w:p>
    <w:p w14:paraId="25B9ABCF" w14:textId="6E66750C" w:rsidR="00F4728E" w:rsidRPr="00512F79" w:rsidRDefault="001F708F">
      <w:pPr>
        <w:pStyle w:val="ListParagraph"/>
        <w:numPr>
          <w:ilvl w:val="0"/>
          <w:numId w:val="24"/>
        </w:numPr>
        <w:ind w:left="1440" w:hanging="720"/>
        <w:jc w:val="both"/>
        <w:rPr>
          <w:rFonts w:eastAsia="Cambria"/>
          <w:noProof/>
          <w:color w:val="000000" w:themeColor="text1"/>
          <w:sz w:val="22"/>
          <w:szCs w:val="22"/>
          <w:lang w:val="es-ES"/>
        </w:rPr>
      </w:pPr>
      <w:r>
        <w:rPr>
          <w:rFonts w:eastAsia="Cambria"/>
          <w:noProof/>
          <w:color w:val="000000" w:themeColor="text1"/>
          <w:sz w:val="22"/>
          <w:szCs w:val="22"/>
          <w:lang w:val="es-ES"/>
        </w:rPr>
        <w:t xml:space="preserve">El Ministro </w:t>
      </w:r>
      <w:r w:rsidR="00967695" w:rsidRPr="00512F79">
        <w:rPr>
          <w:rFonts w:eastAsia="Cambria"/>
          <w:noProof/>
          <w:color w:val="000000" w:themeColor="text1"/>
          <w:sz w:val="22"/>
          <w:szCs w:val="22"/>
          <w:lang w:val="es-ES"/>
        </w:rPr>
        <w:t>de Trabajo, Empleo y Seguridad Social de Argentina</w:t>
      </w:r>
      <w:r w:rsidR="00371E2D">
        <w:rPr>
          <w:rFonts w:eastAsia="Cambria"/>
          <w:noProof/>
          <w:color w:val="000000" w:themeColor="text1"/>
          <w:sz w:val="22"/>
          <w:szCs w:val="22"/>
          <w:lang w:val="es-ES"/>
        </w:rPr>
        <w:t>,</w:t>
      </w:r>
      <w:r w:rsidR="00967695" w:rsidRPr="00512F79">
        <w:rPr>
          <w:rFonts w:eastAsia="Cambria"/>
          <w:noProof/>
          <w:color w:val="000000" w:themeColor="text1"/>
          <w:sz w:val="22"/>
          <w:szCs w:val="22"/>
          <w:lang w:val="es-ES"/>
        </w:rPr>
        <w:t xml:space="preserve"> y President</w:t>
      </w:r>
      <w:r>
        <w:rPr>
          <w:rFonts w:eastAsia="Cambria"/>
          <w:noProof/>
          <w:color w:val="000000" w:themeColor="text1"/>
          <w:sz w:val="22"/>
          <w:szCs w:val="22"/>
          <w:lang w:val="es-ES"/>
        </w:rPr>
        <w:t>e</w:t>
      </w:r>
      <w:r w:rsidR="00967695" w:rsidRPr="00512F79">
        <w:rPr>
          <w:rFonts w:eastAsia="Cambria"/>
          <w:noProof/>
          <w:color w:val="000000" w:themeColor="text1"/>
          <w:sz w:val="22"/>
          <w:szCs w:val="22"/>
          <w:lang w:val="es-ES"/>
        </w:rPr>
        <w:t xml:space="preserve"> de la CIMT participó en la </w:t>
      </w:r>
      <w:r w:rsidR="003631D7" w:rsidRPr="00512F79">
        <w:rPr>
          <w:rFonts w:eastAsia="Cambria"/>
          <w:noProof/>
          <w:color w:val="000000" w:themeColor="text1"/>
          <w:sz w:val="22"/>
          <w:szCs w:val="22"/>
          <w:lang w:val="es-ES"/>
        </w:rPr>
        <w:t xml:space="preserve">XI </w:t>
      </w:r>
      <w:r w:rsidR="00967695" w:rsidRPr="00512F79">
        <w:rPr>
          <w:rFonts w:eastAsia="Cambria"/>
          <w:noProof/>
          <w:color w:val="000000" w:themeColor="text1"/>
          <w:sz w:val="22"/>
          <w:szCs w:val="22"/>
          <w:lang w:val="es-ES"/>
        </w:rPr>
        <w:t xml:space="preserve">Reunión Interamericana de Ministros de Educación, reafirmando el compromiso de trabajar tanto en la agenda intersectorial como en el marco de la </w:t>
      </w:r>
      <w:r w:rsidR="00A427C5" w:rsidRPr="00512F79">
        <w:rPr>
          <w:rFonts w:eastAsia="Cambria"/>
          <w:noProof/>
          <w:color w:val="000000" w:themeColor="text1"/>
          <w:sz w:val="22"/>
          <w:szCs w:val="22"/>
          <w:lang w:val="es-ES"/>
        </w:rPr>
        <w:t>AIE</w:t>
      </w:r>
      <w:r w:rsidR="00967695" w:rsidRPr="00512F79">
        <w:rPr>
          <w:rFonts w:eastAsia="Cambria"/>
          <w:noProof/>
          <w:color w:val="000000" w:themeColor="text1"/>
          <w:sz w:val="22"/>
          <w:szCs w:val="22"/>
          <w:lang w:val="es-ES"/>
        </w:rPr>
        <w:t xml:space="preserve"> 2022-2027</w:t>
      </w:r>
      <w:r w:rsidR="00A427C5" w:rsidRPr="00512F79">
        <w:rPr>
          <w:rFonts w:eastAsia="Cambria"/>
          <w:noProof/>
          <w:color w:val="000000" w:themeColor="text1"/>
          <w:sz w:val="22"/>
          <w:szCs w:val="22"/>
          <w:lang w:val="es-ES"/>
        </w:rPr>
        <w:t>.</w:t>
      </w:r>
    </w:p>
    <w:p w14:paraId="2533F0D8" w14:textId="77777777" w:rsidR="001F708F" w:rsidRDefault="001F708F">
      <w:pPr>
        <w:ind w:firstLine="18"/>
        <w:jc w:val="both"/>
        <w:rPr>
          <w:rFonts w:ascii="Times New Roman" w:hAnsi="Times New Roman" w:cs="Times New Roman"/>
          <w:b/>
          <w:bCs/>
          <w:sz w:val="22"/>
          <w:szCs w:val="22"/>
          <w:u w:val="single"/>
          <w:lang w:val="es-ES"/>
        </w:rPr>
      </w:pPr>
    </w:p>
    <w:p w14:paraId="5F00D919" w14:textId="62530000" w:rsidR="00F4728E" w:rsidRPr="00512F79" w:rsidRDefault="00967695">
      <w:pPr>
        <w:ind w:firstLine="18"/>
        <w:jc w:val="both"/>
        <w:rPr>
          <w:rFonts w:ascii="Times New Roman" w:hAnsi="Times New Roman" w:cs="Times New Roman"/>
          <w:b/>
          <w:bCs/>
          <w:sz w:val="22"/>
          <w:szCs w:val="22"/>
          <w:u w:val="single"/>
          <w:lang w:val="es-ES"/>
        </w:rPr>
      </w:pPr>
      <w:r w:rsidRPr="00512F79">
        <w:rPr>
          <w:rFonts w:ascii="Times New Roman" w:hAnsi="Times New Roman" w:cs="Times New Roman"/>
          <w:b/>
          <w:bCs/>
          <w:sz w:val="22"/>
          <w:szCs w:val="22"/>
          <w:u w:val="single"/>
          <w:lang w:val="es-ES"/>
        </w:rPr>
        <w:t>OBJETIVO 4.2</w:t>
      </w:r>
    </w:p>
    <w:p w14:paraId="4F16ADA2" w14:textId="77777777" w:rsidR="003631D7" w:rsidRPr="00512F79" w:rsidRDefault="003631D7" w:rsidP="00CB030B">
      <w:pPr>
        <w:ind w:firstLine="18"/>
        <w:jc w:val="both"/>
        <w:rPr>
          <w:rFonts w:ascii="Times New Roman" w:eastAsia="Cambria" w:hAnsi="Times New Roman" w:cs="Times New Roman"/>
          <w:noProof/>
          <w:color w:val="000000" w:themeColor="text1"/>
          <w:sz w:val="22"/>
          <w:szCs w:val="22"/>
          <w:lang w:val="es-ES"/>
        </w:rPr>
      </w:pPr>
    </w:p>
    <w:p w14:paraId="15304069" w14:textId="54AB5713" w:rsidR="00CD5C42" w:rsidRDefault="00CD5C42" w:rsidP="00CD5C42">
      <w:pPr>
        <w:ind w:firstLine="720"/>
        <w:jc w:val="both"/>
        <w:rPr>
          <w:rFonts w:ascii="Times New Roman" w:hAnsi="Times New Roman" w:cs="Times New Roman"/>
          <w:bCs/>
          <w:sz w:val="22"/>
          <w:szCs w:val="22"/>
          <w:lang w:val="es-US"/>
        </w:rPr>
      </w:pPr>
      <w:r w:rsidRPr="00371E2D">
        <w:rPr>
          <w:rFonts w:ascii="Times New Roman" w:hAnsi="Times New Roman" w:cs="Times New Roman"/>
          <w:bCs/>
          <w:sz w:val="22"/>
          <w:szCs w:val="22"/>
          <w:lang w:val="es-US"/>
        </w:rPr>
        <w:t>Reforzar las capacidades institucionales de los Estados Miembros para impulsar condiciones y oportunidades de trabajo equitativas e incluyentes para las poblaciones en situación de vulnerabilidad y todos aquellos grupos que enfrentan mayores desafíos en el mercado de trabajo</w:t>
      </w:r>
      <w:r w:rsidR="00371E2D">
        <w:rPr>
          <w:rFonts w:ascii="Times New Roman" w:hAnsi="Times New Roman" w:cs="Times New Roman"/>
          <w:bCs/>
          <w:sz w:val="22"/>
          <w:szCs w:val="22"/>
          <w:lang w:val="es-US"/>
        </w:rPr>
        <w:t>.</w:t>
      </w:r>
    </w:p>
    <w:p w14:paraId="4C384E1E" w14:textId="77777777" w:rsidR="001F708F" w:rsidRPr="00371E2D" w:rsidRDefault="001F708F" w:rsidP="00CD5C42">
      <w:pPr>
        <w:ind w:firstLine="720"/>
        <w:jc w:val="both"/>
        <w:rPr>
          <w:rFonts w:ascii="Times New Roman" w:hAnsi="Times New Roman" w:cs="Times New Roman"/>
          <w:bCs/>
          <w:noProof/>
          <w:sz w:val="22"/>
          <w:szCs w:val="22"/>
          <w:lang w:val="es-US"/>
        </w:rPr>
      </w:pPr>
    </w:p>
    <w:p w14:paraId="070578A2" w14:textId="5C8D599A" w:rsidR="00F4728E" w:rsidRPr="00371E2D" w:rsidRDefault="00371E2D">
      <w:pPr>
        <w:pStyle w:val="ListParagraph"/>
        <w:numPr>
          <w:ilvl w:val="0"/>
          <w:numId w:val="24"/>
        </w:numPr>
        <w:ind w:left="1440" w:hanging="720"/>
        <w:jc w:val="both"/>
        <w:rPr>
          <w:rFonts w:eastAsia="Cambria"/>
          <w:noProof/>
          <w:color w:val="000000" w:themeColor="text1"/>
          <w:sz w:val="22"/>
          <w:szCs w:val="22"/>
          <w:lang w:val="es-ES"/>
        </w:rPr>
      </w:pPr>
      <w:r>
        <w:rPr>
          <w:rFonts w:eastAsia="Cambria"/>
          <w:noProof/>
          <w:color w:val="000000" w:themeColor="text1"/>
          <w:sz w:val="22"/>
          <w:szCs w:val="22"/>
          <w:lang w:val="es-ES"/>
        </w:rPr>
        <w:t>Se creó la</w:t>
      </w:r>
      <w:r w:rsidR="00967695" w:rsidRPr="00512F79">
        <w:rPr>
          <w:rFonts w:eastAsia="Cambria"/>
          <w:b/>
          <w:bCs/>
          <w:noProof/>
          <w:color w:val="000000" w:themeColor="text1"/>
          <w:sz w:val="22"/>
          <w:szCs w:val="22"/>
          <w:lang w:val="es-ES"/>
        </w:rPr>
        <w:t xml:space="preserve"> Red de Puntos Focales de Género en los Ministerios de Trabajo </w:t>
      </w:r>
      <w:r w:rsidR="00967695" w:rsidRPr="00512F79">
        <w:rPr>
          <w:rFonts w:eastAsia="Cambria"/>
          <w:noProof/>
          <w:color w:val="000000" w:themeColor="text1"/>
          <w:sz w:val="22"/>
          <w:szCs w:val="22"/>
          <w:lang w:val="es-ES"/>
        </w:rPr>
        <w:t>como comunidad especializada dentro de la RIAL</w:t>
      </w:r>
      <w:r w:rsidR="00F275A1">
        <w:rPr>
          <w:rFonts w:eastAsia="Cambria"/>
          <w:noProof/>
          <w:color w:val="000000" w:themeColor="text1"/>
          <w:sz w:val="22"/>
          <w:szCs w:val="22"/>
          <w:lang w:val="es-ES"/>
        </w:rPr>
        <w:t>. En</w:t>
      </w:r>
      <w:r w:rsidR="00967695" w:rsidRPr="00512F79">
        <w:rPr>
          <w:rFonts w:eastAsia="Cambria"/>
          <w:noProof/>
          <w:color w:val="000000" w:themeColor="text1"/>
          <w:sz w:val="22"/>
          <w:szCs w:val="22"/>
          <w:lang w:val="es-ES"/>
        </w:rPr>
        <w:t xml:space="preserve"> marzo se elaboró su documento de funcionamiento y plan anual de trabajo. </w:t>
      </w:r>
      <w:r w:rsidR="00967695" w:rsidRPr="00371E2D">
        <w:rPr>
          <w:rFonts w:eastAsia="Cambria"/>
          <w:noProof/>
          <w:color w:val="000000" w:themeColor="text1"/>
          <w:sz w:val="22"/>
          <w:szCs w:val="22"/>
          <w:lang w:val="es-ES"/>
        </w:rPr>
        <w:t>En el marco de esta Red:</w:t>
      </w:r>
    </w:p>
    <w:p w14:paraId="59AE2C33" w14:textId="77777777" w:rsidR="00FF0178" w:rsidRPr="00371E2D" w:rsidRDefault="00FF0178" w:rsidP="00CB030B">
      <w:pPr>
        <w:pStyle w:val="ListParagraph"/>
        <w:jc w:val="both"/>
        <w:rPr>
          <w:rFonts w:eastAsia="Cambria"/>
          <w:noProof/>
          <w:color w:val="000000" w:themeColor="text1"/>
          <w:sz w:val="22"/>
          <w:szCs w:val="22"/>
          <w:lang w:val="es-ES"/>
        </w:rPr>
      </w:pPr>
    </w:p>
    <w:p w14:paraId="77F18DD4" w14:textId="63C9A89A" w:rsidR="00F4728E" w:rsidRPr="00512F79" w:rsidRDefault="00967695">
      <w:pPr>
        <w:pStyle w:val="ListParagraph"/>
        <w:numPr>
          <w:ilvl w:val="1"/>
          <w:numId w:val="24"/>
        </w:numPr>
        <w:ind w:left="1980" w:hanging="540"/>
        <w:jc w:val="both"/>
        <w:rPr>
          <w:rFonts w:eastAsia="Cambria"/>
          <w:noProof/>
          <w:color w:val="000000" w:themeColor="text1"/>
          <w:sz w:val="22"/>
          <w:szCs w:val="22"/>
          <w:lang w:val="es-ES"/>
        </w:rPr>
      </w:pPr>
      <w:r w:rsidRPr="00512F79">
        <w:rPr>
          <w:rFonts w:eastAsia="Cambria"/>
          <w:noProof/>
          <w:color w:val="000000" w:themeColor="text1"/>
          <w:sz w:val="22"/>
          <w:szCs w:val="22"/>
          <w:lang w:val="es-ES"/>
        </w:rPr>
        <w:t xml:space="preserve">Se celebraron tres diálogos hemisféricos de género con representación de 30 </w:t>
      </w:r>
      <w:r w:rsidR="005F30B1" w:rsidRPr="00512F79">
        <w:rPr>
          <w:rFonts w:eastAsia="Cambria"/>
          <w:noProof/>
          <w:color w:val="000000" w:themeColor="text1"/>
          <w:sz w:val="22"/>
          <w:szCs w:val="22"/>
          <w:lang w:val="es-ES"/>
        </w:rPr>
        <w:t xml:space="preserve">Estados </w:t>
      </w:r>
      <w:r w:rsidR="00615014">
        <w:rPr>
          <w:rFonts w:eastAsia="Cambria"/>
          <w:noProof/>
          <w:color w:val="000000" w:themeColor="text1"/>
          <w:sz w:val="22"/>
          <w:szCs w:val="22"/>
          <w:lang w:val="es-ES"/>
        </w:rPr>
        <w:t>M</w:t>
      </w:r>
      <w:r w:rsidR="00C67D84" w:rsidRPr="00512F79">
        <w:rPr>
          <w:rFonts w:eastAsia="Cambria"/>
          <w:noProof/>
          <w:color w:val="000000" w:themeColor="text1"/>
          <w:sz w:val="22"/>
          <w:szCs w:val="22"/>
          <w:lang w:val="es-ES"/>
        </w:rPr>
        <w:t xml:space="preserve">iembros </w:t>
      </w:r>
      <w:r w:rsidRPr="00512F79">
        <w:rPr>
          <w:rFonts w:eastAsia="Cambria"/>
          <w:noProof/>
          <w:color w:val="000000" w:themeColor="text1"/>
          <w:sz w:val="22"/>
          <w:szCs w:val="22"/>
          <w:lang w:val="es-ES"/>
        </w:rPr>
        <w:t xml:space="preserve">sobre diversos temas prioritarios, incluida la inspección </w:t>
      </w:r>
      <w:r w:rsidR="00C45A9F">
        <w:rPr>
          <w:rFonts w:eastAsia="Cambria"/>
          <w:noProof/>
          <w:color w:val="000000" w:themeColor="text1"/>
          <w:sz w:val="22"/>
          <w:szCs w:val="22"/>
          <w:lang w:val="es-ES"/>
        </w:rPr>
        <w:t>laboral</w:t>
      </w:r>
      <w:r w:rsidRPr="00512F79">
        <w:rPr>
          <w:rFonts w:eastAsia="Cambria"/>
          <w:noProof/>
          <w:color w:val="000000" w:themeColor="text1"/>
          <w:sz w:val="22"/>
          <w:szCs w:val="22"/>
          <w:lang w:val="es-ES"/>
        </w:rPr>
        <w:t xml:space="preserve"> con perspectiva de género.</w:t>
      </w:r>
    </w:p>
    <w:p w14:paraId="08DAF9F3" w14:textId="2CEE7035" w:rsidR="00F4728E" w:rsidRPr="00512F79" w:rsidRDefault="00967695">
      <w:pPr>
        <w:pStyle w:val="ListParagraph"/>
        <w:numPr>
          <w:ilvl w:val="1"/>
          <w:numId w:val="24"/>
        </w:numPr>
        <w:ind w:left="1980" w:hanging="540"/>
        <w:jc w:val="both"/>
        <w:rPr>
          <w:rFonts w:eastAsia="Cambria"/>
          <w:noProof/>
          <w:color w:val="000000" w:themeColor="text1"/>
          <w:sz w:val="22"/>
          <w:szCs w:val="22"/>
          <w:lang w:val="es-ES"/>
        </w:rPr>
      </w:pPr>
      <w:r w:rsidRPr="00512F79">
        <w:rPr>
          <w:rFonts w:eastAsia="Cambria"/>
          <w:noProof/>
          <w:color w:val="000000" w:themeColor="text1"/>
          <w:sz w:val="22"/>
          <w:szCs w:val="22"/>
          <w:lang w:val="es-ES"/>
        </w:rPr>
        <w:t xml:space="preserve">Se completó el </w:t>
      </w:r>
      <w:r w:rsidRPr="00512F79">
        <w:rPr>
          <w:rFonts w:eastAsia="Cambria"/>
          <w:b/>
          <w:bCs/>
          <w:noProof/>
          <w:color w:val="000000" w:themeColor="text1"/>
          <w:sz w:val="22"/>
          <w:szCs w:val="22"/>
          <w:lang w:val="es-ES"/>
        </w:rPr>
        <w:t xml:space="preserve">Manual </w:t>
      </w:r>
      <w:r w:rsidR="00615014">
        <w:rPr>
          <w:rFonts w:eastAsia="Cambria"/>
          <w:b/>
          <w:bCs/>
          <w:noProof/>
          <w:color w:val="000000" w:themeColor="text1"/>
          <w:sz w:val="22"/>
          <w:szCs w:val="22"/>
          <w:lang w:val="es-ES"/>
        </w:rPr>
        <w:t>de</w:t>
      </w:r>
      <w:r w:rsidRPr="00512F79">
        <w:rPr>
          <w:rFonts w:eastAsia="Cambria"/>
          <w:b/>
          <w:bCs/>
          <w:noProof/>
          <w:color w:val="000000" w:themeColor="text1"/>
          <w:sz w:val="22"/>
          <w:szCs w:val="22"/>
          <w:lang w:val="es-ES"/>
        </w:rPr>
        <w:t xml:space="preserve"> </w:t>
      </w:r>
      <w:r w:rsidR="006057F3">
        <w:rPr>
          <w:rFonts w:eastAsia="Cambria"/>
          <w:b/>
          <w:bCs/>
          <w:noProof/>
          <w:color w:val="000000" w:themeColor="text1"/>
          <w:sz w:val="22"/>
          <w:szCs w:val="22"/>
          <w:lang w:val="es-ES"/>
        </w:rPr>
        <w:t>c</w:t>
      </w:r>
      <w:r w:rsidRPr="00512F79">
        <w:rPr>
          <w:rFonts w:eastAsia="Cambria"/>
          <w:b/>
          <w:bCs/>
          <w:noProof/>
          <w:color w:val="000000" w:themeColor="text1"/>
          <w:sz w:val="22"/>
          <w:szCs w:val="22"/>
          <w:lang w:val="es-ES"/>
        </w:rPr>
        <w:t>reación</w:t>
      </w:r>
      <w:r w:rsidR="006057F3">
        <w:rPr>
          <w:rFonts w:eastAsia="Cambria"/>
          <w:b/>
          <w:bCs/>
          <w:noProof/>
          <w:color w:val="000000" w:themeColor="text1"/>
          <w:sz w:val="22"/>
          <w:szCs w:val="22"/>
          <w:lang w:val="es-ES"/>
        </w:rPr>
        <w:t xml:space="preserve"> y</w:t>
      </w:r>
      <w:r w:rsidRPr="00512F79">
        <w:rPr>
          <w:rFonts w:eastAsia="Cambria"/>
          <w:b/>
          <w:bCs/>
          <w:noProof/>
          <w:color w:val="000000" w:themeColor="text1"/>
          <w:sz w:val="22"/>
          <w:szCs w:val="22"/>
          <w:lang w:val="es-ES"/>
        </w:rPr>
        <w:t xml:space="preserve"> </w:t>
      </w:r>
      <w:r w:rsidR="006057F3">
        <w:rPr>
          <w:rFonts w:eastAsia="Cambria"/>
          <w:b/>
          <w:bCs/>
          <w:noProof/>
          <w:color w:val="000000" w:themeColor="text1"/>
          <w:sz w:val="22"/>
          <w:szCs w:val="22"/>
          <w:lang w:val="es-ES"/>
        </w:rPr>
        <w:t>f</w:t>
      </w:r>
      <w:r w:rsidRPr="00512F79">
        <w:rPr>
          <w:rFonts w:eastAsia="Cambria"/>
          <w:b/>
          <w:bCs/>
          <w:noProof/>
          <w:color w:val="000000" w:themeColor="text1"/>
          <w:sz w:val="22"/>
          <w:szCs w:val="22"/>
          <w:lang w:val="es-ES"/>
        </w:rPr>
        <w:t xml:space="preserve">uncionamiento de </w:t>
      </w:r>
      <w:r w:rsidR="006057F3">
        <w:rPr>
          <w:rFonts w:eastAsia="Cambria"/>
          <w:b/>
          <w:bCs/>
          <w:noProof/>
          <w:color w:val="000000" w:themeColor="text1"/>
          <w:sz w:val="22"/>
          <w:szCs w:val="22"/>
          <w:lang w:val="es-ES"/>
        </w:rPr>
        <w:t>las u</w:t>
      </w:r>
      <w:r w:rsidRPr="00512F79">
        <w:rPr>
          <w:rFonts w:eastAsia="Cambria"/>
          <w:b/>
          <w:bCs/>
          <w:noProof/>
          <w:color w:val="000000" w:themeColor="text1"/>
          <w:sz w:val="22"/>
          <w:szCs w:val="22"/>
          <w:lang w:val="es-ES"/>
        </w:rPr>
        <w:t xml:space="preserve">nidades de </w:t>
      </w:r>
      <w:r w:rsidR="006057F3">
        <w:rPr>
          <w:rFonts w:eastAsia="Cambria"/>
          <w:b/>
          <w:bCs/>
          <w:noProof/>
          <w:color w:val="000000" w:themeColor="text1"/>
          <w:sz w:val="22"/>
          <w:szCs w:val="22"/>
          <w:lang w:val="es-ES"/>
        </w:rPr>
        <w:t>g</w:t>
      </w:r>
      <w:r w:rsidRPr="00512F79">
        <w:rPr>
          <w:rFonts w:eastAsia="Cambria"/>
          <w:b/>
          <w:bCs/>
          <w:noProof/>
          <w:color w:val="000000" w:themeColor="text1"/>
          <w:sz w:val="22"/>
          <w:szCs w:val="22"/>
          <w:lang w:val="es-ES"/>
        </w:rPr>
        <w:t>énero en los Ministerios de Trabajo</w:t>
      </w:r>
      <w:r w:rsidRPr="00512F79">
        <w:rPr>
          <w:rFonts w:eastAsia="Cambria"/>
          <w:noProof/>
          <w:color w:val="000000" w:themeColor="text1"/>
          <w:sz w:val="22"/>
          <w:szCs w:val="22"/>
          <w:lang w:val="es-ES"/>
        </w:rPr>
        <w:t>.</w:t>
      </w:r>
    </w:p>
    <w:p w14:paraId="53B3A389" w14:textId="79547FC0" w:rsidR="00F4728E" w:rsidRPr="00512F79" w:rsidRDefault="00967695">
      <w:pPr>
        <w:pStyle w:val="ListParagraph"/>
        <w:numPr>
          <w:ilvl w:val="1"/>
          <w:numId w:val="24"/>
        </w:numPr>
        <w:ind w:left="1980" w:hanging="540"/>
        <w:jc w:val="both"/>
        <w:rPr>
          <w:rFonts w:eastAsia="Cambria"/>
          <w:noProof/>
          <w:color w:val="000000" w:themeColor="text1"/>
          <w:sz w:val="22"/>
          <w:szCs w:val="22"/>
          <w:lang w:val="es-ES"/>
        </w:rPr>
      </w:pPr>
      <w:r w:rsidRPr="00512F79">
        <w:rPr>
          <w:rFonts w:eastAsia="Cambria"/>
          <w:noProof/>
          <w:color w:val="000000" w:themeColor="text1"/>
          <w:sz w:val="22"/>
          <w:szCs w:val="22"/>
          <w:lang w:val="es-ES"/>
        </w:rPr>
        <w:t xml:space="preserve">Se lanzó la versión en inglés del </w:t>
      </w:r>
      <w:r w:rsidRPr="00512F79">
        <w:rPr>
          <w:rFonts w:eastAsia="Cambria"/>
          <w:b/>
          <w:bCs/>
          <w:noProof/>
          <w:color w:val="000000" w:themeColor="text1"/>
          <w:sz w:val="22"/>
          <w:szCs w:val="22"/>
          <w:lang w:val="es-ES"/>
        </w:rPr>
        <w:t xml:space="preserve">Curso </w:t>
      </w:r>
      <w:r w:rsidR="001F218B">
        <w:rPr>
          <w:rFonts w:eastAsia="Cambria"/>
          <w:b/>
          <w:bCs/>
          <w:noProof/>
          <w:color w:val="000000" w:themeColor="text1"/>
          <w:sz w:val="22"/>
          <w:szCs w:val="22"/>
          <w:lang w:val="es-ES"/>
        </w:rPr>
        <w:t>v</w:t>
      </w:r>
      <w:r w:rsidRPr="00512F79">
        <w:rPr>
          <w:rFonts w:eastAsia="Cambria"/>
          <w:b/>
          <w:bCs/>
          <w:noProof/>
          <w:color w:val="000000" w:themeColor="text1"/>
          <w:sz w:val="22"/>
          <w:szCs w:val="22"/>
          <w:lang w:val="es-ES"/>
        </w:rPr>
        <w:t xml:space="preserve">irtual sobre </w:t>
      </w:r>
      <w:r w:rsidR="001F218B">
        <w:rPr>
          <w:rFonts w:eastAsia="Cambria"/>
          <w:b/>
          <w:bCs/>
          <w:noProof/>
          <w:color w:val="000000" w:themeColor="text1"/>
          <w:sz w:val="22"/>
          <w:szCs w:val="22"/>
          <w:lang w:val="es-ES"/>
        </w:rPr>
        <w:t>v</w:t>
      </w:r>
      <w:r w:rsidRPr="00512F79">
        <w:rPr>
          <w:rFonts w:eastAsia="Cambria"/>
          <w:b/>
          <w:bCs/>
          <w:noProof/>
          <w:color w:val="000000" w:themeColor="text1"/>
          <w:sz w:val="22"/>
          <w:szCs w:val="22"/>
          <w:lang w:val="es-ES"/>
        </w:rPr>
        <w:t xml:space="preserve">iolencia de </w:t>
      </w:r>
      <w:r w:rsidR="001F218B">
        <w:rPr>
          <w:rFonts w:eastAsia="Cambria"/>
          <w:b/>
          <w:bCs/>
          <w:noProof/>
          <w:color w:val="000000" w:themeColor="text1"/>
          <w:sz w:val="22"/>
          <w:szCs w:val="22"/>
          <w:lang w:val="es-ES"/>
        </w:rPr>
        <w:t>g</w:t>
      </w:r>
      <w:r w:rsidRPr="00512F79">
        <w:rPr>
          <w:rFonts w:eastAsia="Cambria"/>
          <w:b/>
          <w:bCs/>
          <w:noProof/>
          <w:color w:val="000000" w:themeColor="text1"/>
          <w:sz w:val="22"/>
          <w:szCs w:val="22"/>
          <w:lang w:val="es-ES"/>
        </w:rPr>
        <w:t xml:space="preserve">énero en el </w:t>
      </w:r>
      <w:r w:rsidR="001F218B">
        <w:rPr>
          <w:rFonts w:eastAsia="Cambria"/>
          <w:b/>
          <w:bCs/>
          <w:noProof/>
          <w:color w:val="000000" w:themeColor="text1"/>
          <w:sz w:val="22"/>
          <w:szCs w:val="22"/>
          <w:lang w:val="es-ES"/>
        </w:rPr>
        <w:t>t</w:t>
      </w:r>
      <w:r w:rsidRPr="00512F79">
        <w:rPr>
          <w:rFonts w:eastAsia="Cambria"/>
          <w:b/>
          <w:bCs/>
          <w:noProof/>
          <w:color w:val="000000" w:themeColor="text1"/>
          <w:sz w:val="22"/>
          <w:szCs w:val="22"/>
          <w:lang w:val="es-ES"/>
        </w:rPr>
        <w:t xml:space="preserve">rabajo </w:t>
      </w:r>
      <w:r w:rsidRPr="00512F79">
        <w:rPr>
          <w:rFonts w:eastAsia="Cambria"/>
          <w:noProof/>
          <w:color w:val="000000" w:themeColor="text1"/>
          <w:sz w:val="22"/>
          <w:szCs w:val="22"/>
          <w:lang w:val="es-ES"/>
        </w:rPr>
        <w:t xml:space="preserve">en el Portal Educativo de las Américas, con la participación de funcionarios de diez </w:t>
      </w:r>
      <w:r w:rsidR="005F30B1" w:rsidRPr="00512F79">
        <w:rPr>
          <w:rFonts w:eastAsia="Cambria"/>
          <w:noProof/>
          <w:color w:val="000000" w:themeColor="text1"/>
          <w:sz w:val="22"/>
          <w:szCs w:val="22"/>
          <w:lang w:val="es-ES"/>
        </w:rPr>
        <w:t xml:space="preserve">Estados </w:t>
      </w:r>
      <w:r w:rsidR="0030324D">
        <w:rPr>
          <w:rFonts w:eastAsia="Cambria"/>
          <w:noProof/>
          <w:color w:val="000000" w:themeColor="text1"/>
          <w:sz w:val="22"/>
          <w:szCs w:val="22"/>
          <w:lang w:val="es-ES"/>
        </w:rPr>
        <w:t>M</w:t>
      </w:r>
      <w:r w:rsidR="00C67D84" w:rsidRPr="00512F79">
        <w:rPr>
          <w:rFonts w:eastAsia="Cambria"/>
          <w:noProof/>
          <w:color w:val="000000" w:themeColor="text1"/>
          <w:sz w:val="22"/>
          <w:szCs w:val="22"/>
          <w:lang w:val="es-ES"/>
        </w:rPr>
        <w:t xml:space="preserve">iembros </w:t>
      </w:r>
      <w:r w:rsidRPr="00512F79">
        <w:rPr>
          <w:rFonts w:eastAsia="Cambria"/>
          <w:noProof/>
          <w:color w:val="000000" w:themeColor="text1"/>
          <w:sz w:val="22"/>
          <w:szCs w:val="22"/>
          <w:lang w:val="es-ES"/>
        </w:rPr>
        <w:t>del Caribe.</w:t>
      </w:r>
    </w:p>
    <w:p w14:paraId="2D95AAD1" w14:textId="19CF10AD" w:rsidR="00F4728E" w:rsidRPr="00512F79" w:rsidRDefault="00967695">
      <w:pPr>
        <w:pStyle w:val="ListParagraph"/>
        <w:numPr>
          <w:ilvl w:val="1"/>
          <w:numId w:val="24"/>
        </w:numPr>
        <w:ind w:left="1980" w:hanging="540"/>
        <w:jc w:val="both"/>
        <w:rPr>
          <w:rFonts w:eastAsia="Cambria"/>
          <w:noProof/>
          <w:color w:val="000000" w:themeColor="text1"/>
          <w:sz w:val="22"/>
          <w:szCs w:val="22"/>
          <w:lang w:val="es-ES"/>
        </w:rPr>
      </w:pPr>
      <w:r w:rsidRPr="00512F79">
        <w:rPr>
          <w:rFonts w:eastAsia="Cambria"/>
          <w:noProof/>
          <w:color w:val="000000" w:themeColor="text1"/>
          <w:sz w:val="22"/>
          <w:szCs w:val="22"/>
          <w:lang w:val="es-ES"/>
        </w:rPr>
        <w:t xml:space="preserve">Cada una de estas acciones se </w:t>
      </w:r>
      <w:r w:rsidR="00C45A9F">
        <w:rPr>
          <w:rFonts w:eastAsia="Cambria"/>
          <w:noProof/>
          <w:color w:val="000000" w:themeColor="text1"/>
          <w:sz w:val="22"/>
          <w:szCs w:val="22"/>
          <w:lang w:val="es-ES"/>
        </w:rPr>
        <w:t>llevó</w:t>
      </w:r>
      <w:r w:rsidRPr="00512F79">
        <w:rPr>
          <w:rFonts w:eastAsia="Cambria"/>
          <w:noProof/>
          <w:color w:val="000000" w:themeColor="text1"/>
          <w:sz w:val="22"/>
          <w:szCs w:val="22"/>
          <w:lang w:val="es-ES"/>
        </w:rPr>
        <w:t xml:space="preserve"> a cabo en estrecha colaboración con la C</w:t>
      </w:r>
      <w:r w:rsidR="00F275A1">
        <w:rPr>
          <w:rFonts w:eastAsia="Cambria"/>
          <w:noProof/>
          <w:color w:val="000000" w:themeColor="text1"/>
          <w:sz w:val="22"/>
          <w:szCs w:val="22"/>
          <w:lang w:val="es-ES"/>
        </w:rPr>
        <w:t>omisión Interamericana de Mujeres.</w:t>
      </w:r>
    </w:p>
    <w:p w14:paraId="499BAD44" w14:textId="77777777" w:rsidR="00FF0178" w:rsidRPr="00512F79" w:rsidRDefault="00FF0178" w:rsidP="00CB030B">
      <w:pPr>
        <w:jc w:val="both"/>
        <w:rPr>
          <w:rFonts w:ascii="Times New Roman" w:eastAsia="Cambria" w:hAnsi="Times New Roman" w:cs="Times New Roman"/>
          <w:noProof/>
          <w:color w:val="000000" w:themeColor="text1"/>
          <w:sz w:val="22"/>
          <w:szCs w:val="22"/>
          <w:lang w:val="es-ES"/>
        </w:rPr>
      </w:pPr>
    </w:p>
    <w:p w14:paraId="2594BACC" w14:textId="7B43DC3D" w:rsidR="00A92DC2" w:rsidRPr="00A92DC2" w:rsidRDefault="00A92DC2" w:rsidP="004F7839">
      <w:pPr>
        <w:pStyle w:val="ListParagraph"/>
        <w:numPr>
          <w:ilvl w:val="0"/>
          <w:numId w:val="24"/>
        </w:numPr>
        <w:ind w:left="1440" w:hanging="720"/>
        <w:jc w:val="both"/>
        <w:rPr>
          <w:rFonts w:eastAsia="Cambria"/>
          <w:noProof/>
          <w:color w:val="000000" w:themeColor="text1"/>
          <w:sz w:val="22"/>
          <w:szCs w:val="22"/>
          <w:lang w:val="es-ES"/>
        </w:rPr>
      </w:pPr>
      <w:r w:rsidRPr="00A92DC2">
        <w:rPr>
          <w:rFonts w:eastAsia="Cambria"/>
          <w:noProof/>
          <w:color w:val="000000" w:themeColor="text1"/>
          <w:sz w:val="22"/>
          <w:szCs w:val="22"/>
          <w:lang w:val="es-ES"/>
        </w:rPr>
        <w:t xml:space="preserve">Se organizó un amplio diálogo regional y se preparó un documento de recomendaciones políticas para reforzar e institucionalizar el diálogo social entre los Gobiernos, los trabajadores y los empleadores de la región tras el Taller Hemisférico </w:t>
      </w:r>
      <w:r w:rsidRPr="008457E8">
        <w:rPr>
          <w:rFonts w:eastAsia="Cambria"/>
          <w:b/>
          <w:bCs/>
          <w:noProof/>
          <w:color w:val="000000" w:themeColor="text1"/>
          <w:sz w:val="22"/>
          <w:szCs w:val="22"/>
          <w:lang w:val="es-ES"/>
        </w:rPr>
        <w:t>“Diálogo social para una recuperación sostenible, justa y equitativa”,</w:t>
      </w:r>
      <w:r w:rsidRPr="00A92DC2">
        <w:rPr>
          <w:rFonts w:eastAsia="Cambria"/>
          <w:noProof/>
          <w:color w:val="000000" w:themeColor="text1"/>
          <w:sz w:val="22"/>
          <w:szCs w:val="22"/>
          <w:lang w:val="es-ES"/>
        </w:rPr>
        <w:t xml:space="preserve"> celebrado en Bogotá (Colombia) en julio. En este diálogo participaron delegaciones gubernamentales y organizaciones de trabajadores y empleadores de 29 Estados </w:t>
      </w:r>
      <w:r w:rsidR="008457E8">
        <w:rPr>
          <w:rFonts w:eastAsia="Cambria"/>
          <w:noProof/>
          <w:color w:val="000000" w:themeColor="text1"/>
          <w:sz w:val="22"/>
          <w:szCs w:val="22"/>
          <w:lang w:val="es-ES"/>
        </w:rPr>
        <w:t>M</w:t>
      </w:r>
      <w:r w:rsidRPr="00A92DC2">
        <w:rPr>
          <w:rFonts w:eastAsia="Cambria"/>
          <w:noProof/>
          <w:color w:val="000000" w:themeColor="text1"/>
          <w:sz w:val="22"/>
          <w:szCs w:val="22"/>
          <w:lang w:val="es-ES"/>
        </w:rPr>
        <w:t xml:space="preserve">iembros. </w:t>
      </w:r>
    </w:p>
    <w:p w14:paraId="49CAE010" w14:textId="77777777" w:rsidR="00FF0178" w:rsidRPr="00512F79" w:rsidRDefault="00FF0178" w:rsidP="00CB030B">
      <w:pPr>
        <w:pStyle w:val="ListParagraph"/>
        <w:ind w:left="1440" w:hanging="720"/>
        <w:jc w:val="both"/>
        <w:rPr>
          <w:rFonts w:eastAsia="Cambria"/>
          <w:noProof/>
          <w:color w:val="000000" w:themeColor="text1"/>
          <w:sz w:val="22"/>
          <w:szCs w:val="22"/>
          <w:lang w:val="es-ES"/>
        </w:rPr>
      </w:pPr>
    </w:p>
    <w:p w14:paraId="272F0ECB" w14:textId="4F8DBB29" w:rsidR="00F4728E" w:rsidRPr="00512F79" w:rsidRDefault="00A92DC2">
      <w:pPr>
        <w:pStyle w:val="ListParagraph"/>
        <w:numPr>
          <w:ilvl w:val="0"/>
          <w:numId w:val="24"/>
        </w:numPr>
        <w:ind w:left="1440" w:hanging="720"/>
        <w:jc w:val="both"/>
        <w:rPr>
          <w:rFonts w:eastAsia="Cambria"/>
          <w:i/>
          <w:iCs/>
          <w:noProof/>
          <w:color w:val="000000" w:themeColor="text1"/>
          <w:sz w:val="22"/>
          <w:szCs w:val="22"/>
          <w:lang w:val="es-ES"/>
        </w:rPr>
      </w:pPr>
      <w:r>
        <w:rPr>
          <w:rFonts w:eastAsia="Cambria"/>
          <w:noProof/>
          <w:color w:val="000000" w:themeColor="text1"/>
          <w:sz w:val="22"/>
          <w:szCs w:val="22"/>
          <w:lang w:val="es-ES"/>
        </w:rPr>
        <w:t>Se c</w:t>
      </w:r>
      <w:r w:rsidR="00967695" w:rsidRPr="00512F79">
        <w:rPr>
          <w:rFonts w:eastAsia="Cambria"/>
          <w:noProof/>
          <w:color w:val="000000" w:themeColor="text1"/>
          <w:sz w:val="22"/>
          <w:szCs w:val="22"/>
          <w:lang w:val="es-ES"/>
        </w:rPr>
        <w:t xml:space="preserve">elebró un Taller Hemisférico de la RIAL </w:t>
      </w:r>
      <w:r w:rsidR="008457E8">
        <w:rPr>
          <w:rFonts w:eastAsia="Cambria"/>
          <w:noProof/>
          <w:color w:val="000000" w:themeColor="text1"/>
          <w:sz w:val="22"/>
          <w:szCs w:val="22"/>
          <w:lang w:val="es-ES"/>
        </w:rPr>
        <w:t xml:space="preserve">destinado </w:t>
      </w:r>
      <w:r w:rsidR="00967695" w:rsidRPr="00512F79">
        <w:rPr>
          <w:rFonts w:eastAsia="Cambria"/>
          <w:noProof/>
          <w:color w:val="000000" w:themeColor="text1"/>
          <w:sz w:val="22"/>
          <w:szCs w:val="22"/>
          <w:lang w:val="es-ES"/>
        </w:rPr>
        <w:t>a intercambiar experiencias y presentar soluciones a</w:t>
      </w:r>
      <w:r>
        <w:rPr>
          <w:rFonts w:eastAsia="Cambria"/>
          <w:noProof/>
          <w:color w:val="000000" w:themeColor="text1"/>
          <w:sz w:val="22"/>
          <w:szCs w:val="22"/>
          <w:lang w:val="es-ES"/>
        </w:rPr>
        <w:t>nte</w:t>
      </w:r>
      <w:r w:rsidR="00967695" w:rsidRPr="00512F79">
        <w:rPr>
          <w:rFonts w:eastAsia="Cambria"/>
          <w:noProof/>
          <w:color w:val="000000" w:themeColor="text1"/>
          <w:sz w:val="22"/>
          <w:szCs w:val="22"/>
          <w:lang w:val="es-ES"/>
        </w:rPr>
        <w:t xml:space="preserve"> uno de los retos más persistentes y complejos del mercado laboral de la región: el empleo informal. En octubre, en Buenos Aires, Argentina, funcionarios de los Ministerios de Trabajo de 24 </w:t>
      </w:r>
      <w:r w:rsidR="005F30B1" w:rsidRPr="00512F79">
        <w:rPr>
          <w:rFonts w:eastAsia="Cambria"/>
          <w:noProof/>
          <w:color w:val="000000" w:themeColor="text1"/>
          <w:sz w:val="22"/>
          <w:szCs w:val="22"/>
          <w:lang w:val="es-ES"/>
        </w:rPr>
        <w:t xml:space="preserve">Estados </w:t>
      </w:r>
      <w:r>
        <w:rPr>
          <w:rFonts w:eastAsia="Cambria"/>
          <w:noProof/>
          <w:color w:val="000000" w:themeColor="text1"/>
          <w:sz w:val="22"/>
          <w:szCs w:val="22"/>
          <w:lang w:val="es-ES"/>
        </w:rPr>
        <w:t>M</w:t>
      </w:r>
      <w:r w:rsidR="00C67D84" w:rsidRPr="00512F79">
        <w:rPr>
          <w:rFonts w:eastAsia="Cambria"/>
          <w:noProof/>
          <w:color w:val="000000" w:themeColor="text1"/>
          <w:sz w:val="22"/>
          <w:szCs w:val="22"/>
          <w:lang w:val="es-ES"/>
        </w:rPr>
        <w:t xml:space="preserve">iembros de </w:t>
      </w:r>
      <w:r w:rsidR="00967695" w:rsidRPr="00512F79">
        <w:rPr>
          <w:rFonts w:eastAsia="Cambria"/>
          <w:noProof/>
          <w:color w:val="000000" w:themeColor="text1"/>
          <w:sz w:val="22"/>
          <w:szCs w:val="22"/>
          <w:lang w:val="es-ES"/>
        </w:rPr>
        <w:t xml:space="preserve">la OEA, representantes de trabajadores y empleadores, y organizaciones internacionales, se reunieron para el </w:t>
      </w:r>
      <w:r w:rsidR="00D70C0F" w:rsidRPr="00D70C0F">
        <w:rPr>
          <w:rFonts w:eastAsia="Cambria"/>
          <w:b/>
          <w:bCs/>
          <w:noProof/>
          <w:color w:val="000000" w:themeColor="text1"/>
          <w:sz w:val="22"/>
          <w:szCs w:val="22"/>
          <w:lang w:val="es-ES"/>
        </w:rPr>
        <w:t>“</w:t>
      </w:r>
      <w:r w:rsidR="00967695" w:rsidRPr="00512F79">
        <w:rPr>
          <w:rFonts w:eastAsia="Cambria"/>
          <w:b/>
          <w:bCs/>
          <w:noProof/>
          <w:color w:val="000000" w:themeColor="text1"/>
          <w:sz w:val="22"/>
          <w:szCs w:val="22"/>
          <w:lang w:val="es-ES"/>
        </w:rPr>
        <w:t xml:space="preserve">Diálogo Social para </w:t>
      </w:r>
      <w:r w:rsidR="00D70C0F">
        <w:rPr>
          <w:rFonts w:eastAsia="Cambria"/>
          <w:b/>
          <w:bCs/>
          <w:noProof/>
          <w:color w:val="000000" w:themeColor="text1"/>
          <w:sz w:val="22"/>
          <w:szCs w:val="22"/>
          <w:lang w:val="es-ES"/>
        </w:rPr>
        <w:t>l</w:t>
      </w:r>
      <w:r w:rsidR="00967695" w:rsidRPr="00512F79">
        <w:rPr>
          <w:rFonts w:eastAsia="Cambria"/>
          <w:b/>
          <w:bCs/>
          <w:noProof/>
          <w:color w:val="000000" w:themeColor="text1"/>
          <w:sz w:val="22"/>
          <w:szCs w:val="22"/>
          <w:lang w:val="es-ES"/>
        </w:rPr>
        <w:t xml:space="preserve">a transición </w:t>
      </w:r>
      <w:r w:rsidR="00D70C0F">
        <w:rPr>
          <w:rFonts w:eastAsia="Cambria"/>
          <w:b/>
          <w:bCs/>
          <w:noProof/>
          <w:color w:val="000000" w:themeColor="text1"/>
          <w:sz w:val="22"/>
          <w:szCs w:val="22"/>
          <w:lang w:val="es-ES"/>
        </w:rPr>
        <w:t>de la informalidad a la formalidad laboral con derechos”.</w:t>
      </w:r>
      <w:r w:rsidR="00967695" w:rsidRPr="00512F79">
        <w:rPr>
          <w:rFonts w:eastAsia="Cambria"/>
          <w:b/>
          <w:bCs/>
          <w:noProof/>
          <w:color w:val="000000" w:themeColor="text1"/>
          <w:sz w:val="22"/>
          <w:szCs w:val="22"/>
          <w:lang w:val="es-ES"/>
        </w:rPr>
        <w:t xml:space="preserve"> </w:t>
      </w:r>
      <w:r w:rsidR="00967695" w:rsidRPr="00D70C0F">
        <w:rPr>
          <w:rFonts w:eastAsia="Cambria"/>
          <w:noProof/>
          <w:color w:val="000000" w:themeColor="text1"/>
          <w:sz w:val="22"/>
          <w:szCs w:val="22"/>
          <w:lang w:val="es-ES"/>
        </w:rPr>
        <w:t xml:space="preserve">Se </w:t>
      </w:r>
      <w:r w:rsidR="00D70C0F">
        <w:rPr>
          <w:rFonts w:eastAsia="Cambria"/>
          <w:noProof/>
          <w:color w:val="000000" w:themeColor="text1"/>
          <w:sz w:val="22"/>
          <w:szCs w:val="22"/>
          <w:lang w:val="es-ES"/>
        </w:rPr>
        <w:t>señalaron</w:t>
      </w:r>
      <w:r w:rsidR="00967695" w:rsidRPr="00512F79">
        <w:rPr>
          <w:rFonts w:eastAsia="Cambria"/>
          <w:noProof/>
          <w:color w:val="000000" w:themeColor="text1"/>
          <w:sz w:val="22"/>
          <w:szCs w:val="22"/>
          <w:lang w:val="es-ES"/>
        </w:rPr>
        <w:t xml:space="preserve"> las mejores prácticas en toda la región y se formularon recomendaciones para abordar el empleo informal</w:t>
      </w:r>
      <w:r w:rsidR="00570E1B" w:rsidRPr="00512F79">
        <w:rPr>
          <w:rFonts w:eastAsia="Cambria"/>
          <w:noProof/>
          <w:color w:val="000000" w:themeColor="text1"/>
          <w:sz w:val="22"/>
          <w:szCs w:val="22"/>
          <w:lang w:val="es-ES"/>
        </w:rPr>
        <w:t>.</w:t>
      </w:r>
    </w:p>
    <w:p w14:paraId="48F1A468" w14:textId="77777777" w:rsidR="00FF0178" w:rsidRPr="00512F79" w:rsidRDefault="00FF0178" w:rsidP="00CB030B">
      <w:pPr>
        <w:pStyle w:val="ListParagraph"/>
        <w:jc w:val="both"/>
        <w:rPr>
          <w:rFonts w:eastAsia="Cambria"/>
          <w:noProof/>
          <w:color w:val="000000" w:themeColor="text1"/>
          <w:sz w:val="22"/>
          <w:szCs w:val="22"/>
          <w:lang w:val="es-ES"/>
        </w:rPr>
      </w:pPr>
    </w:p>
    <w:p w14:paraId="535737EB" w14:textId="4C10E9B3" w:rsidR="00F4728E" w:rsidRPr="00512F79" w:rsidRDefault="00FB71F8">
      <w:pPr>
        <w:pStyle w:val="ListParagraph"/>
        <w:numPr>
          <w:ilvl w:val="0"/>
          <w:numId w:val="24"/>
        </w:numPr>
        <w:ind w:left="1440" w:hanging="720"/>
        <w:jc w:val="both"/>
        <w:rPr>
          <w:rFonts w:eastAsia="Cambria"/>
          <w:noProof/>
          <w:color w:val="000000" w:themeColor="text1"/>
          <w:sz w:val="22"/>
          <w:szCs w:val="22"/>
          <w:lang w:val="es-ES"/>
        </w:rPr>
      </w:pPr>
      <w:r w:rsidRPr="00FB71F8">
        <w:rPr>
          <w:rFonts w:eastAsia="Cambria"/>
          <w:noProof/>
          <w:color w:val="000000" w:themeColor="text1"/>
          <w:sz w:val="22"/>
          <w:szCs w:val="22"/>
          <w:lang w:val="es-ES"/>
        </w:rPr>
        <w:t xml:space="preserve">Se profundizó la cooperación laboral gracias al importante compromiso de los Ministerios de Trabajo de la RIAL. En 2022, la RIAL concretó una cooperación bilateral virtual con los Ministerios de Trabajo de Argentina, Belize, Barbados, Bolivia, Colombia, Ecuador, Guatemala, Panamá, Paraguay, Perú y Uruguay, </w:t>
      </w:r>
      <w:r>
        <w:rPr>
          <w:rFonts w:eastAsia="Cambria"/>
          <w:noProof/>
          <w:color w:val="000000" w:themeColor="text1"/>
          <w:sz w:val="22"/>
          <w:szCs w:val="22"/>
          <w:lang w:val="es-ES"/>
        </w:rPr>
        <w:t>la cual</w:t>
      </w:r>
      <w:r w:rsidRPr="00FB71F8">
        <w:rPr>
          <w:rFonts w:eastAsia="Cambria"/>
          <w:noProof/>
          <w:color w:val="000000" w:themeColor="text1"/>
          <w:sz w:val="22"/>
          <w:szCs w:val="22"/>
          <w:lang w:val="es-ES"/>
        </w:rPr>
        <w:t xml:space="preserve"> les permitió fortalecer </w:t>
      </w:r>
      <w:r>
        <w:rPr>
          <w:rFonts w:eastAsia="Cambria"/>
          <w:noProof/>
          <w:color w:val="000000" w:themeColor="text1"/>
          <w:sz w:val="22"/>
          <w:szCs w:val="22"/>
          <w:lang w:val="es-ES"/>
        </w:rPr>
        <w:t>sus</w:t>
      </w:r>
      <w:r w:rsidRPr="00FB71F8">
        <w:rPr>
          <w:rFonts w:eastAsia="Cambria"/>
          <w:noProof/>
          <w:color w:val="000000" w:themeColor="text1"/>
          <w:sz w:val="22"/>
          <w:szCs w:val="22"/>
          <w:lang w:val="es-ES"/>
        </w:rPr>
        <w:t xml:space="preserve"> capacidad</w:t>
      </w:r>
      <w:r>
        <w:rPr>
          <w:rFonts w:eastAsia="Cambria"/>
          <w:noProof/>
          <w:color w:val="000000" w:themeColor="text1"/>
          <w:sz w:val="22"/>
          <w:szCs w:val="22"/>
          <w:lang w:val="es-ES"/>
        </w:rPr>
        <w:t>es</w:t>
      </w:r>
      <w:r w:rsidRPr="00FB71F8">
        <w:rPr>
          <w:rFonts w:eastAsia="Cambria"/>
          <w:noProof/>
          <w:color w:val="000000" w:themeColor="text1"/>
          <w:sz w:val="22"/>
          <w:szCs w:val="22"/>
          <w:lang w:val="es-ES"/>
        </w:rPr>
        <w:t xml:space="preserve"> y desarrollar productos específicos sobre seguridad y salud ocupacional, inspección laboral, marco nacional de calificaciones, estrategias para prevenir la violencia de género en el ámbito laboral, detección de trabajo infantil e indicios de explotación laboral. En noviembre de 2022, la RIAL realizó un ejercicio presencial de cooperación bilateral, en el </w:t>
      </w:r>
      <w:r>
        <w:rPr>
          <w:rFonts w:eastAsia="Cambria"/>
          <w:noProof/>
          <w:color w:val="000000" w:themeColor="text1"/>
          <w:sz w:val="22"/>
          <w:szCs w:val="22"/>
          <w:lang w:val="es-ES"/>
        </w:rPr>
        <w:t>cual</w:t>
      </w:r>
      <w:r w:rsidRPr="00FB71F8">
        <w:rPr>
          <w:rFonts w:eastAsia="Cambria"/>
          <w:noProof/>
          <w:color w:val="000000" w:themeColor="text1"/>
          <w:sz w:val="22"/>
          <w:szCs w:val="22"/>
          <w:lang w:val="es-ES"/>
        </w:rPr>
        <w:t xml:space="preserve"> funcionarios panameños recibieron capacitación </w:t>
      </w:r>
      <w:r w:rsidRPr="00FB71F8">
        <w:rPr>
          <w:rFonts w:eastAsia="Cambria"/>
          <w:i/>
          <w:iCs/>
          <w:noProof/>
          <w:color w:val="000000" w:themeColor="text1"/>
          <w:sz w:val="22"/>
          <w:szCs w:val="22"/>
          <w:lang w:val="es-ES"/>
        </w:rPr>
        <w:t>in situ</w:t>
      </w:r>
      <w:r w:rsidRPr="00FB71F8">
        <w:rPr>
          <w:rFonts w:eastAsia="Cambria"/>
          <w:noProof/>
          <w:color w:val="000000" w:themeColor="text1"/>
          <w:sz w:val="22"/>
          <w:szCs w:val="22"/>
          <w:lang w:val="es-ES"/>
        </w:rPr>
        <w:t xml:space="preserve"> por parte de Chile sobre inspección laboral en el sector minero.</w:t>
      </w:r>
    </w:p>
    <w:p w14:paraId="33A9E8FB" w14:textId="77777777" w:rsidR="00FF0178" w:rsidRPr="00512F79" w:rsidRDefault="00FF0178" w:rsidP="00CB030B">
      <w:pPr>
        <w:pStyle w:val="ListParagraph"/>
        <w:ind w:left="1440" w:hanging="720"/>
        <w:jc w:val="both"/>
        <w:rPr>
          <w:rFonts w:eastAsia="Cambria"/>
          <w:noProof/>
          <w:color w:val="000000" w:themeColor="text1"/>
          <w:sz w:val="22"/>
          <w:szCs w:val="22"/>
          <w:lang w:val="es-ES"/>
        </w:rPr>
      </w:pPr>
    </w:p>
    <w:p w14:paraId="540918B9" w14:textId="49BE1461" w:rsidR="00F4728E" w:rsidRPr="00FB71F8" w:rsidRDefault="00967695" w:rsidP="00D9076C">
      <w:pPr>
        <w:pStyle w:val="ListParagraph"/>
        <w:numPr>
          <w:ilvl w:val="0"/>
          <w:numId w:val="24"/>
        </w:numPr>
        <w:ind w:left="1440" w:hanging="720"/>
        <w:jc w:val="both"/>
        <w:rPr>
          <w:rFonts w:eastAsia="Cambria"/>
          <w:noProof/>
          <w:color w:val="000000" w:themeColor="text1"/>
          <w:sz w:val="22"/>
          <w:szCs w:val="22"/>
          <w:lang w:val="es-ES"/>
        </w:rPr>
      </w:pPr>
      <w:r w:rsidRPr="00FB71F8">
        <w:rPr>
          <w:rFonts w:eastAsia="Cambria"/>
          <w:noProof/>
          <w:color w:val="000000" w:themeColor="text1"/>
          <w:sz w:val="22"/>
          <w:szCs w:val="22"/>
          <w:lang w:val="es-ES"/>
        </w:rPr>
        <w:t xml:space="preserve">La SEDI preparó y lanzó </w:t>
      </w:r>
      <w:r w:rsidR="00FB71F8" w:rsidRPr="00FB71F8">
        <w:rPr>
          <w:rFonts w:eastAsia="Cambria"/>
          <w:noProof/>
          <w:color w:val="000000" w:themeColor="text1"/>
          <w:sz w:val="22"/>
          <w:szCs w:val="22"/>
          <w:lang w:val="es-ES"/>
        </w:rPr>
        <w:t xml:space="preserve">el </w:t>
      </w:r>
      <w:r w:rsidR="00FB71F8" w:rsidRPr="00FB71F8">
        <w:rPr>
          <w:rFonts w:eastAsia="Cambria"/>
          <w:b/>
          <w:bCs/>
          <w:noProof/>
          <w:color w:val="000000" w:themeColor="text1"/>
          <w:sz w:val="22"/>
          <w:szCs w:val="22"/>
          <w:lang w:val="es-ES"/>
        </w:rPr>
        <w:t>Portafolio abierto de legislación y regulaciones sobre teletrabajo</w:t>
      </w:r>
      <w:r w:rsidRPr="00FB71F8">
        <w:rPr>
          <w:rFonts w:eastAsia="Cambria"/>
          <w:b/>
          <w:bCs/>
          <w:noProof/>
          <w:color w:val="000000" w:themeColor="text1"/>
          <w:sz w:val="22"/>
          <w:szCs w:val="22"/>
          <w:lang w:val="es-ES"/>
        </w:rPr>
        <w:t xml:space="preserve">, </w:t>
      </w:r>
      <w:r w:rsidRPr="00FB71F8">
        <w:rPr>
          <w:rFonts w:eastAsia="Cambria"/>
          <w:noProof/>
          <w:color w:val="000000" w:themeColor="text1"/>
          <w:sz w:val="22"/>
          <w:szCs w:val="22"/>
          <w:lang w:val="es-ES"/>
        </w:rPr>
        <w:t xml:space="preserve">disponible </w:t>
      </w:r>
      <w:hyperlink r:id="rId20" w:history="1">
        <w:r w:rsidR="00FB71F8" w:rsidRPr="00FB71F8">
          <w:rPr>
            <w:rStyle w:val="Hyperlink"/>
            <w:rFonts w:eastAsia="Cambria"/>
            <w:noProof/>
            <w:sz w:val="22"/>
            <w:szCs w:val="22"/>
            <w:lang w:val="es-ES"/>
          </w:rPr>
          <w:t>aquí</w:t>
        </w:r>
      </w:hyperlink>
      <w:r w:rsidR="00FB71F8">
        <w:rPr>
          <w:rFonts w:eastAsia="Cambria"/>
          <w:noProof/>
          <w:color w:val="000000" w:themeColor="text1"/>
          <w:sz w:val="22"/>
          <w:szCs w:val="22"/>
          <w:lang w:val="es-ES"/>
        </w:rPr>
        <w:t xml:space="preserve"> </w:t>
      </w:r>
      <w:r w:rsidRPr="00FB71F8">
        <w:rPr>
          <w:rFonts w:eastAsia="Cambria"/>
          <w:noProof/>
          <w:color w:val="000000" w:themeColor="text1"/>
          <w:sz w:val="22"/>
          <w:szCs w:val="22"/>
          <w:lang w:val="es-ES"/>
        </w:rPr>
        <w:t xml:space="preserve">en el sitio web de la RIAL, </w:t>
      </w:r>
      <w:r w:rsidR="005C4B6D" w:rsidRPr="00FB71F8">
        <w:rPr>
          <w:rFonts w:eastAsia="Cambria"/>
          <w:noProof/>
          <w:color w:val="000000" w:themeColor="text1"/>
          <w:sz w:val="22"/>
          <w:szCs w:val="22"/>
          <w:lang w:val="es-ES"/>
        </w:rPr>
        <w:t xml:space="preserve">que </w:t>
      </w:r>
      <w:r w:rsidRPr="00FB71F8">
        <w:rPr>
          <w:rFonts w:eastAsia="Cambria"/>
          <w:noProof/>
          <w:color w:val="000000" w:themeColor="text1"/>
          <w:sz w:val="22"/>
          <w:szCs w:val="22"/>
          <w:lang w:val="es-ES"/>
        </w:rPr>
        <w:t xml:space="preserve">reúne más de 90 leyes, reglamentos, resoluciones y otros instrumentos normativos de 23 </w:t>
      </w:r>
      <w:r w:rsidR="00FB71F8">
        <w:rPr>
          <w:rFonts w:eastAsia="Cambria"/>
          <w:noProof/>
          <w:color w:val="000000" w:themeColor="text1"/>
          <w:sz w:val="22"/>
          <w:szCs w:val="22"/>
          <w:lang w:val="es-ES"/>
        </w:rPr>
        <w:t>E</w:t>
      </w:r>
      <w:r w:rsidR="005F30B1" w:rsidRPr="00FB71F8">
        <w:rPr>
          <w:rFonts w:eastAsia="Cambria"/>
          <w:noProof/>
          <w:color w:val="000000" w:themeColor="text1"/>
          <w:sz w:val="22"/>
          <w:szCs w:val="22"/>
          <w:lang w:val="es-ES"/>
        </w:rPr>
        <w:t xml:space="preserve">stados </w:t>
      </w:r>
      <w:r w:rsidR="00FB71F8">
        <w:rPr>
          <w:rFonts w:eastAsia="Cambria"/>
          <w:noProof/>
          <w:color w:val="000000" w:themeColor="text1"/>
          <w:sz w:val="22"/>
          <w:szCs w:val="22"/>
          <w:lang w:val="es-ES"/>
        </w:rPr>
        <w:t>M</w:t>
      </w:r>
      <w:r w:rsidR="005F30B1" w:rsidRPr="00FB71F8">
        <w:rPr>
          <w:rFonts w:eastAsia="Cambria"/>
          <w:noProof/>
          <w:color w:val="000000" w:themeColor="text1"/>
          <w:sz w:val="22"/>
          <w:szCs w:val="22"/>
          <w:lang w:val="es-ES"/>
        </w:rPr>
        <w:t>iembros</w:t>
      </w:r>
      <w:r w:rsidR="005C4B6D" w:rsidRPr="00FB71F8">
        <w:rPr>
          <w:rFonts w:eastAsia="Cambria"/>
          <w:noProof/>
          <w:color w:val="000000" w:themeColor="text1"/>
          <w:sz w:val="22"/>
          <w:szCs w:val="22"/>
          <w:lang w:val="es-ES"/>
        </w:rPr>
        <w:t xml:space="preserve">. </w:t>
      </w:r>
      <w:r w:rsidR="00FB71F8">
        <w:rPr>
          <w:rFonts w:eastAsia="Cambria"/>
          <w:noProof/>
          <w:color w:val="000000" w:themeColor="text1"/>
          <w:sz w:val="22"/>
          <w:szCs w:val="22"/>
          <w:lang w:val="es-ES"/>
        </w:rPr>
        <w:t>Este portafolio</w:t>
      </w:r>
      <w:r w:rsidR="005C4B6D" w:rsidRPr="00FB71F8">
        <w:rPr>
          <w:rFonts w:eastAsia="Cambria"/>
          <w:noProof/>
          <w:color w:val="000000" w:themeColor="text1"/>
          <w:sz w:val="22"/>
          <w:szCs w:val="22"/>
          <w:lang w:val="es-ES"/>
        </w:rPr>
        <w:t xml:space="preserve"> </w:t>
      </w:r>
      <w:r w:rsidRPr="00FB71F8">
        <w:rPr>
          <w:rFonts w:eastAsia="Cambria"/>
          <w:noProof/>
          <w:color w:val="000000" w:themeColor="text1"/>
          <w:sz w:val="22"/>
          <w:szCs w:val="22"/>
          <w:lang w:val="es-ES"/>
        </w:rPr>
        <w:t>es un útil repositorio de información e investigación, y una fuente de referencia estratégica para otros países que avanzan en s</w:t>
      </w:r>
      <w:r w:rsidR="00FB71F8">
        <w:rPr>
          <w:rFonts w:eastAsia="Cambria"/>
          <w:noProof/>
          <w:color w:val="000000" w:themeColor="text1"/>
          <w:sz w:val="22"/>
          <w:szCs w:val="22"/>
          <w:lang w:val="es-ES"/>
        </w:rPr>
        <w:t xml:space="preserve">u labor en </w:t>
      </w:r>
      <w:r w:rsidRPr="00FB71F8">
        <w:rPr>
          <w:rFonts w:eastAsia="Cambria"/>
          <w:noProof/>
          <w:color w:val="000000" w:themeColor="text1"/>
          <w:sz w:val="22"/>
          <w:szCs w:val="22"/>
          <w:lang w:val="es-ES"/>
        </w:rPr>
        <w:t>esta área.</w:t>
      </w:r>
    </w:p>
    <w:p w14:paraId="48142837" w14:textId="77777777" w:rsidR="00FB71F8" w:rsidRDefault="00FB71F8">
      <w:pPr>
        <w:rPr>
          <w:rFonts w:ascii="Times New Roman" w:hAnsi="Times New Roman" w:cs="Times New Roman"/>
          <w:b/>
          <w:bCs/>
          <w:sz w:val="22"/>
          <w:szCs w:val="22"/>
          <w:lang w:val="es-ES"/>
        </w:rPr>
      </w:pPr>
    </w:p>
    <w:p w14:paraId="28EAE4EA" w14:textId="77777777" w:rsidR="008457E8" w:rsidRDefault="008457E8">
      <w:pPr>
        <w:rPr>
          <w:rFonts w:ascii="Times New Roman" w:hAnsi="Times New Roman" w:cs="Times New Roman"/>
          <w:b/>
          <w:bCs/>
          <w:sz w:val="22"/>
          <w:szCs w:val="22"/>
          <w:lang w:val="es-ES"/>
        </w:rPr>
      </w:pPr>
    </w:p>
    <w:p w14:paraId="7C064FB0" w14:textId="2E485B7F" w:rsidR="00F4728E" w:rsidRPr="00512F79" w:rsidRDefault="00967695">
      <w:pPr>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LÍNEA ESTRATÉGICA 5</w:t>
      </w:r>
    </w:p>
    <w:p w14:paraId="192C1504" w14:textId="31B2EBD9" w:rsidR="00F4728E" w:rsidRPr="00512F79" w:rsidRDefault="00967695">
      <w:pPr>
        <w:pBdr>
          <w:bottom w:val="single" w:sz="6" w:space="1" w:color="auto"/>
        </w:pBdr>
        <w:rPr>
          <w:rFonts w:ascii="Times New Roman" w:hAnsi="Times New Roman" w:cs="Times New Roman"/>
          <w:sz w:val="22"/>
          <w:szCs w:val="22"/>
          <w:lang w:val="es-ES"/>
        </w:rPr>
      </w:pPr>
      <w:r w:rsidRPr="00512F79">
        <w:rPr>
          <w:rFonts w:ascii="Times New Roman" w:hAnsi="Times New Roman" w:cs="Times New Roman"/>
          <w:sz w:val="22"/>
          <w:szCs w:val="22"/>
          <w:lang w:val="es-ES"/>
        </w:rPr>
        <w:t>FOMENT</w:t>
      </w:r>
      <w:r w:rsidR="001C2A58">
        <w:rPr>
          <w:rFonts w:ascii="Times New Roman" w:hAnsi="Times New Roman" w:cs="Times New Roman"/>
          <w:sz w:val="22"/>
          <w:szCs w:val="22"/>
          <w:lang w:val="es-ES"/>
        </w:rPr>
        <w:t>AR</w:t>
      </w:r>
      <w:r w:rsidRPr="00512F79">
        <w:rPr>
          <w:rFonts w:ascii="Times New Roman" w:hAnsi="Times New Roman" w:cs="Times New Roman"/>
          <w:sz w:val="22"/>
          <w:szCs w:val="22"/>
          <w:lang w:val="es-ES"/>
        </w:rPr>
        <w:t xml:space="preserve"> LA COOPERACIÓN </w:t>
      </w:r>
      <w:r w:rsidR="001C2A58">
        <w:rPr>
          <w:rFonts w:ascii="Times New Roman" w:hAnsi="Times New Roman" w:cs="Times New Roman"/>
          <w:sz w:val="22"/>
          <w:szCs w:val="22"/>
          <w:lang w:val="es-ES"/>
        </w:rPr>
        <w:t>PARA EL</w:t>
      </w:r>
      <w:r w:rsidRPr="00512F79">
        <w:rPr>
          <w:rFonts w:ascii="Times New Roman" w:hAnsi="Times New Roman" w:cs="Times New Roman"/>
          <w:sz w:val="22"/>
          <w:szCs w:val="22"/>
          <w:lang w:val="es-ES"/>
        </w:rPr>
        <w:t xml:space="preserve"> DESARROLLO Y </w:t>
      </w:r>
      <w:r w:rsidR="001C2A58">
        <w:rPr>
          <w:rFonts w:ascii="Times New Roman" w:hAnsi="Times New Roman" w:cs="Times New Roman"/>
          <w:sz w:val="22"/>
          <w:szCs w:val="22"/>
          <w:lang w:val="es-ES"/>
        </w:rPr>
        <w:t>LA CREACIÓN DE ALIANZAS</w:t>
      </w:r>
    </w:p>
    <w:p w14:paraId="3E491BB7" w14:textId="77777777" w:rsidR="00A427C5" w:rsidRPr="00512F79" w:rsidRDefault="00A427C5" w:rsidP="00CB030B">
      <w:pPr>
        <w:rPr>
          <w:rFonts w:ascii="Times New Roman" w:hAnsi="Times New Roman" w:cs="Times New Roman"/>
          <w:sz w:val="22"/>
          <w:szCs w:val="22"/>
          <w:lang w:val="es-ES"/>
        </w:rPr>
      </w:pPr>
    </w:p>
    <w:p w14:paraId="4B2EFA84" w14:textId="33BD80C3" w:rsidR="00F4728E" w:rsidRPr="00512F79" w:rsidRDefault="00922E0B">
      <w:pPr>
        <w:ind w:firstLine="720"/>
        <w:jc w:val="both"/>
        <w:rPr>
          <w:rFonts w:ascii="Times New Roman" w:hAnsi="Times New Roman" w:cs="Times New Roman"/>
          <w:sz w:val="22"/>
          <w:szCs w:val="22"/>
          <w:lang w:val="es-ES"/>
        </w:rPr>
      </w:pPr>
      <w:r w:rsidRPr="00922E0B">
        <w:rPr>
          <w:rFonts w:ascii="Times New Roman" w:hAnsi="Times New Roman" w:cs="Times New Roman"/>
          <w:sz w:val="22"/>
          <w:szCs w:val="22"/>
          <w:lang w:val="es-ES"/>
        </w:rPr>
        <w:t xml:space="preserve">El Fondo de Cooperación para el Desarrollo de la Organización de los Estados Americanos (FCD/OEA) </w:t>
      </w:r>
      <w:r>
        <w:rPr>
          <w:rFonts w:ascii="Times New Roman" w:hAnsi="Times New Roman" w:cs="Times New Roman"/>
          <w:sz w:val="22"/>
          <w:szCs w:val="22"/>
          <w:lang w:val="es-ES"/>
        </w:rPr>
        <w:t>fomenta</w:t>
      </w:r>
      <w:r w:rsidRPr="00922E0B">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las </w:t>
      </w:r>
      <w:r w:rsidRPr="00922E0B">
        <w:rPr>
          <w:rFonts w:ascii="Times New Roman" w:hAnsi="Times New Roman" w:cs="Times New Roman"/>
          <w:sz w:val="22"/>
          <w:szCs w:val="22"/>
          <w:lang w:val="es-ES"/>
        </w:rPr>
        <w:t xml:space="preserve">asociaciones y alianzas multisectoriales para ofrecer iniciativas de cooperación técnica específicas basadas en la comunidad, ejecutadas localmente y que responden a las necesidades específicas de desarrollo de capacidades de los Estados Miembros. En el ciclo de programación 2017-2021 recientemente finalizado, se asignaron US$1,5 millones y se implementaron diecisiete proyectos regionales en tres áreas temáticas priorizadas por la </w:t>
      </w:r>
      <w:r w:rsidR="008457E8">
        <w:rPr>
          <w:rFonts w:ascii="Times New Roman" w:hAnsi="Times New Roman" w:cs="Times New Roman"/>
          <w:sz w:val="22"/>
          <w:szCs w:val="22"/>
          <w:lang w:val="es-ES"/>
        </w:rPr>
        <w:t>Agenda Educativa Interamericana</w:t>
      </w:r>
      <w:r w:rsidRPr="00922E0B">
        <w:rPr>
          <w:rFonts w:ascii="Times New Roman" w:hAnsi="Times New Roman" w:cs="Times New Roman"/>
          <w:sz w:val="22"/>
          <w:szCs w:val="22"/>
          <w:lang w:val="es-ES"/>
        </w:rPr>
        <w:t xml:space="preserve">: educación </w:t>
      </w:r>
      <w:r w:rsidR="00F251B0">
        <w:rPr>
          <w:rFonts w:ascii="Times New Roman" w:hAnsi="Times New Roman" w:cs="Times New Roman"/>
          <w:sz w:val="22"/>
          <w:szCs w:val="22"/>
          <w:lang w:val="es-ES"/>
        </w:rPr>
        <w:t xml:space="preserve">de calidad, </w:t>
      </w:r>
      <w:r w:rsidRPr="00922E0B">
        <w:rPr>
          <w:rFonts w:ascii="Times New Roman" w:hAnsi="Times New Roman" w:cs="Times New Roman"/>
          <w:sz w:val="22"/>
          <w:szCs w:val="22"/>
          <w:lang w:val="es-ES"/>
        </w:rPr>
        <w:t>inclusiva</w:t>
      </w:r>
      <w:r w:rsidR="00F251B0">
        <w:rPr>
          <w:rFonts w:ascii="Times New Roman" w:hAnsi="Times New Roman" w:cs="Times New Roman"/>
          <w:sz w:val="22"/>
          <w:szCs w:val="22"/>
          <w:lang w:val="es-ES"/>
        </w:rPr>
        <w:t xml:space="preserve"> y con equidad</w:t>
      </w:r>
      <w:r w:rsidRPr="00922E0B">
        <w:rPr>
          <w:rFonts w:ascii="Times New Roman" w:hAnsi="Times New Roman" w:cs="Times New Roman"/>
          <w:sz w:val="22"/>
          <w:szCs w:val="22"/>
          <w:lang w:val="es-ES"/>
        </w:rPr>
        <w:t>, fortalecimiento de la profesión docente y atención integral a la primera infancia. Los proyectos se diseñaron para</w:t>
      </w:r>
      <w:r w:rsidR="00F251B0">
        <w:rPr>
          <w:rFonts w:ascii="Times New Roman" w:hAnsi="Times New Roman" w:cs="Times New Roman"/>
          <w:sz w:val="22"/>
          <w:szCs w:val="22"/>
          <w:lang w:val="es-ES"/>
        </w:rPr>
        <w:t xml:space="preserve"> fortalecer</w:t>
      </w:r>
      <w:r w:rsidRPr="00922E0B">
        <w:rPr>
          <w:rFonts w:ascii="Times New Roman" w:hAnsi="Times New Roman" w:cs="Times New Roman"/>
          <w:sz w:val="22"/>
          <w:szCs w:val="22"/>
          <w:lang w:val="es-ES"/>
        </w:rPr>
        <w:t xml:space="preserve"> la calidad de la educación que se ofrece en los Estados Miembros, así como para ampliar el acceso de grupos vulnerables como las mujeres, los jóvenes, los pueblos indígenas y las comunidades rurales.</w:t>
      </w:r>
    </w:p>
    <w:p w14:paraId="2316474D" w14:textId="28BA0A67" w:rsidR="001F022B" w:rsidRPr="00512F79" w:rsidRDefault="001F022B" w:rsidP="00CB030B">
      <w:pPr>
        <w:jc w:val="both"/>
        <w:rPr>
          <w:rFonts w:ascii="Times New Roman" w:hAnsi="Times New Roman" w:cs="Times New Roman"/>
          <w:sz w:val="22"/>
          <w:szCs w:val="22"/>
          <w:lang w:val="es-ES"/>
        </w:rPr>
      </w:pPr>
    </w:p>
    <w:p w14:paraId="644D7F67" w14:textId="48961447" w:rsidR="00F4728E" w:rsidRPr="002771A9" w:rsidRDefault="00967695">
      <w:pPr>
        <w:ind w:firstLine="720"/>
        <w:jc w:val="both"/>
        <w:rPr>
          <w:rFonts w:ascii="Times New Roman" w:hAnsi="Times New Roman" w:cs="Times New Roman"/>
          <w:sz w:val="22"/>
          <w:szCs w:val="22"/>
          <w:lang w:val="es-ES"/>
        </w:rPr>
      </w:pPr>
      <w:r w:rsidRPr="002771A9">
        <w:rPr>
          <w:rFonts w:ascii="Times New Roman" w:hAnsi="Times New Roman" w:cs="Times New Roman"/>
          <w:sz w:val="22"/>
          <w:szCs w:val="22"/>
          <w:lang w:val="es-ES"/>
        </w:rPr>
        <w:t xml:space="preserve">En su actual ciclo de programación 2021-2024, el </w:t>
      </w:r>
      <w:r w:rsidR="00902AB5" w:rsidRPr="002771A9">
        <w:rPr>
          <w:rFonts w:ascii="Times New Roman" w:hAnsi="Times New Roman" w:cs="Times New Roman"/>
          <w:sz w:val="22"/>
          <w:szCs w:val="22"/>
          <w:lang w:val="es-ES"/>
        </w:rPr>
        <w:t>F</w:t>
      </w:r>
      <w:r w:rsidR="00922E0B" w:rsidRPr="002771A9">
        <w:rPr>
          <w:rFonts w:ascii="Times New Roman" w:hAnsi="Times New Roman" w:cs="Times New Roman"/>
          <w:sz w:val="22"/>
          <w:szCs w:val="22"/>
          <w:lang w:val="es-ES"/>
        </w:rPr>
        <w:t>ondo de Cooperación para el Desarrollo (F</w:t>
      </w:r>
      <w:r w:rsidR="00902AB5" w:rsidRPr="002771A9">
        <w:rPr>
          <w:rFonts w:ascii="Times New Roman" w:hAnsi="Times New Roman" w:cs="Times New Roman"/>
          <w:sz w:val="22"/>
          <w:szCs w:val="22"/>
          <w:lang w:val="es-ES"/>
        </w:rPr>
        <w:t>CD</w:t>
      </w:r>
      <w:r w:rsidR="00922E0B" w:rsidRPr="002771A9">
        <w:rPr>
          <w:rFonts w:ascii="Times New Roman" w:hAnsi="Times New Roman" w:cs="Times New Roman"/>
          <w:sz w:val="22"/>
          <w:szCs w:val="22"/>
          <w:lang w:val="es-ES"/>
        </w:rPr>
        <w:t>)</w:t>
      </w:r>
      <w:r w:rsidR="00902AB5" w:rsidRPr="002771A9">
        <w:rPr>
          <w:rFonts w:ascii="Times New Roman" w:hAnsi="Times New Roman" w:cs="Times New Roman"/>
          <w:sz w:val="22"/>
          <w:szCs w:val="22"/>
          <w:lang w:val="es-ES"/>
        </w:rPr>
        <w:t xml:space="preserve"> ha recibido una asignación de </w:t>
      </w:r>
      <w:r w:rsidR="00F251B0" w:rsidRPr="002771A9">
        <w:rPr>
          <w:rFonts w:ascii="Times New Roman" w:hAnsi="Times New Roman" w:cs="Times New Roman"/>
          <w:sz w:val="22"/>
          <w:szCs w:val="22"/>
          <w:lang w:val="es-ES"/>
        </w:rPr>
        <w:t>US$</w:t>
      </w:r>
      <w:r w:rsidR="00902AB5" w:rsidRPr="002771A9">
        <w:rPr>
          <w:rFonts w:ascii="Times New Roman" w:hAnsi="Times New Roman" w:cs="Times New Roman"/>
          <w:sz w:val="22"/>
          <w:szCs w:val="22"/>
          <w:lang w:val="es-ES"/>
        </w:rPr>
        <w:t>1,8 millones (</w:t>
      </w:r>
      <w:hyperlink r:id="rId21" w:history="1">
        <w:r w:rsidR="001C2A58" w:rsidRPr="002771A9">
          <w:rPr>
            <w:rStyle w:val="Hyperlink"/>
            <w:rFonts w:ascii="Times New Roman" w:hAnsi="Times New Roman" w:cs="Times New Roman"/>
            <w:color w:val="auto"/>
            <w:sz w:val="22"/>
            <w:szCs w:val="22"/>
            <w:lang w:val="es-ES"/>
          </w:rPr>
          <w:t>AICD/JD/DE-131/21</w:t>
        </w:r>
      </w:hyperlink>
      <w:r w:rsidR="001C2A58" w:rsidRPr="002771A9">
        <w:rPr>
          <w:rFonts w:ascii="Times New Roman" w:hAnsi="Times New Roman" w:cs="Times New Roman"/>
          <w:sz w:val="22"/>
          <w:szCs w:val="22"/>
          <w:lang w:val="es-ES"/>
        </w:rPr>
        <w:t xml:space="preserve">) </w:t>
      </w:r>
      <w:r w:rsidR="00902AB5" w:rsidRPr="002771A9">
        <w:rPr>
          <w:rFonts w:ascii="Times New Roman" w:hAnsi="Times New Roman" w:cs="Times New Roman"/>
          <w:sz w:val="22"/>
          <w:szCs w:val="22"/>
          <w:lang w:val="es-ES"/>
        </w:rPr>
        <w:t>para apoyar la implementación de dieciocho programas regionales, destacando la educación, la ciencia y la tecnología como temas transversales que conectan cuatro áreas temáticas:</w:t>
      </w:r>
      <w:r w:rsidR="00BF4B76" w:rsidRPr="002771A9">
        <w:rPr>
          <w:rFonts w:ascii="Times New Roman" w:hAnsi="Times New Roman" w:cs="Times New Roman"/>
          <w:sz w:val="22"/>
          <w:szCs w:val="22"/>
          <w:lang w:val="es-ES"/>
        </w:rPr>
        <w:t xml:space="preserve"> </w:t>
      </w:r>
      <w:r w:rsidR="003636FA">
        <w:rPr>
          <w:rFonts w:ascii="Times New Roman" w:hAnsi="Times New Roman" w:cs="Times New Roman"/>
          <w:sz w:val="22"/>
          <w:szCs w:val="22"/>
          <w:lang w:val="es-ES"/>
        </w:rPr>
        <w:t xml:space="preserve">reforzamiento de las </w:t>
      </w:r>
      <w:r w:rsidR="00FB33DE" w:rsidRPr="002771A9">
        <w:rPr>
          <w:rFonts w:ascii="Times New Roman" w:hAnsi="Times New Roman" w:cs="Times New Roman"/>
          <w:sz w:val="22"/>
          <w:szCs w:val="22"/>
          <w:shd w:val="clear" w:color="auto" w:fill="FFFFFF"/>
          <w:lang w:val="es-ES"/>
        </w:rPr>
        <w:t>micro, pequeñas y medianas empresas (M</w:t>
      </w:r>
      <w:r w:rsidR="002771A9" w:rsidRPr="002771A9">
        <w:rPr>
          <w:rFonts w:ascii="Times New Roman" w:hAnsi="Times New Roman" w:cs="Times New Roman"/>
          <w:sz w:val="22"/>
          <w:szCs w:val="22"/>
          <w:shd w:val="clear" w:color="auto" w:fill="FFFFFF"/>
          <w:lang w:val="es-ES"/>
        </w:rPr>
        <w:t>I</w:t>
      </w:r>
      <w:r w:rsidR="00FB33DE" w:rsidRPr="002771A9">
        <w:rPr>
          <w:rFonts w:ascii="Times New Roman" w:hAnsi="Times New Roman" w:cs="Times New Roman"/>
          <w:sz w:val="22"/>
          <w:szCs w:val="22"/>
          <w:shd w:val="clear" w:color="auto" w:fill="FFFFFF"/>
          <w:lang w:val="es-ES"/>
        </w:rPr>
        <w:t>PYME</w:t>
      </w:r>
      <w:r w:rsidR="002771A9" w:rsidRPr="002771A9">
        <w:rPr>
          <w:rFonts w:ascii="Times New Roman" w:hAnsi="Times New Roman" w:cs="Times New Roman"/>
          <w:sz w:val="22"/>
          <w:szCs w:val="22"/>
          <w:shd w:val="clear" w:color="auto" w:fill="FFFFFF"/>
          <w:lang w:val="es-ES"/>
        </w:rPr>
        <w:t>S</w:t>
      </w:r>
      <w:r w:rsidR="00FB33DE" w:rsidRPr="002771A9">
        <w:rPr>
          <w:rFonts w:ascii="Times New Roman" w:hAnsi="Times New Roman" w:cs="Times New Roman"/>
          <w:sz w:val="22"/>
          <w:szCs w:val="22"/>
          <w:shd w:val="clear" w:color="auto" w:fill="FFFFFF"/>
          <w:lang w:val="es-ES"/>
        </w:rPr>
        <w:t>) a través de la innovación y la tecnología; reconversión de la fuerza laboral con enfoque innovador para la recuperación del sector turístico y las economías regionales; innovación científica y tecnológica para fortalecer la resiliencia, y la ciencia para la toma de decisiones en la planeación del riesgo de desastres. </w:t>
      </w:r>
      <w:r w:rsidR="00FB33DE" w:rsidRPr="002771A9">
        <w:rPr>
          <w:rFonts w:ascii="Times New Roman" w:hAnsi="Times New Roman" w:cs="Times New Roman"/>
          <w:sz w:val="22"/>
          <w:szCs w:val="22"/>
          <w:lang w:val="es-ES"/>
        </w:rPr>
        <w:t xml:space="preserve"> </w:t>
      </w:r>
      <w:r w:rsidR="00FB33DE" w:rsidRPr="002771A9">
        <w:rPr>
          <w:rFonts w:ascii="Times New Roman" w:hAnsi="Times New Roman" w:cs="Times New Roman"/>
          <w:sz w:val="22"/>
          <w:szCs w:val="22"/>
          <w:shd w:val="clear" w:color="auto" w:fill="FFFFFF"/>
          <w:lang w:val="es-ES"/>
        </w:rPr>
        <w:t>Se espera que los programas, los cuales se encuentran en la primera etapa de implementación, contribuyan a la recuperación de los Estados Miembros de los efectos devastadores de la pandemia del COVID-19.</w:t>
      </w:r>
      <w:r w:rsidR="00BF4B76" w:rsidRPr="002771A9">
        <w:rPr>
          <w:rFonts w:ascii="Times New Roman" w:hAnsi="Times New Roman" w:cs="Times New Roman"/>
          <w:sz w:val="22"/>
          <w:szCs w:val="22"/>
          <w:lang w:val="es-ES"/>
        </w:rPr>
        <w:t xml:space="preserve"> </w:t>
      </w:r>
    </w:p>
    <w:p w14:paraId="39E9502B" w14:textId="46B552FE" w:rsidR="00902AB5" w:rsidRPr="00512F79" w:rsidRDefault="00902AB5" w:rsidP="00CB030B">
      <w:pPr>
        <w:jc w:val="both"/>
        <w:rPr>
          <w:rFonts w:ascii="Times New Roman" w:hAnsi="Times New Roman" w:cs="Times New Roman"/>
          <w:sz w:val="22"/>
          <w:szCs w:val="22"/>
          <w:lang w:val="es-ES"/>
        </w:rPr>
      </w:pPr>
    </w:p>
    <w:p w14:paraId="0C1D9060" w14:textId="2497ACF1" w:rsidR="00F4728E" w:rsidRPr="00512F79" w:rsidRDefault="00967695">
      <w:pPr>
        <w:ind w:left="720"/>
        <w:jc w:val="both"/>
        <w:rPr>
          <w:rFonts w:ascii="Times New Roman" w:hAnsi="Times New Roman" w:cs="Times New Roman"/>
          <w:b/>
          <w:bCs/>
          <w:sz w:val="22"/>
          <w:szCs w:val="22"/>
          <w:u w:val="single"/>
          <w:lang w:val="es-ES"/>
        </w:rPr>
      </w:pPr>
      <w:r w:rsidRPr="00512F79">
        <w:rPr>
          <w:rFonts w:ascii="Times New Roman" w:hAnsi="Times New Roman" w:cs="Times New Roman"/>
          <w:b/>
          <w:bCs/>
          <w:sz w:val="22"/>
          <w:szCs w:val="22"/>
          <w:u w:val="single"/>
          <w:lang w:val="es-ES"/>
        </w:rPr>
        <w:t>OEA/</w:t>
      </w:r>
      <w:r w:rsidR="00C7044C">
        <w:rPr>
          <w:rFonts w:ascii="Times New Roman" w:hAnsi="Times New Roman" w:cs="Times New Roman"/>
          <w:b/>
          <w:bCs/>
          <w:sz w:val="22"/>
          <w:szCs w:val="22"/>
          <w:u w:val="single"/>
          <w:lang w:val="es-ES"/>
        </w:rPr>
        <w:t>FCD -</w:t>
      </w:r>
      <w:r w:rsidRPr="00512F79">
        <w:rPr>
          <w:rFonts w:ascii="Times New Roman" w:hAnsi="Times New Roman" w:cs="Times New Roman"/>
          <w:b/>
          <w:bCs/>
          <w:sz w:val="22"/>
          <w:szCs w:val="22"/>
          <w:u w:val="single"/>
          <w:lang w:val="es-ES"/>
        </w:rPr>
        <w:t xml:space="preserve"> </w:t>
      </w:r>
      <w:r w:rsidR="007132D8" w:rsidRPr="00512F79">
        <w:rPr>
          <w:rFonts w:ascii="Times New Roman" w:hAnsi="Times New Roman" w:cs="Times New Roman"/>
          <w:b/>
          <w:bCs/>
          <w:sz w:val="22"/>
          <w:szCs w:val="22"/>
          <w:u w:val="single"/>
          <w:lang w:val="es-ES"/>
        </w:rPr>
        <w:t>CICLO DE PROGRAMA</w:t>
      </w:r>
      <w:r w:rsidR="00C7044C">
        <w:rPr>
          <w:rFonts w:ascii="Times New Roman" w:hAnsi="Times New Roman" w:cs="Times New Roman"/>
          <w:b/>
          <w:bCs/>
          <w:sz w:val="22"/>
          <w:szCs w:val="22"/>
          <w:u w:val="single"/>
          <w:lang w:val="es-ES"/>
        </w:rPr>
        <w:t>CIÓN</w:t>
      </w:r>
      <w:r w:rsidR="007132D8" w:rsidRPr="00512F79">
        <w:rPr>
          <w:rFonts w:ascii="Times New Roman" w:hAnsi="Times New Roman" w:cs="Times New Roman"/>
          <w:b/>
          <w:bCs/>
          <w:sz w:val="22"/>
          <w:szCs w:val="22"/>
          <w:u w:val="single"/>
          <w:lang w:val="es-ES"/>
        </w:rPr>
        <w:t xml:space="preserve"> 2017-2021</w:t>
      </w:r>
    </w:p>
    <w:p w14:paraId="7AED48E5" w14:textId="7C127BA3" w:rsidR="00902AB5" w:rsidRPr="00512F79" w:rsidRDefault="00902AB5" w:rsidP="00CB030B">
      <w:pPr>
        <w:ind w:left="720"/>
        <w:jc w:val="both"/>
        <w:rPr>
          <w:rFonts w:ascii="Times New Roman" w:hAnsi="Times New Roman" w:cs="Times New Roman"/>
          <w:b/>
          <w:bCs/>
          <w:sz w:val="22"/>
          <w:szCs w:val="22"/>
          <w:u w:val="single"/>
          <w:lang w:val="es-ES"/>
        </w:rPr>
      </w:pPr>
    </w:p>
    <w:p w14:paraId="65387350" w14:textId="77777777" w:rsidR="00F4728E" w:rsidRPr="00512F79" w:rsidRDefault="00967695">
      <w:pPr>
        <w:ind w:left="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PROGRAMA I</w:t>
      </w:r>
    </w:p>
    <w:p w14:paraId="41ACA5FE" w14:textId="46062BC0" w:rsidR="00F4728E" w:rsidRPr="00512F79" w:rsidRDefault="00967695">
      <w:pPr>
        <w:ind w:left="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Educación de calidad, inclusiva y </w:t>
      </w:r>
      <w:r w:rsidR="00C7044C">
        <w:rPr>
          <w:rFonts w:ascii="Times New Roman" w:hAnsi="Times New Roman" w:cs="Times New Roman"/>
          <w:b/>
          <w:bCs/>
          <w:sz w:val="22"/>
          <w:szCs w:val="22"/>
          <w:lang w:val="es-ES"/>
        </w:rPr>
        <w:t>con equidad</w:t>
      </w:r>
      <w:r w:rsidRPr="00512F79">
        <w:rPr>
          <w:rFonts w:ascii="Times New Roman" w:hAnsi="Times New Roman" w:cs="Times New Roman"/>
          <w:b/>
          <w:bCs/>
          <w:sz w:val="22"/>
          <w:szCs w:val="22"/>
          <w:lang w:val="es-ES"/>
        </w:rPr>
        <w:t>: Costa Rica, Ecuador, El Salvador, Guyana, Nicaragua</w:t>
      </w:r>
    </w:p>
    <w:p w14:paraId="42554B28" w14:textId="5D311E43" w:rsidR="00902AB5" w:rsidRPr="00512F79" w:rsidRDefault="00902AB5" w:rsidP="00CB030B">
      <w:pPr>
        <w:ind w:left="720"/>
        <w:rPr>
          <w:rFonts w:ascii="Times New Roman" w:hAnsi="Times New Roman" w:cs="Times New Roman"/>
          <w:i/>
          <w:iCs/>
          <w:sz w:val="22"/>
          <w:szCs w:val="22"/>
          <w:lang w:val="es-ES"/>
        </w:rPr>
      </w:pPr>
    </w:p>
    <w:p w14:paraId="1768EAA0" w14:textId="775CEFC8" w:rsidR="00F4728E" w:rsidRPr="00512F79" w:rsidRDefault="00967695">
      <w:pPr>
        <w:tabs>
          <w:tab w:val="left" w:pos="3315"/>
        </w:tabs>
        <w:ind w:left="720"/>
        <w:contextualSpacing/>
        <w:jc w:val="both"/>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Costa Rica: </w:t>
      </w:r>
      <w:r w:rsidR="00977197" w:rsidRPr="00512F79">
        <w:rPr>
          <w:rFonts w:ascii="Times New Roman" w:hAnsi="Times New Roman" w:cs="Times New Roman"/>
          <w:b/>
          <w:bCs/>
          <w:sz w:val="22"/>
          <w:szCs w:val="22"/>
          <w:lang w:val="es-ES"/>
        </w:rPr>
        <w:t xml:space="preserve">Profesores </w:t>
      </w:r>
      <w:r w:rsidRPr="00512F79">
        <w:rPr>
          <w:rFonts w:ascii="Times New Roman" w:hAnsi="Times New Roman" w:cs="Times New Roman"/>
          <w:b/>
          <w:bCs/>
          <w:sz w:val="22"/>
          <w:szCs w:val="22"/>
          <w:lang w:val="es-ES"/>
        </w:rPr>
        <w:t xml:space="preserve">comunitarios </w:t>
      </w:r>
      <w:r w:rsidR="007A1513">
        <w:rPr>
          <w:rFonts w:ascii="Times New Roman" w:hAnsi="Times New Roman" w:cs="Times New Roman"/>
          <w:b/>
          <w:bCs/>
          <w:sz w:val="22"/>
          <w:szCs w:val="22"/>
          <w:lang w:val="es-ES"/>
        </w:rPr>
        <w:t>de la</w:t>
      </w:r>
      <w:r w:rsidR="00977197" w:rsidRPr="00512F79">
        <w:rPr>
          <w:rFonts w:ascii="Times New Roman" w:hAnsi="Times New Roman" w:cs="Times New Roman"/>
          <w:b/>
          <w:bCs/>
          <w:sz w:val="22"/>
          <w:szCs w:val="22"/>
          <w:lang w:val="es-ES"/>
        </w:rPr>
        <w:t xml:space="preserve"> estrategia </w:t>
      </w:r>
      <w:r w:rsidRPr="00512F79">
        <w:rPr>
          <w:rFonts w:ascii="Times New Roman" w:hAnsi="Times New Roman" w:cs="Times New Roman"/>
          <w:b/>
          <w:bCs/>
          <w:i/>
          <w:iCs/>
          <w:sz w:val="22"/>
          <w:szCs w:val="22"/>
          <w:lang w:val="es-ES"/>
        </w:rPr>
        <w:t>"Yo Me Apunto</w:t>
      </w:r>
      <w:r w:rsidR="007A1513">
        <w:rPr>
          <w:rFonts w:ascii="Times New Roman" w:hAnsi="Times New Roman" w:cs="Times New Roman"/>
          <w:b/>
          <w:bCs/>
          <w:i/>
          <w:iCs/>
          <w:sz w:val="22"/>
          <w:szCs w:val="22"/>
          <w:lang w:val="es-ES"/>
        </w:rPr>
        <w:t>”</w:t>
      </w:r>
    </w:p>
    <w:p w14:paraId="2EFDBE70" w14:textId="62F0D61E" w:rsidR="00F4728E" w:rsidRPr="00512F79" w:rsidRDefault="00967695">
      <w:pPr>
        <w:pStyle w:val="ListParagraph"/>
        <w:numPr>
          <w:ilvl w:val="3"/>
          <w:numId w:val="26"/>
        </w:numPr>
        <w:tabs>
          <w:tab w:val="left" w:pos="1260"/>
          <w:tab w:val="left" w:pos="3315"/>
        </w:tabs>
        <w:ind w:left="1260" w:hanging="540"/>
        <w:contextualSpacing/>
        <w:jc w:val="both"/>
        <w:rPr>
          <w:rFonts w:eastAsiaTheme="minorHAnsi"/>
          <w:sz w:val="22"/>
          <w:szCs w:val="22"/>
          <w:lang w:val="es-ES"/>
        </w:rPr>
      </w:pPr>
      <w:r w:rsidRPr="00512F79">
        <w:rPr>
          <w:rFonts w:eastAsiaTheme="minorHAnsi"/>
          <w:sz w:val="22"/>
          <w:szCs w:val="22"/>
          <w:lang w:val="es-ES"/>
        </w:rPr>
        <w:t xml:space="preserve">243 </w:t>
      </w:r>
      <w:r w:rsidR="003636FA">
        <w:rPr>
          <w:rFonts w:eastAsiaTheme="minorHAnsi"/>
          <w:sz w:val="22"/>
          <w:szCs w:val="22"/>
          <w:lang w:val="es-ES"/>
        </w:rPr>
        <w:t>beneficiarios</w:t>
      </w:r>
      <w:r w:rsidR="006E51C5">
        <w:rPr>
          <w:rFonts w:eastAsiaTheme="minorHAnsi"/>
          <w:sz w:val="22"/>
          <w:szCs w:val="22"/>
          <w:lang w:val="es-ES"/>
        </w:rPr>
        <w:t xml:space="preserve"> </w:t>
      </w:r>
      <w:r w:rsidR="006E51C5" w:rsidRPr="00512F79">
        <w:rPr>
          <w:rFonts w:eastAsiaTheme="minorHAnsi"/>
          <w:sz w:val="22"/>
          <w:szCs w:val="22"/>
          <w:lang w:val="es-ES"/>
        </w:rPr>
        <w:t xml:space="preserve">de </w:t>
      </w:r>
      <w:r w:rsidR="006E51C5" w:rsidRPr="00512F79">
        <w:rPr>
          <w:sz w:val="22"/>
          <w:szCs w:val="22"/>
          <w:lang w:val="es-ES"/>
        </w:rPr>
        <w:t xml:space="preserve">dieciocho </w:t>
      </w:r>
      <w:r w:rsidR="006E51C5" w:rsidRPr="00512F79">
        <w:rPr>
          <w:rFonts w:eastAsiaTheme="minorHAnsi"/>
          <w:sz w:val="22"/>
          <w:szCs w:val="22"/>
          <w:lang w:val="es-ES"/>
        </w:rPr>
        <w:t>centros educativos de distritos prioritarios</w:t>
      </w:r>
      <w:r w:rsidR="006E51C5">
        <w:rPr>
          <w:rFonts w:eastAsiaTheme="minorHAnsi"/>
          <w:sz w:val="22"/>
          <w:szCs w:val="22"/>
          <w:lang w:val="es-ES"/>
        </w:rPr>
        <w:t xml:space="preserve"> </w:t>
      </w:r>
      <w:r w:rsidR="00977197" w:rsidRPr="00512F79">
        <w:rPr>
          <w:sz w:val="22"/>
          <w:szCs w:val="22"/>
          <w:lang w:val="es-ES"/>
        </w:rPr>
        <w:t xml:space="preserve">(aquellos afectados </w:t>
      </w:r>
      <w:r w:rsidRPr="00512F79">
        <w:rPr>
          <w:rFonts w:eastAsiaTheme="minorHAnsi"/>
          <w:sz w:val="22"/>
          <w:szCs w:val="22"/>
          <w:lang w:val="es-ES"/>
        </w:rPr>
        <w:t>por necesidades básicas insatisfechas y bajos niveles de educación familiar</w:t>
      </w:r>
      <w:r w:rsidR="00977197" w:rsidRPr="00512F79">
        <w:rPr>
          <w:sz w:val="22"/>
          <w:szCs w:val="22"/>
          <w:lang w:val="es-ES"/>
        </w:rPr>
        <w:t xml:space="preserve">) </w:t>
      </w:r>
      <w:r w:rsidRPr="00512F79">
        <w:rPr>
          <w:rFonts w:eastAsiaTheme="minorHAnsi"/>
          <w:sz w:val="22"/>
          <w:szCs w:val="22"/>
          <w:lang w:val="es-ES"/>
        </w:rPr>
        <w:t>se reincorporaron a la educación formal</w:t>
      </w:r>
      <w:r w:rsidR="00C64693">
        <w:rPr>
          <w:rFonts w:eastAsiaTheme="minorHAnsi"/>
          <w:sz w:val="22"/>
          <w:szCs w:val="22"/>
          <w:lang w:val="es-ES"/>
        </w:rPr>
        <w:t>. La</w:t>
      </w:r>
      <w:r w:rsidR="00977197" w:rsidRPr="00512F79">
        <w:rPr>
          <w:sz w:val="22"/>
          <w:szCs w:val="22"/>
          <w:lang w:val="es-ES"/>
        </w:rPr>
        <w:t xml:space="preserve"> tasa de retención de estos beneficiarios fue del 95% gracias a la labor de los </w:t>
      </w:r>
      <w:r w:rsidRPr="00512F79">
        <w:rPr>
          <w:rFonts w:eastAsiaTheme="minorHAnsi"/>
          <w:sz w:val="22"/>
          <w:szCs w:val="22"/>
          <w:lang w:val="es-ES"/>
        </w:rPr>
        <w:t xml:space="preserve">maestros comunitarios. </w:t>
      </w:r>
    </w:p>
    <w:p w14:paraId="44DB3D0A" w14:textId="77777777" w:rsidR="00902AB5" w:rsidRPr="00512F79" w:rsidRDefault="00902AB5" w:rsidP="00CB030B">
      <w:pPr>
        <w:tabs>
          <w:tab w:val="left" w:pos="3315"/>
        </w:tabs>
        <w:contextualSpacing/>
        <w:jc w:val="both"/>
        <w:rPr>
          <w:rFonts w:ascii="Times New Roman" w:eastAsia="MS PGothic" w:hAnsi="Times New Roman" w:cs="Times New Roman"/>
          <w:color w:val="000000"/>
          <w:kern w:val="24"/>
          <w:sz w:val="22"/>
          <w:szCs w:val="22"/>
          <w:lang w:val="es-ES"/>
        </w:rPr>
      </w:pPr>
    </w:p>
    <w:p w14:paraId="577F9F02" w14:textId="289EB384" w:rsidR="00F4728E" w:rsidRPr="00512F79" w:rsidRDefault="00967695">
      <w:pPr>
        <w:tabs>
          <w:tab w:val="left" w:pos="3315"/>
        </w:tabs>
        <w:ind w:left="720"/>
        <w:contextualSpacing/>
        <w:jc w:val="both"/>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Ecuador: </w:t>
      </w:r>
      <w:r w:rsidR="00BB2C73">
        <w:rPr>
          <w:rFonts w:ascii="Times New Roman" w:hAnsi="Times New Roman" w:cs="Times New Roman"/>
          <w:b/>
          <w:bCs/>
          <w:sz w:val="22"/>
          <w:szCs w:val="22"/>
          <w:lang w:val="es-ES"/>
        </w:rPr>
        <w:t>F</w:t>
      </w:r>
      <w:r w:rsidRPr="00512F79">
        <w:rPr>
          <w:rFonts w:ascii="Times New Roman" w:hAnsi="Times New Roman" w:cs="Times New Roman"/>
          <w:b/>
          <w:bCs/>
          <w:sz w:val="22"/>
          <w:szCs w:val="22"/>
          <w:lang w:val="es-ES"/>
        </w:rPr>
        <w:t xml:space="preserve">ormación </w:t>
      </w:r>
      <w:r w:rsidR="007A1513">
        <w:rPr>
          <w:rFonts w:ascii="Times New Roman" w:hAnsi="Times New Roman" w:cs="Times New Roman"/>
          <w:b/>
          <w:bCs/>
          <w:sz w:val="22"/>
          <w:szCs w:val="22"/>
          <w:lang w:val="es-ES"/>
        </w:rPr>
        <w:t xml:space="preserve">docente y </w:t>
      </w:r>
      <w:r w:rsidRPr="00512F79">
        <w:rPr>
          <w:rFonts w:ascii="Times New Roman" w:hAnsi="Times New Roman" w:cs="Times New Roman"/>
          <w:b/>
          <w:bCs/>
          <w:sz w:val="22"/>
          <w:szCs w:val="22"/>
          <w:lang w:val="es-ES"/>
        </w:rPr>
        <w:t xml:space="preserve">prácticas educativas inclusivas </w:t>
      </w:r>
      <w:r w:rsidR="007A1513">
        <w:rPr>
          <w:rFonts w:ascii="Times New Roman" w:hAnsi="Times New Roman" w:cs="Times New Roman"/>
          <w:b/>
          <w:bCs/>
          <w:sz w:val="22"/>
          <w:szCs w:val="22"/>
          <w:lang w:val="es-ES"/>
        </w:rPr>
        <w:t>en</w:t>
      </w:r>
      <w:r w:rsidRPr="00512F79">
        <w:rPr>
          <w:rFonts w:ascii="Times New Roman" w:hAnsi="Times New Roman" w:cs="Times New Roman"/>
          <w:b/>
          <w:bCs/>
          <w:sz w:val="22"/>
          <w:szCs w:val="22"/>
          <w:lang w:val="es-ES"/>
        </w:rPr>
        <w:t xml:space="preserve"> las escuelas ecuatorianas</w:t>
      </w:r>
    </w:p>
    <w:p w14:paraId="56040523" w14:textId="295D5CE3" w:rsidR="00F4728E" w:rsidRPr="00512F79" w:rsidRDefault="00967695">
      <w:pPr>
        <w:pStyle w:val="ListParagraph"/>
        <w:numPr>
          <w:ilvl w:val="3"/>
          <w:numId w:val="26"/>
        </w:numPr>
        <w:tabs>
          <w:tab w:val="left" w:pos="1260"/>
          <w:tab w:val="left" w:pos="3315"/>
        </w:tabs>
        <w:ind w:left="1260" w:hanging="540"/>
        <w:contextualSpacing/>
        <w:jc w:val="both"/>
        <w:rPr>
          <w:rFonts w:eastAsia="MS PGothic"/>
          <w:color w:val="000000" w:themeColor="text1"/>
          <w:kern w:val="24"/>
          <w:sz w:val="22"/>
          <w:szCs w:val="22"/>
          <w:lang w:val="es-ES"/>
        </w:rPr>
      </w:pPr>
      <w:r w:rsidRPr="00512F79">
        <w:rPr>
          <w:rFonts w:eastAsia="MS PGothic"/>
          <w:color w:val="000000" w:themeColor="text1"/>
          <w:kern w:val="24"/>
          <w:sz w:val="22"/>
          <w:szCs w:val="22"/>
          <w:lang w:val="es-ES"/>
        </w:rPr>
        <w:t xml:space="preserve">1.218 docentes desarrollaron competencias para implementar metodologías innovadoras de inclusión educativa en instituciones públicas (educación primaria) de las provincias de Azuay, Cañar y Morona Santiago. Estas habilidades son replicables en todo el sistema educativo, </w:t>
      </w:r>
      <w:r w:rsidR="007F221C">
        <w:rPr>
          <w:rFonts w:eastAsia="MS PGothic"/>
          <w:color w:val="000000" w:themeColor="text1"/>
          <w:kern w:val="24"/>
          <w:sz w:val="22"/>
          <w:szCs w:val="22"/>
          <w:lang w:val="es-ES"/>
        </w:rPr>
        <w:t>lo cual ayuda</w:t>
      </w:r>
      <w:r w:rsidRPr="00512F79">
        <w:rPr>
          <w:rFonts w:eastAsia="MS PGothic"/>
          <w:color w:val="000000" w:themeColor="text1"/>
          <w:kern w:val="24"/>
          <w:sz w:val="22"/>
          <w:szCs w:val="22"/>
          <w:lang w:val="es-ES"/>
        </w:rPr>
        <w:t xml:space="preserve"> a promover una educación más inclusiva en otras instituciones.</w:t>
      </w:r>
    </w:p>
    <w:p w14:paraId="1D416448" w14:textId="77777777" w:rsidR="00902AB5" w:rsidRPr="00512F79" w:rsidRDefault="00902AB5" w:rsidP="00CB030B">
      <w:pPr>
        <w:tabs>
          <w:tab w:val="left" w:pos="3315"/>
        </w:tabs>
        <w:contextualSpacing/>
        <w:jc w:val="both"/>
        <w:rPr>
          <w:rFonts w:ascii="Times New Roman" w:eastAsia="MS PGothic" w:hAnsi="Times New Roman" w:cs="Times New Roman"/>
          <w:color w:val="000000"/>
          <w:kern w:val="24"/>
          <w:sz w:val="22"/>
          <w:szCs w:val="22"/>
          <w:lang w:val="es-ES"/>
        </w:rPr>
      </w:pPr>
    </w:p>
    <w:p w14:paraId="734601C1" w14:textId="69CCE3FE" w:rsidR="00F4728E" w:rsidRPr="00512F79" w:rsidRDefault="00967695" w:rsidP="007F221C">
      <w:pPr>
        <w:tabs>
          <w:tab w:val="left" w:pos="3315"/>
        </w:tabs>
        <w:ind w:left="720"/>
        <w:contextualSpacing/>
        <w:jc w:val="both"/>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El Salvador: Educación inclusiva</w:t>
      </w:r>
      <w:r w:rsidR="007A1513">
        <w:rPr>
          <w:rFonts w:ascii="Times New Roman" w:hAnsi="Times New Roman" w:cs="Times New Roman"/>
          <w:b/>
          <w:bCs/>
          <w:sz w:val="22"/>
          <w:szCs w:val="22"/>
          <w:lang w:val="es-ES"/>
        </w:rPr>
        <w:t xml:space="preserve">: </w:t>
      </w:r>
      <w:r w:rsidR="00BB2C73">
        <w:rPr>
          <w:rFonts w:ascii="Times New Roman" w:hAnsi="Times New Roman" w:cs="Times New Roman"/>
          <w:b/>
          <w:bCs/>
          <w:sz w:val="22"/>
          <w:szCs w:val="22"/>
          <w:lang w:val="es-ES"/>
        </w:rPr>
        <w:t>c</w:t>
      </w:r>
      <w:r w:rsidR="007A1513">
        <w:rPr>
          <w:rFonts w:ascii="Times New Roman" w:hAnsi="Times New Roman" w:cs="Times New Roman"/>
          <w:b/>
          <w:bCs/>
          <w:sz w:val="22"/>
          <w:szCs w:val="22"/>
          <w:lang w:val="es-ES"/>
        </w:rPr>
        <w:t xml:space="preserve">onstruyendo </w:t>
      </w:r>
      <w:r w:rsidRPr="00512F79">
        <w:rPr>
          <w:rFonts w:ascii="Times New Roman" w:hAnsi="Times New Roman" w:cs="Times New Roman"/>
          <w:b/>
          <w:bCs/>
          <w:sz w:val="22"/>
          <w:szCs w:val="22"/>
          <w:lang w:val="es-ES"/>
        </w:rPr>
        <w:t>espacios de participación y aprendizaje para la vida</w:t>
      </w:r>
    </w:p>
    <w:p w14:paraId="5FBE347C" w14:textId="742ECA34" w:rsidR="00F4728E" w:rsidRPr="00512F79" w:rsidRDefault="007A1513">
      <w:pPr>
        <w:pStyle w:val="ListParagraph"/>
        <w:numPr>
          <w:ilvl w:val="0"/>
          <w:numId w:val="30"/>
        </w:numPr>
        <w:tabs>
          <w:tab w:val="left" w:pos="3315"/>
        </w:tabs>
        <w:ind w:left="1260" w:hanging="540"/>
        <w:contextualSpacing/>
        <w:jc w:val="both"/>
        <w:rPr>
          <w:rFonts w:eastAsia="MS PGothic"/>
          <w:color w:val="000000"/>
          <w:kern w:val="24"/>
          <w:sz w:val="22"/>
          <w:szCs w:val="22"/>
          <w:lang w:val="es-ES"/>
        </w:rPr>
      </w:pPr>
      <w:r>
        <w:rPr>
          <w:rFonts w:eastAsia="MS PGothic"/>
          <w:color w:val="000000"/>
          <w:kern w:val="24"/>
          <w:sz w:val="22"/>
          <w:szCs w:val="22"/>
          <w:lang w:val="es-ES"/>
        </w:rPr>
        <w:t>Se mejoraron</w:t>
      </w:r>
      <w:r w:rsidR="00967695" w:rsidRPr="00512F79">
        <w:rPr>
          <w:rFonts w:eastAsia="MS PGothic"/>
          <w:color w:val="000000"/>
          <w:kern w:val="24"/>
          <w:sz w:val="22"/>
          <w:szCs w:val="22"/>
          <w:lang w:val="es-ES"/>
        </w:rPr>
        <w:t xml:space="preserve"> las perspectivas educativas para el desarrollo del aprendizaje general y habilidades para la vida de más de 5.000 adolescentes con discapacidad en riesgo de exclusión y vulnerabilidad social.</w:t>
      </w:r>
    </w:p>
    <w:p w14:paraId="1EF05E21" w14:textId="60D82C98" w:rsidR="00F4728E" w:rsidRPr="00512F79" w:rsidRDefault="00967695">
      <w:pPr>
        <w:pStyle w:val="ListParagraph"/>
        <w:numPr>
          <w:ilvl w:val="0"/>
          <w:numId w:val="30"/>
        </w:numPr>
        <w:tabs>
          <w:tab w:val="left" w:pos="3315"/>
        </w:tabs>
        <w:ind w:left="1260" w:hanging="540"/>
        <w:contextualSpacing/>
        <w:jc w:val="both"/>
        <w:rPr>
          <w:rFonts w:eastAsia="MS PGothic"/>
          <w:color w:val="000000"/>
          <w:kern w:val="24"/>
          <w:sz w:val="22"/>
          <w:szCs w:val="22"/>
          <w:lang w:val="es-ES"/>
        </w:rPr>
      </w:pPr>
      <w:r w:rsidRPr="00512F79">
        <w:rPr>
          <w:rFonts w:eastAsia="MS PGothic"/>
          <w:color w:val="000000"/>
          <w:kern w:val="24"/>
          <w:sz w:val="22"/>
          <w:szCs w:val="22"/>
          <w:lang w:val="es-ES"/>
        </w:rPr>
        <w:t xml:space="preserve">Se </w:t>
      </w:r>
      <w:r w:rsidR="003636FA">
        <w:rPr>
          <w:rFonts w:eastAsia="MS PGothic"/>
          <w:color w:val="000000"/>
          <w:kern w:val="24"/>
          <w:sz w:val="22"/>
          <w:szCs w:val="22"/>
          <w:lang w:val="es-ES"/>
        </w:rPr>
        <w:t>brindó capacitación</w:t>
      </w:r>
      <w:r w:rsidR="007A1513">
        <w:rPr>
          <w:rFonts w:eastAsia="MS PGothic"/>
          <w:color w:val="000000"/>
          <w:kern w:val="24"/>
          <w:sz w:val="22"/>
          <w:szCs w:val="22"/>
          <w:lang w:val="es-ES"/>
        </w:rPr>
        <w:t xml:space="preserve"> en tecnologías de la información y la comunicación (</w:t>
      </w:r>
      <w:r w:rsidRPr="00512F79">
        <w:rPr>
          <w:rFonts w:eastAsia="MS PGothic"/>
          <w:color w:val="000000"/>
          <w:kern w:val="24"/>
          <w:sz w:val="22"/>
          <w:szCs w:val="22"/>
          <w:lang w:val="es-ES"/>
        </w:rPr>
        <w:t>TIC</w:t>
      </w:r>
      <w:r w:rsidR="007A1513">
        <w:rPr>
          <w:rFonts w:eastAsia="MS PGothic"/>
          <w:color w:val="000000"/>
          <w:kern w:val="24"/>
          <w:sz w:val="22"/>
          <w:szCs w:val="22"/>
          <w:lang w:val="es-ES"/>
        </w:rPr>
        <w:t>)</w:t>
      </w:r>
      <w:r w:rsidRPr="00512F79">
        <w:rPr>
          <w:rFonts w:eastAsia="MS PGothic"/>
          <w:color w:val="000000"/>
          <w:kern w:val="24"/>
          <w:sz w:val="22"/>
          <w:szCs w:val="22"/>
          <w:lang w:val="es-ES"/>
        </w:rPr>
        <w:t xml:space="preserve"> a 618 profesionales de los catorce departamentos de El Salvador </w:t>
      </w:r>
      <w:r w:rsidR="002615BA" w:rsidRPr="00512F79">
        <w:rPr>
          <w:rFonts w:eastAsia="MS PGothic"/>
          <w:color w:val="000000"/>
          <w:kern w:val="24"/>
          <w:sz w:val="22"/>
          <w:szCs w:val="22"/>
          <w:lang w:val="es-ES"/>
        </w:rPr>
        <w:t>y a otros 270 profesores de educación especial en la creación y gestión de aulas virtuales, con el fin de mejorar la atención de los alumnos y poner de relieve formas innovadoras de aprendizaje a través de distintos medios.</w:t>
      </w:r>
    </w:p>
    <w:p w14:paraId="1A48D51F" w14:textId="77777777" w:rsidR="00902AB5" w:rsidRPr="00512F79" w:rsidRDefault="00902AB5" w:rsidP="00CB030B">
      <w:pPr>
        <w:tabs>
          <w:tab w:val="left" w:pos="3315"/>
        </w:tabs>
        <w:contextualSpacing/>
        <w:jc w:val="both"/>
        <w:rPr>
          <w:rFonts w:ascii="Times New Roman" w:eastAsia="MS PGothic" w:hAnsi="Times New Roman" w:cs="Times New Roman"/>
          <w:color w:val="000000"/>
          <w:kern w:val="24"/>
          <w:sz w:val="22"/>
          <w:szCs w:val="22"/>
          <w:lang w:val="es-ES"/>
        </w:rPr>
      </w:pPr>
    </w:p>
    <w:p w14:paraId="0657CCBE" w14:textId="77777777" w:rsidR="00F4728E" w:rsidRPr="00512F79" w:rsidRDefault="00967695">
      <w:pPr>
        <w:ind w:left="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Guyana: Mejora de la enseñanza técnica y profesional en los centros de enseñanza secundaria y postsecundaria</w:t>
      </w:r>
    </w:p>
    <w:p w14:paraId="715643B3" w14:textId="77777777" w:rsidR="00F4728E" w:rsidRPr="00512F79" w:rsidRDefault="00967695">
      <w:pPr>
        <w:pStyle w:val="ListParagraph"/>
        <w:numPr>
          <w:ilvl w:val="0"/>
          <w:numId w:val="30"/>
        </w:numPr>
        <w:tabs>
          <w:tab w:val="left" w:pos="3315"/>
        </w:tabs>
        <w:ind w:left="1260" w:hanging="540"/>
        <w:contextualSpacing/>
        <w:jc w:val="both"/>
        <w:rPr>
          <w:rFonts w:eastAsia="MS PGothic"/>
          <w:color w:val="000000"/>
          <w:kern w:val="24"/>
          <w:sz w:val="22"/>
          <w:szCs w:val="22"/>
          <w:lang w:val="es-ES"/>
        </w:rPr>
      </w:pPr>
      <w:r w:rsidRPr="00512F79">
        <w:rPr>
          <w:rFonts w:eastAsia="MS PGothic"/>
          <w:color w:val="000000"/>
          <w:kern w:val="24"/>
          <w:sz w:val="22"/>
          <w:szCs w:val="22"/>
          <w:lang w:val="es-ES"/>
        </w:rPr>
        <w:t xml:space="preserve">Certificación de 27 profesores y </w:t>
      </w:r>
      <w:r w:rsidR="00C67D84" w:rsidRPr="00512F79">
        <w:rPr>
          <w:rFonts w:eastAsia="MS PGothic"/>
          <w:color w:val="000000"/>
          <w:kern w:val="24"/>
          <w:sz w:val="22"/>
          <w:szCs w:val="22"/>
          <w:lang w:val="es-ES"/>
        </w:rPr>
        <w:t>miembros</w:t>
      </w:r>
      <w:r w:rsidRPr="00512F79">
        <w:rPr>
          <w:rFonts w:eastAsia="MS PGothic"/>
          <w:color w:val="000000"/>
          <w:kern w:val="24"/>
          <w:sz w:val="22"/>
          <w:szCs w:val="22"/>
          <w:lang w:val="es-ES"/>
        </w:rPr>
        <w:t xml:space="preserve"> del personal de centros de enseñanza postsecundaria y funcionarios del Ministerio de Educación en materia de </w:t>
      </w:r>
      <w:r w:rsidRPr="00512F79">
        <w:rPr>
          <w:rFonts w:eastAsia="MS PGothic"/>
          <w:b/>
          <w:bCs/>
          <w:color w:val="000000"/>
          <w:kern w:val="24"/>
          <w:sz w:val="22"/>
          <w:szCs w:val="22"/>
          <w:lang w:val="es-ES"/>
        </w:rPr>
        <w:t>mantenimiento y reparación de equipos pesados y administración de la seguridad y la salud en el trabajo</w:t>
      </w:r>
      <w:r w:rsidR="00A427C5" w:rsidRPr="00512F79">
        <w:rPr>
          <w:rFonts w:eastAsia="MS PGothic"/>
          <w:color w:val="000000"/>
          <w:kern w:val="24"/>
          <w:sz w:val="22"/>
          <w:szCs w:val="22"/>
          <w:lang w:val="es-ES"/>
        </w:rPr>
        <w:t>.</w:t>
      </w:r>
      <w:r w:rsidRPr="00512F79">
        <w:rPr>
          <w:rFonts w:eastAsia="MS PGothic"/>
          <w:color w:val="000000"/>
          <w:kern w:val="24"/>
          <w:sz w:val="22"/>
          <w:szCs w:val="22"/>
          <w:lang w:val="es-ES"/>
        </w:rPr>
        <w:t xml:space="preserve"> Este ejercicio de capacitación permite a estos profesores y funcionarios formar a otros profesionales, ampliando la educación técnica/profesional para satisfacer las necesidades de mano de obra.</w:t>
      </w:r>
    </w:p>
    <w:p w14:paraId="3B77AC5F" w14:textId="12AEDCC5" w:rsidR="00902AB5" w:rsidRPr="00512F79" w:rsidRDefault="00902AB5" w:rsidP="00CB030B">
      <w:pPr>
        <w:rPr>
          <w:rFonts w:ascii="Times New Roman" w:hAnsi="Times New Roman" w:cs="Times New Roman"/>
          <w:sz w:val="22"/>
          <w:szCs w:val="22"/>
          <w:lang w:val="es-ES"/>
        </w:rPr>
      </w:pPr>
    </w:p>
    <w:p w14:paraId="15703074" w14:textId="5DC5976B" w:rsidR="00F4728E" w:rsidRPr="00512F79" w:rsidRDefault="00967695">
      <w:pPr>
        <w:ind w:left="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Nicaragua: Fortalecimiento de las capacidades y </w:t>
      </w:r>
      <w:r w:rsidR="007A1513">
        <w:rPr>
          <w:rFonts w:ascii="Times New Roman" w:hAnsi="Times New Roman" w:cs="Times New Roman"/>
          <w:b/>
          <w:bCs/>
          <w:sz w:val="22"/>
          <w:szCs w:val="22"/>
          <w:lang w:val="es-ES"/>
        </w:rPr>
        <w:t>habilidades</w:t>
      </w:r>
      <w:r w:rsidRPr="00512F79">
        <w:rPr>
          <w:rFonts w:ascii="Times New Roman" w:hAnsi="Times New Roman" w:cs="Times New Roman"/>
          <w:b/>
          <w:bCs/>
          <w:sz w:val="22"/>
          <w:szCs w:val="22"/>
          <w:lang w:val="es-ES"/>
        </w:rPr>
        <w:t xml:space="preserve"> tecnológicas de estudiantes, docentes y directivos de educación secundaria a distancia en zonas rurales</w:t>
      </w:r>
    </w:p>
    <w:p w14:paraId="0BFF8086" w14:textId="0B7283C5" w:rsidR="00F4728E" w:rsidRPr="00512F79" w:rsidRDefault="00967695">
      <w:pPr>
        <w:pStyle w:val="ListParagraph"/>
        <w:numPr>
          <w:ilvl w:val="0"/>
          <w:numId w:val="30"/>
        </w:numPr>
        <w:tabs>
          <w:tab w:val="left" w:pos="3315"/>
        </w:tabs>
        <w:ind w:left="1260" w:hanging="540"/>
        <w:contextualSpacing/>
        <w:jc w:val="both"/>
        <w:rPr>
          <w:rFonts w:eastAsia="MS PGothic"/>
          <w:color w:val="000000"/>
          <w:kern w:val="24"/>
          <w:sz w:val="22"/>
          <w:szCs w:val="22"/>
          <w:lang w:val="es-ES"/>
        </w:rPr>
      </w:pPr>
      <w:r w:rsidRPr="00512F79">
        <w:rPr>
          <w:rFonts w:eastAsia="MS PGothic"/>
          <w:color w:val="000000"/>
          <w:kern w:val="24"/>
          <w:sz w:val="22"/>
          <w:szCs w:val="22"/>
          <w:lang w:val="es-ES"/>
        </w:rPr>
        <w:t xml:space="preserve">Se </w:t>
      </w:r>
      <w:r w:rsidR="007A1513">
        <w:rPr>
          <w:rFonts w:eastAsia="MS PGothic"/>
          <w:color w:val="000000"/>
          <w:kern w:val="24"/>
          <w:sz w:val="22"/>
          <w:szCs w:val="22"/>
          <w:lang w:val="es-ES"/>
        </w:rPr>
        <w:t>realizaron</w:t>
      </w:r>
      <w:r w:rsidRPr="00512F79">
        <w:rPr>
          <w:rFonts w:eastAsia="MS PGothic"/>
          <w:color w:val="000000"/>
          <w:kern w:val="24"/>
          <w:sz w:val="22"/>
          <w:szCs w:val="22"/>
          <w:lang w:val="es-ES"/>
        </w:rPr>
        <w:t xml:space="preserve"> mejoras de infraestructura y actualizaciones tecnológicas en 21 escuelas rurales (donde más de 2.700 alumnos están matriculados en enseñanza a distancia), </w:t>
      </w:r>
      <w:r w:rsidR="00BB2C73">
        <w:rPr>
          <w:rFonts w:eastAsia="MS PGothic"/>
          <w:color w:val="000000"/>
          <w:kern w:val="24"/>
          <w:sz w:val="22"/>
          <w:szCs w:val="22"/>
          <w:lang w:val="es-ES"/>
        </w:rPr>
        <w:t>fortaleciendo</w:t>
      </w:r>
      <w:r w:rsidRPr="00512F79">
        <w:rPr>
          <w:rFonts w:eastAsia="MS PGothic"/>
          <w:color w:val="000000"/>
          <w:kern w:val="24"/>
          <w:sz w:val="22"/>
          <w:szCs w:val="22"/>
          <w:lang w:val="es-ES"/>
        </w:rPr>
        <w:t xml:space="preserve"> así la red global del sistema educativo de enseñanza a distancia.</w:t>
      </w:r>
    </w:p>
    <w:p w14:paraId="63F258DD" w14:textId="7970ED61" w:rsidR="00F4728E" w:rsidRPr="00512F79" w:rsidRDefault="00967695">
      <w:pPr>
        <w:pStyle w:val="ListParagraph"/>
        <w:numPr>
          <w:ilvl w:val="0"/>
          <w:numId w:val="30"/>
        </w:numPr>
        <w:tabs>
          <w:tab w:val="left" w:pos="3315"/>
        </w:tabs>
        <w:ind w:left="1260" w:hanging="540"/>
        <w:contextualSpacing/>
        <w:jc w:val="both"/>
        <w:rPr>
          <w:rFonts w:eastAsia="MS PGothic"/>
          <w:color w:val="000000"/>
          <w:kern w:val="24"/>
          <w:sz w:val="22"/>
          <w:szCs w:val="22"/>
          <w:lang w:val="es-ES"/>
        </w:rPr>
      </w:pPr>
      <w:r w:rsidRPr="00512F79">
        <w:rPr>
          <w:rFonts w:eastAsia="MS PGothic"/>
          <w:color w:val="000000"/>
          <w:kern w:val="24"/>
          <w:sz w:val="22"/>
          <w:szCs w:val="22"/>
          <w:lang w:val="es-ES"/>
        </w:rPr>
        <w:t xml:space="preserve">En el marco del aprendizaje a distancia, 21 directores, 63 profesores y 2.749 alumnos aplican las TIC a la enseñanza y el aprendizaje de </w:t>
      </w:r>
      <w:r w:rsidR="007A1513">
        <w:rPr>
          <w:rFonts w:eastAsia="MS PGothic"/>
          <w:color w:val="000000"/>
          <w:kern w:val="24"/>
          <w:sz w:val="22"/>
          <w:szCs w:val="22"/>
          <w:lang w:val="es-ES"/>
        </w:rPr>
        <w:t>m</w:t>
      </w:r>
      <w:r w:rsidRPr="00512F79">
        <w:rPr>
          <w:rFonts w:eastAsia="MS PGothic"/>
          <w:color w:val="000000"/>
          <w:kern w:val="24"/>
          <w:sz w:val="22"/>
          <w:szCs w:val="22"/>
          <w:lang w:val="es-ES"/>
        </w:rPr>
        <w:t xml:space="preserve">atemáticas, </w:t>
      </w:r>
      <w:r w:rsidR="007A1513" w:rsidRPr="00512F79">
        <w:rPr>
          <w:rFonts w:eastAsia="MS PGothic"/>
          <w:color w:val="000000"/>
          <w:kern w:val="24"/>
          <w:sz w:val="22"/>
          <w:szCs w:val="22"/>
          <w:lang w:val="es-ES"/>
        </w:rPr>
        <w:t>inglés</w:t>
      </w:r>
      <w:r w:rsidRPr="00512F79">
        <w:rPr>
          <w:rFonts w:eastAsia="MS PGothic"/>
          <w:color w:val="000000"/>
          <w:kern w:val="24"/>
          <w:sz w:val="22"/>
          <w:szCs w:val="22"/>
          <w:lang w:val="es-ES"/>
        </w:rPr>
        <w:t xml:space="preserve">, </w:t>
      </w:r>
      <w:r w:rsidR="007A1513">
        <w:rPr>
          <w:rFonts w:eastAsia="MS PGothic"/>
          <w:color w:val="000000"/>
          <w:kern w:val="24"/>
          <w:sz w:val="22"/>
          <w:szCs w:val="22"/>
          <w:lang w:val="es-ES"/>
        </w:rPr>
        <w:t>idioma</w:t>
      </w:r>
      <w:r w:rsidRPr="00512F79">
        <w:rPr>
          <w:rFonts w:eastAsia="MS PGothic"/>
          <w:color w:val="000000"/>
          <w:kern w:val="24"/>
          <w:sz w:val="22"/>
          <w:szCs w:val="22"/>
          <w:lang w:val="es-ES"/>
        </w:rPr>
        <w:t xml:space="preserve"> y </w:t>
      </w:r>
      <w:r w:rsidR="007A1513">
        <w:rPr>
          <w:rFonts w:eastAsia="MS PGothic"/>
          <w:color w:val="000000"/>
          <w:kern w:val="24"/>
          <w:sz w:val="22"/>
          <w:szCs w:val="22"/>
          <w:lang w:val="es-ES"/>
        </w:rPr>
        <w:t>l</w:t>
      </w:r>
      <w:r w:rsidRPr="00512F79">
        <w:rPr>
          <w:rFonts w:eastAsia="MS PGothic"/>
          <w:color w:val="000000"/>
          <w:kern w:val="24"/>
          <w:sz w:val="22"/>
          <w:szCs w:val="22"/>
          <w:lang w:val="es-ES"/>
        </w:rPr>
        <w:t xml:space="preserve">iteratura, </w:t>
      </w:r>
      <w:r w:rsidR="007A1513">
        <w:rPr>
          <w:rFonts w:eastAsia="MS PGothic"/>
          <w:color w:val="000000"/>
          <w:kern w:val="24"/>
          <w:sz w:val="22"/>
          <w:szCs w:val="22"/>
          <w:lang w:val="es-ES"/>
        </w:rPr>
        <w:t>c</w:t>
      </w:r>
      <w:r w:rsidRPr="00512F79">
        <w:rPr>
          <w:rFonts w:eastAsia="MS PGothic"/>
          <w:color w:val="000000"/>
          <w:kern w:val="24"/>
          <w:sz w:val="22"/>
          <w:szCs w:val="22"/>
          <w:lang w:val="es-ES"/>
        </w:rPr>
        <w:t xml:space="preserve">iencias </w:t>
      </w:r>
      <w:r w:rsidR="007A1513">
        <w:rPr>
          <w:rFonts w:eastAsia="MS PGothic"/>
          <w:color w:val="000000"/>
          <w:kern w:val="24"/>
          <w:sz w:val="22"/>
          <w:szCs w:val="22"/>
          <w:lang w:val="es-ES"/>
        </w:rPr>
        <w:t>n</w:t>
      </w:r>
      <w:r w:rsidRPr="00512F79">
        <w:rPr>
          <w:rFonts w:eastAsia="MS PGothic"/>
          <w:color w:val="000000"/>
          <w:kern w:val="24"/>
          <w:sz w:val="22"/>
          <w:szCs w:val="22"/>
          <w:lang w:val="es-ES"/>
        </w:rPr>
        <w:t xml:space="preserve">aturales y </w:t>
      </w:r>
      <w:r w:rsidR="007A1513">
        <w:rPr>
          <w:rFonts w:eastAsia="MS PGothic"/>
          <w:color w:val="000000"/>
          <w:kern w:val="24"/>
          <w:sz w:val="22"/>
          <w:szCs w:val="22"/>
          <w:lang w:val="es-ES"/>
        </w:rPr>
        <w:t>c</w:t>
      </w:r>
      <w:r w:rsidRPr="00512F79">
        <w:rPr>
          <w:rFonts w:eastAsia="MS PGothic"/>
          <w:color w:val="000000"/>
          <w:kern w:val="24"/>
          <w:sz w:val="22"/>
          <w:szCs w:val="22"/>
          <w:lang w:val="es-ES"/>
        </w:rPr>
        <w:t xml:space="preserve">iencias </w:t>
      </w:r>
      <w:r w:rsidR="007A1513">
        <w:rPr>
          <w:rFonts w:eastAsia="MS PGothic"/>
          <w:color w:val="000000"/>
          <w:kern w:val="24"/>
          <w:sz w:val="22"/>
          <w:szCs w:val="22"/>
          <w:lang w:val="es-ES"/>
        </w:rPr>
        <w:t>s</w:t>
      </w:r>
      <w:r w:rsidRPr="00512F79">
        <w:rPr>
          <w:rFonts w:eastAsia="MS PGothic"/>
          <w:color w:val="000000"/>
          <w:kern w:val="24"/>
          <w:sz w:val="22"/>
          <w:szCs w:val="22"/>
          <w:lang w:val="es-ES"/>
        </w:rPr>
        <w:t>ociales.</w:t>
      </w:r>
    </w:p>
    <w:p w14:paraId="2067AC79" w14:textId="3689F2C1" w:rsidR="00B90A02" w:rsidRPr="00512F79" w:rsidRDefault="00B90A02" w:rsidP="00CB030B">
      <w:pPr>
        <w:tabs>
          <w:tab w:val="left" w:pos="3315"/>
        </w:tabs>
        <w:contextualSpacing/>
        <w:jc w:val="both"/>
        <w:rPr>
          <w:rFonts w:ascii="Times New Roman" w:eastAsia="MS PGothic" w:hAnsi="Times New Roman" w:cs="Times New Roman"/>
          <w:color w:val="000000"/>
          <w:kern w:val="24"/>
          <w:sz w:val="22"/>
          <w:szCs w:val="22"/>
          <w:lang w:val="es-ES"/>
        </w:rPr>
      </w:pPr>
    </w:p>
    <w:p w14:paraId="6347FB5D" w14:textId="77777777" w:rsidR="00F4728E" w:rsidRPr="00512F79" w:rsidRDefault="00967695">
      <w:pPr>
        <w:ind w:left="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PROGRAMA II</w:t>
      </w:r>
    </w:p>
    <w:p w14:paraId="5B82F9E6" w14:textId="77777777" w:rsidR="00F4728E" w:rsidRPr="00512F79" w:rsidRDefault="00967695">
      <w:pPr>
        <w:ind w:left="720"/>
        <w:rPr>
          <w:rFonts w:ascii="Times New Roman" w:eastAsia="MS PGothic" w:hAnsi="Times New Roman" w:cs="Times New Roman"/>
          <w:b/>
          <w:bCs/>
          <w:color w:val="000000"/>
          <w:kern w:val="24"/>
          <w:sz w:val="22"/>
          <w:szCs w:val="22"/>
          <w:lang w:val="es-ES"/>
        </w:rPr>
      </w:pPr>
      <w:r w:rsidRPr="00512F79">
        <w:rPr>
          <w:rFonts w:ascii="Times New Roman" w:eastAsia="MS PGothic" w:hAnsi="Times New Roman" w:cs="Times New Roman"/>
          <w:b/>
          <w:bCs/>
          <w:color w:val="000000"/>
          <w:kern w:val="24"/>
          <w:sz w:val="22"/>
          <w:szCs w:val="22"/>
          <w:lang w:val="es-ES"/>
        </w:rPr>
        <w:t>Fortalecimiento de la profesión docente: Antigua y Barbuda, Argentina, Barbados, Perú, Saint Kitts y Nevis</w:t>
      </w:r>
    </w:p>
    <w:p w14:paraId="53A67FC5" w14:textId="77777777" w:rsidR="00B90A02" w:rsidRPr="00512F79" w:rsidRDefault="00B90A02" w:rsidP="00CB030B">
      <w:pPr>
        <w:rPr>
          <w:rFonts w:ascii="Times New Roman" w:hAnsi="Times New Roman" w:cs="Times New Roman"/>
          <w:sz w:val="22"/>
          <w:szCs w:val="22"/>
          <w:lang w:val="es-ES"/>
        </w:rPr>
      </w:pPr>
    </w:p>
    <w:p w14:paraId="4AB9C199" w14:textId="6D533352" w:rsidR="00F4728E" w:rsidRPr="00512F79" w:rsidRDefault="00967695">
      <w:pPr>
        <w:ind w:left="1260" w:hanging="54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Antigua y Barbuda: Capacitación </w:t>
      </w:r>
      <w:r w:rsidR="00BB2C73">
        <w:rPr>
          <w:rFonts w:ascii="Times New Roman" w:hAnsi="Times New Roman" w:cs="Times New Roman"/>
          <w:b/>
          <w:bCs/>
          <w:sz w:val="22"/>
          <w:szCs w:val="22"/>
          <w:lang w:val="es-ES"/>
        </w:rPr>
        <w:t>docente</w:t>
      </w:r>
      <w:r w:rsidRPr="00512F79">
        <w:rPr>
          <w:rFonts w:ascii="Times New Roman" w:hAnsi="Times New Roman" w:cs="Times New Roman"/>
          <w:b/>
          <w:bCs/>
          <w:sz w:val="22"/>
          <w:szCs w:val="22"/>
          <w:lang w:val="es-ES"/>
        </w:rPr>
        <w:t xml:space="preserve"> para </w:t>
      </w:r>
      <w:r w:rsidR="00BB2C73">
        <w:rPr>
          <w:rFonts w:ascii="Times New Roman" w:hAnsi="Times New Roman" w:cs="Times New Roman"/>
          <w:b/>
          <w:bCs/>
          <w:sz w:val="22"/>
          <w:szCs w:val="22"/>
          <w:lang w:val="es-ES"/>
        </w:rPr>
        <w:t>el desarrollo</w:t>
      </w:r>
      <w:r w:rsidRPr="00512F79">
        <w:rPr>
          <w:rFonts w:ascii="Times New Roman" w:hAnsi="Times New Roman" w:cs="Times New Roman"/>
          <w:b/>
          <w:bCs/>
          <w:sz w:val="22"/>
          <w:szCs w:val="22"/>
          <w:lang w:val="es-ES"/>
        </w:rPr>
        <w:t xml:space="preserve"> nacional</w:t>
      </w:r>
    </w:p>
    <w:p w14:paraId="5344EAA4" w14:textId="0DBC875D" w:rsidR="00F4728E" w:rsidRPr="00512F79" w:rsidRDefault="00967695">
      <w:pPr>
        <w:pStyle w:val="ListParagraph"/>
        <w:numPr>
          <w:ilvl w:val="3"/>
          <w:numId w:val="26"/>
        </w:numPr>
        <w:ind w:left="1260" w:hanging="540"/>
        <w:jc w:val="both"/>
        <w:rPr>
          <w:sz w:val="22"/>
          <w:szCs w:val="22"/>
          <w:lang w:val="es-ES"/>
        </w:rPr>
      </w:pPr>
      <w:r w:rsidRPr="00512F79">
        <w:rPr>
          <w:sz w:val="22"/>
          <w:szCs w:val="22"/>
          <w:lang w:val="es-ES"/>
        </w:rPr>
        <w:t xml:space="preserve">360 </w:t>
      </w:r>
      <w:r w:rsidR="00495050">
        <w:rPr>
          <w:sz w:val="22"/>
          <w:szCs w:val="22"/>
          <w:lang w:val="es-ES"/>
        </w:rPr>
        <w:t>docent</w:t>
      </w:r>
      <w:r w:rsidRPr="00512F79">
        <w:rPr>
          <w:sz w:val="22"/>
          <w:szCs w:val="22"/>
          <w:lang w:val="es-ES"/>
        </w:rPr>
        <w:t xml:space="preserve">es y 2.480 alumnos de todos los </w:t>
      </w:r>
      <w:r w:rsidR="001701C8">
        <w:rPr>
          <w:sz w:val="22"/>
          <w:szCs w:val="22"/>
          <w:lang w:val="es-ES"/>
        </w:rPr>
        <w:t>niveles</w:t>
      </w:r>
      <w:r w:rsidRPr="00512F79">
        <w:rPr>
          <w:sz w:val="22"/>
          <w:szCs w:val="22"/>
          <w:lang w:val="es-ES"/>
        </w:rPr>
        <w:t xml:space="preserve"> </w:t>
      </w:r>
      <w:r w:rsidR="007819C5">
        <w:rPr>
          <w:sz w:val="22"/>
          <w:szCs w:val="22"/>
          <w:lang w:val="es-ES"/>
        </w:rPr>
        <w:t xml:space="preserve">se familiarizaron </w:t>
      </w:r>
      <w:r w:rsidRPr="00512F79">
        <w:rPr>
          <w:sz w:val="22"/>
          <w:szCs w:val="22"/>
          <w:lang w:val="es-ES"/>
        </w:rPr>
        <w:t xml:space="preserve">con los problemas sociales modernos, </w:t>
      </w:r>
      <w:r w:rsidR="007819C5">
        <w:rPr>
          <w:sz w:val="22"/>
          <w:szCs w:val="22"/>
          <w:lang w:val="es-ES"/>
        </w:rPr>
        <w:t>indicando</w:t>
      </w:r>
      <w:r w:rsidRPr="00512F79">
        <w:rPr>
          <w:sz w:val="22"/>
          <w:szCs w:val="22"/>
          <w:lang w:val="es-ES"/>
        </w:rPr>
        <w:t xml:space="preserve"> tanto sus </w:t>
      </w:r>
      <w:r w:rsidR="001701C8">
        <w:rPr>
          <w:sz w:val="22"/>
          <w:szCs w:val="22"/>
          <w:lang w:val="es-ES"/>
        </w:rPr>
        <w:t xml:space="preserve">indicios </w:t>
      </w:r>
      <w:r w:rsidRPr="00512F79">
        <w:rPr>
          <w:sz w:val="22"/>
          <w:szCs w:val="22"/>
          <w:lang w:val="es-ES"/>
        </w:rPr>
        <w:t xml:space="preserve">señales de alarma como las estrategias para frenar los consiguientes comportamientos </w:t>
      </w:r>
      <w:r w:rsidR="001701C8">
        <w:rPr>
          <w:sz w:val="22"/>
          <w:szCs w:val="22"/>
          <w:lang w:val="es-ES"/>
        </w:rPr>
        <w:t>perjudiciales</w:t>
      </w:r>
      <w:r w:rsidRPr="00512F79">
        <w:rPr>
          <w:sz w:val="22"/>
          <w:szCs w:val="22"/>
          <w:lang w:val="es-ES"/>
        </w:rPr>
        <w:t>.</w:t>
      </w:r>
    </w:p>
    <w:p w14:paraId="15EA6A2D" w14:textId="71E73AD5" w:rsidR="00F4728E" w:rsidRPr="00512F79" w:rsidRDefault="00967695">
      <w:pPr>
        <w:pStyle w:val="ListParagraph"/>
        <w:numPr>
          <w:ilvl w:val="3"/>
          <w:numId w:val="26"/>
        </w:numPr>
        <w:ind w:left="1260" w:hanging="540"/>
        <w:jc w:val="both"/>
        <w:rPr>
          <w:sz w:val="22"/>
          <w:szCs w:val="22"/>
          <w:lang w:val="es-ES"/>
        </w:rPr>
      </w:pPr>
      <w:r w:rsidRPr="00512F79">
        <w:rPr>
          <w:sz w:val="22"/>
          <w:szCs w:val="22"/>
          <w:lang w:val="es-ES"/>
        </w:rPr>
        <w:t xml:space="preserve">Tres escuelas piloto </w:t>
      </w:r>
      <w:r w:rsidR="007819C5">
        <w:rPr>
          <w:sz w:val="22"/>
          <w:szCs w:val="22"/>
          <w:lang w:val="es-ES"/>
        </w:rPr>
        <w:t>comenzaron a implementar</w:t>
      </w:r>
      <w:r w:rsidRPr="00512F79">
        <w:rPr>
          <w:sz w:val="22"/>
          <w:szCs w:val="22"/>
          <w:lang w:val="es-ES"/>
        </w:rPr>
        <w:t xml:space="preserve"> estrategias de intervención psicosocial </w:t>
      </w:r>
      <w:r w:rsidR="007819C5">
        <w:rPr>
          <w:sz w:val="22"/>
          <w:szCs w:val="22"/>
          <w:lang w:val="es-ES"/>
        </w:rPr>
        <w:t xml:space="preserve">de acuerdo con </w:t>
      </w:r>
      <w:r w:rsidRPr="00512F79">
        <w:rPr>
          <w:sz w:val="22"/>
          <w:szCs w:val="22"/>
          <w:lang w:val="es-ES"/>
        </w:rPr>
        <w:t>el plan de estudios de Fortalecimiento del Aprendizaje Socioemocional de los Alumnos.</w:t>
      </w:r>
    </w:p>
    <w:p w14:paraId="5CF7F698" w14:textId="0B7F7336" w:rsidR="00F4728E" w:rsidRPr="00512F79" w:rsidRDefault="00967695">
      <w:pPr>
        <w:pStyle w:val="ListParagraph"/>
        <w:numPr>
          <w:ilvl w:val="3"/>
          <w:numId w:val="26"/>
        </w:numPr>
        <w:ind w:left="1260" w:hanging="540"/>
        <w:jc w:val="both"/>
        <w:rPr>
          <w:sz w:val="22"/>
          <w:szCs w:val="22"/>
          <w:lang w:val="es-ES"/>
        </w:rPr>
      </w:pPr>
      <w:r w:rsidRPr="00512F79">
        <w:rPr>
          <w:sz w:val="22"/>
          <w:szCs w:val="22"/>
          <w:lang w:val="es-ES"/>
        </w:rPr>
        <w:t xml:space="preserve">55 profesores, tras recibir </w:t>
      </w:r>
      <w:r w:rsidRPr="00512F79">
        <w:rPr>
          <w:rFonts w:eastAsia="MS PGothic"/>
          <w:b/>
          <w:bCs/>
          <w:color w:val="000000"/>
          <w:kern w:val="24"/>
          <w:sz w:val="22"/>
          <w:szCs w:val="22"/>
          <w:lang w:val="es-ES"/>
        </w:rPr>
        <w:t xml:space="preserve">la Certificación en Educación Inclusiva Internacional, </w:t>
      </w:r>
      <w:r w:rsidRPr="00512F79">
        <w:rPr>
          <w:sz w:val="22"/>
          <w:szCs w:val="22"/>
          <w:lang w:val="es-ES"/>
        </w:rPr>
        <w:t xml:space="preserve">desarrollaron habilidades para </w:t>
      </w:r>
      <w:r w:rsidR="007819C5">
        <w:rPr>
          <w:sz w:val="22"/>
          <w:szCs w:val="22"/>
          <w:lang w:val="es-ES"/>
        </w:rPr>
        <w:t>determinar e implementar</w:t>
      </w:r>
      <w:r w:rsidRPr="00512F79">
        <w:rPr>
          <w:sz w:val="22"/>
          <w:szCs w:val="22"/>
          <w:lang w:val="es-ES"/>
        </w:rPr>
        <w:t xml:space="preserve"> una serie de estrategias para diferenciar la enseñanza y adaptar las lecciones impartidas para llegar </w:t>
      </w:r>
      <w:r w:rsidR="007819C5">
        <w:rPr>
          <w:sz w:val="22"/>
          <w:szCs w:val="22"/>
          <w:lang w:val="es-ES"/>
        </w:rPr>
        <w:t>a cada uno de los alumnos de manera individual.</w:t>
      </w:r>
    </w:p>
    <w:p w14:paraId="1C46B48E" w14:textId="77777777" w:rsidR="00B90A02" w:rsidRPr="00512F79" w:rsidRDefault="00B90A02" w:rsidP="00CB030B">
      <w:pPr>
        <w:jc w:val="both"/>
        <w:rPr>
          <w:rFonts w:ascii="Times New Roman" w:hAnsi="Times New Roman" w:cs="Times New Roman"/>
          <w:sz w:val="22"/>
          <w:szCs w:val="22"/>
          <w:lang w:val="es-ES"/>
        </w:rPr>
      </w:pPr>
    </w:p>
    <w:p w14:paraId="2FBC128A" w14:textId="589F52E6" w:rsidR="00F4728E" w:rsidRPr="00512F79" w:rsidRDefault="00967695">
      <w:pPr>
        <w:ind w:firstLine="720"/>
        <w:jc w:val="both"/>
        <w:rPr>
          <w:rFonts w:ascii="Times New Roman" w:hAnsi="Times New Roman" w:cs="Times New Roman"/>
          <w:b/>
          <w:bCs/>
          <w:sz w:val="22"/>
          <w:szCs w:val="22"/>
          <w:lang w:val="es-CO"/>
        </w:rPr>
      </w:pPr>
      <w:r w:rsidRPr="003F7468">
        <w:rPr>
          <w:rFonts w:ascii="Times New Roman" w:hAnsi="Times New Roman" w:cs="Times New Roman"/>
          <w:b/>
          <w:bCs/>
          <w:sz w:val="22"/>
          <w:szCs w:val="22"/>
          <w:lang w:val="es-ES"/>
        </w:rPr>
        <w:t xml:space="preserve">Argentina: </w:t>
      </w:r>
      <w:r w:rsidR="002F1E26" w:rsidRPr="003F7468">
        <w:rPr>
          <w:rFonts w:ascii="Times New Roman" w:hAnsi="Times New Roman" w:cs="Times New Roman"/>
          <w:b/>
          <w:bCs/>
          <w:sz w:val="22"/>
          <w:szCs w:val="22"/>
          <w:lang w:val="es-ES"/>
        </w:rPr>
        <w:t>Programa de formación de</w:t>
      </w:r>
      <w:r w:rsidRPr="003F7468">
        <w:rPr>
          <w:rFonts w:ascii="Times New Roman" w:hAnsi="Times New Roman" w:cs="Times New Roman"/>
          <w:b/>
          <w:bCs/>
          <w:sz w:val="22"/>
          <w:szCs w:val="22"/>
          <w:lang w:val="es-ES"/>
        </w:rPr>
        <w:t xml:space="preserve"> formadores</w:t>
      </w:r>
    </w:p>
    <w:p w14:paraId="5D20127F" w14:textId="0705989C" w:rsidR="00F4728E" w:rsidRPr="00512F79" w:rsidRDefault="00967695">
      <w:pPr>
        <w:pStyle w:val="ListParagraph"/>
        <w:numPr>
          <w:ilvl w:val="3"/>
          <w:numId w:val="26"/>
        </w:numPr>
        <w:ind w:left="1260" w:hanging="540"/>
        <w:jc w:val="both"/>
        <w:rPr>
          <w:sz w:val="22"/>
          <w:szCs w:val="22"/>
          <w:lang w:val="es-ES"/>
        </w:rPr>
      </w:pPr>
      <w:r w:rsidRPr="00512F79">
        <w:rPr>
          <w:sz w:val="22"/>
          <w:szCs w:val="22"/>
          <w:lang w:val="es-ES"/>
        </w:rPr>
        <w:t xml:space="preserve">Se formó a 200 equipos docentes (925 profesores) de </w:t>
      </w:r>
      <w:r w:rsidR="00097ED8">
        <w:rPr>
          <w:sz w:val="22"/>
          <w:szCs w:val="22"/>
          <w:lang w:val="es-ES"/>
        </w:rPr>
        <w:t>I</w:t>
      </w:r>
      <w:r w:rsidRPr="00512F79">
        <w:rPr>
          <w:sz w:val="22"/>
          <w:szCs w:val="22"/>
          <w:lang w:val="es-ES"/>
        </w:rPr>
        <w:t xml:space="preserve">nstitutos </w:t>
      </w:r>
      <w:r w:rsidR="00097ED8">
        <w:rPr>
          <w:sz w:val="22"/>
          <w:szCs w:val="22"/>
          <w:lang w:val="es-ES"/>
        </w:rPr>
        <w:t>S</w:t>
      </w:r>
      <w:r w:rsidRPr="00512F79">
        <w:rPr>
          <w:sz w:val="22"/>
          <w:szCs w:val="22"/>
          <w:lang w:val="es-ES"/>
        </w:rPr>
        <w:t xml:space="preserve">uperiores de </w:t>
      </w:r>
      <w:r w:rsidR="00097ED8">
        <w:rPr>
          <w:sz w:val="22"/>
          <w:szCs w:val="22"/>
          <w:lang w:val="es-ES"/>
        </w:rPr>
        <w:t>F</w:t>
      </w:r>
      <w:r w:rsidRPr="00512F79">
        <w:rPr>
          <w:sz w:val="22"/>
          <w:szCs w:val="22"/>
          <w:lang w:val="es-ES"/>
        </w:rPr>
        <w:t xml:space="preserve">ormación </w:t>
      </w:r>
      <w:r w:rsidR="00097ED8">
        <w:rPr>
          <w:sz w:val="22"/>
          <w:szCs w:val="22"/>
          <w:lang w:val="es-ES"/>
        </w:rPr>
        <w:t>D</w:t>
      </w:r>
      <w:r w:rsidR="00F13DC9">
        <w:rPr>
          <w:sz w:val="22"/>
          <w:szCs w:val="22"/>
          <w:lang w:val="es-ES"/>
        </w:rPr>
        <w:t>ocente</w:t>
      </w:r>
      <w:r w:rsidRPr="00512F79">
        <w:rPr>
          <w:sz w:val="22"/>
          <w:szCs w:val="22"/>
          <w:lang w:val="es-ES"/>
        </w:rPr>
        <w:t xml:space="preserve"> en la enseñanza para la comprensión, el desarrollo de competencias docentes profesionales y la creación de comunidades profesionales de aprendizaje. Se utilizaron encuestas virtuales para determinar las distintas formas en que la formación influyó en sus prácticas docentes</w:t>
      </w:r>
      <w:r w:rsidR="00F13DC9">
        <w:rPr>
          <w:sz w:val="22"/>
          <w:szCs w:val="22"/>
          <w:lang w:val="es-ES"/>
        </w:rPr>
        <w:t>. M</w:t>
      </w:r>
      <w:r w:rsidRPr="00512F79">
        <w:rPr>
          <w:sz w:val="22"/>
          <w:szCs w:val="22"/>
          <w:lang w:val="es-ES"/>
        </w:rPr>
        <w:t>ás del 90% de los participantes se mostraron satisfechos con el programa.</w:t>
      </w:r>
    </w:p>
    <w:p w14:paraId="32726E3A" w14:textId="7A0E8AE3" w:rsidR="00F4728E" w:rsidRDefault="00F13DC9">
      <w:pPr>
        <w:pStyle w:val="ListParagraph"/>
        <w:numPr>
          <w:ilvl w:val="1"/>
          <w:numId w:val="26"/>
        </w:numPr>
        <w:ind w:left="1980" w:hanging="540"/>
        <w:jc w:val="both"/>
        <w:rPr>
          <w:sz w:val="22"/>
          <w:szCs w:val="22"/>
          <w:lang w:val="es-ES"/>
        </w:rPr>
      </w:pPr>
      <w:r>
        <w:rPr>
          <w:sz w:val="22"/>
          <w:szCs w:val="22"/>
          <w:lang w:val="es-ES"/>
        </w:rPr>
        <w:t>Se diseñaron e implementaron</w:t>
      </w:r>
      <w:r w:rsidR="00967695" w:rsidRPr="00512F79">
        <w:rPr>
          <w:sz w:val="22"/>
          <w:szCs w:val="22"/>
          <w:lang w:val="es-ES"/>
        </w:rPr>
        <w:t xml:space="preserve"> estrategias para transferir estos conocimientos a una red más amplia de educadores</w:t>
      </w:r>
      <w:r>
        <w:rPr>
          <w:sz w:val="22"/>
          <w:szCs w:val="22"/>
          <w:lang w:val="es-ES"/>
        </w:rPr>
        <w:t>. S</w:t>
      </w:r>
      <w:r w:rsidR="00967695" w:rsidRPr="00512F79">
        <w:rPr>
          <w:sz w:val="22"/>
          <w:szCs w:val="22"/>
          <w:lang w:val="es-ES"/>
        </w:rPr>
        <w:t xml:space="preserve">e llegó a 5.950 profesores y se desarrollaron 238 proyectos de innovación como parte de la </w:t>
      </w:r>
      <w:r w:rsidR="00967695" w:rsidRPr="00512F79">
        <w:rPr>
          <w:b/>
          <w:bCs/>
          <w:sz w:val="22"/>
          <w:szCs w:val="22"/>
          <w:lang w:val="es-ES"/>
        </w:rPr>
        <w:t>Actualización Académica</w:t>
      </w:r>
      <w:r w:rsidR="00967695" w:rsidRPr="00512F79">
        <w:rPr>
          <w:sz w:val="22"/>
          <w:szCs w:val="22"/>
          <w:lang w:val="es-ES"/>
        </w:rPr>
        <w:t>.</w:t>
      </w:r>
    </w:p>
    <w:p w14:paraId="1AF32DDD" w14:textId="77777777" w:rsidR="00386233" w:rsidRPr="006157FC" w:rsidRDefault="00386233" w:rsidP="006157FC">
      <w:pPr>
        <w:jc w:val="both"/>
        <w:rPr>
          <w:sz w:val="22"/>
          <w:szCs w:val="22"/>
          <w:lang w:val="es-ES"/>
        </w:rPr>
      </w:pPr>
    </w:p>
    <w:p w14:paraId="6AFB639C" w14:textId="1F5230D0" w:rsidR="00F4728E" w:rsidRPr="00512F79" w:rsidRDefault="00097ED8">
      <w:pPr>
        <w:pStyle w:val="ListParagraph"/>
        <w:numPr>
          <w:ilvl w:val="3"/>
          <w:numId w:val="26"/>
        </w:numPr>
        <w:ind w:left="1260" w:hanging="540"/>
        <w:jc w:val="both"/>
        <w:rPr>
          <w:sz w:val="22"/>
          <w:szCs w:val="22"/>
          <w:lang w:val="es-ES"/>
        </w:rPr>
      </w:pPr>
      <w:r>
        <w:rPr>
          <w:sz w:val="22"/>
          <w:szCs w:val="22"/>
          <w:lang w:val="es-ES"/>
        </w:rPr>
        <w:t>Se evaluaron</w:t>
      </w:r>
      <w:r w:rsidR="00967695" w:rsidRPr="00512F79">
        <w:rPr>
          <w:sz w:val="22"/>
          <w:szCs w:val="22"/>
          <w:lang w:val="es-ES"/>
        </w:rPr>
        <w:t xml:space="preserve"> dispositivos de formación </w:t>
      </w:r>
      <w:r w:rsidR="001701C8">
        <w:rPr>
          <w:sz w:val="22"/>
          <w:szCs w:val="22"/>
          <w:lang w:val="es-ES"/>
        </w:rPr>
        <w:t>docente</w:t>
      </w:r>
      <w:r w:rsidR="00967695" w:rsidRPr="00512F79">
        <w:rPr>
          <w:sz w:val="22"/>
          <w:szCs w:val="22"/>
          <w:lang w:val="es-ES"/>
        </w:rPr>
        <w:t xml:space="preserve"> para el desarrollo de innovaciones pedagógicas y comunidades profesionales de aprendizaje para su implantación en todo el país. Se </w:t>
      </w:r>
      <w:r>
        <w:rPr>
          <w:sz w:val="22"/>
          <w:szCs w:val="22"/>
          <w:lang w:val="es-ES"/>
        </w:rPr>
        <w:t>concluyeron</w:t>
      </w:r>
      <w:r w:rsidR="00967695" w:rsidRPr="00512F79">
        <w:rPr>
          <w:sz w:val="22"/>
          <w:szCs w:val="22"/>
          <w:lang w:val="es-ES"/>
        </w:rPr>
        <w:t xml:space="preserve"> cuatro estudios, uno de ellos realizado por un equipo consultor externo.</w:t>
      </w:r>
    </w:p>
    <w:p w14:paraId="5C74B389" w14:textId="77777777" w:rsidR="00EE3694" w:rsidRPr="00512F79" w:rsidRDefault="00EE3694" w:rsidP="006157FC">
      <w:pPr>
        <w:rPr>
          <w:rFonts w:ascii="Times New Roman" w:hAnsi="Times New Roman" w:cs="Times New Roman"/>
          <w:b/>
          <w:bCs/>
          <w:sz w:val="22"/>
          <w:szCs w:val="22"/>
          <w:lang w:val="es-ES"/>
        </w:rPr>
      </w:pPr>
    </w:p>
    <w:p w14:paraId="49294EE2" w14:textId="25353D97" w:rsidR="00F4728E" w:rsidRPr="00512F79" w:rsidRDefault="00967695">
      <w:pPr>
        <w:ind w:left="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Barbados: </w:t>
      </w:r>
      <w:r w:rsidR="00561212">
        <w:rPr>
          <w:rFonts w:ascii="Times New Roman" w:hAnsi="Times New Roman" w:cs="Times New Roman"/>
          <w:b/>
          <w:bCs/>
          <w:sz w:val="22"/>
          <w:szCs w:val="22"/>
          <w:lang w:val="es-ES"/>
        </w:rPr>
        <w:t>Fortalecimiento d</w:t>
      </w:r>
      <w:r w:rsidRPr="00512F79">
        <w:rPr>
          <w:rFonts w:ascii="Times New Roman" w:hAnsi="Times New Roman" w:cs="Times New Roman"/>
          <w:b/>
          <w:bCs/>
          <w:sz w:val="22"/>
          <w:szCs w:val="22"/>
          <w:lang w:val="es-ES"/>
        </w:rPr>
        <w:t xml:space="preserve">el desarrollo profesional de los </w:t>
      </w:r>
      <w:r w:rsidR="003F7468">
        <w:rPr>
          <w:rFonts w:ascii="Times New Roman" w:hAnsi="Times New Roman" w:cs="Times New Roman"/>
          <w:b/>
          <w:bCs/>
          <w:sz w:val="22"/>
          <w:szCs w:val="22"/>
          <w:lang w:val="es-ES"/>
        </w:rPr>
        <w:t>docentes</w:t>
      </w:r>
      <w:r w:rsidRPr="00512F79">
        <w:rPr>
          <w:rFonts w:ascii="Times New Roman" w:hAnsi="Times New Roman" w:cs="Times New Roman"/>
          <w:b/>
          <w:bCs/>
          <w:sz w:val="22"/>
          <w:szCs w:val="22"/>
          <w:lang w:val="es-ES"/>
        </w:rPr>
        <w:t xml:space="preserve"> para mejorar </w:t>
      </w:r>
      <w:r w:rsidR="00704809" w:rsidRPr="00512F79">
        <w:rPr>
          <w:rFonts w:ascii="Times New Roman" w:hAnsi="Times New Roman" w:cs="Times New Roman"/>
          <w:b/>
          <w:bCs/>
          <w:sz w:val="22"/>
          <w:szCs w:val="22"/>
          <w:lang w:val="es-ES"/>
        </w:rPr>
        <w:t>la calidad de la educación</w:t>
      </w:r>
    </w:p>
    <w:p w14:paraId="50C40DA4" w14:textId="39163F43" w:rsidR="00F4728E" w:rsidRPr="00512F79" w:rsidRDefault="00561212">
      <w:pPr>
        <w:pStyle w:val="ListParagraph"/>
        <w:numPr>
          <w:ilvl w:val="0"/>
          <w:numId w:val="25"/>
        </w:numPr>
        <w:ind w:left="1260" w:hanging="540"/>
        <w:jc w:val="both"/>
        <w:rPr>
          <w:b/>
          <w:bCs/>
          <w:sz w:val="22"/>
          <w:szCs w:val="22"/>
          <w:lang w:val="es-ES"/>
        </w:rPr>
      </w:pPr>
      <w:r>
        <w:rPr>
          <w:sz w:val="22"/>
          <w:szCs w:val="22"/>
          <w:lang w:val="es-ES"/>
        </w:rPr>
        <w:t>Se e</w:t>
      </w:r>
      <w:r w:rsidR="00967695" w:rsidRPr="00512F79">
        <w:rPr>
          <w:sz w:val="22"/>
          <w:szCs w:val="22"/>
          <w:lang w:val="es-ES"/>
        </w:rPr>
        <w:t xml:space="preserve">stableció un centro de </w:t>
      </w:r>
      <w:r w:rsidR="00B90A02" w:rsidRPr="00512F79">
        <w:rPr>
          <w:sz w:val="22"/>
          <w:szCs w:val="22"/>
          <w:lang w:val="es-ES"/>
        </w:rPr>
        <w:t xml:space="preserve">desarrollo profesional </w:t>
      </w:r>
      <w:r w:rsidR="00967695" w:rsidRPr="00512F79">
        <w:rPr>
          <w:sz w:val="22"/>
          <w:szCs w:val="22"/>
          <w:lang w:val="es-ES"/>
        </w:rPr>
        <w:t xml:space="preserve">centrado exclusivamente </w:t>
      </w:r>
      <w:r w:rsidR="00B90A02" w:rsidRPr="00512F79">
        <w:rPr>
          <w:sz w:val="22"/>
          <w:szCs w:val="22"/>
          <w:lang w:val="es-ES"/>
        </w:rPr>
        <w:t xml:space="preserve">en la implementación de programas de desarrollo continuo en áreas de necesidad para </w:t>
      </w:r>
      <w:r w:rsidR="00967695" w:rsidRPr="00512F79">
        <w:rPr>
          <w:sz w:val="22"/>
          <w:szCs w:val="22"/>
          <w:lang w:val="es-ES"/>
        </w:rPr>
        <w:t xml:space="preserve">mejorar la </w:t>
      </w:r>
      <w:r w:rsidR="00B90A02" w:rsidRPr="00512F79">
        <w:rPr>
          <w:sz w:val="22"/>
          <w:szCs w:val="22"/>
          <w:lang w:val="es-ES"/>
        </w:rPr>
        <w:t xml:space="preserve">calidad de la </w:t>
      </w:r>
      <w:r w:rsidR="00967695" w:rsidRPr="00512F79">
        <w:rPr>
          <w:sz w:val="22"/>
          <w:szCs w:val="22"/>
          <w:lang w:val="es-ES"/>
        </w:rPr>
        <w:t xml:space="preserve">educación. En </w:t>
      </w:r>
      <w:r w:rsidR="00B90A02" w:rsidRPr="00512F79">
        <w:rPr>
          <w:sz w:val="22"/>
          <w:szCs w:val="22"/>
          <w:lang w:val="es-ES"/>
        </w:rPr>
        <w:t>diciembre de 2021</w:t>
      </w:r>
      <w:r w:rsidR="00967695" w:rsidRPr="00512F79">
        <w:rPr>
          <w:sz w:val="22"/>
          <w:szCs w:val="22"/>
          <w:lang w:val="es-ES"/>
        </w:rPr>
        <w:t xml:space="preserve">, el centro había beneficiado a </w:t>
      </w:r>
      <w:r w:rsidR="00B90A02" w:rsidRPr="00512F79">
        <w:rPr>
          <w:sz w:val="22"/>
          <w:szCs w:val="22"/>
          <w:lang w:val="es-ES"/>
        </w:rPr>
        <w:t xml:space="preserve">un total de 1.060 profesores y 195 administradores </w:t>
      </w:r>
      <w:r w:rsidR="00967695" w:rsidRPr="00512F79">
        <w:rPr>
          <w:sz w:val="22"/>
          <w:szCs w:val="22"/>
          <w:lang w:val="es-ES"/>
        </w:rPr>
        <w:t xml:space="preserve">a través de </w:t>
      </w:r>
      <w:r w:rsidR="00B90A02" w:rsidRPr="00512F79">
        <w:rPr>
          <w:sz w:val="22"/>
          <w:szCs w:val="22"/>
          <w:lang w:val="es-ES"/>
        </w:rPr>
        <w:t xml:space="preserve">cursos en línea o semipresenciales con el objetivo de </w:t>
      </w:r>
      <w:r w:rsidR="00967695" w:rsidRPr="00512F79">
        <w:rPr>
          <w:sz w:val="22"/>
          <w:szCs w:val="22"/>
          <w:lang w:val="es-ES"/>
        </w:rPr>
        <w:t xml:space="preserve">ampliar </w:t>
      </w:r>
      <w:r w:rsidR="00B90A02" w:rsidRPr="00512F79">
        <w:rPr>
          <w:sz w:val="22"/>
          <w:szCs w:val="22"/>
          <w:lang w:val="es-ES"/>
        </w:rPr>
        <w:t xml:space="preserve">las oportunidades de desarrollo profesional </w:t>
      </w:r>
      <w:r w:rsidR="00967695" w:rsidRPr="00512F79">
        <w:rPr>
          <w:sz w:val="22"/>
          <w:szCs w:val="22"/>
          <w:lang w:val="es-ES"/>
        </w:rPr>
        <w:t>de los profesores de todo Barbados.</w:t>
      </w:r>
    </w:p>
    <w:p w14:paraId="35C4DD30" w14:textId="77777777" w:rsidR="00B90A02" w:rsidRPr="00512F79" w:rsidRDefault="00B90A02" w:rsidP="00CB030B">
      <w:pPr>
        <w:rPr>
          <w:rFonts w:ascii="Times New Roman" w:hAnsi="Times New Roman" w:cs="Times New Roman"/>
          <w:b/>
          <w:bCs/>
          <w:sz w:val="22"/>
          <w:szCs w:val="22"/>
          <w:lang w:val="es-ES"/>
        </w:rPr>
      </w:pPr>
    </w:p>
    <w:p w14:paraId="0C4C28BE" w14:textId="77777777" w:rsidR="00F4728E" w:rsidRPr="00512F79" w:rsidRDefault="00967695">
      <w:pPr>
        <w:ind w:firstLine="720"/>
        <w:rPr>
          <w:rFonts w:ascii="Times New Roman" w:hAnsi="Times New Roman" w:cs="Times New Roman"/>
          <w:sz w:val="22"/>
          <w:szCs w:val="22"/>
          <w:lang w:val="es-ES"/>
        </w:rPr>
      </w:pPr>
      <w:r w:rsidRPr="00512F79">
        <w:rPr>
          <w:rFonts w:ascii="Times New Roman" w:hAnsi="Times New Roman" w:cs="Times New Roman"/>
          <w:b/>
          <w:bCs/>
          <w:sz w:val="22"/>
          <w:szCs w:val="22"/>
          <w:lang w:val="es-ES"/>
        </w:rPr>
        <w:t>Perú: Construir prácticas sostenibles para los docentes</w:t>
      </w:r>
    </w:p>
    <w:p w14:paraId="60C3C488" w14:textId="77777777" w:rsidR="00F4728E" w:rsidRPr="00512F79" w:rsidRDefault="00967695">
      <w:pPr>
        <w:pStyle w:val="ListParagraph"/>
        <w:numPr>
          <w:ilvl w:val="0"/>
          <w:numId w:val="25"/>
        </w:numPr>
        <w:ind w:left="1260" w:hanging="540"/>
        <w:jc w:val="both"/>
        <w:rPr>
          <w:sz w:val="22"/>
          <w:szCs w:val="22"/>
          <w:lang w:val="es-ES"/>
        </w:rPr>
      </w:pPr>
      <w:r w:rsidRPr="00512F79">
        <w:rPr>
          <w:sz w:val="22"/>
          <w:szCs w:val="22"/>
          <w:lang w:val="es-ES"/>
        </w:rPr>
        <w:t>Consolidar, organizar y compartir (a través del Observatorio Nacional de Buenas Prácticas e Innovación Educativa) ejemplos de prácticas docentes sostenibles a nivel nacional.</w:t>
      </w:r>
    </w:p>
    <w:p w14:paraId="5157887F" w14:textId="5B584D3F" w:rsidR="00F4728E" w:rsidRPr="00512F79" w:rsidRDefault="005A63C2">
      <w:pPr>
        <w:pStyle w:val="ListParagraph"/>
        <w:numPr>
          <w:ilvl w:val="0"/>
          <w:numId w:val="25"/>
        </w:numPr>
        <w:ind w:left="1260" w:hanging="540"/>
        <w:jc w:val="both"/>
        <w:rPr>
          <w:sz w:val="22"/>
          <w:szCs w:val="22"/>
          <w:lang w:val="es-ES"/>
        </w:rPr>
      </w:pPr>
      <w:r>
        <w:rPr>
          <w:sz w:val="22"/>
          <w:szCs w:val="22"/>
          <w:lang w:val="es-ES"/>
        </w:rPr>
        <w:t>Fortalecimiento</w:t>
      </w:r>
      <w:r w:rsidR="00967695" w:rsidRPr="00512F79">
        <w:rPr>
          <w:sz w:val="22"/>
          <w:szCs w:val="22"/>
          <w:lang w:val="es-ES"/>
        </w:rPr>
        <w:t xml:space="preserve"> de la capacitación </w:t>
      </w:r>
      <w:r>
        <w:rPr>
          <w:sz w:val="22"/>
          <w:szCs w:val="22"/>
          <w:lang w:val="es-ES"/>
        </w:rPr>
        <w:t>docente</w:t>
      </w:r>
      <w:r w:rsidR="00967695" w:rsidRPr="00512F79">
        <w:rPr>
          <w:sz w:val="22"/>
          <w:szCs w:val="22"/>
          <w:lang w:val="es-ES"/>
        </w:rPr>
        <w:t xml:space="preserve"> para la </w:t>
      </w:r>
      <w:r>
        <w:rPr>
          <w:sz w:val="22"/>
          <w:szCs w:val="22"/>
          <w:lang w:val="es-ES"/>
        </w:rPr>
        <w:t>implementación</w:t>
      </w:r>
      <w:r w:rsidR="00967695" w:rsidRPr="00512F79">
        <w:rPr>
          <w:sz w:val="22"/>
          <w:szCs w:val="22"/>
          <w:lang w:val="es-ES"/>
        </w:rPr>
        <w:t xml:space="preserve"> y posterior intercambio de prácticas sostenibles</w:t>
      </w:r>
      <w:r w:rsidR="00F357C2" w:rsidRPr="00512F79">
        <w:rPr>
          <w:sz w:val="22"/>
          <w:szCs w:val="22"/>
          <w:lang w:val="es-ES"/>
        </w:rPr>
        <w:t>.</w:t>
      </w:r>
    </w:p>
    <w:p w14:paraId="1CD51A66" w14:textId="77777777" w:rsidR="001E563F" w:rsidRPr="00512F79" w:rsidRDefault="001E563F" w:rsidP="00CB030B">
      <w:pPr>
        <w:jc w:val="both"/>
        <w:rPr>
          <w:rFonts w:ascii="Times New Roman" w:hAnsi="Times New Roman" w:cs="Times New Roman"/>
          <w:b/>
          <w:bCs/>
          <w:sz w:val="22"/>
          <w:szCs w:val="22"/>
          <w:lang w:val="es-ES"/>
        </w:rPr>
      </w:pPr>
    </w:p>
    <w:p w14:paraId="261C49FA" w14:textId="47C3A040" w:rsidR="00F4728E" w:rsidRPr="00512F79" w:rsidRDefault="00967695">
      <w:pPr>
        <w:ind w:firstLine="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S</w:t>
      </w:r>
      <w:r w:rsidR="003F7468">
        <w:rPr>
          <w:rFonts w:ascii="Times New Roman" w:hAnsi="Times New Roman" w:cs="Times New Roman"/>
          <w:b/>
          <w:bCs/>
          <w:sz w:val="22"/>
          <w:szCs w:val="22"/>
          <w:lang w:val="es-ES"/>
        </w:rPr>
        <w:t>aint Kitts y Nevis</w:t>
      </w:r>
      <w:r w:rsidRPr="00512F79">
        <w:rPr>
          <w:rFonts w:ascii="Times New Roman" w:hAnsi="Times New Roman" w:cs="Times New Roman"/>
          <w:b/>
          <w:bCs/>
          <w:sz w:val="22"/>
          <w:szCs w:val="22"/>
          <w:lang w:val="es-ES"/>
        </w:rPr>
        <w:t xml:space="preserve">: Profesionalización del </w:t>
      </w:r>
      <w:r w:rsidR="001701C8">
        <w:rPr>
          <w:rFonts w:ascii="Times New Roman" w:hAnsi="Times New Roman" w:cs="Times New Roman"/>
          <w:b/>
          <w:bCs/>
          <w:sz w:val="22"/>
          <w:szCs w:val="22"/>
          <w:lang w:val="es-ES"/>
        </w:rPr>
        <w:t>personal docente</w:t>
      </w:r>
    </w:p>
    <w:p w14:paraId="264ECD7E" w14:textId="77090E54" w:rsidR="00F4728E" w:rsidRPr="00512F79" w:rsidRDefault="00967695">
      <w:pPr>
        <w:pStyle w:val="ListParagraph"/>
        <w:numPr>
          <w:ilvl w:val="0"/>
          <w:numId w:val="32"/>
        </w:numPr>
        <w:ind w:left="1260" w:hanging="540"/>
        <w:contextualSpacing/>
        <w:jc w:val="both"/>
        <w:rPr>
          <w:sz w:val="22"/>
          <w:szCs w:val="22"/>
          <w:lang w:val="es-ES"/>
        </w:rPr>
      </w:pPr>
      <w:r w:rsidRPr="00512F79">
        <w:rPr>
          <w:sz w:val="22"/>
          <w:szCs w:val="22"/>
          <w:lang w:val="es-ES"/>
        </w:rPr>
        <w:t xml:space="preserve">Se </w:t>
      </w:r>
      <w:r w:rsidR="00196719">
        <w:rPr>
          <w:sz w:val="22"/>
          <w:szCs w:val="22"/>
          <w:lang w:val="es-ES"/>
        </w:rPr>
        <w:t>elaboró</w:t>
      </w:r>
      <w:r w:rsidRPr="00512F79">
        <w:rPr>
          <w:sz w:val="22"/>
          <w:szCs w:val="22"/>
          <w:lang w:val="es-ES"/>
        </w:rPr>
        <w:t xml:space="preserve"> un marco de desarrollo profesional continuo para los </w:t>
      </w:r>
      <w:r w:rsidR="00173A1E">
        <w:rPr>
          <w:sz w:val="22"/>
          <w:szCs w:val="22"/>
          <w:lang w:val="es-ES"/>
        </w:rPr>
        <w:t>docentes</w:t>
      </w:r>
      <w:r w:rsidR="00196719">
        <w:rPr>
          <w:sz w:val="22"/>
          <w:szCs w:val="22"/>
          <w:lang w:val="es-ES"/>
        </w:rPr>
        <w:t>,</w:t>
      </w:r>
      <w:r w:rsidRPr="00512F79">
        <w:rPr>
          <w:sz w:val="22"/>
          <w:szCs w:val="22"/>
          <w:lang w:val="es-ES"/>
        </w:rPr>
        <w:t xml:space="preserve"> un</w:t>
      </w:r>
      <w:r w:rsidR="00196719">
        <w:rPr>
          <w:sz w:val="22"/>
          <w:szCs w:val="22"/>
          <w:lang w:val="es-ES"/>
        </w:rPr>
        <w:t>a trayectoria</w:t>
      </w:r>
      <w:r w:rsidRPr="00512F79">
        <w:rPr>
          <w:sz w:val="22"/>
          <w:szCs w:val="22"/>
          <w:lang w:val="es-ES"/>
        </w:rPr>
        <w:t xml:space="preserve"> profesional para el sector educativo, que incluye </w:t>
      </w:r>
      <w:r w:rsidR="001701C8">
        <w:rPr>
          <w:sz w:val="22"/>
          <w:szCs w:val="22"/>
          <w:lang w:val="es-ES"/>
        </w:rPr>
        <w:t>los costos</w:t>
      </w:r>
      <w:r w:rsidRPr="00512F79">
        <w:rPr>
          <w:sz w:val="22"/>
          <w:szCs w:val="22"/>
          <w:lang w:val="es-ES"/>
        </w:rPr>
        <w:t xml:space="preserve"> previstos </w:t>
      </w:r>
      <w:r w:rsidR="001701C8">
        <w:rPr>
          <w:sz w:val="22"/>
          <w:szCs w:val="22"/>
          <w:lang w:val="es-ES"/>
        </w:rPr>
        <w:t>para una</w:t>
      </w:r>
      <w:r w:rsidRPr="00512F79">
        <w:rPr>
          <w:sz w:val="22"/>
          <w:szCs w:val="22"/>
          <w:lang w:val="es-ES"/>
        </w:rPr>
        <w:t xml:space="preserve"> reforma de la escala salarial de la función pública</w:t>
      </w:r>
      <w:r w:rsidR="001701C8">
        <w:rPr>
          <w:sz w:val="22"/>
          <w:szCs w:val="22"/>
          <w:lang w:val="es-ES"/>
        </w:rPr>
        <w:t>;</w:t>
      </w:r>
      <w:r w:rsidRPr="00512F79">
        <w:rPr>
          <w:sz w:val="22"/>
          <w:szCs w:val="22"/>
          <w:lang w:val="es-ES"/>
        </w:rPr>
        <w:t xml:space="preserve"> un sistema de evaluación para los </w:t>
      </w:r>
      <w:r w:rsidR="00173A1E">
        <w:rPr>
          <w:sz w:val="22"/>
          <w:szCs w:val="22"/>
          <w:lang w:val="es-ES"/>
        </w:rPr>
        <w:t>docentes</w:t>
      </w:r>
      <w:r w:rsidR="001701C8">
        <w:rPr>
          <w:sz w:val="22"/>
          <w:szCs w:val="22"/>
          <w:lang w:val="es-ES"/>
        </w:rPr>
        <w:t>; nuevos estándares</w:t>
      </w:r>
      <w:r w:rsidRPr="00512F79">
        <w:rPr>
          <w:sz w:val="22"/>
          <w:szCs w:val="22"/>
          <w:lang w:val="es-ES"/>
        </w:rPr>
        <w:t xml:space="preserve"> profesionales, incluido un código de conducta para profesores y educadores. Estas medidas fomentarán la profesionalización del cuerpo docente, lo que redundará en una mejora de la </w:t>
      </w:r>
      <w:r w:rsidR="008926B1">
        <w:rPr>
          <w:sz w:val="22"/>
          <w:szCs w:val="22"/>
          <w:lang w:val="es-ES"/>
        </w:rPr>
        <w:t>educación</w:t>
      </w:r>
      <w:r w:rsidRPr="00512F79">
        <w:rPr>
          <w:sz w:val="22"/>
          <w:szCs w:val="22"/>
          <w:lang w:val="es-ES"/>
        </w:rPr>
        <w:t>, el desarrollo y la gestión educativa.</w:t>
      </w:r>
    </w:p>
    <w:p w14:paraId="382E342A" w14:textId="487E5357" w:rsidR="00F4728E" w:rsidRPr="00512F79" w:rsidRDefault="00173A1E">
      <w:pPr>
        <w:pStyle w:val="ListParagraph"/>
        <w:numPr>
          <w:ilvl w:val="0"/>
          <w:numId w:val="32"/>
        </w:numPr>
        <w:ind w:left="1260" w:hanging="540"/>
        <w:contextualSpacing/>
        <w:rPr>
          <w:sz w:val="22"/>
          <w:szCs w:val="22"/>
          <w:lang w:val="es-ES"/>
        </w:rPr>
      </w:pPr>
      <w:r>
        <w:rPr>
          <w:sz w:val="22"/>
          <w:szCs w:val="22"/>
          <w:lang w:val="es-ES"/>
        </w:rPr>
        <w:t xml:space="preserve">Se otorgó certificación </w:t>
      </w:r>
      <w:r w:rsidR="00967695" w:rsidRPr="00512F79">
        <w:rPr>
          <w:sz w:val="22"/>
          <w:szCs w:val="22"/>
          <w:lang w:val="es-ES"/>
        </w:rPr>
        <w:t xml:space="preserve">a </w:t>
      </w:r>
      <w:r w:rsidR="00B90A02" w:rsidRPr="00512F79">
        <w:rPr>
          <w:sz w:val="22"/>
          <w:szCs w:val="22"/>
          <w:lang w:val="es-ES"/>
        </w:rPr>
        <w:t xml:space="preserve">80 profesores para enseñar inglés como </w:t>
      </w:r>
      <w:r>
        <w:rPr>
          <w:sz w:val="22"/>
          <w:szCs w:val="22"/>
          <w:lang w:val="es-ES"/>
        </w:rPr>
        <w:t>segundo idioma</w:t>
      </w:r>
      <w:r w:rsidR="00B90A02" w:rsidRPr="00512F79">
        <w:rPr>
          <w:sz w:val="22"/>
          <w:szCs w:val="22"/>
          <w:lang w:val="es-ES"/>
        </w:rPr>
        <w:t xml:space="preserve"> </w:t>
      </w:r>
      <w:r w:rsidR="00967695" w:rsidRPr="00512F79">
        <w:rPr>
          <w:sz w:val="22"/>
          <w:szCs w:val="22"/>
          <w:lang w:val="es-ES"/>
        </w:rPr>
        <w:t xml:space="preserve">en </w:t>
      </w:r>
      <w:r w:rsidR="00B90A02" w:rsidRPr="00512F79">
        <w:rPr>
          <w:sz w:val="22"/>
          <w:szCs w:val="22"/>
          <w:lang w:val="es-ES"/>
        </w:rPr>
        <w:t>las escuelas</w:t>
      </w:r>
      <w:r w:rsidR="00967695" w:rsidRPr="00512F79">
        <w:rPr>
          <w:sz w:val="22"/>
          <w:szCs w:val="22"/>
          <w:lang w:val="es-ES"/>
        </w:rPr>
        <w:t>.</w:t>
      </w:r>
    </w:p>
    <w:p w14:paraId="3EA99434" w14:textId="77777777" w:rsidR="003631D7" w:rsidRPr="00512F79" w:rsidRDefault="003631D7" w:rsidP="00CB030B">
      <w:pPr>
        <w:contextualSpacing/>
        <w:rPr>
          <w:rFonts w:ascii="Times New Roman" w:hAnsi="Times New Roman" w:cs="Times New Roman"/>
          <w:b/>
          <w:bCs/>
          <w:sz w:val="22"/>
          <w:szCs w:val="22"/>
          <w:lang w:val="es-ES"/>
        </w:rPr>
      </w:pPr>
    </w:p>
    <w:p w14:paraId="5F93FD7B" w14:textId="77777777" w:rsidR="00F4728E" w:rsidRPr="00512F79" w:rsidRDefault="00967695">
      <w:pPr>
        <w:ind w:left="720"/>
        <w:contextualSpacing/>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PROGRAMA III</w:t>
      </w:r>
    </w:p>
    <w:p w14:paraId="4B7049CD" w14:textId="77777777" w:rsidR="00F4728E" w:rsidRPr="00512F79" w:rsidRDefault="00967695">
      <w:pPr>
        <w:ind w:left="720"/>
        <w:jc w:val="both"/>
        <w:rPr>
          <w:rFonts w:ascii="Times New Roman" w:eastAsia="MS PGothic" w:hAnsi="Times New Roman" w:cs="Times New Roman"/>
          <w:b/>
          <w:bCs/>
          <w:color w:val="000000"/>
          <w:kern w:val="24"/>
          <w:sz w:val="22"/>
          <w:szCs w:val="22"/>
          <w:lang w:val="es-ES"/>
        </w:rPr>
      </w:pPr>
      <w:r w:rsidRPr="00512F79">
        <w:rPr>
          <w:rFonts w:ascii="Times New Roman" w:eastAsia="MS PGothic" w:hAnsi="Times New Roman" w:cs="Times New Roman"/>
          <w:b/>
          <w:bCs/>
          <w:color w:val="000000"/>
          <w:kern w:val="24"/>
          <w:sz w:val="22"/>
          <w:szCs w:val="22"/>
          <w:lang w:val="es-ES"/>
        </w:rPr>
        <w:t>Atención integral a la primera infancia: Bahamas, Honduras, Panamá, Santa Lucía, San Vicente y las Granadinas, Uruguay.</w:t>
      </w:r>
    </w:p>
    <w:p w14:paraId="0CB00A58" w14:textId="58898C7D" w:rsidR="00543D52" w:rsidRPr="00512F79" w:rsidRDefault="00543D52" w:rsidP="00CB030B">
      <w:pPr>
        <w:jc w:val="both"/>
        <w:rPr>
          <w:rFonts w:ascii="Times New Roman" w:eastAsia="MS PGothic" w:hAnsi="Times New Roman" w:cs="Times New Roman"/>
          <w:i/>
          <w:iCs/>
          <w:color w:val="000000"/>
          <w:kern w:val="24"/>
          <w:sz w:val="22"/>
          <w:szCs w:val="22"/>
          <w:lang w:val="es-ES"/>
        </w:rPr>
      </w:pPr>
    </w:p>
    <w:p w14:paraId="2DCC0974" w14:textId="29AAEA31" w:rsidR="00F4728E" w:rsidRPr="00512F79" w:rsidRDefault="00967695">
      <w:pPr>
        <w:ind w:firstLine="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Bahamas: Proyecto </w:t>
      </w:r>
      <w:r w:rsidR="00A83416">
        <w:rPr>
          <w:rFonts w:ascii="Times New Roman" w:hAnsi="Times New Roman" w:cs="Times New Roman"/>
          <w:b/>
          <w:bCs/>
          <w:sz w:val="22"/>
          <w:szCs w:val="22"/>
          <w:lang w:val="es-ES"/>
        </w:rPr>
        <w:t>“</w:t>
      </w:r>
      <w:r w:rsidRPr="00512F79">
        <w:rPr>
          <w:rFonts w:ascii="Times New Roman" w:hAnsi="Times New Roman" w:cs="Times New Roman"/>
          <w:b/>
          <w:bCs/>
          <w:sz w:val="22"/>
          <w:szCs w:val="22"/>
          <w:lang w:val="es-ES"/>
        </w:rPr>
        <w:t>Early Start</w:t>
      </w:r>
      <w:r w:rsidR="00A83416">
        <w:rPr>
          <w:rFonts w:ascii="Times New Roman" w:hAnsi="Times New Roman" w:cs="Times New Roman"/>
          <w:b/>
          <w:bCs/>
          <w:sz w:val="22"/>
          <w:szCs w:val="22"/>
          <w:lang w:val="es-ES"/>
        </w:rPr>
        <w:t>”</w:t>
      </w:r>
      <w:r w:rsidR="00F357C2" w:rsidRPr="00512F79">
        <w:rPr>
          <w:rFonts w:ascii="Times New Roman" w:hAnsi="Times New Roman" w:cs="Times New Roman"/>
          <w:b/>
          <w:bCs/>
          <w:sz w:val="22"/>
          <w:szCs w:val="22"/>
          <w:lang w:val="es-ES"/>
        </w:rPr>
        <w:t xml:space="preserve"> en </w:t>
      </w:r>
      <w:r w:rsidRPr="00512F79">
        <w:rPr>
          <w:rFonts w:ascii="Times New Roman" w:hAnsi="Times New Roman" w:cs="Times New Roman"/>
          <w:b/>
          <w:bCs/>
          <w:sz w:val="22"/>
          <w:szCs w:val="22"/>
          <w:lang w:val="es-ES"/>
        </w:rPr>
        <w:t>Bahamas</w:t>
      </w:r>
    </w:p>
    <w:p w14:paraId="079361AA" w14:textId="6D9A9301" w:rsidR="00F4728E" w:rsidRPr="00512F79" w:rsidRDefault="00292BEB">
      <w:pPr>
        <w:pStyle w:val="ListParagraph"/>
        <w:numPr>
          <w:ilvl w:val="0"/>
          <w:numId w:val="35"/>
        </w:numPr>
        <w:ind w:left="1260" w:hanging="540"/>
        <w:contextualSpacing/>
        <w:jc w:val="both"/>
        <w:rPr>
          <w:sz w:val="22"/>
          <w:szCs w:val="22"/>
          <w:lang w:val="es-ES"/>
        </w:rPr>
      </w:pPr>
      <w:r>
        <w:rPr>
          <w:sz w:val="22"/>
          <w:szCs w:val="22"/>
          <w:lang w:val="es-ES"/>
        </w:rPr>
        <w:t>Se d</w:t>
      </w:r>
      <w:r w:rsidR="00967695" w:rsidRPr="00512F79">
        <w:rPr>
          <w:sz w:val="22"/>
          <w:szCs w:val="22"/>
          <w:lang w:val="es-ES"/>
        </w:rPr>
        <w:t xml:space="preserve">esarrolló un plan de estudios preescolar </w:t>
      </w:r>
      <w:r w:rsidR="00CA2F8E" w:rsidRPr="00512F79">
        <w:rPr>
          <w:sz w:val="22"/>
          <w:szCs w:val="22"/>
          <w:lang w:val="es-ES"/>
        </w:rPr>
        <w:t xml:space="preserve">revisado </w:t>
      </w:r>
      <w:r w:rsidR="00E02C34" w:rsidRPr="00512F79">
        <w:rPr>
          <w:sz w:val="22"/>
          <w:szCs w:val="22"/>
          <w:lang w:val="es-ES"/>
        </w:rPr>
        <w:t xml:space="preserve">con aportaciones de más </w:t>
      </w:r>
      <w:r w:rsidR="00967695" w:rsidRPr="00512F79">
        <w:rPr>
          <w:sz w:val="22"/>
          <w:szCs w:val="22"/>
          <w:lang w:val="es-ES"/>
        </w:rPr>
        <w:t xml:space="preserve">de 245 cuidadores, </w:t>
      </w:r>
      <w:r w:rsidR="00A83416">
        <w:rPr>
          <w:sz w:val="22"/>
          <w:szCs w:val="22"/>
          <w:lang w:val="es-ES"/>
        </w:rPr>
        <w:t>profesores</w:t>
      </w:r>
      <w:r w:rsidR="00967695" w:rsidRPr="00512F79">
        <w:rPr>
          <w:sz w:val="22"/>
          <w:szCs w:val="22"/>
          <w:lang w:val="es-ES"/>
        </w:rPr>
        <w:t xml:space="preserve"> y a</w:t>
      </w:r>
      <w:r>
        <w:rPr>
          <w:sz w:val="22"/>
          <w:szCs w:val="22"/>
          <w:lang w:val="es-ES"/>
        </w:rPr>
        <w:t>sistentes</w:t>
      </w:r>
      <w:r w:rsidR="00967695" w:rsidRPr="00512F79">
        <w:rPr>
          <w:sz w:val="22"/>
          <w:szCs w:val="22"/>
          <w:lang w:val="es-ES"/>
        </w:rPr>
        <w:t xml:space="preserve"> </w:t>
      </w:r>
      <w:r>
        <w:rPr>
          <w:sz w:val="22"/>
          <w:szCs w:val="22"/>
          <w:lang w:val="es-ES"/>
        </w:rPr>
        <w:t>docentes</w:t>
      </w:r>
      <w:r w:rsidR="00967695" w:rsidRPr="00512F79">
        <w:rPr>
          <w:sz w:val="22"/>
          <w:szCs w:val="22"/>
          <w:lang w:val="es-ES"/>
        </w:rPr>
        <w:t xml:space="preserve"> de centros preescolares públicos y privados</w:t>
      </w:r>
      <w:r w:rsidR="00BB659A" w:rsidRPr="00512F79">
        <w:rPr>
          <w:sz w:val="22"/>
          <w:szCs w:val="22"/>
          <w:lang w:val="es-ES"/>
        </w:rPr>
        <w:t>.</w:t>
      </w:r>
    </w:p>
    <w:p w14:paraId="3C1664EA" w14:textId="69BE142C" w:rsidR="00F4728E" w:rsidRPr="00512F79" w:rsidRDefault="00292BEB">
      <w:pPr>
        <w:pStyle w:val="ListParagraph"/>
        <w:numPr>
          <w:ilvl w:val="0"/>
          <w:numId w:val="35"/>
        </w:numPr>
        <w:ind w:left="1260" w:hanging="540"/>
        <w:contextualSpacing/>
        <w:jc w:val="both"/>
        <w:rPr>
          <w:sz w:val="22"/>
          <w:szCs w:val="22"/>
          <w:lang w:val="es-ES"/>
        </w:rPr>
      </w:pPr>
      <w:r>
        <w:rPr>
          <w:sz w:val="22"/>
          <w:szCs w:val="22"/>
          <w:lang w:val="es-ES"/>
        </w:rPr>
        <w:t xml:space="preserve">Las </w:t>
      </w:r>
      <w:r w:rsidR="00543D52" w:rsidRPr="00512F79">
        <w:rPr>
          <w:sz w:val="22"/>
          <w:szCs w:val="22"/>
          <w:lang w:val="es-ES"/>
        </w:rPr>
        <w:t xml:space="preserve">partes interesadas </w:t>
      </w:r>
      <w:r w:rsidR="00A83416">
        <w:rPr>
          <w:sz w:val="22"/>
          <w:szCs w:val="22"/>
          <w:lang w:val="es-ES"/>
        </w:rPr>
        <w:t xml:space="preserve">en el campo </w:t>
      </w:r>
      <w:r w:rsidR="00543D52" w:rsidRPr="00512F79">
        <w:rPr>
          <w:sz w:val="22"/>
          <w:szCs w:val="22"/>
          <w:lang w:val="es-ES"/>
        </w:rPr>
        <w:t xml:space="preserve">de la primera infancia, directores, cuidadores, profesores, </w:t>
      </w:r>
      <w:r>
        <w:rPr>
          <w:sz w:val="22"/>
          <w:szCs w:val="22"/>
          <w:lang w:val="es-ES"/>
        </w:rPr>
        <w:t>asistentes docentes</w:t>
      </w:r>
      <w:r w:rsidR="00543D52" w:rsidRPr="00512F79">
        <w:rPr>
          <w:sz w:val="22"/>
          <w:szCs w:val="22"/>
          <w:lang w:val="es-ES"/>
        </w:rPr>
        <w:t xml:space="preserve"> y padres </w:t>
      </w:r>
      <w:r w:rsidR="009B270A">
        <w:rPr>
          <w:sz w:val="22"/>
          <w:szCs w:val="22"/>
          <w:lang w:val="es-ES"/>
        </w:rPr>
        <w:t>se familiarizaron y recibieron capacitación</w:t>
      </w:r>
      <w:r w:rsidR="009B270A" w:rsidRPr="00512F79">
        <w:rPr>
          <w:sz w:val="22"/>
          <w:szCs w:val="22"/>
          <w:lang w:val="es-ES"/>
        </w:rPr>
        <w:t xml:space="preserve"> </w:t>
      </w:r>
      <w:r w:rsidR="00F357C2" w:rsidRPr="00512F79">
        <w:rPr>
          <w:sz w:val="22"/>
          <w:szCs w:val="22"/>
          <w:lang w:val="es-ES"/>
        </w:rPr>
        <w:t>en las prácticas adecuadas para enseñar y cuidar a los niños pequeños</w:t>
      </w:r>
      <w:r>
        <w:rPr>
          <w:sz w:val="22"/>
          <w:szCs w:val="22"/>
          <w:lang w:val="es-ES"/>
        </w:rPr>
        <w:t>.</w:t>
      </w:r>
      <w:r w:rsidR="00F357C2" w:rsidRPr="00512F79">
        <w:rPr>
          <w:sz w:val="22"/>
          <w:szCs w:val="22"/>
          <w:lang w:val="es-ES"/>
        </w:rPr>
        <w:t xml:space="preserve"> Para garantizar la sostenibilidad, </w:t>
      </w:r>
      <w:r w:rsidR="00543D52" w:rsidRPr="00512F79">
        <w:rPr>
          <w:sz w:val="22"/>
          <w:szCs w:val="22"/>
          <w:lang w:val="es-ES"/>
        </w:rPr>
        <w:t xml:space="preserve">se instituyó el Ciclo de Desarrollo Curricular del Departamento de Educación </w:t>
      </w:r>
      <w:r w:rsidR="009B270A">
        <w:rPr>
          <w:sz w:val="22"/>
          <w:szCs w:val="22"/>
          <w:lang w:val="es-ES"/>
        </w:rPr>
        <w:t>a fin de asegurar</w:t>
      </w:r>
      <w:r w:rsidR="00543D52" w:rsidRPr="00512F79">
        <w:rPr>
          <w:sz w:val="22"/>
          <w:szCs w:val="22"/>
          <w:lang w:val="es-ES"/>
        </w:rPr>
        <w:t xml:space="preserve"> que todos los </w:t>
      </w:r>
      <w:r w:rsidR="00F357C2" w:rsidRPr="00512F79">
        <w:rPr>
          <w:sz w:val="22"/>
          <w:szCs w:val="22"/>
          <w:lang w:val="es-ES"/>
        </w:rPr>
        <w:t>documentos</w:t>
      </w:r>
      <w:r w:rsidR="00543D52" w:rsidRPr="00512F79">
        <w:rPr>
          <w:sz w:val="22"/>
          <w:szCs w:val="22"/>
          <w:lang w:val="es-ES"/>
        </w:rPr>
        <w:t xml:space="preserve"> curriculares se revisen cada cinco años.</w:t>
      </w:r>
    </w:p>
    <w:p w14:paraId="3A30D449" w14:textId="77777777" w:rsidR="00543D52" w:rsidRPr="00512F79" w:rsidRDefault="00543D52" w:rsidP="00CB030B">
      <w:pPr>
        <w:rPr>
          <w:rFonts w:ascii="Times New Roman" w:hAnsi="Times New Roman" w:cs="Times New Roman"/>
          <w:b/>
          <w:bCs/>
          <w:sz w:val="22"/>
          <w:szCs w:val="22"/>
          <w:lang w:val="es-ES"/>
        </w:rPr>
      </w:pPr>
    </w:p>
    <w:p w14:paraId="422A3AA7" w14:textId="2F817226" w:rsidR="00F4728E" w:rsidRPr="00512F79" w:rsidRDefault="00967695">
      <w:pPr>
        <w:ind w:firstLine="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Honduras: Padres y madres </w:t>
      </w:r>
      <w:r w:rsidR="00FA186B">
        <w:rPr>
          <w:rFonts w:ascii="Times New Roman" w:hAnsi="Times New Roman" w:cs="Times New Roman"/>
          <w:b/>
          <w:bCs/>
          <w:sz w:val="22"/>
          <w:szCs w:val="22"/>
          <w:lang w:val="es-ES"/>
        </w:rPr>
        <w:t xml:space="preserve">criando </w:t>
      </w:r>
      <w:r w:rsidRPr="00512F79">
        <w:rPr>
          <w:rFonts w:ascii="Times New Roman" w:hAnsi="Times New Roman" w:cs="Times New Roman"/>
          <w:b/>
          <w:bCs/>
          <w:sz w:val="22"/>
          <w:szCs w:val="22"/>
          <w:lang w:val="es-ES"/>
        </w:rPr>
        <w:t>a sus hijos con amor</w:t>
      </w:r>
    </w:p>
    <w:p w14:paraId="6918E3BE" w14:textId="3AC0FAEB" w:rsidR="00F4728E" w:rsidRPr="00512F79" w:rsidRDefault="00967695">
      <w:pPr>
        <w:pStyle w:val="ListParagraph"/>
        <w:numPr>
          <w:ilvl w:val="0"/>
          <w:numId w:val="35"/>
        </w:numPr>
        <w:ind w:left="1260" w:hanging="540"/>
        <w:contextualSpacing/>
        <w:jc w:val="both"/>
        <w:rPr>
          <w:sz w:val="22"/>
          <w:szCs w:val="22"/>
          <w:lang w:val="es-ES"/>
        </w:rPr>
      </w:pPr>
      <w:r w:rsidRPr="00512F79">
        <w:rPr>
          <w:sz w:val="22"/>
          <w:szCs w:val="22"/>
          <w:lang w:val="es-ES"/>
        </w:rPr>
        <w:t xml:space="preserve">Perfeccionar </w:t>
      </w:r>
      <w:r w:rsidRPr="00512F79">
        <w:rPr>
          <w:i/>
          <w:iCs/>
          <w:sz w:val="22"/>
          <w:szCs w:val="22"/>
          <w:lang w:val="es-ES"/>
        </w:rPr>
        <w:t>"Criando con Amor"</w:t>
      </w:r>
      <w:r w:rsidRPr="00512F79">
        <w:rPr>
          <w:sz w:val="22"/>
          <w:szCs w:val="22"/>
          <w:lang w:val="es-ES"/>
        </w:rPr>
        <w:t xml:space="preserve">, una estrategia comunitaria impartida actualmente a 1.353 facilitadores, padres y agentes comunitarios para promover la </w:t>
      </w:r>
      <w:r w:rsidR="00933996">
        <w:rPr>
          <w:sz w:val="22"/>
          <w:szCs w:val="22"/>
          <w:lang w:val="es-ES"/>
        </w:rPr>
        <w:t>sensibilización</w:t>
      </w:r>
      <w:r w:rsidRPr="00512F79">
        <w:rPr>
          <w:sz w:val="22"/>
          <w:szCs w:val="22"/>
          <w:lang w:val="es-ES"/>
        </w:rPr>
        <w:t xml:space="preserve"> y las estrategias de aplicación de catorce cambios de comportamiento destinados a optimizar el desarrollo social y físico del niño.</w:t>
      </w:r>
    </w:p>
    <w:p w14:paraId="32F8EC56" w14:textId="77777777" w:rsidR="00EE3694" w:rsidRPr="00512F79" w:rsidRDefault="00EE3694" w:rsidP="00EE3694">
      <w:pPr>
        <w:pStyle w:val="ListParagraph"/>
        <w:ind w:left="1260"/>
        <w:contextualSpacing/>
        <w:jc w:val="both"/>
        <w:rPr>
          <w:sz w:val="22"/>
          <w:szCs w:val="22"/>
          <w:lang w:val="es-ES"/>
        </w:rPr>
      </w:pPr>
    </w:p>
    <w:p w14:paraId="7AE5F05F" w14:textId="38EFEC3D" w:rsidR="00F4728E" w:rsidRPr="00512F79" w:rsidRDefault="00967695">
      <w:pPr>
        <w:ind w:left="720"/>
        <w:rPr>
          <w:rFonts w:ascii="Times New Roman" w:hAnsi="Times New Roman" w:cs="Times New Roman"/>
          <w:b/>
          <w:bCs/>
          <w:sz w:val="22"/>
          <w:szCs w:val="22"/>
          <w:lang w:val="es-ES"/>
        </w:rPr>
      </w:pPr>
      <w:r w:rsidRPr="00512F79">
        <w:rPr>
          <w:rFonts w:ascii="Times New Roman" w:hAnsi="Times New Roman" w:cs="Times New Roman"/>
          <w:b/>
          <w:bCs/>
          <w:sz w:val="22"/>
          <w:szCs w:val="22"/>
          <w:lang w:val="es-ES"/>
        </w:rPr>
        <w:t xml:space="preserve">Panamá: La educación de la primera infancia es importante porque </w:t>
      </w:r>
      <w:r w:rsidR="00F357C2" w:rsidRPr="00512F79">
        <w:rPr>
          <w:rFonts w:ascii="Times New Roman" w:hAnsi="Times New Roman" w:cs="Times New Roman"/>
          <w:b/>
          <w:bCs/>
          <w:sz w:val="22"/>
          <w:szCs w:val="22"/>
          <w:lang w:val="es-ES"/>
        </w:rPr>
        <w:t>"</w:t>
      </w:r>
      <w:r w:rsidRPr="00512F79">
        <w:rPr>
          <w:rFonts w:ascii="Times New Roman" w:hAnsi="Times New Roman" w:cs="Times New Roman"/>
          <w:b/>
          <w:bCs/>
          <w:sz w:val="22"/>
          <w:szCs w:val="22"/>
          <w:lang w:val="es-ES"/>
        </w:rPr>
        <w:t>lo primero es lo primero</w:t>
      </w:r>
      <w:r w:rsidR="00FA186B">
        <w:rPr>
          <w:rFonts w:ascii="Times New Roman" w:hAnsi="Times New Roman" w:cs="Times New Roman"/>
          <w:b/>
          <w:bCs/>
          <w:sz w:val="22"/>
          <w:szCs w:val="22"/>
          <w:lang w:val="es-ES"/>
        </w:rPr>
        <w:t>”</w:t>
      </w:r>
    </w:p>
    <w:p w14:paraId="6243727B" w14:textId="77777777" w:rsidR="00F4728E" w:rsidRPr="00512F79" w:rsidRDefault="00967695">
      <w:pPr>
        <w:pStyle w:val="ListParagraph"/>
        <w:numPr>
          <w:ilvl w:val="0"/>
          <w:numId w:val="35"/>
        </w:numPr>
        <w:ind w:left="1260" w:hanging="540"/>
        <w:jc w:val="both"/>
        <w:rPr>
          <w:sz w:val="22"/>
          <w:szCs w:val="22"/>
          <w:lang w:val="es-ES"/>
        </w:rPr>
      </w:pPr>
      <w:r w:rsidRPr="00512F79">
        <w:rPr>
          <w:sz w:val="22"/>
          <w:szCs w:val="22"/>
          <w:lang w:val="es-ES"/>
        </w:rPr>
        <w:t xml:space="preserve">Elaboración de un </w:t>
      </w:r>
      <w:r w:rsidR="00543D52" w:rsidRPr="00512F79">
        <w:rPr>
          <w:sz w:val="22"/>
          <w:szCs w:val="22"/>
          <w:lang w:val="es-ES"/>
        </w:rPr>
        <w:t>Plan Intersectorial de Asistencia Técnica y Apoyo</w:t>
      </w:r>
      <w:r w:rsidRPr="00512F79">
        <w:rPr>
          <w:sz w:val="22"/>
          <w:szCs w:val="22"/>
          <w:lang w:val="es-ES"/>
        </w:rPr>
        <w:t>.</w:t>
      </w:r>
    </w:p>
    <w:p w14:paraId="508BD032" w14:textId="14FCADB2" w:rsidR="00F4728E" w:rsidRPr="00512F79" w:rsidRDefault="00271081">
      <w:pPr>
        <w:pStyle w:val="ListParagraph"/>
        <w:numPr>
          <w:ilvl w:val="0"/>
          <w:numId w:val="35"/>
        </w:numPr>
        <w:ind w:left="1260" w:hanging="540"/>
        <w:jc w:val="both"/>
        <w:rPr>
          <w:sz w:val="22"/>
          <w:szCs w:val="22"/>
          <w:lang w:val="es-ES"/>
        </w:rPr>
      </w:pPr>
      <w:r>
        <w:rPr>
          <w:sz w:val="22"/>
          <w:szCs w:val="22"/>
          <w:lang w:val="es-ES"/>
        </w:rPr>
        <w:t>Se realizan</w:t>
      </w:r>
      <w:r w:rsidR="00967695" w:rsidRPr="00512F79">
        <w:rPr>
          <w:sz w:val="22"/>
          <w:szCs w:val="22"/>
          <w:lang w:val="es-ES"/>
        </w:rPr>
        <w:t xml:space="preserve"> más de 30 talleres de orientación familiar en los centros educativos del Instituto Panameño de Capacitación Especial, Retorno y San Juan Bosco.</w:t>
      </w:r>
    </w:p>
    <w:p w14:paraId="324511ED" w14:textId="78DE20CA" w:rsidR="00FA186B" w:rsidRPr="00FA186B" w:rsidRDefault="00967695" w:rsidP="00271081">
      <w:pPr>
        <w:pStyle w:val="ListParagraph"/>
        <w:numPr>
          <w:ilvl w:val="0"/>
          <w:numId w:val="35"/>
        </w:numPr>
        <w:ind w:left="1260" w:hanging="540"/>
        <w:jc w:val="both"/>
        <w:rPr>
          <w:b/>
          <w:bCs/>
          <w:sz w:val="22"/>
          <w:szCs w:val="22"/>
          <w:lang w:val="es-ES"/>
        </w:rPr>
      </w:pPr>
      <w:r w:rsidRPr="00FA186B">
        <w:rPr>
          <w:sz w:val="22"/>
          <w:szCs w:val="22"/>
          <w:lang w:val="es-ES"/>
        </w:rPr>
        <w:t xml:space="preserve">Actualmente </w:t>
      </w:r>
      <w:r w:rsidR="00A83416">
        <w:rPr>
          <w:sz w:val="22"/>
          <w:szCs w:val="22"/>
          <w:lang w:val="es-ES"/>
        </w:rPr>
        <w:t>se está trazando</w:t>
      </w:r>
      <w:r w:rsidRPr="00FA186B">
        <w:rPr>
          <w:sz w:val="22"/>
          <w:szCs w:val="22"/>
          <w:lang w:val="es-ES"/>
        </w:rPr>
        <w:t xml:space="preserve"> una estrategia para transformar los planteamientos educativos en las escuelas de educación especial.</w:t>
      </w:r>
    </w:p>
    <w:p w14:paraId="4C556202" w14:textId="77777777" w:rsidR="00FA186B" w:rsidRDefault="00FA186B" w:rsidP="00FA186B">
      <w:pPr>
        <w:pStyle w:val="ListParagraph"/>
        <w:jc w:val="both"/>
        <w:rPr>
          <w:sz w:val="22"/>
          <w:szCs w:val="22"/>
          <w:lang w:val="es-ES"/>
        </w:rPr>
      </w:pPr>
    </w:p>
    <w:p w14:paraId="1B3672CA" w14:textId="029DC8E3" w:rsidR="00F4728E" w:rsidRPr="00FA186B" w:rsidRDefault="00967695" w:rsidP="00FA186B">
      <w:pPr>
        <w:pStyle w:val="ListParagraph"/>
        <w:jc w:val="both"/>
        <w:rPr>
          <w:b/>
          <w:bCs/>
          <w:sz w:val="22"/>
          <w:szCs w:val="22"/>
          <w:lang w:val="es-ES"/>
        </w:rPr>
      </w:pPr>
      <w:r w:rsidRPr="00FA186B">
        <w:rPr>
          <w:b/>
          <w:bCs/>
          <w:sz w:val="22"/>
          <w:szCs w:val="22"/>
          <w:lang w:val="es-ES"/>
        </w:rPr>
        <w:t xml:space="preserve">Santa Lucía: Hacia un sector </w:t>
      </w:r>
      <w:r w:rsidR="000264C4" w:rsidRPr="00FA186B">
        <w:rPr>
          <w:b/>
          <w:bCs/>
          <w:sz w:val="22"/>
          <w:szCs w:val="22"/>
          <w:lang w:val="es-ES"/>
        </w:rPr>
        <w:t xml:space="preserve">del desarrollo de la primera infancia con </w:t>
      </w:r>
      <w:r w:rsidRPr="00FA186B">
        <w:rPr>
          <w:b/>
          <w:bCs/>
          <w:sz w:val="22"/>
          <w:szCs w:val="22"/>
          <w:lang w:val="es-ES"/>
        </w:rPr>
        <w:t>mayor garantía de calidad</w:t>
      </w:r>
    </w:p>
    <w:p w14:paraId="12DE7884" w14:textId="6D881FC0" w:rsidR="00F4728E" w:rsidRPr="00512F79" w:rsidRDefault="00856F0F">
      <w:pPr>
        <w:pStyle w:val="ListParagraph"/>
        <w:numPr>
          <w:ilvl w:val="0"/>
          <w:numId w:val="36"/>
        </w:numPr>
        <w:ind w:left="1260" w:hanging="540"/>
        <w:contextualSpacing/>
        <w:jc w:val="both"/>
        <w:rPr>
          <w:sz w:val="22"/>
          <w:szCs w:val="22"/>
          <w:lang w:val="es-ES"/>
        </w:rPr>
      </w:pPr>
      <w:r>
        <w:rPr>
          <w:sz w:val="22"/>
          <w:szCs w:val="22"/>
          <w:lang w:val="es-ES"/>
        </w:rPr>
        <w:t>Se p</w:t>
      </w:r>
      <w:r w:rsidR="00967695" w:rsidRPr="00512F79">
        <w:rPr>
          <w:sz w:val="22"/>
          <w:szCs w:val="22"/>
          <w:lang w:val="es-ES"/>
        </w:rPr>
        <w:t xml:space="preserve">resentó un primer borrador del </w:t>
      </w:r>
      <w:r w:rsidRPr="00856F0F">
        <w:rPr>
          <w:b/>
          <w:bCs/>
          <w:sz w:val="22"/>
          <w:szCs w:val="22"/>
          <w:lang w:val="es-ES"/>
        </w:rPr>
        <w:t xml:space="preserve">Instrumento </w:t>
      </w:r>
      <w:r>
        <w:rPr>
          <w:b/>
          <w:bCs/>
          <w:sz w:val="22"/>
          <w:szCs w:val="22"/>
          <w:lang w:val="es-ES"/>
        </w:rPr>
        <w:t>normativo</w:t>
      </w:r>
      <w:r w:rsidRPr="00856F0F">
        <w:rPr>
          <w:b/>
          <w:bCs/>
          <w:sz w:val="22"/>
          <w:szCs w:val="22"/>
          <w:lang w:val="es-ES"/>
        </w:rPr>
        <w:t xml:space="preserve"> de reglamentación de la educación de Santa Lucía</w:t>
      </w:r>
      <w:r>
        <w:rPr>
          <w:sz w:val="22"/>
          <w:szCs w:val="22"/>
          <w:lang w:val="es-ES"/>
        </w:rPr>
        <w:t xml:space="preserve"> </w:t>
      </w:r>
      <w:r w:rsidR="00967695" w:rsidRPr="00512F79">
        <w:rPr>
          <w:sz w:val="22"/>
          <w:szCs w:val="22"/>
          <w:lang w:val="es-ES"/>
        </w:rPr>
        <w:t xml:space="preserve">a la </w:t>
      </w:r>
      <w:r w:rsidR="00A83416">
        <w:rPr>
          <w:sz w:val="22"/>
          <w:szCs w:val="22"/>
          <w:lang w:val="es-ES"/>
        </w:rPr>
        <w:t>Fiscalía General</w:t>
      </w:r>
      <w:r w:rsidR="00967695" w:rsidRPr="00512F79">
        <w:rPr>
          <w:sz w:val="22"/>
          <w:szCs w:val="22"/>
          <w:lang w:val="es-ES"/>
        </w:rPr>
        <w:t xml:space="preserve"> para su aprobación.</w:t>
      </w:r>
    </w:p>
    <w:p w14:paraId="7BC21E37" w14:textId="0D72BA53" w:rsidR="00F4728E" w:rsidRPr="00512F79" w:rsidRDefault="00967695">
      <w:pPr>
        <w:pStyle w:val="ListParagraph"/>
        <w:numPr>
          <w:ilvl w:val="0"/>
          <w:numId w:val="36"/>
        </w:numPr>
        <w:ind w:left="1260" w:hanging="540"/>
        <w:contextualSpacing/>
        <w:jc w:val="both"/>
        <w:rPr>
          <w:sz w:val="22"/>
          <w:szCs w:val="22"/>
          <w:lang w:val="es-ES"/>
        </w:rPr>
      </w:pPr>
      <w:r w:rsidRPr="00512F79">
        <w:rPr>
          <w:sz w:val="22"/>
          <w:szCs w:val="22"/>
          <w:lang w:val="es-ES"/>
        </w:rPr>
        <w:t xml:space="preserve">Se evaluaron 116 centros de educación infantil; 63 recibieron la certificación utilizando la lista de control de </w:t>
      </w:r>
      <w:r w:rsidR="00A83416">
        <w:rPr>
          <w:sz w:val="22"/>
          <w:szCs w:val="22"/>
          <w:lang w:val="es-ES"/>
        </w:rPr>
        <w:t>la Organización de Estados del Caribe Oriental (</w:t>
      </w:r>
      <w:r w:rsidRPr="00512F79">
        <w:rPr>
          <w:sz w:val="22"/>
          <w:szCs w:val="22"/>
          <w:lang w:val="es-ES"/>
        </w:rPr>
        <w:t>OECO</w:t>
      </w:r>
      <w:r w:rsidR="00A83416">
        <w:rPr>
          <w:sz w:val="22"/>
          <w:szCs w:val="22"/>
          <w:lang w:val="es-ES"/>
        </w:rPr>
        <w:t>)</w:t>
      </w:r>
      <w:r w:rsidRPr="00512F79">
        <w:rPr>
          <w:sz w:val="22"/>
          <w:szCs w:val="22"/>
          <w:lang w:val="es-ES"/>
        </w:rPr>
        <w:t xml:space="preserve">. 35 profesionales adquirieron experiencia práctica observando a los niños y planificando las clases en </w:t>
      </w:r>
      <w:r w:rsidR="00856F0F">
        <w:rPr>
          <w:sz w:val="22"/>
          <w:szCs w:val="22"/>
          <w:lang w:val="es-ES"/>
        </w:rPr>
        <w:t>función de ello.</w:t>
      </w:r>
      <w:r w:rsidRPr="00512F79">
        <w:rPr>
          <w:sz w:val="22"/>
          <w:szCs w:val="22"/>
          <w:lang w:val="es-ES"/>
        </w:rPr>
        <w:t xml:space="preserve"> Esto ayudará a estandarizar las operaciones de los centros y a mejorar su funcionamiento.</w:t>
      </w:r>
    </w:p>
    <w:p w14:paraId="610E2202" w14:textId="797B4E4C" w:rsidR="00F4728E" w:rsidRPr="00512F79" w:rsidRDefault="00967695">
      <w:pPr>
        <w:pStyle w:val="ListParagraph"/>
        <w:numPr>
          <w:ilvl w:val="0"/>
          <w:numId w:val="36"/>
        </w:numPr>
        <w:ind w:left="1260" w:hanging="540"/>
        <w:contextualSpacing/>
        <w:jc w:val="both"/>
        <w:rPr>
          <w:b/>
          <w:bCs/>
          <w:sz w:val="22"/>
          <w:szCs w:val="22"/>
          <w:lang w:val="es-ES"/>
        </w:rPr>
      </w:pPr>
      <w:r w:rsidRPr="00512F79">
        <w:rPr>
          <w:sz w:val="22"/>
          <w:szCs w:val="22"/>
          <w:lang w:val="es-ES"/>
        </w:rPr>
        <w:t xml:space="preserve">Formación de doce </w:t>
      </w:r>
      <w:r w:rsidR="00856F0F">
        <w:rPr>
          <w:sz w:val="22"/>
          <w:szCs w:val="22"/>
          <w:lang w:val="es-ES"/>
        </w:rPr>
        <w:t>maestros</w:t>
      </w:r>
      <w:r w:rsidR="00543D52" w:rsidRPr="00512F79">
        <w:rPr>
          <w:sz w:val="22"/>
          <w:szCs w:val="22"/>
          <w:lang w:val="es-ES"/>
        </w:rPr>
        <w:t xml:space="preserve"> en el </w:t>
      </w:r>
      <w:r w:rsidRPr="00512F79">
        <w:rPr>
          <w:sz w:val="22"/>
          <w:szCs w:val="22"/>
          <w:lang w:val="es-ES"/>
        </w:rPr>
        <w:t xml:space="preserve">uso técnico de los equipos (en relación con los proyectos en </w:t>
      </w:r>
      <w:r w:rsidR="00856F0F">
        <w:rPr>
          <w:sz w:val="22"/>
          <w:szCs w:val="22"/>
          <w:lang w:val="es-ES"/>
        </w:rPr>
        <w:t>marcha</w:t>
      </w:r>
      <w:r w:rsidRPr="00512F79">
        <w:rPr>
          <w:sz w:val="22"/>
          <w:szCs w:val="22"/>
          <w:lang w:val="es-ES"/>
        </w:rPr>
        <w:t xml:space="preserve"> en sus respectivas escuelas) </w:t>
      </w:r>
      <w:r w:rsidR="00543D52" w:rsidRPr="00512F79">
        <w:rPr>
          <w:sz w:val="22"/>
          <w:szCs w:val="22"/>
          <w:lang w:val="es-ES"/>
        </w:rPr>
        <w:t xml:space="preserve">como parte del Proyecto de </w:t>
      </w:r>
      <w:r w:rsidR="00543D52" w:rsidRPr="00512F79">
        <w:rPr>
          <w:b/>
          <w:bCs/>
          <w:sz w:val="22"/>
          <w:szCs w:val="22"/>
          <w:lang w:val="es-ES"/>
        </w:rPr>
        <w:t xml:space="preserve">Educación Digital </w:t>
      </w:r>
      <w:r w:rsidR="00543D52" w:rsidRPr="00512F79">
        <w:rPr>
          <w:i/>
          <w:iCs/>
          <w:sz w:val="22"/>
          <w:szCs w:val="22"/>
          <w:lang w:val="es-ES"/>
        </w:rPr>
        <w:t>ProFuturo</w:t>
      </w:r>
      <w:r w:rsidRPr="00512F79">
        <w:rPr>
          <w:b/>
          <w:bCs/>
          <w:sz w:val="22"/>
          <w:szCs w:val="22"/>
          <w:lang w:val="es-ES"/>
        </w:rPr>
        <w:t>.</w:t>
      </w:r>
    </w:p>
    <w:p w14:paraId="613B7E38" w14:textId="77777777" w:rsidR="00543D52" w:rsidRPr="00512F79" w:rsidRDefault="00543D52" w:rsidP="00CB030B">
      <w:pPr>
        <w:ind w:left="720"/>
        <w:rPr>
          <w:rFonts w:ascii="Times New Roman" w:hAnsi="Times New Roman" w:cs="Times New Roman"/>
          <w:b/>
          <w:bCs/>
          <w:sz w:val="22"/>
          <w:szCs w:val="22"/>
          <w:lang w:val="es-ES"/>
        </w:rPr>
      </w:pPr>
    </w:p>
    <w:p w14:paraId="763B94A5" w14:textId="25981D91" w:rsidR="00F4728E" w:rsidRPr="00512F79" w:rsidRDefault="00967695">
      <w:pPr>
        <w:ind w:left="720"/>
        <w:rPr>
          <w:rFonts w:ascii="Times New Roman" w:hAnsi="Times New Roman" w:cs="Times New Roman"/>
          <w:sz w:val="22"/>
          <w:szCs w:val="22"/>
          <w:lang w:val="es-ES"/>
        </w:rPr>
      </w:pPr>
      <w:r w:rsidRPr="00512F79">
        <w:rPr>
          <w:rFonts w:ascii="Times New Roman" w:hAnsi="Times New Roman" w:cs="Times New Roman"/>
          <w:b/>
          <w:bCs/>
          <w:sz w:val="22"/>
          <w:szCs w:val="22"/>
          <w:lang w:val="es-ES"/>
        </w:rPr>
        <w:t xml:space="preserve">San Vicente y las Granadinas: Reestructuración del </w:t>
      </w:r>
      <w:r w:rsidR="00EA1A5A">
        <w:rPr>
          <w:rFonts w:ascii="Times New Roman" w:hAnsi="Times New Roman" w:cs="Times New Roman"/>
          <w:b/>
          <w:bCs/>
          <w:sz w:val="22"/>
          <w:szCs w:val="22"/>
          <w:lang w:val="es-ES"/>
        </w:rPr>
        <w:t>“</w:t>
      </w:r>
      <w:r w:rsidRPr="00512F79">
        <w:rPr>
          <w:rFonts w:ascii="Times New Roman" w:hAnsi="Times New Roman" w:cs="Times New Roman"/>
          <w:b/>
          <w:bCs/>
          <w:sz w:val="22"/>
          <w:szCs w:val="22"/>
          <w:lang w:val="es-ES"/>
        </w:rPr>
        <w:t>Currículo de la Primera Infancia</w:t>
      </w:r>
      <w:r w:rsidR="00EA1A5A">
        <w:rPr>
          <w:rFonts w:ascii="Times New Roman" w:hAnsi="Times New Roman" w:cs="Times New Roman"/>
          <w:b/>
          <w:bCs/>
          <w:sz w:val="22"/>
          <w:szCs w:val="22"/>
          <w:lang w:val="es-ES"/>
        </w:rPr>
        <w:t>”</w:t>
      </w:r>
    </w:p>
    <w:p w14:paraId="66C269B0" w14:textId="4B845E24" w:rsidR="00F4728E" w:rsidRPr="00512F79" w:rsidRDefault="00A83416">
      <w:pPr>
        <w:pStyle w:val="ListParagraph"/>
        <w:numPr>
          <w:ilvl w:val="0"/>
          <w:numId w:val="36"/>
        </w:numPr>
        <w:ind w:left="1260" w:hanging="540"/>
        <w:jc w:val="both"/>
        <w:rPr>
          <w:sz w:val="22"/>
          <w:szCs w:val="22"/>
          <w:lang w:val="es-ES"/>
        </w:rPr>
      </w:pPr>
      <w:r>
        <w:rPr>
          <w:sz w:val="22"/>
          <w:szCs w:val="22"/>
          <w:lang w:val="es-ES"/>
        </w:rPr>
        <w:t>Se d</w:t>
      </w:r>
      <w:r w:rsidR="00B345A4" w:rsidRPr="00512F79">
        <w:rPr>
          <w:sz w:val="22"/>
          <w:szCs w:val="22"/>
          <w:lang w:val="es-ES"/>
        </w:rPr>
        <w:t xml:space="preserve">esarrolló </w:t>
      </w:r>
      <w:r w:rsidR="00B91749" w:rsidRPr="00512F79">
        <w:rPr>
          <w:sz w:val="22"/>
          <w:szCs w:val="22"/>
          <w:lang w:val="es-ES"/>
        </w:rPr>
        <w:t xml:space="preserve">un plan de estudios de Educación Infantil reestructurado, centrado en el alumno y basado en proyectos, con un enfoque más integrado de la planificación de las clases. </w:t>
      </w:r>
      <w:r w:rsidR="00543D52" w:rsidRPr="00512F79">
        <w:rPr>
          <w:sz w:val="22"/>
          <w:szCs w:val="22"/>
          <w:lang w:val="es-ES"/>
        </w:rPr>
        <w:t xml:space="preserve">El ejercicio aumentó la </w:t>
      </w:r>
      <w:r>
        <w:rPr>
          <w:sz w:val="22"/>
          <w:szCs w:val="22"/>
          <w:lang w:val="es-ES"/>
        </w:rPr>
        <w:t>sensibilización</w:t>
      </w:r>
      <w:r w:rsidR="00543D52" w:rsidRPr="00512F79">
        <w:rPr>
          <w:sz w:val="22"/>
          <w:szCs w:val="22"/>
          <w:lang w:val="es-ES"/>
        </w:rPr>
        <w:t xml:space="preserve"> sobre la importancia de la </w:t>
      </w:r>
      <w:r w:rsidR="00FD13F3" w:rsidRPr="00512F79">
        <w:rPr>
          <w:sz w:val="22"/>
          <w:szCs w:val="22"/>
          <w:lang w:val="es-ES"/>
        </w:rPr>
        <w:t xml:space="preserve">Educación Infantil </w:t>
      </w:r>
      <w:r w:rsidR="00543D52" w:rsidRPr="00512F79">
        <w:rPr>
          <w:sz w:val="22"/>
          <w:szCs w:val="22"/>
          <w:lang w:val="es-ES"/>
        </w:rPr>
        <w:t xml:space="preserve">y </w:t>
      </w:r>
      <w:r w:rsidR="00FD13F3" w:rsidRPr="00512F79">
        <w:rPr>
          <w:sz w:val="22"/>
          <w:szCs w:val="22"/>
          <w:lang w:val="es-ES"/>
        </w:rPr>
        <w:t xml:space="preserve">destacó </w:t>
      </w:r>
      <w:r w:rsidR="00543D52" w:rsidRPr="00512F79">
        <w:rPr>
          <w:sz w:val="22"/>
          <w:szCs w:val="22"/>
          <w:lang w:val="es-ES"/>
        </w:rPr>
        <w:t xml:space="preserve">los beneficios </w:t>
      </w:r>
      <w:r w:rsidR="00FD13F3" w:rsidRPr="00512F79">
        <w:rPr>
          <w:sz w:val="22"/>
          <w:szCs w:val="22"/>
          <w:lang w:val="es-ES"/>
        </w:rPr>
        <w:t xml:space="preserve">de la </w:t>
      </w:r>
      <w:r w:rsidR="00543D52" w:rsidRPr="00512F79">
        <w:rPr>
          <w:sz w:val="22"/>
          <w:szCs w:val="22"/>
          <w:lang w:val="es-ES"/>
        </w:rPr>
        <w:t xml:space="preserve">exposición </w:t>
      </w:r>
      <w:r w:rsidR="00FD13F3" w:rsidRPr="00512F79">
        <w:rPr>
          <w:sz w:val="22"/>
          <w:szCs w:val="22"/>
          <w:lang w:val="es-ES"/>
        </w:rPr>
        <w:t xml:space="preserve">a </w:t>
      </w:r>
      <w:r w:rsidR="00543D52" w:rsidRPr="00512F79">
        <w:rPr>
          <w:sz w:val="22"/>
          <w:szCs w:val="22"/>
          <w:lang w:val="es-ES"/>
        </w:rPr>
        <w:t>un plan de estudios centrado en el alumno</w:t>
      </w:r>
      <w:r w:rsidR="00FD13F3" w:rsidRPr="00512F79">
        <w:rPr>
          <w:sz w:val="22"/>
          <w:szCs w:val="22"/>
          <w:lang w:val="es-ES"/>
        </w:rPr>
        <w:t>.</w:t>
      </w:r>
    </w:p>
    <w:p w14:paraId="411DB874" w14:textId="77777777" w:rsidR="00543D52" w:rsidRPr="00512F79" w:rsidRDefault="00543D52" w:rsidP="00CB030B">
      <w:pPr>
        <w:ind w:left="720"/>
        <w:rPr>
          <w:rFonts w:ascii="Times New Roman" w:hAnsi="Times New Roman" w:cs="Times New Roman"/>
          <w:sz w:val="22"/>
          <w:szCs w:val="22"/>
          <w:lang w:val="es-ES"/>
        </w:rPr>
      </w:pPr>
    </w:p>
    <w:p w14:paraId="4B5D6692" w14:textId="461CD06A" w:rsidR="00F4728E" w:rsidRPr="00512F79" w:rsidRDefault="00967695">
      <w:pPr>
        <w:ind w:left="720"/>
        <w:rPr>
          <w:rFonts w:ascii="Times New Roman" w:hAnsi="Times New Roman" w:cs="Times New Roman"/>
          <w:sz w:val="22"/>
          <w:szCs w:val="22"/>
          <w:lang w:val="es-ES"/>
        </w:rPr>
      </w:pPr>
      <w:r w:rsidRPr="00512F79">
        <w:rPr>
          <w:rFonts w:ascii="Times New Roman" w:hAnsi="Times New Roman" w:cs="Times New Roman"/>
          <w:b/>
          <w:bCs/>
          <w:sz w:val="22"/>
          <w:szCs w:val="22"/>
          <w:lang w:val="es-ES"/>
        </w:rPr>
        <w:t xml:space="preserve">Uruguay: Integración interinstitucional de sistemas de información para la atención y educación de la </w:t>
      </w:r>
      <w:r w:rsidR="00FA186B">
        <w:rPr>
          <w:rFonts w:ascii="Times New Roman" w:hAnsi="Times New Roman" w:cs="Times New Roman"/>
          <w:b/>
          <w:bCs/>
          <w:sz w:val="22"/>
          <w:szCs w:val="22"/>
          <w:lang w:val="es-ES"/>
        </w:rPr>
        <w:t>p</w:t>
      </w:r>
      <w:r w:rsidRPr="00512F79">
        <w:rPr>
          <w:rFonts w:ascii="Times New Roman" w:hAnsi="Times New Roman" w:cs="Times New Roman"/>
          <w:b/>
          <w:bCs/>
          <w:sz w:val="22"/>
          <w:szCs w:val="22"/>
          <w:lang w:val="es-ES"/>
        </w:rPr>
        <w:t xml:space="preserve">rimera </w:t>
      </w:r>
      <w:r w:rsidR="00FA186B">
        <w:rPr>
          <w:rFonts w:ascii="Times New Roman" w:hAnsi="Times New Roman" w:cs="Times New Roman"/>
          <w:b/>
          <w:bCs/>
          <w:sz w:val="22"/>
          <w:szCs w:val="22"/>
          <w:lang w:val="es-ES"/>
        </w:rPr>
        <w:t>i</w:t>
      </w:r>
      <w:r w:rsidRPr="00512F79">
        <w:rPr>
          <w:rFonts w:ascii="Times New Roman" w:hAnsi="Times New Roman" w:cs="Times New Roman"/>
          <w:b/>
          <w:bCs/>
          <w:sz w:val="22"/>
          <w:szCs w:val="22"/>
          <w:lang w:val="es-ES"/>
        </w:rPr>
        <w:t>nfancia en Uruguay</w:t>
      </w:r>
    </w:p>
    <w:p w14:paraId="5934BC84" w14:textId="70E7DF6C" w:rsidR="00F4728E" w:rsidRPr="00512F79" w:rsidRDefault="00714EEB">
      <w:pPr>
        <w:pStyle w:val="ListParagraph"/>
        <w:numPr>
          <w:ilvl w:val="0"/>
          <w:numId w:val="36"/>
        </w:numPr>
        <w:ind w:left="1260" w:hanging="540"/>
        <w:jc w:val="both"/>
        <w:rPr>
          <w:rFonts w:eastAsia="MS PGothic"/>
          <w:color w:val="000000"/>
          <w:kern w:val="24"/>
          <w:sz w:val="22"/>
          <w:szCs w:val="22"/>
          <w:lang w:val="es-ES"/>
        </w:rPr>
      </w:pPr>
      <w:r>
        <w:rPr>
          <w:sz w:val="22"/>
          <w:szCs w:val="22"/>
          <w:lang w:val="es-ES"/>
        </w:rPr>
        <w:t>Se desarrollaron</w:t>
      </w:r>
      <w:r w:rsidR="00967695" w:rsidRPr="00512F79">
        <w:rPr>
          <w:sz w:val="22"/>
          <w:szCs w:val="22"/>
          <w:lang w:val="es-ES"/>
        </w:rPr>
        <w:t xml:space="preserve"> indicadores de calidad para la educación y la atención integral de la primera infancia junto con contenidos educativos para su distribución de acuerdo con el </w:t>
      </w:r>
      <w:r w:rsidR="00543D52" w:rsidRPr="00512F79">
        <w:rPr>
          <w:sz w:val="22"/>
          <w:szCs w:val="22"/>
          <w:lang w:val="es-ES"/>
        </w:rPr>
        <w:t xml:space="preserve">convenio interinstitucional e intersectorial establecido entre </w:t>
      </w:r>
      <w:r w:rsidR="00967695" w:rsidRPr="00512F79">
        <w:rPr>
          <w:sz w:val="22"/>
          <w:szCs w:val="22"/>
          <w:lang w:val="es-ES"/>
        </w:rPr>
        <w:t xml:space="preserve">seis </w:t>
      </w:r>
      <w:r w:rsidR="00543D52" w:rsidRPr="00512F79">
        <w:rPr>
          <w:sz w:val="22"/>
          <w:szCs w:val="22"/>
          <w:lang w:val="es-ES"/>
        </w:rPr>
        <w:t>instituciones nacionales</w:t>
      </w:r>
      <w:r w:rsidR="005114D9" w:rsidRPr="00512F79">
        <w:rPr>
          <w:sz w:val="22"/>
          <w:szCs w:val="22"/>
          <w:lang w:val="es-ES"/>
        </w:rPr>
        <w:t xml:space="preserve">: </w:t>
      </w:r>
      <w:r w:rsidR="00FA4EDE" w:rsidRPr="00512F79">
        <w:rPr>
          <w:sz w:val="22"/>
          <w:szCs w:val="22"/>
          <w:lang w:val="es-ES"/>
        </w:rPr>
        <w:t xml:space="preserve">el </w:t>
      </w:r>
      <w:r w:rsidR="00543D52" w:rsidRPr="00512F79">
        <w:rPr>
          <w:sz w:val="22"/>
          <w:szCs w:val="22"/>
          <w:lang w:val="es-ES"/>
        </w:rPr>
        <w:t xml:space="preserve">Ministerio de Educación y Cultura, el </w:t>
      </w:r>
      <w:r w:rsidR="00967695" w:rsidRPr="00512F79">
        <w:rPr>
          <w:sz w:val="22"/>
          <w:szCs w:val="22"/>
          <w:lang w:val="es-ES"/>
        </w:rPr>
        <w:t>Instituto del Niño y Adolescente del Uruguay</w:t>
      </w:r>
      <w:r w:rsidR="00543D52" w:rsidRPr="00512F79">
        <w:rPr>
          <w:sz w:val="22"/>
          <w:szCs w:val="22"/>
          <w:lang w:val="es-ES"/>
        </w:rPr>
        <w:t xml:space="preserve">, </w:t>
      </w:r>
      <w:r w:rsidR="00FA4EDE" w:rsidRPr="00512F79">
        <w:rPr>
          <w:sz w:val="22"/>
          <w:szCs w:val="22"/>
          <w:lang w:val="es-ES"/>
        </w:rPr>
        <w:t xml:space="preserve">el </w:t>
      </w:r>
      <w:r w:rsidR="00543D52" w:rsidRPr="00512F79">
        <w:rPr>
          <w:sz w:val="22"/>
          <w:szCs w:val="22"/>
          <w:lang w:val="es-ES"/>
        </w:rPr>
        <w:t xml:space="preserve">Consejo de Educación Inicial y Primaria, </w:t>
      </w:r>
      <w:r w:rsidR="00FA4EDE" w:rsidRPr="00512F79">
        <w:rPr>
          <w:sz w:val="22"/>
          <w:szCs w:val="22"/>
          <w:lang w:val="es-ES"/>
        </w:rPr>
        <w:t xml:space="preserve">el </w:t>
      </w:r>
      <w:r w:rsidR="00543D52" w:rsidRPr="00512F79">
        <w:rPr>
          <w:sz w:val="22"/>
          <w:szCs w:val="22"/>
          <w:lang w:val="es-ES"/>
        </w:rPr>
        <w:t xml:space="preserve">Ministerio de Salud Pública, </w:t>
      </w:r>
      <w:r w:rsidR="005114D9" w:rsidRPr="00512F79">
        <w:rPr>
          <w:i/>
          <w:iCs/>
          <w:sz w:val="22"/>
          <w:szCs w:val="22"/>
          <w:lang w:val="es-ES"/>
        </w:rPr>
        <w:t xml:space="preserve">Uruguay Crece Contigo </w:t>
      </w:r>
      <w:r w:rsidR="005114D9" w:rsidRPr="00512F79">
        <w:rPr>
          <w:sz w:val="22"/>
          <w:szCs w:val="22"/>
          <w:lang w:val="es-ES"/>
        </w:rPr>
        <w:t xml:space="preserve">y el Sistema Nacional Integrado de </w:t>
      </w:r>
      <w:r>
        <w:rPr>
          <w:sz w:val="22"/>
          <w:szCs w:val="22"/>
          <w:lang w:val="es-ES"/>
        </w:rPr>
        <w:t>Cuidados</w:t>
      </w:r>
      <w:r w:rsidR="005114D9" w:rsidRPr="00512F79">
        <w:rPr>
          <w:sz w:val="22"/>
          <w:szCs w:val="22"/>
          <w:lang w:val="es-ES"/>
        </w:rPr>
        <w:t>.</w:t>
      </w:r>
    </w:p>
    <w:p w14:paraId="6C80854C" w14:textId="77777777" w:rsidR="005114D9" w:rsidRPr="00512F79" w:rsidRDefault="005114D9" w:rsidP="00CB030B">
      <w:pPr>
        <w:contextualSpacing/>
        <w:rPr>
          <w:rFonts w:ascii="Times New Roman" w:eastAsia="MS PGothic" w:hAnsi="Times New Roman" w:cs="Times New Roman"/>
          <w:b/>
          <w:bCs/>
          <w:kern w:val="24"/>
          <w:sz w:val="22"/>
          <w:szCs w:val="22"/>
          <w:lang w:val="es-ES"/>
        </w:rPr>
      </w:pPr>
    </w:p>
    <w:p w14:paraId="5730E6BF" w14:textId="3720BA27" w:rsidR="00F4728E" w:rsidRPr="008072E0" w:rsidRDefault="00967695">
      <w:pPr>
        <w:ind w:left="720"/>
        <w:contextualSpacing/>
        <w:rPr>
          <w:rFonts w:ascii="Times New Roman" w:eastAsia="MS PGothic" w:hAnsi="Times New Roman" w:cs="Times New Roman"/>
          <w:b/>
          <w:bCs/>
          <w:kern w:val="24"/>
          <w:sz w:val="22"/>
          <w:szCs w:val="22"/>
          <w:u w:val="single"/>
          <w:lang w:val="es-ES"/>
        </w:rPr>
      </w:pPr>
      <w:r w:rsidRPr="008072E0">
        <w:rPr>
          <w:rFonts w:ascii="Times New Roman" w:eastAsia="MS PGothic" w:hAnsi="Times New Roman" w:cs="Times New Roman"/>
          <w:b/>
          <w:bCs/>
          <w:kern w:val="24"/>
          <w:sz w:val="22"/>
          <w:szCs w:val="22"/>
          <w:u w:val="single"/>
          <w:lang w:val="es-ES"/>
        </w:rPr>
        <w:t xml:space="preserve">OEA/DCF Ciclo de </w:t>
      </w:r>
      <w:r w:rsidR="00F546E4" w:rsidRPr="008072E0">
        <w:rPr>
          <w:rFonts w:ascii="Times New Roman" w:eastAsia="MS PGothic" w:hAnsi="Times New Roman" w:cs="Times New Roman"/>
          <w:b/>
          <w:bCs/>
          <w:kern w:val="24"/>
          <w:sz w:val="22"/>
          <w:szCs w:val="22"/>
          <w:u w:val="single"/>
          <w:lang w:val="es-ES"/>
        </w:rPr>
        <w:t>programación</w:t>
      </w:r>
      <w:r w:rsidRPr="008072E0">
        <w:rPr>
          <w:rFonts w:ascii="Times New Roman" w:eastAsia="MS PGothic" w:hAnsi="Times New Roman" w:cs="Times New Roman"/>
          <w:b/>
          <w:bCs/>
          <w:kern w:val="24"/>
          <w:sz w:val="22"/>
          <w:szCs w:val="22"/>
          <w:u w:val="single"/>
          <w:lang w:val="es-ES"/>
        </w:rPr>
        <w:t xml:space="preserve"> 2021-2024</w:t>
      </w:r>
    </w:p>
    <w:p w14:paraId="29B6B57E" w14:textId="77777777" w:rsidR="005114D9" w:rsidRPr="008072E0" w:rsidRDefault="005114D9" w:rsidP="00CB030B">
      <w:pPr>
        <w:contextualSpacing/>
        <w:rPr>
          <w:rFonts w:ascii="Times New Roman" w:eastAsia="MS PGothic" w:hAnsi="Times New Roman" w:cs="Times New Roman"/>
          <w:b/>
          <w:bCs/>
          <w:kern w:val="24"/>
          <w:sz w:val="22"/>
          <w:szCs w:val="22"/>
          <w:lang w:val="es-ES"/>
        </w:rPr>
      </w:pPr>
    </w:p>
    <w:p w14:paraId="0A112294" w14:textId="4EEDFF13" w:rsidR="00F4728E" w:rsidRPr="008072E0" w:rsidRDefault="00967695" w:rsidP="00882EDB">
      <w:pPr>
        <w:pStyle w:val="ListParagraph"/>
        <w:numPr>
          <w:ilvl w:val="0"/>
          <w:numId w:val="40"/>
        </w:numPr>
        <w:ind w:left="1440" w:hanging="720"/>
        <w:contextualSpacing/>
        <w:jc w:val="both"/>
        <w:rPr>
          <w:sz w:val="22"/>
          <w:szCs w:val="22"/>
          <w:lang w:val="es-ES"/>
        </w:rPr>
      </w:pPr>
      <w:bookmarkStart w:id="9" w:name="_Hlk94741489"/>
      <w:r w:rsidRPr="008072E0">
        <w:rPr>
          <w:sz w:val="22"/>
          <w:szCs w:val="22"/>
          <w:lang w:val="es-ES"/>
        </w:rPr>
        <w:t xml:space="preserve">La </w:t>
      </w:r>
      <w:r w:rsidR="005114D9" w:rsidRPr="008072E0">
        <w:rPr>
          <w:sz w:val="22"/>
          <w:szCs w:val="22"/>
          <w:lang w:val="es-ES"/>
        </w:rPr>
        <w:t>Junta Directiva de la Agencia Interamericana para la Cooperación y el Desarrollo (</w:t>
      </w:r>
      <w:r w:rsidRPr="008072E0">
        <w:rPr>
          <w:sz w:val="22"/>
          <w:szCs w:val="22"/>
          <w:lang w:val="es-ES"/>
        </w:rPr>
        <w:t>AICD</w:t>
      </w:r>
      <w:r w:rsidR="005114D9" w:rsidRPr="008072E0">
        <w:rPr>
          <w:sz w:val="22"/>
          <w:szCs w:val="22"/>
          <w:lang w:val="es-ES"/>
        </w:rPr>
        <w:t xml:space="preserve">) </w:t>
      </w:r>
      <w:r w:rsidRPr="008072E0">
        <w:rPr>
          <w:sz w:val="22"/>
          <w:szCs w:val="22"/>
          <w:lang w:val="es-ES"/>
        </w:rPr>
        <w:t xml:space="preserve">aprobó la </w:t>
      </w:r>
      <w:r w:rsidR="008072E0">
        <w:rPr>
          <w:noProof/>
          <w:sz w:val="22"/>
          <w:szCs w:val="22"/>
          <w:lang w:val="es-CO"/>
        </w:rPr>
        <w:t>“</w:t>
      </w:r>
      <w:r w:rsidR="008072E0" w:rsidRPr="008072E0">
        <w:rPr>
          <w:b/>
          <w:bCs/>
          <w:noProof/>
          <w:sz w:val="22"/>
          <w:szCs w:val="22"/>
          <w:lang w:val="es-CO"/>
        </w:rPr>
        <w:t>Resiliencia incluyente para una recuperación eficaz enfocada en la ciencia y la tecnología</w:t>
      </w:r>
      <w:r w:rsidR="008072E0">
        <w:rPr>
          <w:noProof/>
          <w:sz w:val="22"/>
          <w:szCs w:val="22"/>
          <w:lang w:val="es-CO"/>
        </w:rPr>
        <w:t xml:space="preserve">” </w:t>
      </w:r>
      <w:r w:rsidR="005114D9" w:rsidRPr="008072E0">
        <w:rPr>
          <w:sz w:val="22"/>
          <w:szCs w:val="22"/>
          <w:lang w:val="es-ES"/>
        </w:rPr>
        <w:t>(</w:t>
      </w:r>
      <w:hyperlink r:id="rId22" w:history="1">
        <w:r w:rsidR="008072E0" w:rsidRPr="008072E0">
          <w:rPr>
            <w:rStyle w:val="Hyperlink"/>
            <w:sz w:val="22"/>
            <w:szCs w:val="22"/>
            <w:lang w:val="es-ES"/>
          </w:rPr>
          <w:t>AICD/JD/DE-126/20)</w:t>
        </w:r>
      </w:hyperlink>
      <w:r w:rsidR="005114D9" w:rsidRPr="008072E0">
        <w:rPr>
          <w:sz w:val="22"/>
          <w:szCs w:val="22"/>
          <w:lang w:val="es-ES"/>
        </w:rPr>
        <w:t xml:space="preserve"> </w:t>
      </w:r>
      <w:r w:rsidRPr="008072E0">
        <w:rPr>
          <w:sz w:val="22"/>
          <w:szCs w:val="22"/>
          <w:lang w:val="es-ES"/>
        </w:rPr>
        <w:t xml:space="preserve">como </w:t>
      </w:r>
      <w:r w:rsidR="005114D9" w:rsidRPr="008072E0">
        <w:rPr>
          <w:sz w:val="22"/>
          <w:szCs w:val="22"/>
          <w:lang w:val="es-ES"/>
        </w:rPr>
        <w:t xml:space="preserve">área temática estratégica </w:t>
      </w:r>
      <w:r w:rsidRPr="008072E0">
        <w:rPr>
          <w:sz w:val="22"/>
          <w:szCs w:val="22"/>
          <w:lang w:val="es-ES"/>
        </w:rPr>
        <w:t xml:space="preserve">para el ciclo de programación </w:t>
      </w:r>
      <w:r w:rsidR="005114D9" w:rsidRPr="008072E0">
        <w:rPr>
          <w:sz w:val="22"/>
          <w:szCs w:val="22"/>
          <w:lang w:val="es-ES"/>
        </w:rPr>
        <w:t>2021-2024 de la OEA/FCD, subrayada por cuatro temas de programa adicionales:</w:t>
      </w:r>
    </w:p>
    <w:p w14:paraId="54BA7718" w14:textId="77777777" w:rsidR="005114D9" w:rsidRPr="00512F79" w:rsidRDefault="005114D9" w:rsidP="00CB030B">
      <w:pPr>
        <w:contextualSpacing/>
        <w:jc w:val="both"/>
        <w:rPr>
          <w:rFonts w:ascii="Times New Roman" w:eastAsia="MS PGothic" w:hAnsi="Times New Roman" w:cs="Times New Roman"/>
          <w:kern w:val="24"/>
          <w:sz w:val="22"/>
          <w:szCs w:val="22"/>
          <w:lang w:val="es-ES"/>
        </w:rPr>
      </w:pPr>
    </w:p>
    <w:p w14:paraId="4E683E8A" w14:textId="43DF5A0A" w:rsidR="00F4728E" w:rsidRPr="00512F79" w:rsidRDefault="003A4112" w:rsidP="003A4112">
      <w:pPr>
        <w:pStyle w:val="ListParagraph"/>
        <w:numPr>
          <w:ilvl w:val="0"/>
          <w:numId w:val="39"/>
        </w:numPr>
        <w:ind w:left="2160" w:hanging="720"/>
        <w:contextualSpacing/>
        <w:rPr>
          <w:rFonts w:eastAsia="MS PGothic"/>
          <w:kern w:val="24"/>
          <w:sz w:val="22"/>
          <w:szCs w:val="22"/>
          <w:lang w:val="es-ES"/>
        </w:rPr>
      </w:pPr>
      <w:r>
        <w:rPr>
          <w:rFonts w:eastAsia="MS PGothic"/>
          <w:kern w:val="24"/>
          <w:sz w:val="22"/>
          <w:szCs w:val="22"/>
          <w:lang w:val="es-ES"/>
        </w:rPr>
        <w:t>Reforzamiento de las</w:t>
      </w:r>
      <w:r w:rsidR="00967695" w:rsidRPr="00512F79">
        <w:rPr>
          <w:rFonts w:eastAsia="MS PGothic"/>
          <w:kern w:val="24"/>
          <w:sz w:val="22"/>
          <w:szCs w:val="22"/>
          <w:lang w:val="es-ES"/>
        </w:rPr>
        <w:t xml:space="preserve"> </w:t>
      </w:r>
      <w:r w:rsidRPr="00512F79">
        <w:rPr>
          <w:rFonts w:eastAsia="MS PGothic"/>
          <w:kern w:val="24"/>
          <w:sz w:val="22"/>
          <w:szCs w:val="22"/>
          <w:lang w:val="es-ES"/>
        </w:rPr>
        <w:t>MiPymes</w:t>
      </w:r>
      <w:r w:rsidR="00967695" w:rsidRPr="00512F79">
        <w:rPr>
          <w:rFonts w:eastAsia="MS PGothic"/>
          <w:kern w:val="24"/>
          <w:sz w:val="22"/>
          <w:szCs w:val="22"/>
          <w:lang w:val="es-ES"/>
        </w:rPr>
        <w:t xml:space="preserve"> mediante la innovación y la tecnología.</w:t>
      </w:r>
    </w:p>
    <w:p w14:paraId="10340582" w14:textId="736D46A5" w:rsidR="00F4728E" w:rsidRPr="00512F79" w:rsidRDefault="00967695">
      <w:pPr>
        <w:pStyle w:val="ListParagraph"/>
        <w:numPr>
          <w:ilvl w:val="0"/>
          <w:numId w:val="39"/>
        </w:numPr>
        <w:ind w:left="2160" w:hanging="720"/>
        <w:contextualSpacing/>
        <w:jc w:val="both"/>
        <w:rPr>
          <w:rFonts w:eastAsia="MS PGothic"/>
          <w:kern w:val="24"/>
          <w:sz w:val="22"/>
          <w:szCs w:val="22"/>
          <w:lang w:val="es-ES"/>
        </w:rPr>
      </w:pPr>
      <w:r w:rsidRPr="00512F79">
        <w:rPr>
          <w:rFonts w:eastAsia="MS PGothic"/>
          <w:kern w:val="24"/>
          <w:sz w:val="22"/>
          <w:szCs w:val="22"/>
          <w:lang w:val="es-ES"/>
        </w:rPr>
        <w:t>Re</w:t>
      </w:r>
      <w:r w:rsidR="003A4112">
        <w:rPr>
          <w:rFonts w:eastAsia="MS PGothic"/>
          <w:kern w:val="24"/>
          <w:sz w:val="22"/>
          <w:szCs w:val="22"/>
          <w:lang w:val="es-ES"/>
        </w:rPr>
        <w:t>conversión</w:t>
      </w:r>
      <w:r w:rsidRPr="00512F79">
        <w:rPr>
          <w:rFonts w:eastAsia="MS PGothic"/>
          <w:kern w:val="24"/>
          <w:sz w:val="22"/>
          <w:szCs w:val="22"/>
          <w:lang w:val="es-ES"/>
        </w:rPr>
        <w:t xml:space="preserve"> </w:t>
      </w:r>
      <w:r w:rsidR="003A4112">
        <w:rPr>
          <w:rFonts w:eastAsia="MS PGothic"/>
          <w:kern w:val="24"/>
          <w:sz w:val="22"/>
          <w:szCs w:val="22"/>
          <w:lang w:val="es-ES"/>
        </w:rPr>
        <w:t xml:space="preserve">de la fuerza laboral con enfoque innovador </w:t>
      </w:r>
      <w:r w:rsidRPr="00512F79">
        <w:rPr>
          <w:rFonts w:eastAsia="MS PGothic"/>
          <w:kern w:val="24"/>
          <w:sz w:val="22"/>
          <w:szCs w:val="22"/>
          <w:lang w:val="es-ES"/>
        </w:rPr>
        <w:t>para la recuperación del sector turístico y las economías regionales.</w:t>
      </w:r>
    </w:p>
    <w:p w14:paraId="36C409BE" w14:textId="07AC071F" w:rsidR="00F4728E" w:rsidRPr="00512F79" w:rsidRDefault="00967695">
      <w:pPr>
        <w:pStyle w:val="ListParagraph"/>
        <w:numPr>
          <w:ilvl w:val="0"/>
          <w:numId w:val="39"/>
        </w:numPr>
        <w:ind w:left="2160" w:hanging="720"/>
        <w:contextualSpacing/>
        <w:jc w:val="both"/>
        <w:rPr>
          <w:rFonts w:eastAsia="MS PGothic"/>
          <w:kern w:val="24"/>
          <w:sz w:val="22"/>
          <w:szCs w:val="22"/>
          <w:lang w:val="es-ES"/>
        </w:rPr>
      </w:pPr>
      <w:r w:rsidRPr="00512F79">
        <w:rPr>
          <w:rFonts w:eastAsia="MS PGothic"/>
          <w:kern w:val="24"/>
          <w:sz w:val="22"/>
          <w:szCs w:val="22"/>
          <w:lang w:val="es-ES"/>
        </w:rPr>
        <w:t xml:space="preserve">Innovación científica y tecnológica para </w:t>
      </w:r>
      <w:r w:rsidR="003A4112">
        <w:rPr>
          <w:rFonts w:eastAsia="MS PGothic"/>
          <w:kern w:val="24"/>
          <w:sz w:val="22"/>
          <w:szCs w:val="22"/>
          <w:lang w:val="es-ES"/>
        </w:rPr>
        <w:t>fortalecer l</w:t>
      </w:r>
      <w:r w:rsidRPr="00512F79">
        <w:rPr>
          <w:rFonts w:eastAsia="MS PGothic"/>
          <w:kern w:val="24"/>
          <w:sz w:val="22"/>
          <w:szCs w:val="22"/>
          <w:lang w:val="es-ES"/>
        </w:rPr>
        <w:t>a resiliencia.</w:t>
      </w:r>
    </w:p>
    <w:p w14:paraId="19B69CBC" w14:textId="292A4DB6" w:rsidR="00F4728E" w:rsidRPr="00512F79" w:rsidRDefault="00967695">
      <w:pPr>
        <w:pStyle w:val="ListParagraph"/>
        <w:numPr>
          <w:ilvl w:val="0"/>
          <w:numId w:val="39"/>
        </w:numPr>
        <w:ind w:left="2160" w:hanging="720"/>
        <w:contextualSpacing/>
        <w:jc w:val="both"/>
        <w:rPr>
          <w:rFonts w:eastAsia="MS PGothic"/>
          <w:kern w:val="24"/>
          <w:sz w:val="22"/>
          <w:szCs w:val="22"/>
          <w:lang w:val="es-ES"/>
        </w:rPr>
      </w:pPr>
      <w:r w:rsidRPr="00512F79">
        <w:rPr>
          <w:rFonts w:eastAsia="MS PGothic"/>
          <w:kern w:val="24"/>
          <w:sz w:val="22"/>
          <w:szCs w:val="22"/>
          <w:lang w:val="es-ES"/>
        </w:rPr>
        <w:t xml:space="preserve">La ciencia </w:t>
      </w:r>
      <w:r w:rsidR="003A4112">
        <w:rPr>
          <w:rFonts w:eastAsia="MS PGothic"/>
          <w:kern w:val="24"/>
          <w:sz w:val="22"/>
          <w:szCs w:val="22"/>
          <w:lang w:val="es-ES"/>
        </w:rPr>
        <w:t xml:space="preserve">para la toma </w:t>
      </w:r>
      <w:r w:rsidRPr="00512F79">
        <w:rPr>
          <w:rFonts w:eastAsia="MS PGothic"/>
          <w:kern w:val="24"/>
          <w:sz w:val="22"/>
          <w:szCs w:val="22"/>
          <w:lang w:val="es-ES"/>
        </w:rPr>
        <w:t>de decisiones en la plan</w:t>
      </w:r>
      <w:r w:rsidR="003A4112">
        <w:rPr>
          <w:rFonts w:eastAsia="MS PGothic"/>
          <w:kern w:val="24"/>
          <w:sz w:val="22"/>
          <w:szCs w:val="22"/>
          <w:lang w:val="es-ES"/>
        </w:rPr>
        <w:t>eación</w:t>
      </w:r>
      <w:r w:rsidRPr="00512F79">
        <w:rPr>
          <w:rFonts w:eastAsia="MS PGothic"/>
          <w:kern w:val="24"/>
          <w:sz w:val="22"/>
          <w:szCs w:val="22"/>
          <w:lang w:val="es-ES"/>
        </w:rPr>
        <w:t xml:space="preserve"> del riesgo de </w:t>
      </w:r>
      <w:r w:rsidR="003A4112">
        <w:rPr>
          <w:rFonts w:eastAsia="MS PGothic"/>
          <w:kern w:val="24"/>
          <w:sz w:val="22"/>
          <w:szCs w:val="22"/>
          <w:lang w:val="es-ES"/>
        </w:rPr>
        <w:t>desastres</w:t>
      </w:r>
      <w:r w:rsidRPr="00512F79">
        <w:rPr>
          <w:rFonts w:eastAsia="MS PGothic"/>
          <w:kern w:val="24"/>
          <w:sz w:val="22"/>
          <w:szCs w:val="22"/>
          <w:lang w:val="es-ES"/>
        </w:rPr>
        <w:t>.</w:t>
      </w:r>
    </w:p>
    <w:p w14:paraId="6196D26C" w14:textId="77777777" w:rsidR="005114D9" w:rsidRPr="00512F79" w:rsidRDefault="005114D9" w:rsidP="00CB030B">
      <w:pPr>
        <w:contextualSpacing/>
        <w:jc w:val="both"/>
        <w:rPr>
          <w:rFonts w:ascii="Times New Roman" w:hAnsi="Times New Roman" w:cs="Times New Roman"/>
          <w:color w:val="000000"/>
          <w:sz w:val="22"/>
          <w:szCs w:val="22"/>
          <w:lang w:val="es-ES"/>
        </w:rPr>
      </w:pPr>
    </w:p>
    <w:p w14:paraId="0DA7A28E" w14:textId="02604BC8" w:rsidR="00F4728E" w:rsidRPr="00CB4E0E" w:rsidRDefault="00967695" w:rsidP="002D57DC">
      <w:pPr>
        <w:pStyle w:val="ListParagraph"/>
        <w:numPr>
          <w:ilvl w:val="0"/>
          <w:numId w:val="40"/>
        </w:numPr>
        <w:ind w:left="1440" w:hanging="720"/>
        <w:contextualSpacing/>
        <w:jc w:val="both"/>
        <w:rPr>
          <w:noProof/>
          <w:color w:val="0563C1" w:themeColor="hyperlink"/>
          <w:sz w:val="22"/>
          <w:szCs w:val="22"/>
          <w:u w:val="single"/>
          <w:lang w:val="es-ES"/>
        </w:rPr>
      </w:pPr>
      <w:r w:rsidRPr="00CB4E0E">
        <w:rPr>
          <w:color w:val="000000"/>
          <w:sz w:val="22"/>
          <w:szCs w:val="22"/>
          <w:lang w:val="es-ES"/>
        </w:rPr>
        <w:t xml:space="preserve">El área de acción y los temas correspondientes fueron aprobados por el CIDI en </w:t>
      </w:r>
      <w:r w:rsidR="003A4112">
        <w:rPr>
          <w:color w:val="000000"/>
          <w:sz w:val="22"/>
          <w:szCs w:val="22"/>
          <w:lang w:val="es-ES"/>
        </w:rPr>
        <w:t>su reunión ordinaria</w:t>
      </w:r>
      <w:r w:rsidRPr="00CB4E0E">
        <w:rPr>
          <w:color w:val="000000"/>
          <w:sz w:val="22"/>
          <w:szCs w:val="22"/>
          <w:lang w:val="es-ES"/>
        </w:rPr>
        <w:t xml:space="preserve">, celebrada el 8 de diciembre de 2020 </w:t>
      </w:r>
      <w:r w:rsidR="005114D9" w:rsidRPr="00CB4E0E">
        <w:rPr>
          <w:color w:val="000000"/>
          <w:sz w:val="22"/>
          <w:szCs w:val="22"/>
          <w:lang w:val="es-ES"/>
        </w:rPr>
        <w:t>(</w:t>
      </w:r>
      <w:hyperlink r:id="rId23" w:history="1">
        <w:r w:rsidR="00CB4E0E" w:rsidRPr="00CB4E0E">
          <w:rPr>
            <w:rStyle w:val="Hyperlink"/>
            <w:sz w:val="22"/>
            <w:szCs w:val="22"/>
            <w:lang w:val="es-ES"/>
          </w:rPr>
          <w:t xml:space="preserve">CIDI/doc.304/20 rev.1) </w:t>
        </w:r>
      </w:hyperlink>
    </w:p>
    <w:p w14:paraId="457B5A45" w14:textId="77777777" w:rsidR="00543D52" w:rsidRPr="00512F79" w:rsidRDefault="00543D52" w:rsidP="00CB030B">
      <w:pPr>
        <w:ind w:left="1440" w:hanging="720"/>
        <w:contextualSpacing/>
        <w:jc w:val="both"/>
        <w:rPr>
          <w:rFonts w:ascii="Times New Roman" w:eastAsia="MS PGothic" w:hAnsi="Times New Roman" w:cs="Times New Roman"/>
          <w:kern w:val="24"/>
          <w:sz w:val="22"/>
          <w:szCs w:val="22"/>
          <w:lang w:val="es-ES"/>
        </w:rPr>
      </w:pPr>
    </w:p>
    <w:p w14:paraId="7313D549" w14:textId="06B3BF2F" w:rsidR="00F4728E" w:rsidRPr="003A4112" w:rsidRDefault="00967695" w:rsidP="001434CD">
      <w:pPr>
        <w:pStyle w:val="ListParagraph"/>
        <w:numPr>
          <w:ilvl w:val="0"/>
          <w:numId w:val="40"/>
        </w:numPr>
        <w:ind w:left="1440" w:hanging="720"/>
        <w:contextualSpacing/>
        <w:jc w:val="both"/>
        <w:rPr>
          <w:sz w:val="22"/>
          <w:szCs w:val="22"/>
          <w:lang w:val="es-ES"/>
        </w:rPr>
      </w:pPr>
      <w:r w:rsidRPr="003A4112">
        <w:rPr>
          <w:sz w:val="22"/>
          <w:szCs w:val="22"/>
          <w:lang w:val="es-ES"/>
        </w:rPr>
        <w:t xml:space="preserve">El 24 de agosto de 2021, </w:t>
      </w:r>
      <w:r w:rsidR="003A4112" w:rsidRPr="003A4112">
        <w:rPr>
          <w:sz w:val="22"/>
          <w:szCs w:val="22"/>
          <w:lang w:val="es-ES"/>
        </w:rPr>
        <w:t xml:space="preserve"> la Junta Directiva de la Agencia Interamericana para la Cooperación y el Desarrollo</w:t>
      </w:r>
      <w:r w:rsidR="00543D52" w:rsidRPr="003A4112">
        <w:rPr>
          <w:sz w:val="22"/>
          <w:szCs w:val="22"/>
          <w:lang w:val="es-ES"/>
        </w:rPr>
        <w:t xml:space="preserve"> </w:t>
      </w:r>
      <w:r w:rsidRPr="003A4112">
        <w:rPr>
          <w:sz w:val="22"/>
          <w:szCs w:val="22"/>
          <w:lang w:val="es-ES"/>
        </w:rPr>
        <w:t xml:space="preserve">aprobó una </w:t>
      </w:r>
      <w:r w:rsidR="00A05458" w:rsidRPr="003A4112">
        <w:rPr>
          <w:sz w:val="22"/>
          <w:szCs w:val="22"/>
          <w:lang w:val="es-ES"/>
        </w:rPr>
        <w:t xml:space="preserve">financiación inicial de </w:t>
      </w:r>
      <w:r w:rsidR="00E03E65">
        <w:rPr>
          <w:sz w:val="22"/>
          <w:szCs w:val="22"/>
          <w:lang w:val="es-ES"/>
        </w:rPr>
        <w:t>US</w:t>
      </w:r>
      <w:r w:rsidR="003A4112" w:rsidRPr="003A4112">
        <w:rPr>
          <w:sz w:val="22"/>
          <w:szCs w:val="22"/>
          <w:lang w:val="es-ES"/>
        </w:rPr>
        <w:t>$</w:t>
      </w:r>
      <w:r w:rsidR="00A05458" w:rsidRPr="003A4112">
        <w:rPr>
          <w:sz w:val="22"/>
          <w:szCs w:val="22"/>
          <w:lang w:val="es-ES"/>
        </w:rPr>
        <w:t xml:space="preserve">1,7 millones </w:t>
      </w:r>
      <w:hyperlink r:id="rId24" w:history="1">
        <w:r w:rsidR="00CB4E0E" w:rsidRPr="003A4112">
          <w:rPr>
            <w:rStyle w:val="Hyperlink"/>
            <w:sz w:val="22"/>
            <w:szCs w:val="22"/>
            <w:lang w:val="es-ES"/>
          </w:rPr>
          <w:t>(AICD/JD/DE-130/21)</w:t>
        </w:r>
      </w:hyperlink>
      <w:r w:rsidR="00CB4E0E" w:rsidRPr="003A4112">
        <w:rPr>
          <w:sz w:val="22"/>
          <w:szCs w:val="22"/>
          <w:lang w:val="es-ES"/>
        </w:rPr>
        <w:t xml:space="preserve"> </w:t>
      </w:r>
      <w:r w:rsidR="00543D52" w:rsidRPr="003A4112">
        <w:rPr>
          <w:sz w:val="22"/>
          <w:szCs w:val="22"/>
          <w:lang w:val="es-ES"/>
        </w:rPr>
        <w:t xml:space="preserve">y el 2 de noviembre de 2021 añadió </w:t>
      </w:r>
      <w:r w:rsidR="00E03E65">
        <w:rPr>
          <w:sz w:val="22"/>
          <w:szCs w:val="22"/>
          <w:lang w:val="es-ES"/>
        </w:rPr>
        <w:t>US$</w:t>
      </w:r>
      <w:r w:rsidR="00543D52" w:rsidRPr="003A4112">
        <w:rPr>
          <w:sz w:val="22"/>
          <w:szCs w:val="22"/>
          <w:lang w:val="es-ES"/>
        </w:rPr>
        <w:t xml:space="preserve">100.000 </w:t>
      </w:r>
      <w:r w:rsidRPr="003A4112">
        <w:rPr>
          <w:sz w:val="22"/>
          <w:szCs w:val="22"/>
          <w:lang w:val="es-ES"/>
        </w:rPr>
        <w:t>(</w:t>
      </w:r>
      <w:hyperlink r:id="rId25" w:history="1">
        <w:r w:rsidR="00CB4E0E" w:rsidRPr="003A4112">
          <w:rPr>
            <w:rStyle w:val="Hyperlink"/>
            <w:sz w:val="22"/>
            <w:szCs w:val="22"/>
            <w:lang w:val="es-ES"/>
          </w:rPr>
          <w:t>AICD/JD/DE-131/21</w:t>
        </w:r>
      </w:hyperlink>
      <w:r w:rsidR="00CB4E0E" w:rsidRPr="003A4112">
        <w:rPr>
          <w:sz w:val="22"/>
          <w:szCs w:val="22"/>
          <w:lang w:val="es-ES"/>
        </w:rPr>
        <w:t>)</w:t>
      </w:r>
      <w:r w:rsidR="003A4112">
        <w:rPr>
          <w:sz w:val="22"/>
          <w:szCs w:val="22"/>
          <w:lang w:val="es-ES"/>
        </w:rPr>
        <w:t xml:space="preserve"> con un monto</w:t>
      </w:r>
      <w:r w:rsidRPr="003A4112">
        <w:rPr>
          <w:sz w:val="22"/>
          <w:szCs w:val="22"/>
          <w:lang w:val="es-ES"/>
        </w:rPr>
        <w:t xml:space="preserve"> </w:t>
      </w:r>
      <w:r w:rsidR="00543D52" w:rsidRPr="003A4112">
        <w:rPr>
          <w:sz w:val="22"/>
          <w:szCs w:val="22"/>
          <w:lang w:val="es-ES"/>
        </w:rPr>
        <w:t xml:space="preserve">total de </w:t>
      </w:r>
      <w:r w:rsidR="00E03E65">
        <w:rPr>
          <w:sz w:val="22"/>
          <w:szCs w:val="22"/>
          <w:lang w:val="es-ES"/>
        </w:rPr>
        <w:t>US</w:t>
      </w:r>
      <w:r w:rsidR="003A4112">
        <w:rPr>
          <w:sz w:val="22"/>
          <w:szCs w:val="22"/>
          <w:lang w:val="es-ES"/>
        </w:rPr>
        <w:t>$</w:t>
      </w:r>
      <w:r w:rsidR="00543D52" w:rsidRPr="003A4112">
        <w:rPr>
          <w:sz w:val="22"/>
          <w:szCs w:val="22"/>
          <w:lang w:val="es-ES"/>
        </w:rPr>
        <w:t>1,8 millones para el ciclo de programación 2021-2024</w:t>
      </w:r>
      <w:r w:rsidR="00A05458" w:rsidRPr="003A4112">
        <w:rPr>
          <w:sz w:val="22"/>
          <w:szCs w:val="22"/>
          <w:lang w:val="es-ES"/>
        </w:rPr>
        <w:t xml:space="preserve">. (La adición se produjo como respuesta </w:t>
      </w:r>
      <w:r w:rsidR="00543D52" w:rsidRPr="003A4112">
        <w:rPr>
          <w:sz w:val="22"/>
          <w:szCs w:val="22"/>
          <w:lang w:val="es-ES"/>
        </w:rPr>
        <w:t xml:space="preserve">a la </w:t>
      </w:r>
      <w:r w:rsidR="00543D52" w:rsidRPr="003A4112">
        <w:rPr>
          <w:rFonts w:eastAsia="MS PGothic"/>
          <w:kern w:val="24"/>
          <w:sz w:val="22"/>
          <w:szCs w:val="22"/>
          <w:lang w:val="es-ES"/>
        </w:rPr>
        <w:t>inclusión de San Vicente y las Granadinas como beneficiario</w:t>
      </w:r>
      <w:bookmarkEnd w:id="9"/>
      <w:r w:rsidR="00A05458" w:rsidRPr="003A4112">
        <w:rPr>
          <w:rFonts w:eastAsia="MS PGothic"/>
          <w:kern w:val="24"/>
          <w:sz w:val="22"/>
          <w:szCs w:val="22"/>
          <w:lang w:val="es-ES"/>
        </w:rPr>
        <w:t>).</w:t>
      </w:r>
    </w:p>
    <w:p w14:paraId="6BC19C1F" w14:textId="77777777" w:rsidR="00A05458" w:rsidRPr="00512F79" w:rsidRDefault="00A05458" w:rsidP="00CB030B">
      <w:pPr>
        <w:pStyle w:val="ListParagraph"/>
        <w:contextualSpacing/>
        <w:jc w:val="both"/>
        <w:rPr>
          <w:sz w:val="22"/>
          <w:szCs w:val="22"/>
          <w:lang w:val="es-ES"/>
        </w:rPr>
      </w:pPr>
    </w:p>
    <w:p w14:paraId="5AEA3818" w14:textId="753E4EC0" w:rsidR="00F4728E" w:rsidRPr="00512F79" w:rsidRDefault="00967695">
      <w:pPr>
        <w:pStyle w:val="ListParagraph"/>
        <w:numPr>
          <w:ilvl w:val="0"/>
          <w:numId w:val="40"/>
        </w:numPr>
        <w:ind w:left="1440" w:hanging="720"/>
        <w:jc w:val="both"/>
        <w:rPr>
          <w:sz w:val="22"/>
          <w:szCs w:val="22"/>
          <w:lang w:val="es-ES"/>
        </w:rPr>
      </w:pPr>
      <w:r w:rsidRPr="00512F79">
        <w:rPr>
          <w:sz w:val="22"/>
          <w:szCs w:val="22"/>
          <w:lang w:val="es-ES"/>
        </w:rPr>
        <w:t>Dieciocho países p</w:t>
      </w:r>
      <w:r w:rsidR="003A4112">
        <w:rPr>
          <w:sz w:val="22"/>
          <w:szCs w:val="22"/>
          <w:lang w:val="es-ES"/>
        </w:rPr>
        <w:t>odrán</w:t>
      </w:r>
      <w:r w:rsidRPr="00512F79">
        <w:rPr>
          <w:sz w:val="22"/>
          <w:szCs w:val="22"/>
          <w:lang w:val="es-ES"/>
        </w:rPr>
        <w:t xml:space="preserve"> participar en el ciclo de programación 2021-2024 </w:t>
      </w:r>
      <w:r w:rsidR="00FA4EDE" w:rsidRPr="00512F79">
        <w:rPr>
          <w:sz w:val="22"/>
          <w:szCs w:val="22"/>
          <w:lang w:val="es-ES"/>
        </w:rPr>
        <w:t xml:space="preserve">de la OEA/FCD </w:t>
      </w:r>
      <w:r w:rsidR="003A4112">
        <w:rPr>
          <w:sz w:val="22"/>
          <w:szCs w:val="22"/>
          <w:lang w:val="es-ES"/>
        </w:rPr>
        <w:t>e implementar</w:t>
      </w:r>
      <w:r w:rsidRPr="00512F79">
        <w:rPr>
          <w:sz w:val="22"/>
          <w:szCs w:val="22"/>
          <w:lang w:val="es-ES"/>
        </w:rPr>
        <w:t xml:space="preserve"> un proyecto en el marco de un</w:t>
      </w:r>
      <w:r w:rsidR="001A3159">
        <w:rPr>
          <w:sz w:val="22"/>
          <w:szCs w:val="22"/>
          <w:lang w:val="es-ES"/>
        </w:rPr>
        <w:t>a</w:t>
      </w:r>
      <w:r w:rsidRPr="00512F79">
        <w:rPr>
          <w:sz w:val="22"/>
          <w:szCs w:val="22"/>
          <w:lang w:val="es-ES"/>
        </w:rPr>
        <w:t xml:space="preserve"> </w:t>
      </w:r>
      <w:r w:rsidR="003A4112">
        <w:rPr>
          <w:sz w:val="22"/>
          <w:szCs w:val="22"/>
          <w:lang w:val="es-ES"/>
        </w:rPr>
        <w:t>de las cuatro áreas temáticas mencionadas.</w:t>
      </w:r>
      <w:r w:rsidRPr="00512F79">
        <w:rPr>
          <w:sz w:val="22"/>
          <w:szCs w:val="22"/>
          <w:lang w:val="es-ES"/>
        </w:rPr>
        <w:t xml:space="preserve"> Este año </w:t>
      </w:r>
      <w:r w:rsidR="003A4112">
        <w:rPr>
          <w:sz w:val="22"/>
          <w:szCs w:val="22"/>
          <w:lang w:val="es-ES"/>
        </w:rPr>
        <w:t>aprobaron</w:t>
      </w:r>
      <w:r w:rsidRPr="00512F79">
        <w:rPr>
          <w:sz w:val="22"/>
          <w:szCs w:val="22"/>
          <w:lang w:val="es-ES"/>
        </w:rPr>
        <w:t xml:space="preserve"> los planes de ejecución de quince proyectos,</w:t>
      </w:r>
      <w:r w:rsidR="003A4112">
        <w:rPr>
          <w:sz w:val="22"/>
          <w:szCs w:val="22"/>
          <w:lang w:val="es-ES"/>
        </w:rPr>
        <w:t xml:space="preserve"> los cuales ya han</w:t>
      </w:r>
      <w:r w:rsidRPr="00512F79">
        <w:rPr>
          <w:sz w:val="22"/>
          <w:szCs w:val="22"/>
          <w:lang w:val="es-ES"/>
        </w:rPr>
        <w:t xml:space="preserve"> comenzado a </w:t>
      </w:r>
      <w:r w:rsidR="003A4112">
        <w:rPr>
          <w:sz w:val="22"/>
          <w:szCs w:val="22"/>
          <w:lang w:val="es-ES"/>
        </w:rPr>
        <w:t>ponerse en práctica.</w:t>
      </w:r>
      <w:r w:rsidRPr="00512F79">
        <w:rPr>
          <w:sz w:val="22"/>
          <w:szCs w:val="22"/>
          <w:lang w:val="es-ES"/>
        </w:rPr>
        <w:t xml:space="preserve"> En el último trimestre de 2022, cuatro programas están experimentando retrasos en su ejecución debido a procesos administrativos internos o han iniciado un ejercicio de reestructuración para satisfacer mejor las necesidades de su país. </w:t>
      </w:r>
    </w:p>
    <w:p w14:paraId="0AB23734" w14:textId="19F20E0B" w:rsidR="00A05458" w:rsidRPr="00512F79" w:rsidRDefault="00A05458" w:rsidP="00CB030B">
      <w:pPr>
        <w:rPr>
          <w:rFonts w:ascii="Times New Roman" w:hAnsi="Times New Roman" w:cs="Times New Roman"/>
          <w:sz w:val="22"/>
          <w:szCs w:val="22"/>
          <w:lang w:val="es-ES"/>
        </w:rPr>
      </w:pPr>
    </w:p>
    <w:p w14:paraId="6676E42E" w14:textId="77777777" w:rsidR="00F4728E" w:rsidRPr="00512F79" w:rsidRDefault="00967695">
      <w:pPr>
        <w:jc w:val="both"/>
        <w:rPr>
          <w:rFonts w:ascii="Times New Roman" w:hAnsi="Times New Roman" w:cs="Times New Roman"/>
          <w:b/>
          <w:bCs/>
          <w:color w:val="000000" w:themeColor="text1"/>
          <w:sz w:val="22"/>
          <w:szCs w:val="22"/>
          <w:u w:val="single"/>
          <w:lang w:val="es-ES"/>
        </w:rPr>
      </w:pPr>
      <w:r w:rsidRPr="00512F79">
        <w:rPr>
          <w:rFonts w:ascii="Times New Roman" w:hAnsi="Times New Roman" w:cs="Times New Roman"/>
          <w:b/>
          <w:bCs/>
          <w:color w:val="000000" w:themeColor="text1"/>
          <w:sz w:val="22"/>
          <w:szCs w:val="22"/>
          <w:u w:val="single"/>
          <w:lang w:val="es-ES"/>
        </w:rPr>
        <w:t xml:space="preserve">OBJETIVO </w:t>
      </w:r>
      <w:r w:rsidR="00B46A1B" w:rsidRPr="00512F79">
        <w:rPr>
          <w:rFonts w:ascii="Times New Roman" w:hAnsi="Times New Roman" w:cs="Times New Roman"/>
          <w:b/>
          <w:bCs/>
          <w:color w:val="000000" w:themeColor="text1"/>
          <w:sz w:val="22"/>
          <w:szCs w:val="22"/>
          <w:u w:val="single"/>
          <w:lang w:val="es-ES"/>
        </w:rPr>
        <w:t>5</w:t>
      </w:r>
      <w:r w:rsidRPr="00512F79">
        <w:rPr>
          <w:rFonts w:ascii="Times New Roman" w:hAnsi="Times New Roman" w:cs="Times New Roman"/>
          <w:b/>
          <w:bCs/>
          <w:color w:val="000000" w:themeColor="text1"/>
          <w:sz w:val="22"/>
          <w:szCs w:val="22"/>
          <w:u w:val="single"/>
          <w:lang w:val="es-ES"/>
        </w:rPr>
        <w:t>.1</w:t>
      </w:r>
    </w:p>
    <w:p w14:paraId="11551228" w14:textId="77777777" w:rsidR="00F86E25" w:rsidRPr="00512F79" w:rsidRDefault="00F86E25" w:rsidP="00CB030B">
      <w:pPr>
        <w:ind w:firstLine="720"/>
        <w:jc w:val="both"/>
        <w:rPr>
          <w:rFonts w:ascii="Times New Roman" w:hAnsi="Times New Roman" w:cs="Times New Roman"/>
          <w:bCs/>
          <w:sz w:val="22"/>
          <w:szCs w:val="22"/>
          <w:lang w:val="es-ES"/>
        </w:rPr>
      </w:pPr>
    </w:p>
    <w:p w14:paraId="7A1CB563" w14:textId="0D9E0A5F" w:rsidR="00F4728E" w:rsidRPr="00512F79" w:rsidRDefault="003A4112">
      <w:pPr>
        <w:ind w:firstLine="720"/>
        <w:jc w:val="both"/>
        <w:rPr>
          <w:rFonts w:ascii="Times New Roman" w:hAnsi="Times New Roman" w:cs="Times New Roman"/>
          <w:bCs/>
          <w:sz w:val="22"/>
          <w:szCs w:val="22"/>
          <w:lang w:val="es-ES"/>
        </w:rPr>
      </w:pPr>
      <w:r>
        <w:rPr>
          <w:rFonts w:ascii="Times New Roman" w:hAnsi="Times New Roman" w:cs="Times New Roman"/>
          <w:bCs/>
          <w:sz w:val="22"/>
          <w:szCs w:val="22"/>
          <w:lang w:val="es-ES"/>
        </w:rPr>
        <w:t>Impulsar</w:t>
      </w:r>
      <w:r w:rsidR="00967695" w:rsidRPr="00512F79">
        <w:rPr>
          <w:rFonts w:ascii="Times New Roman" w:hAnsi="Times New Roman" w:cs="Times New Roman"/>
          <w:bCs/>
          <w:sz w:val="22"/>
          <w:szCs w:val="22"/>
          <w:lang w:val="es-ES"/>
        </w:rPr>
        <w:t xml:space="preserve"> la cooperación bilateral, Sur-Sur, triangular e internacional en el Hemisferio.</w:t>
      </w:r>
    </w:p>
    <w:p w14:paraId="745085A1" w14:textId="601C430D" w:rsidR="00543D52" w:rsidRPr="00512F79" w:rsidRDefault="00543D52" w:rsidP="00CB030B">
      <w:pPr>
        <w:contextualSpacing/>
        <w:jc w:val="both"/>
        <w:rPr>
          <w:rFonts w:ascii="Times New Roman" w:hAnsi="Times New Roman" w:cs="Times New Roman"/>
          <w:sz w:val="22"/>
          <w:szCs w:val="22"/>
          <w:lang w:val="es-ES"/>
        </w:rPr>
      </w:pPr>
    </w:p>
    <w:p w14:paraId="3A67A0C2" w14:textId="77777777" w:rsidR="00F4728E" w:rsidRPr="00512F79" w:rsidRDefault="00967695">
      <w:pPr>
        <w:ind w:firstLine="720"/>
        <w:jc w:val="both"/>
        <w:rPr>
          <w:rFonts w:ascii="Times New Roman" w:hAnsi="Times New Roman" w:cs="Times New Roman"/>
          <w:b/>
          <w:bCs/>
          <w:color w:val="000000" w:themeColor="text1"/>
          <w:sz w:val="22"/>
          <w:szCs w:val="22"/>
          <w:lang w:val="es-ES"/>
        </w:rPr>
      </w:pPr>
      <w:r w:rsidRPr="00512F79">
        <w:rPr>
          <w:rFonts w:ascii="Times New Roman" w:hAnsi="Times New Roman" w:cs="Times New Roman"/>
          <w:b/>
          <w:bCs/>
          <w:color w:val="000000" w:themeColor="text1"/>
          <w:sz w:val="22"/>
          <w:szCs w:val="22"/>
          <w:lang w:val="es-ES"/>
        </w:rPr>
        <w:t>Secretaría de la Comisión Interamericana de Puertos (CIP)</w:t>
      </w:r>
    </w:p>
    <w:p w14:paraId="3745268F" w14:textId="77777777" w:rsidR="007818BC" w:rsidRPr="00512F79" w:rsidRDefault="007818BC" w:rsidP="00CB030B">
      <w:pPr>
        <w:contextualSpacing/>
        <w:jc w:val="both"/>
        <w:rPr>
          <w:rFonts w:ascii="Times New Roman" w:hAnsi="Times New Roman" w:cs="Times New Roman"/>
          <w:sz w:val="22"/>
          <w:szCs w:val="22"/>
          <w:lang w:val="es-ES"/>
        </w:rPr>
      </w:pPr>
    </w:p>
    <w:p w14:paraId="348F0DD1" w14:textId="1FCE5CB9" w:rsidR="00F4728E" w:rsidRPr="00512F79" w:rsidRDefault="002B2B7C">
      <w:pPr>
        <w:pStyle w:val="ListParagraph"/>
        <w:numPr>
          <w:ilvl w:val="0"/>
          <w:numId w:val="41"/>
        </w:numPr>
        <w:ind w:left="1440" w:hanging="720"/>
        <w:contextualSpacing/>
        <w:jc w:val="both"/>
        <w:rPr>
          <w:color w:val="000000"/>
          <w:sz w:val="22"/>
          <w:szCs w:val="22"/>
          <w:lang w:val="es-ES"/>
        </w:rPr>
      </w:pPr>
      <w:r>
        <w:rPr>
          <w:color w:val="000000"/>
          <w:sz w:val="22"/>
          <w:szCs w:val="22"/>
          <w:lang w:val="es-ES"/>
        </w:rPr>
        <w:t>Realizó</w:t>
      </w:r>
      <w:r w:rsidR="00967695" w:rsidRPr="00512F79">
        <w:rPr>
          <w:color w:val="000000"/>
          <w:sz w:val="22"/>
          <w:szCs w:val="22"/>
          <w:lang w:val="es-ES"/>
        </w:rPr>
        <w:t xml:space="preserve"> una evaluación logística y de la cadena de suministro internacional y redacción de una hoja de ruta de aplicación con un conjunto de recomendaciones jurídicas, operativas y financieras para el desarrollo y la aplicación del sistema comunitario portuario nacional </w:t>
      </w:r>
      <w:r>
        <w:rPr>
          <w:color w:val="000000"/>
          <w:sz w:val="22"/>
          <w:szCs w:val="22"/>
          <w:lang w:val="es-ES"/>
        </w:rPr>
        <w:t>como parte</w:t>
      </w:r>
      <w:r w:rsidR="00967695" w:rsidRPr="00512F79">
        <w:rPr>
          <w:color w:val="000000"/>
          <w:sz w:val="22"/>
          <w:szCs w:val="22"/>
          <w:lang w:val="es-ES"/>
        </w:rPr>
        <w:t xml:space="preserve"> del proyecto de </w:t>
      </w:r>
      <w:r w:rsidRPr="002B2B7C">
        <w:rPr>
          <w:b/>
          <w:bCs/>
          <w:color w:val="000000"/>
          <w:sz w:val="22"/>
          <w:szCs w:val="22"/>
          <w:lang w:val="es-ES"/>
        </w:rPr>
        <w:t>S</w:t>
      </w:r>
      <w:r w:rsidR="00967695" w:rsidRPr="00512F79">
        <w:rPr>
          <w:b/>
          <w:bCs/>
          <w:color w:val="000000"/>
          <w:sz w:val="22"/>
          <w:szCs w:val="22"/>
          <w:lang w:val="es-ES"/>
        </w:rPr>
        <w:t xml:space="preserve">istema </w:t>
      </w:r>
      <w:r>
        <w:rPr>
          <w:b/>
          <w:bCs/>
          <w:color w:val="000000"/>
          <w:sz w:val="22"/>
          <w:szCs w:val="22"/>
          <w:lang w:val="es-ES"/>
        </w:rPr>
        <w:t>C</w:t>
      </w:r>
      <w:r w:rsidR="00967695" w:rsidRPr="00512F79">
        <w:rPr>
          <w:b/>
          <w:bCs/>
          <w:color w:val="000000"/>
          <w:sz w:val="22"/>
          <w:szCs w:val="22"/>
          <w:lang w:val="es-ES"/>
        </w:rPr>
        <w:t xml:space="preserve">omunitario </w:t>
      </w:r>
      <w:r>
        <w:rPr>
          <w:b/>
          <w:bCs/>
          <w:color w:val="000000"/>
          <w:sz w:val="22"/>
          <w:szCs w:val="22"/>
          <w:lang w:val="es-ES"/>
        </w:rPr>
        <w:t>P</w:t>
      </w:r>
      <w:r w:rsidR="00967695" w:rsidRPr="00512F79">
        <w:rPr>
          <w:b/>
          <w:bCs/>
          <w:color w:val="000000"/>
          <w:sz w:val="22"/>
          <w:szCs w:val="22"/>
          <w:lang w:val="es-ES"/>
        </w:rPr>
        <w:t>ortuario de Barbados</w:t>
      </w:r>
      <w:r w:rsidR="00967695" w:rsidRPr="00512F79">
        <w:rPr>
          <w:color w:val="000000"/>
          <w:sz w:val="22"/>
          <w:szCs w:val="22"/>
          <w:lang w:val="es-ES"/>
        </w:rPr>
        <w:t>.</w:t>
      </w:r>
    </w:p>
    <w:p w14:paraId="781DE08A" w14:textId="4B386AD6" w:rsidR="007818BC" w:rsidRPr="00512F79" w:rsidRDefault="007818BC" w:rsidP="00CB030B">
      <w:pPr>
        <w:pStyle w:val="ListParagraph"/>
        <w:ind w:left="1440" w:hanging="720"/>
        <w:contextualSpacing/>
        <w:jc w:val="both"/>
        <w:rPr>
          <w:color w:val="000000"/>
          <w:sz w:val="22"/>
          <w:szCs w:val="22"/>
          <w:lang w:val="es-ES"/>
        </w:rPr>
      </w:pPr>
    </w:p>
    <w:p w14:paraId="6F11CE82" w14:textId="208DD34F" w:rsidR="00F4728E" w:rsidRPr="00512F79" w:rsidRDefault="00967695">
      <w:pPr>
        <w:pStyle w:val="ListParagraph"/>
        <w:numPr>
          <w:ilvl w:val="0"/>
          <w:numId w:val="41"/>
        </w:numPr>
        <w:ind w:left="1440" w:hanging="720"/>
        <w:contextualSpacing/>
        <w:jc w:val="both"/>
        <w:rPr>
          <w:b/>
          <w:bCs/>
          <w:color w:val="000000"/>
          <w:sz w:val="22"/>
          <w:szCs w:val="22"/>
          <w:lang w:val="es-ES"/>
        </w:rPr>
      </w:pPr>
      <w:r w:rsidRPr="00512F79">
        <w:rPr>
          <w:color w:val="000000"/>
          <w:sz w:val="22"/>
          <w:szCs w:val="22"/>
          <w:lang w:val="es-ES"/>
        </w:rPr>
        <w:t xml:space="preserve">La </w:t>
      </w:r>
      <w:r w:rsidR="0023495A">
        <w:rPr>
          <w:color w:val="000000"/>
          <w:sz w:val="22"/>
          <w:szCs w:val="22"/>
          <w:lang w:val="es-ES"/>
        </w:rPr>
        <w:t>Secretaría General de la OEA</w:t>
      </w:r>
      <w:r w:rsidRPr="00512F79">
        <w:rPr>
          <w:color w:val="000000"/>
          <w:sz w:val="22"/>
          <w:szCs w:val="22"/>
          <w:lang w:val="es-ES"/>
        </w:rPr>
        <w:t xml:space="preserve"> y el Gobierno de Beli</w:t>
      </w:r>
      <w:r w:rsidR="002B2B7C">
        <w:rPr>
          <w:color w:val="000000"/>
          <w:sz w:val="22"/>
          <w:szCs w:val="22"/>
          <w:lang w:val="es-ES"/>
        </w:rPr>
        <w:t>z</w:t>
      </w:r>
      <w:r w:rsidRPr="00512F79">
        <w:rPr>
          <w:color w:val="000000"/>
          <w:sz w:val="22"/>
          <w:szCs w:val="22"/>
          <w:lang w:val="es-ES"/>
        </w:rPr>
        <w:t xml:space="preserve">e firmaron un contrato de nueve meses para estudiar los </w:t>
      </w:r>
      <w:r w:rsidRPr="00512F79">
        <w:rPr>
          <w:color w:val="000000" w:themeColor="text1"/>
          <w:sz w:val="22"/>
          <w:szCs w:val="22"/>
          <w:lang w:val="es-ES"/>
        </w:rPr>
        <w:t xml:space="preserve">requisitos técnicos, jurídicos y financieros para el establecimiento y funcionamiento de una Ventanilla Única Electrónica (VUCE), </w:t>
      </w:r>
      <w:r w:rsidR="00802F7C" w:rsidRPr="00512F79">
        <w:rPr>
          <w:color w:val="000000" w:themeColor="text1"/>
          <w:sz w:val="22"/>
          <w:szCs w:val="22"/>
          <w:lang w:val="es-ES"/>
        </w:rPr>
        <w:t>así como para formular recomendaciones sobre las mejores prácticas para la ejecución del proyecto</w:t>
      </w:r>
      <w:r w:rsidR="00802F7C" w:rsidRPr="00512F79">
        <w:rPr>
          <w:color w:val="000000"/>
          <w:sz w:val="22"/>
          <w:szCs w:val="22"/>
          <w:lang w:val="es-ES"/>
        </w:rPr>
        <w:t xml:space="preserve">. El estudio, que forma parte del </w:t>
      </w:r>
      <w:r w:rsidR="002B2B7C">
        <w:rPr>
          <w:b/>
          <w:bCs/>
          <w:color w:val="000000"/>
          <w:sz w:val="22"/>
          <w:szCs w:val="22"/>
          <w:lang w:val="es-ES"/>
        </w:rPr>
        <w:t>E</w:t>
      </w:r>
      <w:r w:rsidR="00802F7C" w:rsidRPr="00512F79">
        <w:rPr>
          <w:b/>
          <w:bCs/>
          <w:color w:val="000000"/>
          <w:sz w:val="22"/>
          <w:szCs w:val="22"/>
          <w:lang w:val="es-ES"/>
        </w:rPr>
        <w:t xml:space="preserve">studio de </w:t>
      </w:r>
      <w:r w:rsidR="003D4A0D">
        <w:rPr>
          <w:b/>
          <w:bCs/>
          <w:color w:val="000000"/>
          <w:sz w:val="22"/>
          <w:szCs w:val="22"/>
          <w:lang w:val="es-ES"/>
        </w:rPr>
        <w:t>Factibilidad</w:t>
      </w:r>
      <w:r w:rsidR="00802F7C" w:rsidRPr="00512F79">
        <w:rPr>
          <w:b/>
          <w:bCs/>
          <w:color w:val="000000"/>
          <w:sz w:val="22"/>
          <w:szCs w:val="22"/>
          <w:lang w:val="es-ES"/>
        </w:rPr>
        <w:t xml:space="preserve"> </w:t>
      </w:r>
      <w:r w:rsidR="002B2B7C">
        <w:rPr>
          <w:b/>
          <w:bCs/>
          <w:color w:val="000000"/>
          <w:sz w:val="22"/>
          <w:szCs w:val="22"/>
          <w:lang w:val="es-ES"/>
        </w:rPr>
        <w:t xml:space="preserve">para el </w:t>
      </w:r>
      <w:r w:rsidR="003D4A0D">
        <w:rPr>
          <w:b/>
          <w:bCs/>
          <w:color w:val="000000"/>
          <w:sz w:val="22"/>
          <w:szCs w:val="22"/>
          <w:lang w:val="es-ES"/>
        </w:rPr>
        <w:t>E</w:t>
      </w:r>
      <w:r w:rsidR="00802F7C" w:rsidRPr="00512F79">
        <w:rPr>
          <w:b/>
          <w:bCs/>
          <w:color w:val="000000"/>
          <w:sz w:val="22"/>
          <w:szCs w:val="22"/>
          <w:lang w:val="es-ES"/>
        </w:rPr>
        <w:t xml:space="preserve">stablecimiento de una </w:t>
      </w:r>
      <w:r w:rsidR="003D4A0D">
        <w:rPr>
          <w:b/>
          <w:bCs/>
          <w:color w:val="000000"/>
          <w:sz w:val="22"/>
          <w:szCs w:val="22"/>
          <w:lang w:val="es-ES"/>
        </w:rPr>
        <w:t>Ventanilla Única Electrónica</w:t>
      </w:r>
      <w:r w:rsidR="00802F7C" w:rsidRPr="00512F79">
        <w:rPr>
          <w:b/>
          <w:bCs/>
          <w:color w:val="000000"/>
          <w:sz w:val="22"/>
          <w:szCs w:val="22"/>
          <w:lang w:val="es-ES"/>
        </w:rPr>
        <w:t xml:space="preserve"> para el </w:t>
      </w:r>
      <w:r w:rsidR="002B2B7C">
        <w:rPr>
          <w:b/>
          <w:bCs/>
          <w:color w:val="000000"/>
          <w:sz w:val="22"/>
          <w:szCs w:val="22"/>
          <w:lang w:val="es-ES"/>
        </w:rPr>
        <w:t>C</w:t>
      </w:r>
      <w:r w:rsidR="00802F7C" w:rsidRPr="00512F79">
        <w:rPr>
          <w:b/>
          <w:bCs/>
          <w:color w:val="000000"/>
          <w:sz w:val="22"/>
          <w:szCs w:val="22"/>
          <w:lang w:val="es-ES"/>
        </w:rPr>
        <w:t>omercio</w:t>
      </w:r>
      <w:r w:rsidR="002B2B7C">
        <w:rPr>
          <w:color w:val="000000"/>
          <w:sz w:val="22"/>
          <w:szCs w:val="22"/>
          <w:lang w:val="es-ES"/>
        </w:rPr>
        <w:t xml:space="preserve"> de la CIP, </w:t>
      </w:r>
      <w:r w:rsidR="00802F7C" w:rsidRPr="00512F79">
        <w:rPr>
          <w:color w:val="000000"/>
          <w:sz w:val="22"/>
          <w:szCs w:val="22"/>
          <w:lang w:val="es-ES"/>
        </w:rPr>
        <w:t>también analizará el sistema actual de Beli</w:t>
      </w:r>
      <w:r w:rsidR="002B2B7C">
        <w:rPr>
          <w:color w:val="000000"/>
          <w:sz w:val="22"/>
          <w:szCs w:val="22"/>
          <w:lang w:val="es-ES"/>
        </w:rPr>
        <w:t>z</w:t>
      </w:r>
      <w:r w:rsidR="00802F7C" w:rsidRPr="00512F79">
        <w:rPr>
          <w:color w:val="000000"/>
          <w:sz w:val="22"/>
          <w:szCs w:val="22"/>
          <w:lang w:val="es-ES"/>
        </w:rPr>
        <w:t>e para llevar a cabo el comercio exterior.</w:t>
      </w:r>
    </w:p>
    <w:p w14:paraId="40DF3D04" w14:textId="77777777" w:rsidR="00EE3694" w:rsidRPr="00512F79" w:rsidRDefault="00EE3694" w:rsidP="00EE3694">
      <w:pPr>
        <w:pStyle w:val="ListParagraph"/>
        <w:rPr>
          <w:b/>
          <w:bCs/>
          <w:color w:val="000000"/>
          <w:sz w:val="22"/>
          <w:szCs w:val="22"/>
          <w:lang w:val="es-ES"/>
        </w:rPr>
      </w:pPr>
    </w:p>
    <w:p w14:paraId="192C4B4A" w14:textId="5E0EC326" w:rsidR="00F4728E" w:rsidRPr="00512F79" w:rsidRDefault="00967695">
      <w:pPr>
        <w:pStyle w:val="NoSpacing"/>
        <w:numPr>
          <w:ilvl w:val="0"/>
          <w:numId w:val="41"/>
        </w:numPr>
        <w:ind w:left="1440" w:hanging="720"/>
        <w:jc w:val="both"/>
        <w:rPr>
          <w:rFonts w:ascii="Times New Roman" w:hAnsi="Times New Roman"/>
          <w:iCs/>
          <w:color w:val="000000" w:themeColor="text1"/>
        </w:rPr>
      </w:pPr>
      <w:r w:rsidRPr="00512F79">
        <w:rPr>
          <w:rFonts w:ascii="Times New Roman" w:hAnsi="Times New Roman"/>
          <w:iCs/>
          <w:color w:val="000000" w:themeColor="text1"/>
        </w:rPr>
        <w:t xml:space="preserve">Gestionó la </w:t>
      </w:r>
      <w:r w:rsidR="00802F7C" w:rsidRPr="00512F79">
        <w:rPr>
          <w:rFonts w:ascii="Times New Roman" w:hAnsi="Times New Roman"/>
          <w:iCs/>
          <w:color w:val="000000" w:themeColor="text1"/>
        </w:rPr>
        <w:t xml:space="preserve">actualización del Portal </w:t>
      </w:r>
      <w:r w:rsidR="0023495A">
        <w:rPr>
          <w:rFonts w:ascii="Times New Roman" w:hAnsi="Times New Roman"/>
          <w:iCs/>
          <w:color w:val="000000" w:themeColor="text1"/>
        </w:rPr>
        <w:t>de la CIP</w:t>
      </w:r>
      <w:r w:rsidR="00802F7C" w:rsidRPr="00512F79">
        <w:rPr>
          <w:rFonts w:ascii="Times New Roman" w:hAnsi="Times New Roman"/>
          <w:iCs/>
          <w:color w:val="000000" w:themeColor="text1"/>
        </w:rPr>
        <w:t xml:space="preserve">. El portal, una </w:t>
      </w:r>
      <w:r w:rsidRPr="00512F79">
        <w:rPr>
          <w:rFonts w:ascii="Times New Roman" w:hAnsi="Times New Roman"/>
          <w:iCs/>
          <w:color w:val="000000" w:themeColor="text1"/>
        </w:rPr>
        <w:t>herramienta útil para las 34 Autoridades Portuarias Nacionales y el sector privado (miembros asociados y socios estratégicos)</w:t>
      </w:r>
      <w:r w:rsidR="00802F7C" w:rsidRPr="00512F79">
        <w:rPr>
          <w:rFonts w:ascii="Times New Roman" w:hAnsi="Times New Roman"/>
          <w:iCs/>
          <w:color w:val="000000" w:themeColor="text1"/>
        </w:rPr>
        <w:t xml:space="preserve">, </w:t>
      </w:r>
      <w:r w:rsidR="0023495A">
        <w:rPr>
          <w:rFonts w:ascii="Times New Roman" w:hAnsi="Times New Roman"/>
          <w:iCs/>
          <w:color w:val="000000" w:themeColor="text1"/>
        </w:rPr>
        <w:t xml:space="preserve">contó con </w:t>
      </w:r>
      <w:r w:rsidR="00802F7C" w:rsidRPr="00512F79">
        <w:rPr>
          <w:rFonts w:ascii="Times New Roman" w:hAnsi="Times New Roman"/>
          <w:iCs/>
          <w:color w:val="000000" w:themeColor="text1"/>
        </w:rPr>
        <w:t>más de 14.000 usuarios este año, lo que supone un aumento del tráfico de casi el 22% en comparación con las cifras de 2021.</w:t>
      </w:r>
    </w:p>
    <w:p w14:paraId="2687205D" w14:textId="77777777" w:rsidR="00B46A1B" w:rsidRPr="00512F79" w:rsidRDefault="00B46A1B" w:rsidP="00CB030B">
      <w:pPr>
        <w:jc w:val="both"/>
        <w:rPr>
          <w:rFonts w:ascii="Times New Roman" w:hAnsi="Times New Roman" w:cs="Times New Roman"/>
          <w:b/>
          <w:bCs/>
          <w:color w:val="000000" w:themeColor="text1"/>
          <w:sz w:val="22"/>
          <w:szCs w:val="22"/>
          <w:lang w:val="es-ES"/>
        </w:rPr>
      </w:pPr>
    </w:p>
    <w:p w14:paraId="53510550" w14:textId="77777777" w:rsidR="00F4728E" w:rsidRPr="00512F79" w:rsidRDefault="00967695">
      <w:pPr>
        <w:jc w:val="both"/>
        <w:rPr>
          <w:rFonts w:ascii="Times New Roman" w:hAnsi="Times New Roman" w:cs="Times New Roman"/>
          <w:b/>
          <w:bCs/>
          <w:color w:val="000000" w:themeColor="text1"/>
          <w:sz w:val="22"/>
          <w:szCs w:val="22"/>
          <w:u w:val="single"/>
          <w:lang w:val="es-ES"/>
        </w:rPr>
      </w:pPr>
      <w:r w:rsidRPr="00512F79">
        <w:rPr>
          <w:rFonts w:ascii="Times New Roman" w:hAnsi="Times New Roman" w:cs="Times New Roman"/>
          <w:b/>
          <w:bCs/>
          <w:color w:val="000000" w:themeColor="text1"/>
          <w:sz w:val="22"/>
          <w:szCs w:val="22"/>
          <w:u w:val="single"/>
          <w:lang w:val="es-ES"/>
        </w:rPr>
        <w:t>OBJETIVO 5.2</w:t>
      </w:r>
    </w:p>
    <w:p w14:paraId="2C03C658" w14:textId="77777777" w:rsidR="00F86E25" w:rsidRPr="00512F79" w:rsidRDefault="00F86E25" w:rsidP="00CB030B">
      <w:pPr>
        <w:jc w:val="both"/>
        <w:rPr>
          <w:rFonts w:ascii="Times New Roman" w:hAnsi="Times New Roman" w:cs="Times New Roman"/>
          <w:color w:val="000000" w:themeColor="text1"/>
          <w:sz w:val="22"/>
          <w:szCs w:val="22"/>
          <w:lang w:val="es-ES"/>
        </w:rPr>
      </w:pPr>
    </w:p>
    <w:p w14:paraId="6645A713" w14:textId="6FE0F0CA" w:rsidR="00F4728E" w:rsidRPr="00512F79" w:rsidRDefault="00967695">
      <w:pPr>
        <w:ind w:firstLine="720"/>
        <w:jc w:val="both"/>
        <w:rPr>
          <w:rFonts w:ascii="Times New Roman" w:hAnsi="Times New Roman" w:cs="Times New Roman"/>
          <w:color w:val="000000" w:themeColor="text1"/>
          <w:sz w:val="22"/>
          <w:szCs w:val="22"/>
          <w:lang w:val="es-ES"/>
        </w:rPr>
      </w:pPr>
      <w:r w:rsidRPr="00512F79">
        <w:rPr>
          <w:rFonts w:ascii="Times New Roman" w:hAnsi="Times New Roman" w:cs="Times New Roman"/>
          <w:color w:val="000000" w:themeColor="text1"/>
          <w:sz w:val="22"/>
          <w:szCs w:val="22"/>
          <w:lang w:val="es-ES"/>
        </w:rPr>
        <w:t xml:space="preserve">Fomentar asociaciones multisectoriales eficaces para ayudar a </w:t>
      </w:r>
      <w:r w:rsidR="00C67D84" w:rsidRPr="00512F79">
        <w:rPr>
          <w:rFonts w:ascii="Times New Roman" w:hAnsi="Times New Roman" w:cs="Times New Roman"/>
          <w:color w:val="000000" w:themeColor="text1"/>
          <w:sz w:val="22"/>
          <w:szCs w:val="22"/>
          <w:lang w:val="es-ES"/>
        </w:rPr>
        <w:t xml:space="preserve">los </w:t>
      </w:r>
      <w:r w:rsidR="005F30B1" w:rsidRPr="00512F79">
        <w:rPr>
          <w:rFonts w:ascii="Times New Roman" w:hAnsi="Times New Roman" w:cs="Times New Roman"/>
          <w:color w:val="000000" w:themeColor="text1"/>
          <w:sz w:val="22"/>
          <w:szCs w:val="22"/>
          <w:lang w:val="es-ES"/>
        </w:rPr>
        <w:t xml:space="preserve">Estados </w:t>
      </w:r>
      <w:r w:rsidR="0023495A">
        <w:rPr>
          <w:rFonts w:ascii="Times New Roman" w:hAnsi="Times New Roman" w:cs="Times New Roman"/>
          <w:color w:val="000000" w:themeColor="text1"/>
          <w:sz w:val="22"/>
          <w:szCs w:val="22"/>
          <w:lang w:val="es-ES"/>
        </w:rPr>
        <w:t>M</w:t>
      </w:r>
      <w:r w:rsidR="005F30B1" w:rsidRPr="00512F79">
        <w:rPr>
          <w:rFonts w:ascii="Times New Roman" w:hAnsi="Times New Roman" w:cs="Times New Roman"/>
          <w:color w:val="000000" w:themeColor="text1"/>
          <w:sz w:val="22"/>
          <w:szCs w:val="22"/>
          <w:lang w:val="es-ES"/>
        </w:rPr>
        <w:t xml:space="preserve">iembros a </w:t>
      </w:r>
      <w:r w:rsidRPr="00512F79">
        <w:rPr>
          <w:rFonts w:ascii="Times New Roman" w:hAnsi="Times New Roman" w:cs="Times New Roman"/>
          <w:color w:val="000000" w:themeColor="text1"/>
          <w:sz w:val="22"/>
          <w:szCs w:val="22"/>
          <w:lang w:val="es-ES"/>
        </w:rPr>
        <w:t>cumplir los Objetivos de Desarrollo Sostenible.</w:t>
      </w:r>
    </w:p>
    <w:p w14:paraId="3091C6A6" w14:textId="77777777" w:rsidR="00B46A1B" w:rsidRPr="00512F79" w:rsidRDefault="00B46A1B" w:rsidP="00CB030B">
      <w:pPr>
        <w:jc w:val="both"/>
        <w:rPr>
          <w:rFonts w:ascii="Times New Roman" w:hAnsi="Times New Roman" w:cs="Times New Roman"/>
          <w:color w:val="000000" w:themeColor="text1"/>
          <w:sz w:val="22"/>
          <w:szCs w:val="22"/>
          <w:lang w:val="es-ES"/>
        </w:rPr>
      </w:pPr>
    </w:p>
    <w:p w14:paraId="19277C04" w14:textId="48D54218" w:rsidR="00F4728E" w:rsidRPr="00512F79" w:rsidRDefault="002E4B8E">
      <w:pPr>
        <w:pStyle w:val="ListParagraph"/>
        <w:numPr>
          <w:ilvl w:val="0"/>
          <w:numId w:val="41"/>
        </w:numPr>
        <w:ind w:left="1440" w:hanging="720"/>
        <w:contextualSpacing/>
        <w:jc w:val="both"/>
        <w:rPr>
          <w:color w:val="000000" w:themeColor="text1"/>
          <w:sz w:val="22"/>
          <w:szCs w:val="22"/>
          <w:lang w:val="es-ES"/>
        </w:rPr>
      </w:pPr>
      <w:r>
        <w:rPr>
          <w:color w:val="000000" w:themeColor="text1"/>
          <w:sz w:val="22"/>
          <w:szCs w:val="22"/>
          <w:lang w:val="es-ES"/>
        </w:rPr>
        <w:t xml:space="preserve">Se firmó </w:t>
      </w:r>
      <w:r w:rsidR="00967695" w:rsidRPr="00512F79">
        <w:rPr>
          <w:color w:val="000000" w:themeColor="text1"/>
          <w:sz w:val="22"/>
          <w:szCs w:val="22"/>
          <w:lang w:val="es-ES"/>
        </w:rPr>
        <w:t>un Memorando de Entendimiento entre la Universidad de Chile y la SG/OEA, que permitirá una mayor colaboración con la Secretaría de la C</w:t>
      </w:r>
      <w:r>
        <w:rPr>
          <w:color w:val="000000" w:themeColor="text1"/>
          <w:sz w:val="22"/>
          <w:szCs w:val="22"/>
          <w:lang w:val="es-ES"/>
        </w:rPr>
        <w:t>omisión Interamericana de Puertos</w:t>
      </w:r>
      <w:r w:rsidR="00967695" w:rsidRPr="00512F79">
        <w:rPr>
          <w:color w:val="000000" w:themeColor="text1"/>
          <w:sz w:val="22"/>
          <w:szCs w:val="22"/>
          <w:lang w:val="es-ES"/>
        </w:rPr>
        <w:t xml:space="preserve"> en </w:t>
      </w:r>
      <w:r w:rsidR="002825BB">
        <w:rPr>
          <w:color w:val="000000" w:themeColor="text1"/>
          <w:sz w:val="22"/>
          <w:szCs w:val="22"/>
          <w:lang w:val="es-ES"/>
        </w:rPr>
        <w:t>la elaboración</w:t>
      </w:r>
      <w:r w:rsidR="00967695" w:rsidRPr="00512F79">
        <w:rPr>
          <w:color w:val="000000" w:themeColor="text1"/>
          <w:sz w:val="22"/>
          <w:szCs w:val="22"/>
          <w:lang w:val="es-ES"/>
        </w:rPr>
        <w:t xml:space="preserve"> de un nuevo plan de estudios para un nuevo Programa de Maestría en Gestión Portuaria Interamericana. </w:t>
      </w:r>
      <w:r>
        <w:rPr>
          <w:color w:val="000000" w:themeColor="text1"/>
          <w:sz w:val="22"/>
          <w:szCs w:val="22"/>
          <w:lang w:val="es-ES"/>
        </w:rPr>
        <w:t>Además,</w:t>
      </w:r>
      <w:r w:rsidR="00967695" w:rsidRPr="00512F79">
        <w:rPr>
          <w:color w:val="000000" w:themeColor="text1"/>
          <w:sz w:val="22"/>
          <w:szCs w:val="22"/>
          <w:lang w:val="es-ES"/>
        </w:rPr>
        <w:t xml:space="preserve"> la Universidad de Chile ha ofrecido generosamente becas a las Autoridades Portuarias Nacionales de la CIP.</w:t>
      </w:r>
    </w:p>
    <w:p w14:paraId="171E9EF0" w14:textId="77777777" w:rsidR="009F6016" w:rsidRPr="00512F79" w:rsidRDefault="009F6016" w:rsidP="00CB030B">
      <w:pPr>
        <w:pStyle w:val="ListParagraph"/>
        <w:ind w:left="1440" w:hanging="720"/>
        <w:contextualSpacing/>
        <w:jc w:val="both"/>
        <w:rPr>
          <w:color w:val="000000" w:themeColor="text1"/>
          <w:sz w:val="22"/>
          <w:szCs w:val="22"/>
          <w:lang w:val="es-ES"/>
        </w:rPr>
      </w:pPr>
    </w:p>
    <w:p w14:paraId="1ACD5F73" w14:textId="2ED9C170" w:rsidR="00F4728E" w:rsidRPr="00512F79" w:rsidRDefault="002E4B8E">
      <w:pPr>
        <w:pStyle w:val="ListParagraph"/>
        <w:numPr>
          <w:ilvl w:val="0"/>
          <w:numId w:val="41"/>
        </w:numPr>
        <w:ind w:left="1440" w:hanging="720"/>
        <w:contextualSpacing/>
        <w:jc w:val="both"/>
        <w:rPr>
          <w:color w:val="000000" w:themeColor="text1"/>
          <w:sz w:val="22"/>
          <w:szCs w:val="22"/>
          <w:lang w:val="es-ES"/>
        </w:rPr>
      </w:pPr>
      <w:r>
        <w:rPr>
          <w:iCs/>
          <w:color w:val="000000" w:themeColor="text1"/>
          <w:sz w:val="22"/>
          <w:szCs w:val="22"/>
          <w:lang w:val="es-ES"/>
        </w:rPr>
        <w:t>Se o</w:t>
      </w:r>
      <w:r w:rsidR="00967695" w:rsidRPr="00512F79">
        <w:rPr>
          <w:iCs/>
          <w:color w:val="000000" w:themeColor="text1"/>
          <w:sz w:val="22"/>
          <w:szCs w:val="22"/>
          <w:lang w:val="es-ES"/>
        </w:rPr>
        <w:t xml:space="preserve">rganizó la </w:t>
      </w:r>
      <w:r w:rsidR="00F86E25" w:rsidRPr="00512F79">
        <w:rPr>
          <w:iCs/>
          <w:color w:val="000000" w:themeColor="text1"/>
          <w:sz w:val="22"/>
          <w:szCs w:val="22"/>
          <w:lang w:val="es-ES"/>
        </w:rPr>
        <w:t xml:space="preserve">XXII </w:t>
      </w:r>
      <w:r w:rsidR="00967695" w:rsidRPr="00512F79">
        <w:rPr>
          <w:iCs/>
          <w:color w:val="000000" w:themeColor="text1"/>
          <w:sz w:val="22"/>
          <w:szCs w:val="22"/>
          <w:lang w:val="es-ES"/>
        </w:rPr>
        <w:t xml:space="preserve">Reunión del </w:t>
      </w:r>
      <w:r>
        <w:rPr>
          <w:iCs/>
          <w:color w:val="000000" w:themeColor="text1"/>
          <w:sz w:val="22"/>
          <w:szCs w:val="22"/>
          <w:lang w:val="es-ES"/>
        </w:rPr>
        <w:t>Comité</w:t>
      </w:r>
      <w:r w:rsidR="00967695" w:rsidRPr="00512F79">
        <w:rPr>
          <w:iCs/>
          <w:color w:val="000000" w:themeColor="text1"/>
          <w:sz w:val="22"/>
          <w:szCs w:val="22"/>
          <w:lang w:val="es-ES"/>
        </w:rPr>
        <w:t xml:space="preserve"> Ejecutivo de la C</w:t>
      </w:r>
      <w:r>
        <w:rPr>
          <w:iCs/>
          <w:color w:val="000000" w:themeColor="text1"/>
          <w:sz w:val="22"/>
          <w:szCs w:val="22"/>
          <w:lang w:val="es-ES"/>
        </w:rPr>
        <w:t>omisión Interamericana de Puertos</w:t>
      </w:r>
      <w:r w:rsidR="00967695" w:rsidRPr="00512F79">
        <w:rPr>
          <w:iCs/>
          <w:color w:val="000000" w:themeColor="text1"/>
          <w:sz w:val="22"/>
          <w:szCs w:val="22"/>
          <w:lang w:val="es-ES"/>
        </w:rPr>
        <w:t xml:space="preserve"> </w:t>
      </w:r>
      <w:r w:rsidR="00F15A1B" w:rsidRPr="00512F79">
        <w:rPr>
          <w:iCs/>
          <w:color w:val="000000" w:themeColor="text1"/>
          <w:sz w:val="22"/>
          <w:szCs w:val="22"/>
          <w:lang w:val="es-ES"/>
        </w:rPr>
        <w:t>(</w:t>
      </w:r>
      <w:r w:rsidR="00B40953" w:rsidRPr="00512F79">
        <w:rPr>
          <w:iCs/>
          <w:color w:val="000000" w:themeColor="text1"/>
          <w:sz w:val="22"/>
          <w:szCs w:val="22"/>
          <w:lang w:val="es-ES"/>
        </w:rPr>
        <w:t>CECIP</w:t>
      </w:r>
      <w:r w:rsidR="00F15A1B" w:rsidRPr="00512F79">
        <w:rPr>
          <w:iCs/>
          <w:color w:val="000000" w:themeColor="text1"/>
          <w:sz w:val="22"/>
          <w:szCs w:val="22"/>
          <w:lang w:val="es-ES"/>
        </w:rPr>
        <w:t>)</w:t>
      </w:r>
      <w:r w:rsidR="00967695" w:rsidRPr="00512F79">
        <w:rPr>
          <w:iCs/>
          <w:color w:val="000000" w:themeColor="text1"/>
          <w:sz w:val="22"/>
          <w:szCs w:val="22"/>
          <w:lang w:val="es-ES"/>
        </w:rPr>
        <w:t xml:space="preserve">, </w:t>
      </w:r>
      <w:r>
        <w:rPr>
          <w:iCs/>
          <w:color w:val="000000" w:themeColor="text1"/>
          <w:sz w:val="22"/>
          <w:szCs w:val="22"/>
          <w:lang w:val="es-ES"/>
        </w:rPr>
        <w:t>celebrada</w:t>
      </w:r>
      <w:r w:rsidR="00967695" w:rsidRPr="00512F79">
        <w:rPr>
          <w:iCs/>
          <w:color w:val="000000" w:themeColor="text1"/>
          <w:sz w:val="22"/>
          <w:szCs w:val="22"/>
          <w:lang w:val="es-ES"/>
        </w:rPr>
        <w:t xml:space="preserve"> virtualmente el 15 de marzo de 2022. En la reunión se aprobaron</w:t>
      </w:r>
      <w:r w:rsidR="00904D17">
        <w:rPr>
          <w:iCs/>
          <w:color w:val="000000" w:themeColor="text1"/>
          <w:sz w:val="22"/>
          <w:szCs w:val="22"/>
          <w:lang w:val="es-ES"/>
        </w:rPr>
        <w:t xml:space="preserve"> los siguientes documentos:</w:t>
      </w:r>
      <w:r w:rsidR="00967695" w:rsidRPr="00512F79">
        <w:rPr>
          <w:iCs/>
          <w:color w:val="000000" w:themeColor="text1"/>
          <w:sz w:val="22"/>
          <w:szCs w:val="22"/>
          <w:lang w:val="es-ES"/>
        </w:rPr>
        <w:t xml:space="preserve"> la Resolución de Colonia, el </w:t>
      </w:r>
      <w:r w:rsidR="00E03E65">
        <w:rPr>
          <w:iCs/>
          <w:color w:val="000000" w:themeColor="text1"/>
          <w:sz w:val="22"/>
          <w:szCs w:val="22"/>
          <w:lang w:val="es-ES"/>
        </w:rPr>
        <w:t>P</w:t>
      </w:r>
      <w:r w:rsidR="00967695" w:rsidRPr="00512F79">
        <w:rPr>
          <w:iCs/>
          <w:color w:val="000000" w:themeColor="text1"/>
          <w:sz w:val="22"/>
          <w:szCs w:val="22"/>
          <w:lang w:val="es-ES"/>
        </w:rPr>
        <w:t xml:space="preserve">resupuesto </w:t>
      </w:r>
      <w:r w:rsidR="00E03E65">
        <w:rPr>
          <w:iCs/>
          <w:color w:val="000000" w:themeColor="text1"/>
          <w:sz w:val="22"/>
          <w:szCs w:val="22"/>
          <w:lang w:val="es-ES"/>
        </w:rPr>
        <w:t>O</w:t>
      </w:r>
      <w:r w:rsidR="00F15A1B" w:rsidRPr="00512F79">
        <w:rPr>
          <w:iCs/>
          <w:color w:val="000000" w:themeColor="text1"/>
          <w:sz w:val="22"/>
          <w:szCs w:val="22"/>
          <w:lang w:val="es-ES"/>
        </w:rPr>
        <w:t xml:space="preserve">perativo </w:t>
      </w:r>
      <w:r w:rsidR="00967695" w:rsidRPr="00512F79">
        <w:rPr>
          <w:iCs/>
          <w:color w:val="000000" w:themeColor="text1"/>
          <w:sz w:val="22"/>
          <w:szCs w:val="22"/>
          <w:lang w:val="es-ES"/>
        </w:rPr>
        <w:t xml:space="preserve">2022-2023 </w:t>
      </w:r>
      <w:r w:rsidR="00F15A1B" w:rsidRPr="00512F79">
        <w:rPr>
          <w:iCs/>
          <w:color w:val="000000" w:themeColor="text1"/>
          <w:sz w:val="22"/>
          <w:szCs w:val="22"/>
          <w:lang w:val="es-ES"/>
        </w:rPr>
        <w:t xml:space="preserve">y </w:t>
      </w:r>
      <w:r w:rsidR="00967695" w:rsidRPr="00512F79">
        <w:rPr>
          <w:iCs/>
          <w:color w:val="000000" w:themeColor="text1"/>
          <w:sz w:val="22"/>
          <w:szCs w:val="22"/>
          <w:lang w:val="es-ES"/>
        </w:rPr>
        <w:t xml:space="preserve">los </w:t>
      </w:r>
      <w:r w:rsidR="00E03E65">
        <w:rPr>
          <w:iCs/>
          <w:color w:val="000000" w:themeColor="text1"/>
          <w:sz w:val="22"/>
          <w:szCs w:val="22"/>
          <w:lang w:val="es-ES"/>
        </w:rPr>
        <w:t>i</w:t>
      </w:r>
      <w:r w:rsidR="00967695" w:rsidRPr="00512F79">
        <w:rPr>
          <w:iCs/>
          <w:color w:val="000000" w:themeColor="text1"/>
          <w:sz w:val="22"/>
          <w:szCs w:val="22"/>
          <w:lang w:val="es-ES"/>
        </w:rPr>
        <w:t xml:space="preserve">nformes de actividades de medio término de seis </w:t>
      </w:r>
      <w:r w:rsidR="00904D17">
        <w:rPr>
          <w:iCs/>
          <w:color w:val="000000" w:themeColor="text1"/>
          <w:sz w:val="22"/>
          <w:szCs w:val="22"/>
          <w:lang w:val="es-ES"/>
        </w:rPr>
        <w:t>Comités</w:t>
      </w:r>
      <w:r w:rsidR="00967695" w:rsidRPr="00512F79">
        <w:rPr>
          <w:iCs/>
          <w:color w:val="000000" w:themeColor="text1"/>
          <w:sz w:val="22"/>
          <w:szCs w:val="22"/>
          <w:lang w:val="es-ES"/>
        </w:rPr>
        <w:t xml:space="preserve"> Técnicos Consultivos y de la Secretaría de la CIP. Cabe destacar que </w:t>
      </w:r>
      <w:r w:rsidR="00F15A1B" w:rsidRPr="00512F79">
        <w:rPr>
          <w:iCs/>
          <w:color w:val="000000" w:themeColor="text1"/>
          <w:sz w:val="22"/>
          <w:szCs w:val="22"/>
          <w:lang w:val="es-ES"/>
        </w:rPr>
        <w:t xml:space="preserve">CECIP aprobó </w:t>
      </w:r>
      <w:r w:rsidR="00967695" w:rsidRPr="00512F79">
        <w:rPr>
          <w:iCs/>
          <w:color w:val="000000" w:themeColor="text1"/>
          <w:sz w:val="22"/>
          <w:szCs w:val="22"/>
          <w:lang w:val="es-ES"/>
        </w:rPr>
        <w:t xml:space="preserve">cambios en el Reglamento Interno de la CIP, que </w:t>
      </w:r>
      <w:r w:rsidR="00F15A1B" w:rsidRPr="00512F79">
        <w:rPr>
          <w:iCs/>
          <w:color w:val="000000" w:themeColor="text1"/>
          <w:sz w:val="22"/>
          <w:szCs w:val="22"/>
          <w:lang w:val="es-ES"/>
        </w:rPr>
        <w:t xml:space="preserve">serán </w:t>
      </w:r>
      <w:r w:rsidR="00967695" w:rsidRPr="00512F79">
        <w:rPr>
          <w:iCs/>
          <w:color w:val="000000" w:themeColor="text1"/>
          <w:sz w:val="22"/>
          <w:szCs w:val="22"/>
          <w:lang w:val="es-ES"/>
        </w:rPr>
        <w:t xml:space="preserve">presentados para su </w:t>
      </w:r>
      <w:r w:rsidR="00F15A1B" w:rsidRPr="00512F79">
        <w:rPr>
          <w:iCs/>
          <w:color w:val="000000" w:themeColor="text1"/>
          <w:sz w:val="22"/>
          <w:szCs w:val="22"/>
          <w:lang w:val="es-ES"/>
        </w:rPr>
        <w:t xml:space="preserve">aprobación por el Comité en Plenario </w:t>
      </w:r>
      <w:r w:rsidR="00967695" w:rsidRPr="00512F79">
        <w:rPr>
          <w:iCs/>
          <w:color w:val="000000" w:themeColor="text1"/>
          <w:sz w:val="22"/>
          <w:szCs w:val="22"/>
          <w:lang w:val="es-ES"/>
        </w:rPr>
        <w:t xml:space="preserve">durante la </w:t>
      </w:r>
      <w:r w:rsidR="00EE3694" w:rsidRPr="00512F79">
        <w:rPr>
          <w:iCs/>
          <w:color w:val="000000" w:themeColor="text1"/>
          <w:sz w:val="22"/>
          <w:szCs w:val="22"/>
          <w:lang w:val="es-ES"/>
        </w:rPr>
        <w:t xml:space="preserve">XIII </w:t>
      </w:r>
      <w:r w:rsidR="00967695" w:rsidRPr="00512F79">
        <w:rPr>
          <w:iCs/>
          <w:color w:val="000000" w:themeColor="text1"/>
          <w:sz w:val="22"/>
          <w:szCs w:val="22"/>
          <w:lang w:val="es-ES"/>
        </w:rPr>
        <w:t xml:space="preserve">Reunión Ordinaria de la CIP en 2023, </w:t>
      </w:r>
      <w:r w:rsidR="00F15A1B" w:rsidRPr="00512F79">
        <w:rPr>
          <w:iCs/>
          <w:color w:val="000000" w:themeColor="text1"/>
          <w:sz w:val="22"/>
          <w:szCs w:val="22"/>
          <w:lang w:val="es-ES"/>
        </w:rPr>
        <w:t xml:space="preserve">y luego </w:t>
      </w:r>
      <w:r w:rsidR="00967695" w:rsidRPr="00512F79">
        <w:rPr>
          <w:iCs/>
          <w:color w:val="000000" w:themeColor="text1"/>
          <w:sz w:val="22"/>
          <w:szCs w:val="22"/>
          <w:lang w:val="es-ES"/>
        </w:rPr>
        <w:t>para su posterior envío al CIDI para su aprobación final.</w:t>
      </w:r>
    </w:p>
    <w:p w14:paraId="6351D02D" w14:textId="77777777" w:rsidR="00F15A1B" w:rsidRPr="00512F79" w:rsidRDefault="00F15A1B" w:rsidP="00CB030B">
      <w:pPr>
        <w:pStyle w:val="ListParagraph"/>
        <w:contextualSpacing/>
        <w:jc w:val="both"/>
        <w:rPr>
          <w:color w:val="000000" w:themeColor="text1"/>
          <w:sz w:val="22"/>
          <w:szCs w:val="22"/>
          <w:lang w:val="es-ES"/>
        </w:rPr>
      </w:pPr>
    </w:p>
    <w:p w14:paraId="53D388E1" w14:textId="653CCABE" w:rsidR="00F4728E" w:rsidRPr="00512F79" w:rsidRDefault="00904D17">
      <w:pPr>
        <w:pStyle w:val="ListParagraph"/>
        <w:numPr>
          <w:ilvl w:val="0"/>
          <w:numId w:val="41"/>
        </w:numPr>
        <w:ind w:left="1440" w:hanging="720"/>
        <w:contextualSpacing/>
        <w:jc w:val="both"/>
        <w:rPr>
          <w:color w:val="000000" w:themeColor="text1"/>
          <w:sz w:val="22"/>
          <w:szCs w:val="22"/>
          <w:lang w:val="es-ES"/>
        </w:rPr>
      </w:pPr>
      <w:r>
        <w:rPr>
          <w:color w:val="000000" w:themeColor="text1"/>
          <w:sz w:val="22"/>
          <w:szCs w:val="22"/>
          <w:lang w:val="es-ES"/>
        </w:rPr>
        <w:t xml:space="preserve">Se </w:t>
      </w:r>
      <w:r w:rsidR="004D5C79">
        <w:rPr>
          <w:color w:val="000000" w:themeColor="text1"/>
          <w:sz w:val="22"/>
          <w:szCs w:val="22"/>
          <w:lang w:val="es-ES"/>
        </w:rPr>
        <w:t>concedieron</w:t>
      </w:r>
      <w:r w:rsidR="00967695" w:rsidRPr="00512F79">
        <w:rPr>
          <w:color w:val="000000" w:themeColor="text1"/>
          <w:sz w:val="22"/>
          <w:szCs w:val="22"/>
          <w:lang w:val="es-ES"/>
        </w:rPr>
        <w:t xml:space="preserve"> cuatro Premios Marítimos de las Américas y tres menciones honoríficas a instituciones públicas y privadas de Brasil, Jamaica, México, Panamá y Perú por sus distinguidas prácticas en Digitalización Competitiva</w:t>
      </w:r>
      <w:r w:rsidR="00590AD4">
        <w:rPr>
          <w:color w:val="000000" w:themeColor="text1"/>
          <w:sz w:val="22"/>
          <w:szCs w:val="22"/>
          <w:lang w:val="es-ES"/>
        </w:rPr>
        <w:t>;</w:t>
      </w:r>
      <w:r w:rsidR="00967695" w:rsidRPr="00512F79">
        <w:rPr>
          <w:color w:val="000000" w:themeColor="text1"/>
          <w:sz w:val="22"/>
          <w:szCs w:val="22"/>
          <w:lang w:val="es-ES"/>
        </w:rPr>
        <w:t xml:space="preserve"> </w:t>
      </w:r>
      <w:r w:rsidR="00567DED">
        <w:rPr>
          <w:color w:val="000000" w:themeColor="text1"/>
          <w:sz w:val="22"/>
          <w:szCs w:val="22"/>
          <w:lang w:val="es-ES"/>
        </w:rPr>
        <w:t>Seguridad Cibernética Portuaria</w:t>
      </w:r>
      <w:r w:rsidR="00967695" w:rsidRPr="00512F79">
        <w:rPr>
          <w:color w:val="000000" w:themeColor="text1"/>
          <w:sz w:val="22"/>
          <w:szCs w:val="22"/>
          <w:lang w:val="es-ES"/>
        </w:rPr>
        <w:t xml:space="preserve"> y/o</w:t>
      </w:r>
      <w:r w:rsidR="00590AD4">
        <w:rPr>
          <w:color w:val="000000" w:themeColor="text1"/>
          <w:sz w:val="22"/>
          <w:szCs w:val="22"/>
          <w:lang w:val="es-ES"/>
        </w:rPr>
        <w:t xml:space="preserve"> en</w:t>
      </w:r>
      <w:r w:rsidR="00967695" w:rsidRPr="00512F79">
        <w:rPr>
          <w:color w:val="000000" w:themeColor="text1"/>
          <w:sz w:val="22"/>
          <w:szCs w:val="22"/>
          <w:lang w:val="es-ES"/>
        </w:rPr>
        <w:t xml:space="preserve"> Terminales</w:t>
      </w:r>
      <w:r w:rsidR="00590AD4">
        <w:rPr>
          <w:color w:val="000000" w:themeColor="text1"/>
          <w:sz w:val="22"/>
          <w:szCs w:val="22"/>
          <w:lang w:val="es-ES"/>
        </w:rPr>
        <w:t>;</w:t>
      </w:r>
      <w:r w:rsidR="00967695" w:rsidRPr="00512F79">
        <w:rPr>
          <w:color w:val="000000" w:themeColor="text1"/>
          <w:sz w:val="22"/>
          <w:szCs w:val="22"/>
          <w:lang w:val="es-ES"/>
        </w:rPr>
        <w:t xml:space="preserve"> </w:t>
      </w:r>
      <w:r w:rsidR="00567DED">
        <w:rPr>
          <w:color w:val="000000" w:themeColor="text1"/>
          <w:sz w:val="22"/>
          <w:szCs w:val="22"/>
          <w:lang w:val="es-ES"/>
        </w:rPr>
        <w:t>Gestión Verde y Sostenibilidad Portuaria</w:t>
      </w:r>
      <w:r w:rsidR="00590AD4">
        <w:rPr>
          <w:color w:val="000000" w:themeColor="text1"/>
          <w:sz w:val="22"/>
          <w:szCs w:val="22"/>
          <w:lang w:val="es-ES"/>
        </w:rPr>
        <w:t>;</w:t>
      </w:r>
      <w:r w:rsidR="00967695" w:rsidRPr="00512F79">
        <w:rPr>
          <w:color w:val="000000" w:themeColor="text1"/>
          <w:sz w:val="22"/>
          <w:szCs w:val="22"/>
          <w:lang w:val="es-ES"/>
        </w:rPr>
        <w:t xml:space="preserve"> Empoderamiento e Igualdad y Mujeres </w:t>
      </w:r>
      <w:r w:rsidR="00567DED">
        <w:rPr>
          <w:color w:val="000000" w:themeColor="text1"/>
          <w:sz w:val="22"/>
          <w:szCs w:val="22"/>
          <w:lang w:val="es-ES"/>
        </w:rPr>
        <w:t>Sobresalientes del Sector Portuario.</w:t>
      </w:r>
    </w:p>
    <w:p w14:paraId="32591164" w14:textId="77777777" w:rsidR="00F15A1B" w:rsidRPr="00512F79" w:rsidRDefault="00F15A1B" w:rsidP="00CB030B">
      <w:pPr>
        <w:pStyle w:val="ListParagraph"/>
        <w:ind w:left="1440" w:hanging="720"/>
        <w:contextualSpacing/>
        <w:jc w:val="both"/>
        <w:rPr>
          <w:color w:val="000000" w:themeColor="text1"/>
          <w:sz w:val="22"/>
          <w:szCs w:val="22"/>
          <w:lang w:val="es-ES"/>
        </w:rPr>
      </w:pPr>
    </w:p>
    <w:p w14:paraId="7537123A" w14:textId="63A44D9F" w:rsidR="00F4728E" w:rsidRPr="00512F79" w:rsidRDefault="004D5C79">
      <w:pPr>
        <w:pStyle w:val="ListParagraph"/>
        <w:numPr>
          <w:ilvl w:val="0"/>
          <w:numId w:val="41"/>
        </w:numPr>
        <w:ind w:left="1440" w:hanging="720"/>
        <w:contextualSpacing/>
        <w:jc w:val="both"/>
        <w:rPr>
          <w:color w:val="000000" w:themeColor="text1"/>
          <w:sz w:val="22"/>
          <w:szCs w:val="22"/>
          <w:lang w:val="es-ES"/>
        </w:rPr>
      </w:pPr>
      <w:r>
        <w:rPr>
          <w:color w:val="000000" w:themeColor="text1"/>
          <w:sz w:val="22"/>
          <w:szCs w:val="22"/>
          <w:lang w:val="es-ES"/>
        </w:rPr>
        <w:t xml:space="preserve">En </w:t>
      </w:r>
      <w:r w:rsidR="00967695" w:rsidRPr="00512F79">
        <w:rPr>
          <w:color w:val="000000" w:themeColor="text1"/>
          <w:sz w:val="22"/>
          <w:szCs w:val="22"/>
          <w:lang w:val="es-ES"/>
        </w:rPr>
        <w:t xml:space="preserve">colaboración con la Asociación Americana de Autoridades Portuarias, </w:t>
      </w:r>
      <w:r>
        <w:rPr>
          <w:color w:val="000000" w:themeColor="text1"/>
          <w:sz w:val="22"/>
          <w:szCs w:val="22"/>
          <w:lang w:val="es-ES"/>
        </w:rPr>
        <w:t xml:space="preserve">se concedieron </w:t>
      </w:r>
      <w:r w:rsidR="00967695" w:rsidRPr="00512F79">
        <w:rPr>
          <w:color w:val="000000" w:themeColor="text1"/>
          <w:sz w:val="22"/>
          <w:szCs w:val="22"/>
          <w:lang w:val="es-ES"/>
        </w:rPr>
        <w:t xml:space="preserve">tres Premios </w:t>
      </w:r>
      <w:r>
        <w:rPr>
          <w:color w:val="000000" w:themeColor="text1"/>
          <w:sz w:val="22"/>
          <w:szCs w:val="22"/>
          <w:lang w:val="es-ES"/>
        </w:rPr>
        <w:t>de</w:t>
      </w:r>
      <w:r w:rsidR="00967695" w:rsidRPr="00512F79">
        <w:rPr>
          <w:color w:val="000000" w:themeColor="text1"/>
          <w:sz w:val="22"/>
          <w:szCs w:val="22"/>
          <w:lang w:val="es-ES"/>
        </w:rPr>
        <w:t xml:space="preserve"> Excelencia de la Industria Portuaria a instituciones públicas y privadas de Brasil y Perú por sus prácticas </w:t>
      </w:r>
      <w:r>
        <w:rPr>
          <w:color w:val="000000" w:themeColor="text1"/>
          <w:sz w:val="22"/>
          <w:szCs w:val="22"/>
          <w:lang w:val="es-ES"/>
        </w:rPr>
        <w:t>exitosas</w:t>
      </w:r>
      <w:r w:rsidR="00967695" w:rsidRPr="00512F79">
        <w:rPr>
          <w:color w:val="000000" w:themeColor="text1"/>
          <w:sz w:val="22"/>
          <w:szCs w:val="22"/>
          <w:lang w:val="es-ES"/>
        </w:rPr>
        <w:t xml:space="preserve"> en Tecnología e Innovación, Desarrollo de Infraestructuras Portuarias y Asociaciones Público-Privadas.</w:t>
      </w:r>
    </w:p>
    <w:p w14:paraId="551EEEEE" w14:textId="77777777" w:rsidR="00F15A1B" w:rsidRPr="00512F79" w:rsidRDefault="00F15A1B" w:rsidP="00CB030B">
      <w:pPr>
        <w:pStyle w:val="ListParagraph"/>
        <w:ind w:left="1440" w:hanging="720"/>
        <w:contextualSpacing/>
        <w:jc w:val="both"/>
        <w:rPr>
          <w:color w:val="000000" w:themeColor="text1"/>
          <w:sz w:val="22"/>
          <w:szCs w:val="22"/>
          <w:lang w:val="es-ES"/>
        </w:rPr>
      </w:pPr>
    </w:p>
    <w:p w14:paraId="5CC329E3" w14:textId="77777777" w:rsidR="00F4728E" w:rsidRPr="00512F79" w:rsidRDefault="00967695">
      <w:pPr>
        <w:pStyle w:val="ListParagraph"/>
        <w:numPr>
          <w:ilvl w:val="0"/>
          <w:numId w:val="41"/>
        </w:numPr>
        <w:ind w:left="1440" w:hanging="720"/>
        <w:contextualSpacing/>
        <w:jc w:val="both"/>
        <w:rPr>
          <w:sz w:val="22"/>
          <w:szCs w:val="22"/>
          <w:lang w:val="es-ES"/>
        </w:rPr>
      </w:pPr>
      <w:r w:rsidRPr="00512F79">
        <w:rPr>
          <w:color w:val="000000" w:themeColor="text1"/>
          <w:sz w:val="22"/>
          <w:szCs w:val="22"/>
          <w:lang w:val="es-ES"/>
        </w:rPr>
        <w:t>Participó en cuatro eventos virtuales en América Latina y el Caribe organizados por Socios Estratégicos o Miembros Asociados de la CIP, en los que se debatieron las tendencias actuales y los retos en curso del sector portuario.</w:t>
      </w:r>
    </w:p>
    <w:p w14:paraId="0F7A5DFA" w14:textId="77777777" w:rsidR="00F15A1B" w:rsidRPr="00512F79" w:rsidRDefault="00F15A1B" w:rsidP="00CB030B">
      <w:pPr>
        <w:pStyle w:val="ListParagraph"/>
        <w:ind w:left="1440" w:hanging="720"/>
        <w:contextualSpacing/>
        <w:jc w:val="both"/>
        <w:rPr>
          <w:sz w:val="22"/>
          <w:szCs w:val="22"/>
          <w:lang w:val="es-ES"/>
        </w:rPr>
      </w:pPr>
    </w:p>
    <w:p w14:paraId="462ADC2E" w14:textId="7BFC678A" w:rsidR="00F4728E" w:rsidRPr="00512F79" w:rsidRDefault="004D5C79">
      <w:pPr>
        <w:pStyle w:val="ListParagraph"/>
        <w:numPr>
          <w:ilvl w:val="0"/>
          <w:numId w:val="41"/>
        </w:numPr>
        <w:ind w:left="1440" w:hanging="720"/>
        <w:contextualSpacing/>
        <w:jc w:val="both"/>
        <w:rPr>
          <w:color w:val="000000" w:themeColor="text1"/>
          <w:sz w:val="22"/>
          <w:szCs w:val="22"/>
          <w:lang w:val="es-ES"/>
        </w:rPr>
      </w:pPr>
      <w:r>
        <w:rPr>
          <w:color w:val="000000" w:themeColor="text1"/>
          <w:sz w:val="22"/>
          <w:szCs w:val="22"/>
          <w:lang w:val="es-ES"/>
        </w:rPr>
        <w:t>Se incorporó a</w:t>
      </w:r>
      <w:r w:rsidR="00967695" w:rsidRPr="00512F79">
        <w:rPr>
          <w:color w:val="000000" w:themeColor="text1"/>
          <w:sz w:val="22"/>
          <w:szCs w:val="22"/>
          <w:lang w:val="es-ES"/>
        </w:rPr>
        <w:t xml:space="preserve"> un nuevo </w:t>
      </w:r>
      <w:r w:rsidR="00C67D84" w:rsidRPr="00512F79">
        <w:rPr>
          <w:color w:val="000000" w:themeColor="text1"/>
          <w:sz w:val="22"/>
          <w:szCs w:val="22"/>
          <w:lang w:val="es-ES"/>
        </w:rPr>
        <w:t>Miembro Asoci</w:t>
      </w:r>
      <w:r w:rsidR="00967695" w:rsidRPr="00512F79">
        <w:rPr>
          <w:color w:val="000000" w:themeColor="text1"/>
          <w:sz w:val="22"/>
          <w:szCs w:val="22"/>
          <w:lang w:val="es-ES"/>
        </w:rPr>
        <w:t>ado de Argentina. Puerto Dock Sud se incorporó a la CIP en noviembre.</w:t>
      </w:r>
    </w:p>
    <w:p w14:paraId="1E21B6D6" w14:textId="77777777" w:rsidR="00F86E25" w:rsidRPr="00512F79" w:rsidRDefault="00F86E25" w:rsidP="00CB030B">
      <w:pPr>
        <w:pStyle w:val="NoSpacing"/>
        <w:jc w:val="both"/>
        <w:rPr>
          <w:rFonts w:ascii="Times New Roman" w:hAnsi="Times New Roman"/>
          <w:b/>
          <w:bCs/>
          <w:iCs/>
          <w:color w:val="000000" w:themeColor="text1"/>
        </w:rPr>
      </w:pPr>
    </w:p>
    <w:p w14:paraId="76F0BB8E" w14:textId="77777777" w:rsidR="00F86E25" w:rsidRPr="00512F79" w:rsidRDefault="00F86E25" w:rsidP="00CB030B">
      <w:pPr>
        <w:pStyle w:val="NoSpacing"/>
        <w:jc w:val="both"/>
        <w:rPr>
          <w:rFonts w:ascii="Times New Roman" w:hAnsi="Times New Roman"/>
          <w:b/>
          <w:bCs/>
          <w:iCs/>
          <w:color w:val="000000" w:themeColor="text1"/>
        </w:rPr>
      </w:pPr>
    </w:p>
    <w:p w14:paraId="754DAE12" w14:textId="77777777" w:rsidR="00F4728E" w:rsidRPr="00512F79" w:rsidRDefault="00967695">
      <w:pPr>
        <w:pStyle w:val="NoSpacing"/>
        <w:jc w:val="both"/>
        <w:rPr>
          <w:rFonts w:ascii="Times New Roman" w:hAnsi="Times New Roman"/>
          <w:b/>
          <w:bCs/>
          <w:iCs/>
          <w:color w:val="000000" w:themeColor="text1"/>
        </w:rPr>
      </w:pPr>
      <w:r w:rsidRPr="00512F79">
        <w:rPr>
          <w:rFonts w:ascii="Times New Roman" w:hAnsi="Times New Roman"/>
          <w:b/>
          <w:bCs/>
          <w:iCs/>
          <w:color w:val="000000" w:themeColor="text1"/>
        </w:rPr>
        <w:t>CONCLUSIÓN</w:t>
      </w:r>
    </w:p>
    <w:p w14:paraId="401BCED1" w14:textId="7464A03D" w:rsidR="00F4728E" w:rsidRPr="00512F79" w:rsidRDefault="00904D17">
      <w:pPr>
        <w:pStyle w:val="NoSpacing"/>
        <w:pBdr>
          <w:bottom w:val="single" w:sz="6" w:space="1" w:color="auto"/>
        </w:pBdr>
        <w:jc w:val="both"/>
        <w:rPr>
          <w:rFonts w:ascii="Times New Roman" w:hAnsi="Times New Roman"/>
          <w:iCs/>
          <w:color w:val="000000" w:themeColor="text1"/>
        </w:rPr>
      </w:pPr>
      <w:r>
        <w:rPr>
          <w:rFonts w:ascii="Times New Roman" w:hAnsi="Times New Roman"/>
          <w:iCs/>
          <w:color w:val="000000" w:themeColor="text1"/>
        </w:rPr>
        <w:t>LA LABOR DE SEDI EN 2023 Y MÁS ADELANTE</w:t>
      </w:r>
    </w:p>
    <w:p w14:paraId="79D3BA3C" w14:textId="77777777" w:rsidR="004D5E2A" w:rsidRPr="00512F79" w:rsidRDefault="004D5E2A" w:rsidP="00CB030B">
      <w:pPr>
        <w:jc w:val="both"/>
        <w:rPr>
          <w:rFonts w:ascii="Times New Roman" w:hAnsi="Times New Roman" w:cs="Times New Roman"/>
          <w:bCs/>
          <w:sz w:val="22"/>
          <w:szCs w:val="22"/>
          <w:lang w:val="es-ES"/>
        </w:rPr>
      </w:pPr>
    </w:p>
    <w:p w14:paraId="05D9FF85" w14:textId="3357AD09" w:rsidR="00F4728E" w:rsidRPr="00512F79" w:rsidRDefault="00EC04DC">
      <w:pPr>
        <w:ind w:firstLine="720"/>
        <w:jc w:val="both"/>
        <w:rPr>
          <w:rFonts w:ascii="Times New Roman" w:hAnsi="Times New Roman" w:cs="Times New Roman"/>
          <w:bCs/>
          <w:sz w:val="22"/>
          <w:szCs w:val="22"/>
          <w:lang w:val="es-ES"/>
        </w:rPr>
      </w:pPr>
      <w:r w:rsidRPr="00EC04DC">
        <w:rPr>
          <w:rFonts w:ascii="Times New Roman" w:hAnsi="Times New Roman" w:cs="Times New Roman"/>
          <w:bCs/>
          <w:sz w:val="22"/>
          <w:szCs w:val="22"/>
          <w:lang w:val="es-ES"/>
        </w:rPr>
        <w:t>La transición para dejar atrás una pandemia mundial ha traído consigo un cambio hacia una nueva crisis mundial: el cambio climático. De cara al futuro, es imperativo que el impulso de los movimientos contra el cambio climático en todo el Hemisferio se integre en los programas de la SEDI. En los próximos años, la SEDI reajustará sus áreas de enfoque estratégico -no muy distinto de su replanteamiento durante la pandemia- para asegurarse de que el cambio climático sea el tema transversal más destacado de su agenda. Será necesario realizar cambios agresivos</w:t>
      </w:r>
      <w:r w:rsidR="005C78EC">
        <w:rPr>
          <w:rFonts w:ascii="Times New Roman" w:hAnsi="Times New Roman" w:cs="Times New Roman"/>
          <w:bCs/>
          <w:sz w:val="22"/>
          <w:szCs w:val="22"/>
          <w:lang w:val="es-ES"/>
        </w:rPr>
        <w:t xml:space="preserve">, </w:t>
      </w:r>
      <w:r w:rsidRPr="00EC04DC">
        <w:rPr>
          <w:rFonts w:ascii="Times New Roman" w:hAnsi="Times New Roman" w:cs="Times New Roman"/>
          <w:bCs/>
          <w:sz w:val="22"/>
          <w:szCs w:val="22"/>
          <w:lang w:val="es-ES"/>
        </w:rPr>
        <w:t>entre Gobiernos, entre organizaciones y entre ciudadanos de cada uno de los Estados Miembros de la OEA</w:t>
      </w:r>
      <w:r w:rsidR="005C78EC">
        <w:rPr>
          <w:rFonts w:ascii="Times New Roman" w:hAnsi="Times New Roman" w:cs="Times New Roman"/>
          <w:bCs/>
          <w:sz w:val="22"/>
          <w:szCs w:val="22"/>
          <w:lang w:val="es-ES"/>
        </w:rPr>
        <w:t>,</w:t>
      </w:r>
      <w:r w:rsidRPr="00EC04DC">
        <w:rPr>
          <w:rFonts w:ascii="Times New Roman" w:hAnsi="Times New Roman" w:cs="Times New Roman"/>
          <w:bCs/>
          <w:sz w:val="22"/>
          <w:szCs w:val="22"/>
          <w:lang w:val="es-ES"/>
        </w:rPr>
        <w:t xml:space="preserve"> para garantizar que seguimos cumpliendo el mandato de la OEA de </w:t>
      </w:r>
      <w:r w:rsidR="005C78EC">
        <w:rPr>
          <w:rFonts w:ascii="Times New Roman" w:hAnsi="Times New Roman" w:cs="Times New Roman"/>
          <w:bCs/>
          <w:sz w:val="22"/>
          <w:szCs w:val="22"/>
          <w:lang w:val="es-ES"/>
        </w:rPr>
        <w:t>“</w:t>
      </w:r>
      <w:r w:rsidRPr="00EC04DC">
        <w:rPr>
          <w:rFonts w:ascii="Times New Roman" w:hAnsi="Times New Roman" w:cs="Times New Roman"/>
          <w:bCs/>
          <w:sz w:val="22"/>
          <w:szCs w:val="22"/>
          <w:lang w:val="es-ES"/>
        </w:rPr>
        <w:t>Más derechos para más gente</w:t>
      </w:r>
      <w:r w:rsidR="005C78EC">
        <w:rPr>
          <w:rFonts w:ascii="Times New Roman" w:hAnsi="Times New Roman" w:cs="Times New Roman"/>
          <w:bCs/>
          <w:sz w:val="22"/>
          <w:szCs w:val="22"/>
          <w:lang w:val="es-ES"/>
        </w:rPr>
        <w:t>”</w:t>
      </w:r>
      <w:r w:rsidRPr="00EC04DC">
        <w:rPr>
          <w:rFonts w:ascii="Times New Roman" w:hAnsi="Times New Roman" w:cs="Times New Roman"/>
          <w:bCs/>
          <w:sz w:val="22"/>
          <w:szCs w:val="22"/>
          <w:lang w:val="es-ES"/>
        </w:rPr>
        <w:t>. De lo contrario, las consecuencias serían nefastas</w:t>
      </w:r>
      <w:r w:rsidR="005C78EC">
        <w:rPr>
          <w:rFonts w:ascii="Times New Roman" w:hAnsi="Times New Roman" w:cs="Times New Roman"/>
          <w:bCs/>
          <w:sz w:val="22"/>
          <w:szCs w:val="22"/>
          <w:lang w:val="es-ES"/>
        </w:rPr>
        <w:t>. L</w:t>
      </w:r>
      <w:r w:rsidRPr="00EC04DC">
        <w:rPr>
          <w:rFonts w:ascii="Times New Roman" w:hAnsi="Times New Roman" w:cs="Times New Roman"/>
          <w:bCs/>
          <w:sz w:val="22"/>
          <w:szCs w:val="22"/>
          <w:lang w:val="es-ES"/>
        </w:rPr>
        <w:t>a Comisión Económica para América Latina y el Caribe de las Naciones Unidas</w:t>
      </w:r>
      <w:r w:rsidR="005C78EC">
        <w:rPr>
          <w:rFonts w:ascii="Times New Roman" w:hAnsi="Times New Roman" w:cs="Times New Roman"/>
          <w:bCs/>
          <w:sz w:val="22"/>
          <w:szCs w:val="22"/>
          <w:lang w:val="es-ES"/>
        </w:rPr>
        <w:t xml:space="preserve"> (CEPAL)</w:t>
      </w:r>
      <w:r w:rsidRPr="00EC04DC">
        <w:rPr>
          <w:rFonts w:ascii="Times New Roman" w:hAnsi="Times New Roman" w:cs="Times New Roman"/>
          <w:bCs/>
          <w:sz w:val="22"/>
          <w:szCs w:val="22"/>
          <w:lang w:val="es-ES"/>
        </w:rPr>
        <w:t xml:space="preserve"> señala que</w:t>
      </w:r>
      <w:r w:rsidR="005C78EC">
        <w:rPr>
          <w:rFonts w:ascii="Times New Roman" w:hAnsi="Times New Roman" w:cs="Times New Roman"/>
          <w:bCs/>
          <w:sz w:val="22"/>
          <w:szCs w:val="22"/>
          <w:lang w:val="es-ES"/>
        </w:rPr>
        <w:t xml:space="preserve"> en la región se encuentran</w:t>
      </w:r>
      <w:r w:rsidRPr="00EC04DC">
        <w:rPr>
          <w:rFonts w:ascii="Times New Roman" w:hAnsi="Times New Roman" w:cs="Times New Roman"/>
          <w:bCs/>
          <w:sz w:val="22"/>
          <w:szCs w:val="22"/>
          <w:lang w:val="es-ES"/>
        </w:rPr>
        <w:t xml:space="preserve"> </w:t>
      </w:r>
      <w:r w:rsidR="005C78EC">
        <w:rPr>
          <w:rFonts w:ascii="Times New Roman" w:hAnsi="Times New Roman" w:cs="Times New Roman"/>
          <w:bCs/>
          <w:sz w:val="22"/>
          <w:szCs w:val="22"/>
          <w:lang w:val="es-ES"/>
        </w:rPr>
        <w:t>“</w:t>
      </w:r>
      <w:r w:rsidRPr="00EC04DC">
        <w:rPr>
          <w:rFonts w:ascii="Times New Roman" w:hAnsi="Times New Roman" w:cs="Times New Roman"/>
          <w:bCs/>
          <w:sz w:val="22"/>
          <w:szCs w:val="22"/>
          <w:lang w:val="es-ES"/>
        </w:rPr>
        <w:t>trece de los 50 países más afectados por el cambio climático.</w:t>
      </w:r>
      <w:r w:rsidR="005C78EC">
        <w:rPr>
          <w:rFonts w:ascii="Times New Roman" w:hAnsi="Times New Roman" w:cs="Times New Roman"/>
          <w:bCs/>
          <w:sz w:val="22"/>
          <w:szCs w:val="22"/>
          <w:lang w:val="es-ES"/>
        </w:rPr>
        <w:t>”</w:t>
      </w:r>
      <w:r w:rsidRPr="00EC04DC">
        <w:rPr>
          <w:rFonts w:ascii="Times New Roman" w:hAnsi="Times New Roman" w:cs="Times New Roman"/>
          <w:bCs/>
          <w:sz w:val="22"/>
          <w:szCs w:val="22"/>
          <w:lang w:val="es-ES"/>
        </w:rPr>
        <w:t xml:space="preserve"> Los importantes avances que la SEDI y otras organizaciones similares han realizado para que la región atraviese la pandemia se perderán si no actuamos en consecuencia. </w:t>
      </w:r>
    </w:p>
    <w:p w14:paraId="07AD9773" w14:textId="1C39040F" w:rsidR="00BE059A" w:rsidRPr="00512F79" w:rsidRDefault="00BE059A" w:rsidP="00CB030B">
      <w:pPr>
        <w:jc w:val="both"/>
        <w:rPr>
          <w:rFonts w:ascii="Times New Roman" w:hAnsi="Times New Roman" w:cs="Times New Roman"/>
          <w:bCs/>
          <w:sz w:val="22"/>
          <w:szCs w:val="22"/>
          <w:lang w:val="es-ES"/>
        </w:rPr>
      </w:pPr>
    </w:p>
    <w:p w14:paraId="172C51C2" w14:textId="5087701A" w:rsidR="00F4728E" w:rsidRPr="00512F79" w:rsidRDefault="003156DC">
      <w:pPr>
        <w:ind w:firstLine="720"/>
        <w:jc w:val="both"/>
        <w:rPr>
          <w:rFonts w:ascii="Times New Roman" w:hAnsi="Times New Roman" w:cs="Times New Roman"/>
          <w:bCs/>
          <w:sz w:val="22"/>
          <w:szCs w:val="22"/>
          <w:lang w:val="es-ES"/>
        </w:rPr>
      </w:pPr>
      <w:r w:rsidRPr="003156DC">
        <w:rPr>
          <w:rFonts w:ascii="Times New Roman" w:hAnsi="Times New Roman" w:cs="Times New Roman"/>
          <w:bCs/>
          <w:sz w:val="22"/>
          <w:szCs w:val="22"/>
          <w:lang w:val="es-ES"/>
        </w:rPr>
        <w:t>Lo que está en juego es el bienestar de toda la región. No pueden existir economías inclusivas y competitivas si la dependencia de los combustibles fósiles sigue dictando las políticas de la región</w:t>
      </w:r>
      <w:r w:rsidR="0089511C">
        <w:rPr>
          <w:rFonts w:ascii="Times New Roman" w:hAnsi="Times New Roman" w:cs="Times New Roman"/>
          <w:bCs/>
          <w:sz w:val="22"/>
          <w:szCs w:val="22"/>
          <w:lang w:val="es-ES"/>
        </w:rPr>
        <w:t xml:space="preserve"> en materia energética</w:t>
      </w:r>
      <w:r w:rsidRPr="003156DC">
        <w:rPr>
          <w:rFonts w:ascii="Times New Roman" w:hAnsi="Times New Roman" w:cs="Times New Roman"/>
          <w:bCs/>
          <w:sz w:val="22"/>
          <w:szCs w:val="22"/>
          <w:lang w:val="es-ES"/>
        </w:rPr>
        <w:t xml:space="preserve">. Pueden existir si se estudian, desarrollan y aplican alternativas más ecológicas que reduzcan las emisiones de gases de efecto invernadero como alternativas sostenibles. La SEDI no puede alcanzar los Objetivos de Desarrollo Sostenible si en su lugar hay que desviar fondos a los presupuestos de ayuda de emergencia y para desastres. Pueden alcanzarse si las iniciativas de programación crean sociedades más resilientes desde el punto de vista ambiental y promueven las condiciones ecológicas necesarias para proteger las costas y los cauces fluviales. El acceso constante a una educación de calidad es difícil de garantizar para las poblaciones continuamente desplazadas por los efectos del cambio climático. Podría garantizarse si esas poblaciones no se vieran obligadas a emigrar, y si los maestros, los líderes locales y los ciudadanos se convierten en administradores medioambientales de su propia comunidad, luchando por su derecho al desarrollo humano. El trabajo decente, digno y productivo no puede prosperar en sistemas en los que se destruye el medio ambiente para obtener beneficios materiales. Puede prosperar en conjunción con prácticas agrícolas sostenibles y en sistemas que trabajen para promover la equidad laboral como parte de la economía formal. La cooperación y las alianzas genuinas, de las que dependen tantos Estados Miembros, no pueden cumplir sus mandatos si no tienen en cuenta los efectos del cambio climático y, en última instancia, lo que está en juego para la región. Las alianzas sólo podrán tener los efectos que la SEDI exige a sus partes interesadas si </w:t>
      </w:r>
      <w:r w:rsidR="00A31DB0">
        <w:rPr>
          <w:rFonts w:ascii="Times New Roman" w:hAnsi="Times New Roman" w:cs="Times New Roman"/>
          <w:bCs/>
          <w:sz w:val="22"/>
          <w:szCs w:val="22"/>
          <w:lang w:val="es-ES"/>
        </w:rPr>
        <w:t>las iniciativas</w:t>
      </w:r>
      <w:r w:rsidRPr="003156DC">
        <w:rPr>
          <w:rFonts w:ascii="Times New Roman" w:hAnsi="Times New Roman" w:cs="Times New Roman"/>
          <w:bCs/>
          <w:sz w:val="22"/>
          <w:szCs w:val="22"/>
          <w:lang w:val="es-ES"/>
        </w:rPr>
        <w:t xml:space="preserve"> de mitigación del cambio climático se integra</w:t>
      </w:r>
      <w:r w:rsidR="00A31DB0">
        <w:rPr>
          <w:rFonts w:ascii="Times New Roman" w:hAnsi="Times New Roman" w:cs="Times New Roman"/>
          <w:bCs/>
          <w:sz w:val="22"/>
          <w:szCs w:val="22"/>
          <w:lang w:val="es-ES"/>
        </w:rPr>
        <w:t>n</w:t>
      </w:r>
      <w:r w:rsidRPr="003156DC">
        <w:rPr>
          <w:rFonts w:ascii="Times New Roman" w:hAnsi="Times New Roman" w:cs="Times New Roman"/>
          <w:bCs/>
          <w:sz w:val="22"/>
          <w:szCs w:val="22"/>
          <w:lang w:val="es-ES"/>
        </w:rPr>
        <w:t xml:space="preserve"> en todos los programas futuros.</w:t>
      </w:r>
      <w:r w:rsidRPr="00512F79">
        <w:rPr>
          <w:rFonts w:ascii="Times New Roman" w:hAnsi="Times New Roman" w:cs="Times New Roman"/>
          <w:bCs/>
          <w:sz w:val="22"/>
          <w:szCs w:val="22"/>
          <w:lang w:val="es-ES"/>
        </w:rPr>
        <w:t xml:space="preserve"> </w:t>
      </w:r>
      <w:r w:rsidR="006157FC">
        <w:rPr>
          <w:rFonts w:ascii="Times New Roman" w:hAnsi="Times New Roman" w:cs="Times New Roman"/>
          <w:bCs/>
          <w:noProof/>
          <w:sz w:val="22"/>
          <w:szCs w:val="22"/>
          <w:lang w:val="es-ES"/>
        </w:rPr>
        <mc:AlternateContent>
          <mc:Choice Requires="wps">
            <w:drawing>
              <wp:anchor distT="0" distB="0" distL="114300" distR="114300" simplePos="0" relativeHeight="251659264" behindDoc="0" locked="1" layoutInCell="1" allowOverlap="1" wp14:anchorId="76E46371" wp14:editId="5B3C4A2A">
                <wp:simplePos x="0" y="0"/>
                <wp:positionH relativeFrom="column">
                  <wp:posOffset>-229870</wp:posOffset>
                </wp:positionH>
                <wp:positionV relativeFrom="page">
                  <wp:posOffset>10006330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F49BFE" w14:textId="78A7D248" w:rsidR="006157FC" w:rsidRPr="006157FC" w:rsidRDefault="006157FC">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5344A">
                              <w:rPr>
                                <w:rFonts w:ascii="Times New Roman" w:hAnsi="Times New Roman" w:cs="Times New Roman"/>
                                <w:noProof/>
                                <w:sz w:val="18"/>
                              </w:rPr>
                              <w:t>CIDRP03760S01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E46371" id="_x0000_t202" coordsize="21600,21600" o:spt="202" path="m,l,21600r21600,l21600,xe">
                <v:stroke joinstyle="miter"/>
                <v:path gradientshapeok="t" o:connecttype="rect"/>
              </v:shapetype>
              <v:shape id="Text Box 9" o:spid="_x0000_s1026" type="#_x0000_t202" style="position:absolute;left:0;text-align:left;margin-left:-18.1pt;margin-top:787.9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" filled="f" stroked="f">
                <v:stroke joinstyle="round"/>
                <v:textbox>
                  <w:txbxContent>
                    <w:p w14:paraId="67F49BFE" w14:textId="78A7D248" w:rsidR="006157FC" w:rsidRPr="006157FC" w:rsidRDefault="006157FC">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5344A">
                        <w:rPr>
                          <w:rFonts w:ascii="Times New Roman" w:hAnsi="Times New Roman" w:cs="Times New Roman"/>
                          <w:noProof/>
                          <w:sz w:val="18"/>
                        </w:rPr>
                        <w:t>CIDRP03760S01</w:t>
                      </w:r>
                      <w:r>
                        <w:rPr>
                          <w:rFonts w:ascii="Times New Roman" w:hAnsi="Times New Roman" w:cs="Times New Roman"/>
                          <w:sz w:val="18"/>
                        </w:rPr>
                        <w:fldChar w:fldCharType="end"/>
                      </w:r>
                    </w:p>
                  </w:txbxContent>
                </v:textbox>
                <w10:wrap anchory="page"/>
                <w10:anchorlock/>
              </v:shape>
            </w:pict>
          </mc:Fallback>
        </mc:AlternateContent>
      </w:r>
    </w:p>
    <w:sectPr w:rsidR="00F4728E" w:rsidRPr="00512F79" w:rsidSect="00B93932">
      <w:type w:val="oddPage"/>
      <w:pgSz w:w="11906" w:h="16838"/>
      <w:pgMar w:top="1440" w:right="1440" w:bottom="1440" w:left="1440" w:header="1298" w:footer="431"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7C73" w14:textId="77777777" w:rsidR="000228D4" w:rsidRDefault="000228D4" w:rsidP="0022022F">
      <w:r>
        <w:separator/>
      </w:r>
    </w:p>
  </w:endnote>
  <w:endnote w:type="continuationSeparator" w:id="0">
    <w:p w14:paraId="1C0D4B85" w14:textId="77777777" w:rsidR="000228D4" w:rsidRDefault="000228D4" w:rsidP="0022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175485"/>
      <w:docPartObj>
        <w:docPartGallery w:val="Page Numbers (Bottom of Page)"/>
        <w:docPartUnique/>
      </w:docPartObj>
    </w:sdtPr>
    <w:sdtContent>
      <w:p w14:paraId="51479B1E" w14:textId="77777777" w:rsidR="00F4728E" w:rsidRDefault="00967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78BF">
          <w:rPr>
            <w:rStyle w:val="PageNumber"/>
            <w:noProof/>
          </w:rPr>
          <w:t>3</w:t>
        </w:r>
        <w:r>
          <w:rPr>
            <w:rStyle w:val="PageNumber"/>
          </w:rPr>
          <w:fldChar w:fldCharType="end"/>
        </w:r>
      </w:p>
    </w:sdtContent>
  </w:sdt>
  <w:p w14:paraId="18B499BD" w14:textId="77777777" w:rsidR="0022022F" w:rsidRDefault="0022022F" w:rsidP="00654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9644" w14:textId="77777777" w:rsidR="0022022F" w:rsidRDefault="0022022F" w:rsidP="006542C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6C07" w14:textId="77777777" w:rsidR="006157FC" w:rsidRDefault="0061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A437" w14:textId="77777777" w:rsidR="000228D4" w:rsidRDefault="000228D4" w:rsidP="0022022F">
      <w:r>
        <w:separator/>
      </w:r>
    </w:p>
  </w:footnote>
  <w:footnote w:type="continuationSeparator" w:id="0">
    <w:p w14:paraId="05132CBB" w14:textId="77777777" w:rsidR="000228D4" w:rsidRDefault="000228D4" w:rsidP="0022022F">
      <w:r>
        <w:continuationSeparator/>
      </w:r>
    </w:p>
  </w:footnote>
  <w:footnote w:id="1">
    <w:p w14:paraId="4E6FE4B5" w14:textId="77777777" w:rsidR="00F4728E" w:rsidRPr="009101BF" w:rsidRDefault="00967695">
      <w:pPr>
        <w:pStyle w:val="FootnoteText"/>
        <w:ind w:left="720" w:hanging="360"/>
        <w:rPr>
          <w:rFonts w:ascii="Times" w:hAnsi="Times"/>
          <w:sz w:val="16"/>
          <w:szCs w:val="16"/>
          <w:lang w:val="es-ES"/>
        </w:rPr>
      </w:pPr>
      <w:r w:rsidRPr="005F2C83">
        <w:rPr>
          <w:rStyle w:val="FootnoteReference"/>
          <w:rFonts w:ascii="Times" w:hAnsi="Times"/>
          <w:sz w:val="16"/>
          <w:szCs w:val="16"/>
          <w:vertAlign w:val="baseline"/>
        </w:rPr>
        <w:footnoteRef/>
      </w:r>
      <w:r w:rsidR="005F2C83" w:rsidRPr="009101BF">
        <w:rPr>
          <w:rFonts w:ascii="Times" w:hAnsi="Times"/>
          <w:sz w:val="16"/>
          <w:szCs w:val="16"/>
          <w:lang w:val="es-ES"/>
        </w:rPr>
        <w:t>.</w:t>
      </w:r>
      <w:r w:rsidR="005F2C83" w:rsidRPr="009101BF">
        <w:rPr>
          <w:rFonts w:ascii="Times" w:hAnsi="Times"/>
          <w:sz w:val="16"/>
          <w:szCs w:val="16"/>
          <w:lang w:val="es-ES"/>
        </w:rPr>
        <w:tab/>
      </w:r>
      <w:r w:rsidRPr="009101BF">
        <w:rPr>
          <w:rFonts w:ascii="Times" w:hAnsi="Times"/>
          <w:sz w:val="16"/>
          <w:szCs w:val="16"/>
          <w:lang w:val="es-ES"/>
        </w:rPr>
        <w:t>Sólo para las abreviaturas que aparecen más de una vez a lo largo de este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6FC9" w14:textId="77777777" w:rsidR="006157FC" w:rsidRDefault="00615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97269"/>
      <w:docPartObj>
        <w:docPartGallery w:val="Page Numbers (Top of Page)"/>
        <w:docPartUnique/>
      </w:docPartObj>
    </w:sdtPr>
    <w:sdtEndPr>
      <w:rPr>
        <w:rFonts w:ascii="Times New Roman" w:hAnsi="Times New Roman" w:cs="Times New Roman"/>
        <w:noProof/>
        <w:sz w:val="22"/>
        <w:szCs w:val="22"/>
      </w:rPr>
    </w:sdtEndPr>
    <w:sdtContent>
      <w:p w14:paraId="15878ACB" w14:textId="77777777" w:rsidR="00F4728E" w:rsidRDefault="00967695">
        <w:pPr>
          <w:pStyle w:val="Header"/>
          <w:jc w:val="center"/>
          <w:rPr>
            <w:rFonts w:ascii="Times New Roman" w:hAnsi="Times New Roman" w:cs="Times New Roman"/>
            <w:sz w:val="22"/>
            <w:szCs w:val="22"/>
          </w:rPr>
        </w:pPr>
        <w:r w:rsidRPr="005F2C83">
          <w:rPr>
            <w:rFonts w:ascii="Times New Roman" w:hAnsi="Times New Roman" w:cs="Times New Roman"/>
            <w:sz w:val="22"/>
            <w:szCs w:val="22"/>
          </w:rPr>
          <w:fldChar w:fldCharType="begin"/>
        </w:r>
        <w:r w:rsidRPr="005F2C83">
          <w:rPr>
            <w:rFonts w:ascii="Times New Roman" w:hAnsi="Times New Roman" w:cs="Times New Roman"/>
            <w:sz w:val="22"/>
            <w:szCs w:val="22"/>
          </w:rPr>
          <w:instrText xml:space="preserve"> PAGE   \* MERGEFORMAT </w:instrText>
        </w:r>
        <w:r w:rsidRPr="005F2C83">
          <w:rPr>
            <w:rFonts w:ascii="Times New Roman" w:hAnsi="Times New Roman" w:cs="Times New Roman"/>
            <w:sz w:val="22"/>
            <w:szCs w:val="22"/>
          </w:rPr>
          <w:fldChar w:fldCharType="separate"/>
        </w:r>
        <w:r w:rsidRPr="005F2C83">
          <w:rPr>
            <w:rFonts w:ascii="Times New Roman" w:hAnsi="Times New Roman" w:cs="Times New Roman"/>
            <w:noProof/>
            <w:sz w:val="22"/>
            <w:szCs w:val="22"/>
          </w:rPr>
          <w:t>2</w:t>
        </w:r>
        <w:r w:rsidRPr="005F2C83">
          <w:rPr>
            <w:rFonts w:ascii="Times New Roman" w:hAnsi="Times New Roman" w:cs="Times New Roman"/>
            <w:noProof/>
            <w:sz w:val="22"/>
            <w:szCs w:val="22"/>
          </w:rPr>
          <w:fldChar w:fldCharType="end"/>
        </w:r>
      </w:p>
    </w:sdtContent>
  </w:sdt>
  <w:p w14:paraId="17DEB64C" w14:textId="77777777" w:rsidR="005F2C83" w:rsidRDefault="005F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5994" w14:textId="77777777" w:rsidR="00F4728E" w:rsidRDefault="00967695">
    <w:pPr>
      <w:pStyle w:val="Header"/>
    </w:pPr>
    <w:r>
      <w:rPr>
        <w:noProof/>
      </w:rPr>
      <mc:AlternateContent>
        <mc:Choice Requires="wps">
          <w:drawing>
            <wp:anchor distT="0" distB="0" distL="114300" distR="114300" simplePos="0" relativeHeight="251661312" behindDoc="0" locked="0" layoutInCell="1" allowOverlap="1" wp14:anchorId="13B0109C" wp14:editId="6479EB6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DCDD5" w14:textId="28C7C8EA" w:rsidR="00F4728E" w:rsidRPr="00FF2E05" w:rsidRDefault="00967695">
                          <w:pPr>
                            <w:pStyle w:val="Header"/>
                            <w:tabs>
                              <w:tab w:val="left" w:pos="900"/>
                            </w:tabs>
                            <w:spacing w:line="0" w:lineRule="atLeast"/>
                            <w:jc w:val="center"/>
                            <w:rPr>
                              <w:rFonts w:ascii="Garamond" w:hAnsi="Garamond"/>
                              <w:b/>
                              <w:sz w:val="28"/>
                              <w:szCs w:val="28"/>
                              <w:lang w:val="es-ES"/>
                            </w:rPr>
                          </w:pPr>
                          <w:r w:rsidRPr="00FF2E05">
                            <w:rPr>
                              <w:rFonts w:ascii="Garamond" w:hAnsi="Garamond"/>
                              <w:b/>
                              <w:sz w:val="28"/>
                              <w:szCs w:val="28"/>
                              <w:lang w:val="es-ES"/>
                            </w:rPr>
                            <w:t xml:space="preserve">ORGANIZACIÓN DE </w:t>
                          </w:r>
                          <w:r w:rsidR="009101BF" w:rsidRPr="00FF2E05">
                            <w:rPr>
                              <w:rFonts w:ascii="Garamond" w:hAnsi="Garamond"/>
                              <w:b/>
                              <w:sz w:val="28"/>
                              <w:szCs w:val="28"/>
                              <w:lang w:val="es-ES"/>
                            </w:rPr>
                            <w:t xml:space="preserve">LOS </w:t>
                          </w:r>
                          <w:r w:rsidRPr="00FF2E05">
                            <w:rPr>
                              <w:rFonts w:ascii="Garamond" w:hAnsi="Garamond"/>
                              <w:b/>
                              <w:sz w:val="28"/>
                              <w:szCs w:val="28"/>
                              <w:lang w:val="es-ES"/>
                            </w:rPr>
                            <w:t xml:space="preserve">ESTADOS AMERICANOS </w:t>
                          </w:r>
                        </w:p>
                        <w:p w14:paraId="21AE56A6" w14:textId="77777777" w:rsidR="00F4728E" w:rsidRPr="006157FC" w:rsidRDefault="00967695">
                          <w:pPr>
                            <w:pStyle w:val="Header"/>
                            <w:tabs>
                              <w:tab w:val="left" w:pos="900"/>
                            </w:tabs>
                            <w:spacing w:line="0" w:lineRule="atLeast"/>
                            <w:jc w:val="center"/>
                            <w:rPr>
                              <w:rFonts w:ascii="Garamond" w:hAnsi="Garamond"/>
                              <w:b/>
                              <w:sz w:val="22"/>
                              <w:szCs w:val="22"/>
                              <w:lang w:val="es-ES"/>
                            </w:rPr>
                          </w:pPr>
                          <w:r w:rsidRPr="006157FC">
                            <w:rPr>
                              <w:rFonts w:ascii="Garamond" w:hAnsi="Garamond"/>
                              <w:b/>
                              <w:sz w:val="22"/>
                              <w:szCs w:val="22"/>
                              <w:lang w:val="es-ES"/>
                            </w:rPr>
                            <w:t xml:space="preserve">Consejo Interamericano para el Desarrollo Integral </w:t>
                          </w:r>
                        </w:p>
                        <w:p w14:paraId="383ED1DB" w14:textId="77777777" w:rsidR="00F4728E" w:rsidRPr="006157FC" w:rsidRDefault="00967695">
                          <w:pPr>
                            <w:pStyle w:val="Header"/>
                            <w:tabs>
                              <w:tab w:val="left" w:pos="900"/>
                            </w:tabs>
                            <w:spacing w:line="0" w:lineRule="atLeast"/>
                            <w:jc w:val="center"/>
                            <w:rPr>
                              <w:b/>
                              <w:sz w:val="22"/>
                              <w:szCs w:val="22"/>
                            </w:rPr>
                          </w:pPr>
                          <w:r w:rsidRPr="006157FC">
                            <w:rPr>
                              <w:rFonts w:ascii="Garamond" w:hAnsi="Garamond"/>
                              <w:b/>
                              <w:sz w:val="22"/>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109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585DCDD5" w14:textId="28C7C8EA" w:rsidR="00F4728E" w:rsidRPr="00FF2E05" w:rsidRDefault="00967695">
                    <w:pPr>
                      <w:pStyle w:val="Header"/>
                      <w:tabs>
                        <w:tab w:val="left" w:pos="900"/>
                      </w:tabs>
                      <w:spacing w:line="0" w:lineRule="atLeast"/>
                      <w:jc w:val="center"/>
                      <w:rPr>
                        <w:rFonts w:ascii="Garamond" w:hAnsi="Garamond"/>
                        <w:b/>
                        <w:sz w:val="28"/>
                        <w:szCs w:val="28"/>
                        <w:lang w:val="es-ES"/>
                      </w:rPr>
                    </w:pPr>
                    <w:r w:rsidRPr="00FF2E05">
                      <w:rPr>
                        <w:rFonts w:ascii="Garamond" w:hAnsi="Garamond"/>
                        <w:b/>
                        <w:sz w:val="28"/>
                        <w:szCs w:val="28"/>
                        <w:lang w:val="es-ES"/>
                      </w:rPr>
                      <w:t xml:space="preserve">ORGANIZACIÓN DE </w:t>
                    </w:r>
                    <w:r w:rsidR="009101BF" w:rsidRPr="00FF2E05">
                      <w:rPr>
                        <w:rFonts w:ascii="Garamond" w:hAnsi="Garamond"/>
                        <w:b/>
                        <w:sz w:val="28"/>
                        <w:szCs w:val="28"/>
                        <w:lang w:val="es-ES"/>
                      </w:rPr>
                      <w:t xml:space="preserve">LOS </w:t>
                    </w:r>
                    <w:r w:rsidRPr="00FF2E05">
                      <w:rPr>
                        <w:rFonts w:ascii="Garamond" w:hAnsi="Garamond"/>
                        <w:b/>
                        <w:sz w:val="28"/>
                        <w:szCs w:val="28"/>
                        <w:lang w:val="es-ES"/>
                      </w:rPr>
                      <w:t xml:space="preserve">ESTADOS AMERICANOS </w:t>
                    </w:r>
                  </w:p>
                  <w:p w14:paraId="21AE56A6" w14:textId="77777777" w:rsidR="00F4728E" w:rsidRPr="006157FC" w:rsidRDefault="00967695">
                    <w:pPr>
                      <w:pStyle w:val="Header"/>
                      <w:tabs>
                        <w:tab w:val="left" w:pos="900"/>
                      </w:tabs>
                      <w:spacing w:line="0" w:lineRule="atLeast"/>
                      <w:jc w:val="center"/>
                      <w:rPr>
                        <w:rFonts w:ascii="Garamond" w:hAnsi="Garamond"/>
                        <w:b/>
                        <w:sz w:val="22"/>
                        <w:szCs w:val="22"/>
                        <w:lang w:val="es-ES"/>
                      </w:rPr>
                    </w:pPr>
                    <w:r w:rsidRPr="006157FC">
                      <w:rPr>
                        <w:rFonts w:ascii="Garamond" w:hAnsi="Garamond"/>
                        <w:b/>
                        <w:sz w:val="22"/>
                        <w:szCs w:val="22"/>
                        <w:lang w:val="es-ES"/>
                      </w:rPr>
                      <w:t xml:space="preserve">Consejo Interamericano para el Desarrollo Integral </w:t>
                    </w:r>
                  </w:p>
                  <w:p w14:paraId="383ED1DB" w14:textId="77777777" w:rsidR="00F4728E" w:rsidRPr="006157FC" w:rsidRDefault="00967695">
                    <w:pPr>
                      <w:pStyle w:val="Header"/>
                      <w:tabs>
                        <w:tab w:val="left" w:pos="900"/>
                      </w:tabs>
                      <w:spacing w:line="0" w:lineRule="atLeast"/>
                      <w:jc w:val="center"/>
                      <w:rPr>
                        <w:b/>
                        <w:sz w:val="22"/>
                        <w:szCs w:val="22"/>
                      </w:rPr>
                    </w:pPr>
                    <w:r w:rsidRPr="006157FC">
                      <w:rPr>
                        <w:rFonts w:ascii="Garamond" w:hAnsi="Garamond"/>
                        <w:b/>
                        <w:sz w:val="22"/>
                        <w:szCs w:val="22"/>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4492AEF" wp14:editId="7600DC1A">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4C61C" w14:textId="77777777" w:rsidR="00D25C2D" w:rsidRDefault="00D25C2D" w:rsidP="00D25C2D">
                          <w:pPr>
                            <w:ind w:right="-130"/>
                          </w:pPr>
                          <w:r>
                            <w:rPr>
                              <w:rFonts w:ascii="News Gothic MT" w:hAnsi="News Gothic MT"/>
                              <w:noProof/>
                              <w:color w:val="000000"/>
                            </w:rPr>
                            <w:drawing>
                              <wp:inline distT="0" distB="0" distL="0" distR="0" wp14:anchorId="30CBA2A9" wp14:editId="0F2C024B">
                                <wp:extent cx="1106805" cy="768985"/>
                                <wp:effectExtent l="0" t="0" r="0" b="0"/>
                                <wp:docPr id="8"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2AEF" id="Text Box 2" o:spid="_x0000_s1027"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6E4C61C" w14:textId="77777777" w:rsidR="00D25C2D" w:rsidRDefault="00D25C2D" w:rsidP="00D25C2D">
                    <w:pPr>
                      <w:ind w:right="-130"/>
                    </w:pPr>
                    <w:r>
                      <w:rPr>
                        <w:rFonts w:ascii="News Gothic MT" w:hAnsi="News Gothic MT"/>
                        <w:noProof/>
                        <w:color w:val="000000"/>
                      </w:rPr>
                      <w:drawing>
                        <wp:inline distT="0" distB="0" distL="0" distR="0" wp14:anchorId="30CBA2A9" wp14:editId="0F2C024B">
                          <wp:extent cx="1106805" cy="768985"/>
                          <wp:effectExtent l="0" t="0" r="0" b="0"/>
                          <wp:docPr id="8"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1A08C403" wp14:editId="5D547696">
          <wp:simplePos x="0" y="0"/>
          <wp:positionH relativeFrom="column">
            <wp:posOffset>-444500</wp:posOffset>
          </wp:positionH>
          <wp:positionV relativeFrom="paragraph">
            <wp:posOffset>-483235</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66137659" w14:textId="77777777" w:rsidR="00D25C2D" w:rsidRDefault="00D25C2D" w:rsidP="00D25C2D"/>
  <w:p w14:paraId="7DC0EC51" w14:textId="77777777" w:rsidR="00D25C2D" w:rsidRDefault="00D25C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340C" w14:textId="4EF278ED" w:rsidR="00B93932" w:rsidRDefault="00B93932">
    <w:pPr>
      <w:pStyle w:val="Header"/>
    </w:pPr>
  </w:p>
  <w:p w14:paraId="43616662" w14:textId="77777777" w:rsidR="00B93932" w:rsidRDefault="00B93932" w:rsidP="00D25C2D"/>
  <w:p w14:paraId="0AA19605" w14:textId="77777777" w:rsidR="00B93932" w:rsidRDefault="00B9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13"/>
    <w:multiLevelType w:val="hybridMultilevel"/>
    <w:tmpl w:val="D22095A2"/>
    <w:lvl w:ilvl="0" w:tplc="EA1A8F66">
      <w:start w:val="1"/>
      <w:numFmt w:val="bullet"/>
      <w:lvlText w:val="•"/>
      <w:lvlJc w:val="left"/>
      <w:pPr>
        <w:tabs>
          <w:tab w:val="num" w:pos="720"/>
        </w:tabs>
        <w:ind w:left="720" w:hanging="360"/>
      </w:pPr>
      <w:rPr>
        <w:rFonts w:ascii="Symbol" w:hAnsi="Symbol" w:hint="default"/>
      </w:rPr>
    </w:lvl>
    <w:lvl w:ilvl="1" w:tplc="5C386DC4" w:tentative="1">
      <w:start w:val="1"/>
      <w:numFmt w:val="bullet"/>
      <w:lvlText w:val="•"/>
      <w:lvlJc w:val="left"/>
      <w:pPr>
        <w:tabs>
          <w:tab w:val="num" w:pos="1440"/>
        </w:tabs>
        <w:ind w:left="1440" w:hanging="360"/>
      </w:pPr>
      <w:rPr>
        <w:rFonts w:ascii="Arial" w:hAnsi="Arial" w:hint="default"/>
      </w:rPr>
    </w:lvl>
    <w:lvl w:ilvl="2" w:tplc="52586AAE" w:tentative="1">
      <w:start w:val="1"/>
      <w:numFmt w:val="bullet"/>
      <w:lvlText w:val="•"/>
      <w:lvlJc w:val="left"/>
      <w:pPr>
        <w:tabs>
          <w:tab w:val="num" w:pos="2160"/>
        </w:tabs>
        <w:ind w:left="2160" w:hanging="360"/>
      </w:pPr>
      <w:rPr>
        <w:rFonts w:ascii="Arial" w:hAnsi="Arial" w:hint="default"/>
      </w:rPr>
    </w:lvl>
    <w:lvl w:ilvl="3" w:tplc="23C45C1E" w:tentative="1">
      <w:start w:val="1"/>
      <w:numFmt w:val="bullet"/>
      <w:lvlText w:val="•"/>
      <w:lvlJc w:val="left"/>
      <w:pPr>
        <w:tabs>
          <w:tab w:val="num" w:pos="2880"/>
        </w:tabs>
        <w:ind w:left="2880" w:hanging="360"/>
      </w:pPr>
      <w:rPr>
        <w:rFonts w:ascii="Arial" w:hAnsi="Arial" w:hint="default"/>
      </w:rPr>
    </w:lvl>
    <w:lvl w:ilvl="4" w:tplc="7A3A815E" w:tentative="1">
      <w:start w:val="1"/>
      <w:numFmt w:val="bullet"/>
      <w:lvlText w:val="•"/>
      <w:lvlJc w:val="left"/>
      <w:pPr>
        <w:tabs>
          <w:tab w:val="num" w:pos="3600"/>
        </w:tabs>
        <w:ind w:left="3600" w:hanging="360"/>
      </w:pPr>
      <w:rPr>
        <w:rFonts w:ascii="Arial" w:hAnsi="Arial" w:hint="default"/>
      </w:rPr>
    </w:lvl>
    <w:lvl w:ilvl="5" w:tplc="646AAE84" w:tentative="1">
      <w:start w:val="1"/>
      <w:numFmt w:val="bullet"/>
      <w:lvlText w:val="•"/>
      <w:lvlJc w:val="left"/>
      <w:pPr>
        <w:tabs>
          <w:tab w:val="num" w:pos="4320"/>
        </w:tabs>
        <w:ind w:left="4320" w:hanging="360"/>
      </w:pPr>
      <w:rPr>
        <w:rFonts w:ascii="Arial" w:hAnsi="Arial" w:hint="default"/>
      </w:rPr>
    </w:lvl>
    <w:lvl w:ilvl="6" w:tplc="9738CC8E" w:tentative="1">
      <w:start w:val="1"/>
      <w:numFmt w:val="bullet"/>
      <w:lvlText w:val="•"/>
      <w:lvlJc w:val="left"/>
      <w:pPr>
        <w:tabs>
          <w:tab w:val="num" w:pos="5040"/>
        </w:tabs>
        <w:ind w:left="5040" w:hanging="360"/>
      </w:pPr>
      <w:rPr>
        <w:rFonts w:ascii="Arial" w:hAnsi="Arial" w:hint="default"/>
      </w:rPr>
    </w:lvl>
    <w:lvl w:ilvl="7" w:tplc="0A70B254" w:tentative="1">
      <w:start w:val="1"/>
      <w:numFmt w:val="bullet"/>
      <w:lvlText w:val="•"/>
      <w:lvlJc w:val="left"/>
      <w:pPr>
        <w:tabs>
          <w:tab w:val="num" w:pos="5760"/>
        </w:tabs>
        <w:ind w:left="5760" w:hanging="360"/>
      </w:pPr>
      <w:rPr>
        <w:rFonts w:ascii="Arial" w:hAnsi="Arial" w:hint="default"/>
      </w:rPr>
    </w:lvl>
    <w:lvl w:ilvl="8" w:tplc="D8B8A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21EC"/>
    <w:multiLevelType w:val="hybridMultilevel"/>
    <w:tmpl w:val="20C6A9C2"/>
    <w:lvl w:ilvl="0" w:tplc="EC2C11C2">
      <w:start w:val="1"/>
      <w:numFmt w:val="bullet"/>
      <w:lvlText w:val="•"/>
      <w:lvlJc w:val="left"/>
      <w:pPr>
        <w:tabs>
          <w:tab w:val="num" w:pos="720"/>
        </w:tabs>
        <w:ind w:left="720" w:hanging="360"/>
      </w:pPr>
      <w:rPr>
        <w:rFonts w:ascii="Arial" w:hAnsi="Arial" w:hint="default"/>
      </w:rPr>
    </w:lvl>
    <w:lvl w:ilvl="1" w:tplc="AFFABFA0" w:tentative="1">
      <w:start w:val="1"/>
      <w:numFmt w:val="bullet"/>
      <w:lvlText w:val="•"/>
      <w:lvlJc w:val="left"/>
      <w:pPr>
        <w:tabs>
          <w:tab w:val="num" w:pos="1440"/>
        </w:tabs>
        <w:ind w:left="1440" w:hanging="360"/>
      </w:pPr>
      <w:rPr>
        <w:rFonts w:ascii="Arial" w:hAnsi="Arial" w:hint="default"/>
      </w:rPr>
    </w:lvl>
    <w:lvl w:ilvl="2" w:tplc="008E89E2" w:tentative="1">
      <w:start w:val="1"/>
      <w:numFmt w:val="bullet"/>
      <w:lvlText w:val="•"/>
      <w:lvlJc w:val="left"/>
      <w:pPr>
        <w:tabs>
          <w:tab w:val="num" w:pos="2160"/>
        </w:tabs>
        <w:ind w:left="2160" w:hanging="360"/>
      </w:pPr>
      <w:rPr>
        <w:rFonts w:ascii="Arial" w:hAnsi="Arial" w:hint="default"/>
      </w:rPr>
    </w:lvl>
    <w:lvl w:ilvl="3" w:tplc="26B087CA" w:tentative="1">
      <w:start w:val="1"/>
      <w:numFmt w:val="bullet"/>
      <w:lvlText w:val="•"/>
      <w:lvlJc w:val="left"/>
      <w:pPr>
        <w:tabs>
          <w:tab w:val="num" w:pos="2880"/>
        </w:tabs>
        <w:ind w:left="2880" w:hanging="360"/>
      </w:pPr>
      <w:rPr>
        <w:rFonts w:ascii="Arial" w:hAnsi="Arial" w:hint="default"/>
      </w:rPr>
    </w:lvl>
    <w:lvl w:ilvl="4" w:tplc="F5322F74" w:tentative="1">
      <w:start w:val="1"/>
      <w:numFmt w:val="bullet"/>
      <w:lvlText w:val="•"/>
      <w:lvlJc w:val="left"/>
      <w:pPr>
        <w:tabs>
          <w:tab w:val="num" w:pos="3600"/>
        </w:tabs>
        <w:ind w:left="3600" w:hanging="360"/>
      </w:pPr>
      <w:rPr>
        <w:rFonts w:ascii="Arial" w:hAnsi="Arial" w:hint="default"/>
      </w:rPr>
    </w:lvl>
    <w:lvl w:ilvl="5" w:tplc="D43EF798" w:tentative="1">
      <w:start w:val="1"/>
      <w:numFmt w:val="bullet"/>
      <w:lvlText w:val="•"/>
      <w:lvlJc w:val="left"/>
      <w:pPr>
        <w:tabs>
          <w:tab w:val="num" w:pos="4320"/>
        </w:tabs>
        <w:ind w:left="4320" w:hanging="360"/>
      </w:pPr>
      <w:rPr>
        <w:rFonts w:ascii="Arial" w:hAnsi="Arial" w:hint="default"/>
      </w:rPr>
    </w:lvl>
    <w:lvl w:ilvl="6" w:tplc="2BA23A64" w:tentative="1">
      <w:start w:val="1"/>
      <w:numFmt w:val="bullet"/>
      <w:lvlText w:val="•"/>
      <w:lvlJc w:val="left"/>
      <w:pPr>
        <w:tabs>
          <w:tab w:val="num" w:pos="5040"/>
        </w:tabs>
        <w:ind w:left="5040" w:hanging="360"/>
      </w:pPr>
      <w:rPr>
        <w:rFonts w:ascii="Arial" w:hAnsi="Arial" w:hint="default"/>
      </w:rPr>
    </w:lvl>
    <w:lvl w:ilvl="7" w:tplc="69D47030" w:tentative="1">
      <w:start w:val="1"/>
      <w:numFmt w:val="bullet"/>
      <w:lvlText w:val="•"/>
      <w:lvlJc w:val="left"/>
      <w:pPr>
        <w:tabs>
          <w:tab w:val="num" w:pos="5760"/>
        </w:tabs>
        <w:ind w:left="5760" w:hanging="360"/>
      </w:pPr>
      <w:rPr>
        <w:rFonts w:ascii="Arial" w:hAnsi="Arial" w:hint="default"/>
      </w:rPr>
    </w:lvl>
    <w:lvl w:ilvl="8" w:tplc="58843D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F49CF"/>
    <w:multiLevelType w:val="hybridMultilevel"/>
    <w:tmpl w:val="E83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65521"/>
    <w:multiLevelType w:val="hybridMultilevel"/>
    <w:tmpl w:val="A19C6A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57D4"/>
    <w:multiLevelType w:val="hybridMultilevel"/>
    <w:tmpl w:val="30021634"/>
    <w:lvl w:ilvl="0" w:tplc="0A06CC4E">
      <w:start w:val="1"/>
      <w:numFmt w:val="bullet"/>
      <w:lvlText w:val="•"/>
      <w:lvlJc w:val="left"/>
      <w:pPr>
        <w:tabs>
          <w:tab w:val="num" w:pos="720"/>
        </w:tabs>
        <w:ind w:left="720" w:hanging="360"/>
      </w:pPr>
      <w:rPr>
        <w:rFonts w:ascii="Arial" w:hAnsi="Arial" w:hint="default"/>
      </w:rPr>
    </w:lvl>
    <w:lvl w:ilvl="1" w:tplc="710E9C76" w:tentative="1">
      <w:start w:val="1"/>
      <w:numFmt w:val="bullet"/>
      <w:lvlText w:val="•"/>
      <w:lvlJc w:val="left"/>
      <w:pPr>
        <w:tabs>
          <w:tab w:val="num" w:pos="1440"/>
        </w:tabs>
        <w:ind w:left="1440" w:hanging="360"/>
      </w:pPr>
      <w:rPr>
        <w:rFonts w:ascii="Arial" w:hAnsi="Arial" w:hint="default"/>
      </w:rPr>
    </w:lvl>
    <w:lvl w:ilvl="2" w:tplc="CE482A44" w:tentative="1">
      <w:start w:val="1"/>
      <w:numFmt w:val="bullet"/>
      <w:lvlText w:val="•"/>
      <w:lvlJc w:val="left"/>
      <w:pPr>
        <w:tabs>
          <w:tab w:val="num" w:pos="2160"/>
        </w:tabs>
        <w:ind w:left="2160" w:hanging="360"/>
      </w:pPr>
      <w:rPr>
        <w:rFonts w:ascii="Arial" w:hAnsi="Arial" w:hint="default"/>
      </w:rPr>
    </w:lvl>
    <w:lvl w:ilvl="3" w:tplc="EAE88C14" w:tentative="1">
      <w:start w:val="1"/>
      <w:numFmt w:val="bullet"/>
      <w:lvlText w:val="•"/>
      <w:lvlJc w:val="left"/>
      <w:pPr>
        <w:tabs>
          <w:tab w:val="num" w:pos="2880"/>
        </w:tabs>
        <w:ind w:left="2880" w:hanging="360"/>
      </w:pPr>
      <w:rPr>
        <w:rFonts w:ascii="Arial" w:hAnsi="Arial" w:hint="default"/>
      </w:rPr>
    </w:lvl>
    <w:lvl w:ilvl="4" w:tplc="700635EE" w:tentative="1">
      <w:start w:val="1"/>
      <w:numFmt w:val="bullet"/>
      <w:lvlText w:val="•"/>
      <w:lvlJc w:val="left"/>
      <w:pPr>
        <w:tabs>
          <w:tab w:val="num" w:pos="3600"/>
        </w:tabs>
        <w:ind w:left="3600" w:hanging="360"/>
      </w:pPr>
      <w:rPr>
        <w:rFonts w:ascii="Arial" w:hAnsi="Arial" w:hint="default"/>
      </w:rPr>
    </w:lvl>
    <w:lvl w:ilvl="5" w:tplc="742E77F0" w:tentative="1">
      <w:start w:val="1"/>
      <w:numFmt w:val="bullet"/>
      <w:lvlText w:val="•"/>
      <w:lvlJc w:val="left"/>
      <w:pPr>
        <w:tabs>
          <w:tab w:val="num" w:pos="4320"/>
        </w:tabs>
        <w:ind w:left="4320" w:hanging="360"/>
      </w:pPr>
      <w:rPr>
        <w:rFonts w:ascii="Arial" w:hAnsi="Arial" w:hint="default"/>
      </w:rPr>
    </w:lvl>
    <w:lvl w:ilvl="6" w:tplc="9C3E9386" w:tentative="1">
      <w:start w:val="1"/>
      <w:numFmt w:val="bullet"/>
      <w:lvlText w:val="•"/>
      <w:lvlJc w:val="left"/>
      <w:pPr>
        <w:tabs>
          <w:tab w:val="num" w:pos="5040"/>
        </w:tabs>
        <w:ind w:left="5040" w:hanging="360"/>
      </w:pPr>
      <w:rPr>
        <w:rFonts w:ascii="Arial" w:hAnsi="Arial" w:hint="default"/>
      </w:rPr>
    </w:lvl>
    <w:lvl w:ilvl="7" w:tplc="F9106176" w:tentative="1">
      <w:start w:val="1"/>
      <w:numFmt w:val="bullet"/>
      <w:lvlText w:val="•"/>
      <w:lvlJc w:val="left"/>
      <w:pPr>
        <w:tabs>
          <w:tab w:val="num" w:pos="5760"/>
        </w:tabs>
        <w:ind w:left="5760" w:hanging="360"/>
      </w:pPr>
      <w:rPr>
        <w:rFonts w:ascii="Arial" w:hAnsi="Arial" w:hint="default"/>
      </w:rPr>
    </w:lvl>
    <w:lvl w:ilvl="8" w:tplc="74067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01310"/>
    <w:multiLevelType w:val="hybridMultilevel"/>
    <w:tmpl w:val="1500E14C"/>
    <w:lvl w:ilvl="0" w:tplc="ABB4C3A0">
      <w:start w:val="1"/>
      <w:numFmt w:val="bullet"/>
      <w:lvlText w:val="•"/>
      <w:lvlJc w:val="left"/>
      <w:pPr>
        <w:tabs>
          <w:tab w:val="num" w:pos="720"/>
        </w:tabs>
        <w:ind w:left="720" w:hanging="360"/>
      </w:pPr>
      <w:rPr>
        <w:rFonts w:ascii="Arial" w:hAnsi="Arial" w:hint="default"/>
      </w:rPr>
    </w:lvl>
    <w:lvl w:ilvl="1" w:tplc="8D765726" w:tentative="1">
      <w:start w:val="1"/>
      <w:numFmt w:val="bullet"/>
      <w:lvlText w:val="•"/>
      <w:lvlJc w:val="left"/>
      <w:pPr>
        <w:tabs>
          <w:tab w:val="num" w:pos="1440"/>
        </w:tabs>
        <w:ind w:left="1440" w:hanging="360"/>
      </w:pPr>
      <w:rPr>
        <w:rFonts w:ascii="Arial" w:hAnsi="Arial" w:hint="default"/>
      </w:rPr>
    </w:lvl>
    <w:lvl w:ilvl="2" w:tplc="C7F224EA" w:tentative="1">
      <w:start w:val="1"/>
      <w:numFmt w:val="bullet"/>
      <w:lvlText w:val="•"/>
      <w:lvlJc w:val="left"/>
      <w:pPr>
        <w:tabs>
          <w:tab w:val="num" w:pos="2160"/>
        </w:tabs>
        <w:ind w:left="2160" w:hanging="360"/>
      </w:pPr>
      <w:rPr>
        <w:rFonts w:ascii="Arial" w:hAnsi="Arial" w:hint="default"/>
      </w:rPr>
    </w:lvl>
    <w:lvl w:ilvl="3" w:tplc="6B36858E" w:tentative="1">
      <w:start w:val="1"/>
      <w:numFmt w:val="bullet"/>
      <w:lvlText w:val="•"/>
      <w:lvlJc w:val="left"/>
      <w:pPr>
        <w:tabs>
          <w:tab w:val="num" w:pos="2880"/>
        </w:tabs>
        <w:ind w:left="2880" w:hanging="360"/>
      </w:pPr>
      <w:rPr>
        <w:rFonts w:ascii="Arial" w:hAnsi="Arial" w:hint="default"/>
      </w:rPr>
    </w:lvl>
    <w:lvl w:ilvl="4" w:tplc="3EEC6A06" w:tentative="1">
      <w:start w:val="1"/>
      <w:numFmt w:val="bullet"/>
      <w:lvlText w:val="•"/>
      <w:lvlJc w:val="left"/>
      <w:pPr>
        <w:tabs>
          <w:tab w:val="num" w:pos="3600"/>
        </w:tabs>
        <w:ind w:left="3600" w:hanging="360"/>
      </w:pPr>
      <w:rPr>
        <w:rFonts w:ascii="Arial" w:hAnsi="Arial" w:hint="default"/>
      </w:rPr>
    </w:lvl>
    <w:lvl w:ilvl="5" w:tplc="EDB258A0" w:tentative="1">
      <w:start w:val="1"/>
      <w:numFmt w:val="bullet"/>
      <w:lvlText w:val="•"/>
      <w:lvlJc w:val="left"/>
      <w:pPr>
        <w:tabs>
          <w:tab w:val="num" w:pos="4320"/>
        </w:tabs>
        <w:ind w:left="4320" w:hanging="360"/>
      </w:pPr>
      <w:rPr>
        <w:rFonts w:ascii="Arial" w:hAnsi="Arial" w:hint="default"/>
      </w:rPr>
    </w:lvl>
    <w:lvl w:ilvl="6" w:tplc="476A0886" w:tentative="1">
      <w:start w:val="1"/>
      <w:numFmt w:val="bullet"/>
      <w:lvlText w:val="•"/>
      <w:lvlJc w:val="left"/>
      <w:pPr>
        <w:tabs>
          <w:tab w:val="num" w:pos="5040"/>
        </w:tabs>
        <w:ind w:left="5040" w:hanging="360"/>
      </w:pPr>
      <w:rPr>
        <w:rFonts w:ascii="Arial" w:hAnsi="Arial" w:hint="default"/>
      </w:rPr>
    </w:lvl>
    <w:lvl w:ilvl="7" w:tplc="74B0EE00" w:tentative="1">
      <w:start w:val="1"/>
      <w:numFmt w:val="bullet"/>
      <w:lvlText w:val="•"/>
      <w:lvlJc w:val="left"/>
      <w:pPr>
        <w:tabs>
          <w:tab w:val="num" w:pos="5760"/>
        </w:tabs>
        <w:ind w:left="5760" w:hanging="360"/>
      </w:pPr>
      <w:rPr>
        <w:rFonts w:ascii="Arial" w:hAnsi="Arial" w:hint="default"/>
      </w:rPr>
    </w:lvl>
    <w:lvl w:ilvl="8" w:tplc="F4C820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A7E6D"/>
    <w:multiLevelType w:val="hybridMultilevel"/>
    <w:tmpl w:val="C74A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37944"/>
    <w:multiLevelType w:val="hybridMultilevel"/>
    <w:tmpl w:val="EC1C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13B21"/>
    <w:multiLevelType w:val="hybridMultilevel"/>
    <w:tmpl w:val="414E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73A3"/>
    <w:multiLevelType w:val="hybridMultilevel"/>
    <w:tmpl w:val="ADA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37689"/>
    <w:multiLevelType w:val="hybridMultilevel"/>
    <w:tmpl w:val="DB5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356A"/>
    <w:multiLevelType w:val="hybridMultilevel"/>
    <w:tmpl w:val="CA5233F8"/>
    <w:lvl w:ilvl="0" w:tplc="027CBA3E">
      <w:start w:val="1"/>
      <w:numFmt w:val="bullet"/>
      <w:lvlText w:val="•"/>
      <w:lvlJc w:val="left"/>
      <w:pPr>
        <w:tabs>
          <w:tab w:val="num" w:pos="720"/>
        </w:tabs>
        <w:ind w:left="720" w:hanging="360"/>
      </w:pPr>
      <w:rPr>
        <w:rFonts w:ascii="Arial" w:hAnsi="Arial" w:hint="default"/>
      </w:rPr>
    </w:lvl>
    <w:lvl w:ilvl="1" w:tplc="6A3844F6" w:tentative="1">
      <w:start w:val="1"/>
      <w:numFmt w:val="bullet"/>
      <w:lvlText w:val="•"/>
      <w:lvlJc w:val="left"/>
      <w:pPr>
        <w:tabs>
          <w:tab w:val="num" w:pos="1440"/>
        </w:tabs>
        <w:ind w:left="1440" w:hanging="360"/>
      </w:pPr>
      <w:rPr>
        <w:rFonts w:ascii="Arial" w:hAnsi="Arial" w:hint="default"/>
      </w:rPr>
    </w:lvl>
    <w:lvl w:ilvl="2" w:tplc="2842DF5A" w:tentative="1">
      <w:start w:val="1"/>
      <w:numFmt w:val="bullet"/>
      <w:lvlText w:val="•"/>
      <w:lvlJc w:val="left"/>
      <w:pPr>
        <w:tabs>
          <w:tab w:val="num" w:pos="2160"/>
        </w:tabs>
        <w:ind w:left="2160" w:hanging="360"/>
      </w:pPr>
      <w:rPr>
        <w:rFonts w:ascii="Arial" w:hAnsi="Arial" w:hint="default"/>
      </w:rPr>
    </w:lvl>
    <w:lvl w:ilvl="3" w:tplc="1F8C90EE" w:tentative="1">
      <w:start w:val="1"/>
      <w:numFmt w:val="bullet"/>
      <w:lvlText w:val="•"/>
      <w:lvlJc w:val="left"/>
      <w:pPr>
        <w:tabs>
          <w:tab w:val="num" w:pos="2880"/>
        </w:tabs>
        <w:ind w:left="2880" w:hanging="360"/>
      </w:pPr>
      <w:rPr>
        <w:rFonts w:ascii="Arial" w:hAnsi="Arial" w:hint="default"/>
      </w:rPr>
    </w:lvl>
    <w:lvl w:ilvl="4" w:tplc="87EC0AC6" w:tentative="1">
      <w:start w:val="1"/>
      <w:numFmt w:val="bullet"/>
      <w:lvlText w:val="•"/>
      <w:lvlJc w:val="left"/>
      <w:pPr>
        <w:tabs>
          <w:tab w:val="num" w:pos="3600"/>
        </w:tabs>
        <w:ind w:left="3600" w:hanging="360"/>
      </w:pPr>
      <w:rPr>
        <w:rFonts w:ascii="Arial" w:hAnsi="Arial" w:hint="default"/>
      </w:rPr>
    </w:lvl>
    <w:lvl w:ilvl="5" w:tplc="A8DC7D9A" w:tentative="1">
      <w:start w:val="1"/>
      <w:numFmt w:val="bullet"/>
      <w:lvlText w:val="•"/>
      <w:lvlJc w:val="left"/>
      <w:pPr>
        <w:tabs>
          <w:tab w:val="num" w:pos="4320"/>
        </w:tabs>
        <w:ind w:left="4320" w:hanging="360"/>
      </w:pPr>
      <w:rPr>
        <w:rFonts w:ascii="Arial" w:hAnsi="Arial" w:hint="default"/>
      </w:rPr>
    </w:lvl>
    <w:lvl w:ilvl="6" w:tplc="EF529AD6" w:tentative="1">
      <w:start w:val="1"/>
      <w:numFmt w:val="bullet"/>
      <w:lvlText w:val="•"/>
      <w:lvlJc w:val="left"/>
      <w:pPr>
        <w:tabs>
          <w:tab w:val="num" w:pos="5040"/>
        </w:tabs>
        <w:ind w:left="5040" w:hanging="360"/>
      </w:pPr>
      <w:rPr>
        <w:rFonts w:ascii="Arial" w:hAnsi="Arial" w:hint="default"/>
      </w:rPr>
    </w:lvl>
    <w:lvl w:ilvl="7" w:tplc="78688B60" w:tentative="1">
      <w:start w:val="1"/>
      <w:numFmt w:val="bullet"/>
      <w:lvlText w:val="•"/>
      <w:lvlJc w:val="left"/>
      <w:pPr>
        <w:tabs>
          <w:tab w:val="num" w:pos="5760"/>
        </w:tabs>
        <w:ind w:left="5760" w:hanging="360"/>
      </w:pPr>
      <w:rPr>
        <w:rFonts w:ascii="Arial" w:hAnsi="Arial" w:hint="default"/>
      </w:rPr>
    </w:lvl>
    <w:lvl w:ilvl="8" w:tplc="878221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9338A8"/>
    <w:multiLevelType w:val="hybridMultilevel"/>
    <w:tmpl w:val="6C7E9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4A1ACE"/>
    <w:multiLevelType w:val="hybridMultilevel"/>
    <w:tmpl w:val="13F0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478C"/>
    <w:multiLevelType w:val="hybridMultilevel"/>
    <w:tmpl w:val="1BC49CBA"/>
    <w:lvl w:ilvl="0" w:tplc="04090001">
      <w:start w:val="1"/>
      <w:numFmt w:val="bullet"/>
      <w:lvlText w:val=""/>
      <w:lvlJc w:val="left"/>
      <w:pPr>
        <w:ind w:left="72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23CF4"/>
    <w:multiLevelType w:val="hybridMultilevel"/>
    <w:tmpl w:val="E2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D6AE8"/>
    <w:multiLevelType w:val="hybridMultilevel"/>
    <w:tmpl w:val="1DC2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7D2532"/>
    <w:multiLevelType w:val="hybridMultilevel"/>
    <w:tmpl w:val="6522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B3C50"/>
    <w:multiLevelType w:val="hybridMultilevel"/>
    <w:tmpl w:val="C13C9C60"/>
    <w:numStyleLink w:val="ImportedStyle4"/>
  </w:abstractNum>
  <w:abstractNum w:abstractNumId="19" w15:restartNumberingAfterBreak="0">
    <w:nsid w:val="3E450C0E"/>
    <w:multiLevelType w:val="hybridMultilevel"/>
    <w:tmpl w:val="9C44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84903"/>
    <w:multiLevelType w:val="hybridMultilevel"/>
    <w:tmpl w:val="FA4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60A94"/>
    <w:multiLevelType w:val="hybridMultilevel"/>
    <w:tmpl w:val="EA9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D0330"/>
    <w:multiLevelType w:val="hybridMultilevel"/>
    <w:tmpl w:val="06D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610F9"/>
    <w:multiLevelType w:val="hybridMultilevel"/>
    <w:tmpl w:val="D240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11DF4"/>
    <w:multiLevelType w:val="hybridMultilevel"/>
    <w:tmpl w:val="7E1A4A18"/>
    <w:lvl w:ilvl="0" w:tplc="BEE8682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9E22E20"/>
    <w:multiLevelType w:val="hybridMultilevel"/>
    <w:tmpl w:val="00E0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37BC"/>
    <w:multiLevelType w:val="hybridMultilevel"/>
    <w:tmpl w:val="258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F6D1D"/>
    <w:multiLevelType w:val="hybridMultilevel"/>
    <w:tmpl w:val="5D3E8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B361C6"/>
    <w:multiLevelType w:val="hybridMultilevel"/>
    <w:tmpl w:val="7F8A2E14"/>
    <w:lvl w:ilvl="0" w:tplc="32B47E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B72C6"/>
    <w:multiLevelType w:val="hybridMultilevel"/>
    <w:tmpl w:val="1DDA97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A604E"/>
    <w:multiLevelType w:val="hybridMultilevel"/>
    <w:tmpl w:val="B752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177146"/>
    <w:multiLevelType w:val="hybridMultilevel"/>
    <w:tmpl w:val="F28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D52DE"/>
    <w:multiLevelType w:val="hybridMultilevel"/>
    <w:tmpl w:val="1482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44A8B"/>
    <w:multiLevelType w:val="hybridMultilevel"/>
    <w:tmpl w:val="F5EC25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4387217"/>
    <w:multiLevelType w:val="multilevel"/>
    <w:tmpl w:val="35CE9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67F5C89"/>
    <w:multiLevelType w:val="hybridMultilevel"/>
    <w:tmpl w:val="ACF2478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93D09A3"/>
    <w:multiLevelType w:val="hybridMultilevel"/>
    <w:tmpl w:val="258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96797"/>
    <w:multiLevelType w:val="hybridMultilevel"/>
    <w:tmpl w:val="924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8013C"/>
    <w:multiLevelType w:val="hybridMultilevel"/>
    <w:tmpl w:val="1FF8D418"/>
    <w:lvl w:ilvl="0" w:tplc="1630A00A">
      <w:start w:val="1"/>
      <w:numFmt w:val="bullet"/>
      <w:lvlText w:val="•"/>
      <w:lvlJc w:val="left"/>
      <w:pPr>
        <w:tabs>
          <w:tab w:val="num" w:pos="720"/>
        </w:tabs>
        <w:ind w:left="720" w:hanging="360"/>
      </w:pPr>
      <w:rPr>
        <w:rFonts w:ascii="Arial" w:hAnsi="Arial" w:hint="default"/>
      </w:rPr>
    </w:lvl>
    <w:lvl w:ilvl="1" w:tplc="2A44C260" w:tentative="1">
      <w:start w:val="1"/>
      <w:numFmt w:val="bullet"/>
      <w:lvlText w:val="•"/>
      <w:lvlJc w:val="left"/>
      <w:pPr>
        <w:tabs>
          <w:tab w:val="num" w:pos="1440"/>
        </w:tabs>
        <w:ind w:left="1440" w:hanging="360"/>
      </w:pPr>
      <w:rPr>
        <w:rFonts w:ascii="Arial" w:hAnsi="Arial" w:hint="default"/>
      </w:rPr>
    </w:lvl>
    <w:lvl w:ilvl="2" w:tplc="4DEA780E" w:tentative="1">
      <w:start w:val="1"/>
      <w:numFmt w:val="bullet"/>
      <w:lvlText w:val="•"/>
      <w:lvlJc w:val="left"/>
      <w:pPr>
        <w:tabs>
          <w:tab w:val="num" w:pos="2160"/>
        </w:tabs>
        <w:ind w:left="2160" w:hanging="360"/>
      </w:pPr>
      <w:rPr>
        <w:rFonts w:ascii="Arial" w:hAnsi="Arial" w:hint="default"/>
      </w:rPr>
    </w:lvl>
    <w:lvl w:ilvl="3" w:tplc="42E846A0" w:tentative="1">
      <w:start w:val="1"/>
      <w:numFmt w:val="bullet"/>
      <w:lvlText w:val="•"/>
      <w:lvlJc w:val="left"/>
      <w:pPr>
        <w:tabs>
          <w:tab w:val="num" w:pos="2880"/>
        </w:tabs>
        <w:ind w:left="2880" w:hanging="360"/>
      </w:pPr>
      <w:rPr>
        <w:rFonts w:ascii="Arial" w:hAnsi="Arial" w:hint="default"/>
      </w:rPr>
    </w:lvl>
    <w:lvl w:ilvl="4" w:tplc="F0E64354" w:tentative="1">
      <w:start w:val="1"/>
      <w:numFmt w:val="bullet"/>
      <w:lvlText w:val="•"/>
      <w:lvlJc w:val="left"/>
      <w:pPr>
        <w:tabs>
          <w:tab w:val="num" w:pos="3600"/>
        </w:tabs>
        <w:ind w:left="3600" w:hanging="360"/>
      </w:pPr>
      <w:rPr>
        <w:rFonts w:ascii="Arial" w:hAnsi="Arial" w:hint="default"/>
      </w:rPr>
    </w:lvl>
    <w:lvl w:ilvl="5" w:tplc="777C2C5E" w:tentative="1">
      <w:start w:val="1"/>
      <w:numFmt w:val="bullet"/>
      <w:lvlText w:val="•"/>
      <w:lvlJc w:val="left"/>
      <w:pPr>
        <w:tabs>
          <w:tab w:val="num" w:pos="4320"/>
        </w:tabs>
        <w:ind w:left="4320" w:hanging="360"/>
      </w:pPr>
      <w:rPr>
        <w:rFonts w:ascii="Arial" w:hAnsi="Arial" w:hint="default"/>
      </w:rPr>
    </w:lvl>
    <w:lvl w:ilvl="6" w:tplc="571436CA" w:tentative="1">
      <w:start w:val="1"/>
      <w:numFmt w:val="bullet"/>
      <w:lvlText w:val="•"/>
      <w:lvlJc w:val="left"/>
      <w:pPr>
        <w:tabs>
          <w:tab w:val="num" w:pos="5040"/>
        </w:tabs>
        <w:ind w:left="5040" w:hanging="360"/>
      </w:pPr>
      <w:rPr>
        <w:rFonts w:ascii="Arial" w:hAnsi="Arial" w:hint="default"/>
      </w:rPr>
    </w:lvl>
    <w:lvl w:ilvl="7" w:tplc="6F604C6A" w:tentative="1">
      <w:start w:val="1"/>
      <w:numFmt w:val="bullet"/>
      <w:lvlText w:val="•"/>
      <w:lvlJc w:val="left"/>
      <w:pPr>
        <w:tabs>
          <w:tab w:val="num" w:pos="5760"/>
        </w:tabs>
        <w:ind w:left="5760" w:hanging="360"/>
      </w:pPr>
      <w:rPr>
        <w:rFonts w:ascii="Arial" w:hAnsi="Arial" w:hint="default"/>
      </w:rPr>
    </w:lvl>
    <w:lvl w:ilvl="8" w:tplc="CF86ECB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6B2606"/>
    <w:multiLevelType w:val="hybridMultilevel"/>
    <w:tmpl w:val="FEFE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1543B"/>
    <w:multiLevelType w:val="hybridMultilevel"/>
    <w:tmpl w:val="5BFA1354"/>
    <w:lvl w:ilvl="0" w:tplc="D85E3572">
      <w:start w:val="1"/>
      <w:numFmt w:val="bullet"/>
      <w:lvlText w:val="•"/>
      <w:lvlJc w:val="left"/>
      <w:pPr>
        <w:tabs>
          <w:tab w:val="num" w:pos="720"/>
        </w:tabs>
        <w:ind w:left="720" w:hanging="360"/>
      </w:pPr>
      <w:rPr>
        <w:rFonts w:ascii="Arial" w:hAnsi="Arial" w:hint="default"/>
      </w:rPr>
    </w:lvl>
    <w:lvl w:ilvl="1" w:tplc="9E8021D6" w:tentative="1">
      <w:start w:val="1"/>
      <w:numFmt w:val="bullet"/>
      <w:lvlText w:val="•"/>
      <w:lvlJc w:val="left"/>
      <w:pPr>
        <w:tabs>
          <w:tab w:val="num" w:pos="1440"/>
        </w:tabs>
        <w:ind w:left="1440" w:hanging="360"/>
      </w:pPr>
      <w:rPr>
        <w:rFonts w:ascii="Arial" w:hAnsi="Arial" w:hint="default"/>
      </w:rPr>
    </w:lvl>
    <w:lvl w:ilvl="2" w:tplc="643CD9D2" w:tentative="1">
      <w:start w:val="1"/>
      <w:numFmt w:val="bullet"/>
      <w:lvlText w:val="•"/>
      <w:lvlJc w:val="left"/>
      <w:pPr>
        <w:tabs>
          <w:tab w:val="num" w:pos="2160"/>
        </w:tabs>
        <w:ind w:left="2160" w:hanging="360"/>
      </w:pPr>
      <w:rPr>
        <w:rFonts w:ascii="Arial" w:hAnsi="Arial" w:hint="default"/>
      </w:rPr>
    </w:lvl>
    <w:lvl w:ilvl="3" w:tplc="F436714A" w:tentative="1">
      <w:start w:val="1"/>
      <w:numFmt w:val="bullet"/>
      <w:lvlText w:val="•"/>
      <w:lvlJc w:val="left"/>
      <w:pPr>
        <w:tabs>
          <w:tab w:val="num" w:pos="2880"/>
        </w:tabs>
        <w:ind w:left="2880" w:hanging="360"/>
      </w:pPr>
      <w:rPr>
        <w:rFonts w:ascii="Arial" w:hAnsi="Arial" w:hint="default"/>
      </w:rPr>
    </w:lvl>
    <w:lvl w:ilvl="4" w:tplc="B1D23D58" w:tentative="1">
      <w:start w:val="1"/>
      <w:numFmt w:val="bullet"/>
      <w:lvlText w:val="•"/>
      <w:lvlJc w:val="left"/>
      <w:pPr>
        <w:tabs>
          <w:tab w:val="num" w:pos="3600"/>
        </w:tabs>
        <w:ind w:left="3600" w:hanging="360"/>
      </w:pPr>
      <w:rPr>
        <w:rFonts w:ascii="Arial" w:hAnsi="Arial" w:hint="default"/>
      </w:rPr>
    </w:lvl>
    <w:lvl w:ilvl="5" w:tplc="A34E8B26" w:tentative="1">
      <w:start w:val="1"/>
      <w:numFmt w:val="bullet"/>
      <w:lvlText w:val="•"/>
      <w:lvlJc w:val="left"/>
      <w:pPr>
        <w:tabs>
          <w:tab w:val="num" w:pos="4320"/>
        </w:tabs>
        <w:ind w:left="4320" w:hanging="360"/>
      </w:pPr>
      <w:rPr>
        <w:rFonts w:ascii="Arial" w:hAnsi="Arial" w:hint="default"/>
      </w:rPr>
    </w:lvl>
    <w:lvl w:ilvl="6" w:tplc="B8C04680" w:tentative="1">
      <w:start w:val="1"/>
      <w:numFmt w:val="bullet"/>
      <w:lvlText w:val="•"/>
      <w:lvlJc w:val="left"/>
      <w:pPr>
        <w:tabs>
          <w:tab w:val="num" w:pos="5040"/>
        </w:tabs>
        <w:ind w:left="5040" w:hanging="360"/>
      </w:pPr>
      <w:rPr>
        <w:rFonts w:ascii="Arial" w:hAnsi="Arial" w:hint="default"/>
      </w:rPr>
    </w:lvl>
    <w:lvl w:ilvl="7" w:tplc="F97A5D72" w:tentative="1">
      <w:start w:val="1"/>
      <w:numFmt w:val="bullet"/>
      <w:lvlText w:val="•"/>
      <w:lvlJc w:val="left"/>
      <w:pPr>
        <w:tabs>
          <w:tab w:val="num" w:pos="5760"/>
        </w:tabs>
        <w:ind w:left="5760" w:hanging="360"/>
      </w:pPr>
      <w:rPr>
        <w:rFonts w:ascii="Arial" w:hAnsi="Arial" w:hint="default"/>
      </w:rPr>
    </w:lvl>
    <w:lvl w:ilvl="8" w:tplc="35207DE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CB701C"/>
    <w:multiLevelType w:val="hybridMultilevel"/>
    <w:tmpl w:val="7494E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D003371"/>
    <w:multiLevelType w:val="hybridMultilevel"/>
    <w:tmpl w:val="48288B62"/>
    <w:lvl w:ilvl="0" w:tplc="BEE86826">
      <w:start w:val="1"/>
      <w:numFmt w:val="bullet"/>
      <w:lvlText w:val="·"/>
      <w:lvlJc w:val="left"/>
      <w:pPr>
        <w:ind w:left="720" w:hanging="360"/>
      </w:pPr>
      <w:rPr>
        <w:rFonts w:ascii="Symbol" w:hAnsi="Symbol" w:hint="default"/>
      </w:rPr>
    </w:lvl>
    <w:lvl w:ilvl="1" w:tplc="0AF00A60">
      <w:start w:val="1"/>
      <w:numFmt w:val="bullet"/>
      <w:lvlText w:val="o"/>
      <w:lvlJc w:val="left"/>
      <w:pPr>
        <w:ind w:left="1440" w:hanging="360"/>
      </w:pPr>
      <w:rPr>
        <w:rFonts w:ascii="Courier New" w:hAnsi="Courier New" w:hint="default"/>
      </w:rPr>
    </w:lvl>
    <w:lvl w:ilvl="2" w:tplc="86A26AE0">
      <w:start w:val="1"/>
      <w:numFmt w:val="bullet"/>
      <w:lvlText w:val=""/>
      <w:lvlJc w:val="left"/>
      <w:pPr>
        <w:ind w:left="2160" w:hanging="360"/>
      </w:pPr>
      <w:rPr>
        <w:rFonts w:ascii="Wingdings" w:hAnsi="Wingdings" w:hint="default"/>
      </w:rPr>
    </w:lvl>
    <w:lvl w:ilvl="3" w:tplc="B3D0DBE4">
      <w:start w:val="1"/>
      <w:numFmt w:val="bullet"/>
      <w:lvlText w:val=""/>
      <w:lvlJc w:val="left"/>
      <w:pPr>
        <w:ind w:left="2880" w:hanging="360"/>
      </w:pPr>
      <w:rPr>
        <w:rFonts w:ascii="Symbol" w:hAnsi="Symbol" w:hint="default"/>
      </w:rPr>
    </w:lvl>
    <w:lvl w:ilvl="4" w:tplc="3C887B44">
      <w:start w:val="1"/>
      <w:numFmt w:val="bullet"/>
      <w:lvlText w:val="o"/>
      <w:lvlJc w:val="left"/>
      <w:pPr>
        <w:ind w:left="3600" w:hanging="360"/>
      </w:pPr>
      <w:rPr>
        <w:rFonts w:ascii="Courier New" w:hAnsi="Courier New" w:hint="default"/>
      </w:rPr>
    </w:lvl>
    <w:lvl w:ilvl="5" w:tplc="5E44D80E">
      <w:start w:val="1"/>
      <w:numFmt w:val="bullet"/>
      <w:lvlText w:val=""/>
      <w:lvlJc w:val="left"/>
      <w:pPr>
        <w:ind w:left="4320" w:hanging="360"/>
      </w:pPr>
      <w:rPr>
        <w:rFonts w:ascii="Wingdings" w:hAnsi="Wingdings" w:hint="default"/>
      </w:rPr>
    </w:lvl>
    <w:lvl w:ilvl="6" w:tplc="48B8108E">
      <w:start w:val="1"/>
      <w:numFmt w:val="bullet"/>
      <w:lvlText w:val=""/>
      <w:lvlJc w:val="left"/>
      <w:pPr>
        <w:ind w:left="5040" w:hanging="360"/>
      </w:pPr>
      <w:rPr>
        <w:rFonts w:ascii="Symbol" w:hAnsi="Symbol" w:hint="default"/>
      </w:rPr>
    </w:lvl>
    <w:lvl w:ilvl="7" w:tplc="9C504FB4">
      <w:start w:val="1"/>
      <w:numFmt w:val="bullet"/>
      <w:lvlText w:val="o"/>
      <w:lvlJc w:val="left"/>
      <w:pPr>
        <w:ind w:left="5760" w:hanging="360"/>
      </w:pPr>
      <w:rPr>
        <w:rFonts w:ascii="Courier New" w:hAnsi="Courier New" w:hint="default"/>
      </w:rPr>
    </w:lvl>
    <w:lvl w:ilvl="8" w:tplc="4566EA50">
      <w:start w:val="1"/>
      <w:numFmt w:val="bullet"/>
      <w:lvlText w:val=""/>
      <w:lvlJc w:val="left"/>
      <w:pPr>
        <w:ind w:left="6480" w:hanging="360"/>
      </w:pPr>
      <w:rPr>
        <w:rFonts w:ascii="Wingdings" w:hAnsi="Wingdings" w:hint="default"/>
      </w:rPr>
    </w:lvl>
  </w:abstractNum>
  <w:num w:numId="1" w16cid:durableId="2084909256">
    <w:abstractNumId w:val="14"/>
  </w:num>
  <w:num w:numId="2" w16cid:durableId="603996740">
    <w:abstractNumId w:val="32"/>
  </w:num>
  <w:num w:numId="3" w16cid:durableId="1778406434">
    <w:abstractNumId w:val="30"/>
  </w:num>
  <w:num w:numId="4" w16cid:durableId="1813714662">
    <w:abstractNumId w:val="3"/>
  </w:num>
  <w:num w:numId="5" w16cid:durableId="497505695">
    <w:abstractNumId w:val="43"/>
  </w:num>
  <w:num w:numId="6" w16cid:durableId="2030830096">
    <w:abstractNumId w:val="33"/>
  </w:num>
  <w:num w:numId="7" w16cid:durableId="838736448">
    <w:abstractNumId w:val="26"/>
  </w:num>
  <w:num w:numId="8" w16cid:durableId="173224800">
    <w:abstractNumId w:val="8"/>
  </w:num>
  <w:num w:numId="9" w16cid:durableId="1173572951">
    <w:abstractNumId w:val="21"/>
  </w:num>
  <w:num w:numId="10" w16cid:durableId="1363673705">
    <w:abstractNumId w:val="17"/>
  </w:num>
  <w:num w:numId="11" w16cid:durableId="1308511384">
    <w:abstractNumId w:val="15"/>
  </w:num>
  <w:num w:numId="12" w16cid:durableId="966662028">
    <w:abstractNumId w:val="35"/>
  </w:num>
  <w:num w:numId="13" w16cid:durableId="1975914766">
    <w:abstractNumId w:val="16"/>
  </w:num>
  <w:num w:numId="14" w16cid:durableId="423302531">
    <w:abstractNumId w:val="2"/>
  </w:num>
  <w:num w:numId="15" w16cid:durableId="274866458">
    <w:abstractNumId w:val="10"/>
  </w:num>
  <w:num w:numId="16" w16cid:durableId="593442866">
    <w:abstractNumId w:val="27"/>
  </w:num>
  <w:num w:numId="17" w16cid:durableId="509176332">
    <w:abstractNumId w:val="6"/>
  </w:num>
  <w:num w:numId="18" w16cid:durableId="1702433754">
    <w:abstractNumId w:val="20"/>
  </w:num>
  <w:num w:numId="19" w16cid:durableId="1687750961">
    <w:abstractNumId w:val="31"/>
  </w:num>
  <w:num w:numId="20" w16cid:durableId="944265551">
    <w:abstractNumId w:val="7"/>
  </w:num>
  <w:num w:numId="21" w16cid:durableId="34963034">
    <w:abstractNumId w:val="9"/>
  </w:num>
  <w:num w:numId="22" w16cid:durableId="532377628">
    <w:abstractNumId w:val="38"/>
  </w:num>
  <w:num w:numId="23" w16cid:durableId="1457523220">
    <w:abstractNumId w:val="29"/>
  </w:num>
  <w:num w:numId="24" w16cid:durableId="1499005561">
    <w:abstractNumId w:val="41"/>
  </w:num>
  <w:num w:numId="25" w16cid:durableId="1583834897">
    <w:abstractNumId w:val="19"/>
  </w:num>
  <w:num w:numId="26" w16cid:durableId="1253708985">
    <w:abstractNumId w:val="44"/>
  </w:num>
  <w:num w:numId="27" w16cid:durableId="1069958506">
    <w:abstractNumId w:val="40"/>
  </w:num>
  <w:num w:numId="28" w16cid:durableId="862012631">
    <w:abstractNumId w:val="1"/>
  </w:num>
  <w:num w:numId="29" w16cid:durableId="590743056">
    <w:abstractNumId w:val="5"/>
  </w:num>
  <w:num w:numId="30" w16cid:durableId="1099570025">
    <w:abstractNumId w:val="24"/>
  </w:num>
  <w:num w:numId="31" w16cid:durableId="1394966062">
    <w:abstractNumId w:val="0"/>
  </w:num>
  <w:num w:numId="32" w16cid:durableId="259224747">
    <w:abstractNumId w:val="39"/>
  </w:num>
  <w:num w:numId="33" w16cid:durableId="260144556">
    <w:abstractNumId w:val="11"/>
  </w:num>
  <w:num w:numId="34" w16cid:durableId="1540555643">
    <w:abstractNumId w:val="4"/>
  </w:num>
  <w:num w:numId="35" w16cid:durableId="584805288">
    <w:abstractNumId w:val="25"/>
  </w:num>
  <w:num w:numId="36" w16cid:durableId="1206257090">
    <w:abstractNumId w:val="22"/>
  </w:num>
  <w:num w:numId="37" w16cid:durableId="357976255">
    <w:abstractNumId w:val="42"/>
  </w:num>
  <w:num w:numId="38" w16cid:durableId="5451358">
    <w:abstractNumId w:val="36"/>
  </w:num>
  <w:num w:numId="39" w16cid:durableId="882205664">
    <w:abstractNumId w:val="34"/>
  </w:num>
  <w:num w:numId="40" w16cid:durableId="366300924">
    <w:abstractNumId w:val="28"/>
  </w:num>
  <w:num w:numId="41" w16cid:durableId="1089471993">
    <w:abstractNumId w:val="13"/>
  </w:num>
  <w:num w:numId="42" w16cid:durableId="1334576662">
    <w:abstractNumId w:val="37"/>
  </w:num>
  <w:num w:numId="43" w16cid:durableId="867059056">
    <w:abstractNumId w:val="18"/>
  </w:num>
  <w:num w:numId="44" w16cid:durableId="119888184">
    <w:abstractNumId w:val="23"/>
  </w:num>
  <w:num w:numId="45" w16cid:durableId="12181277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419"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US"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2F"/>
    <w:rsid w:val="0000039D"/>
    <w:rsid w:val="00002B80"/>
    <w:rsid w:val="000048D5"/>
    <w:rsid w:val="00006284"/>
    <w:rsid w:val="00016E91"/>
    <w:rsid w:val="000228D4"/>
    <w:rsid w:val="000264C4"/>
    <w:rsid w:val="000276C7"/>
    <w:rsid w:val="00030235"/>
    <w:rsid w:val="00032D45"/>
    <w:rsid w:val="00034A20"/>
    <w:rsid w:val="00047D85"/>
    <w:rsid w:val="00055ACE"/>
    <w:rsid w:val="00065AA3"/>
    <w:rsid w:val="00065D13"/>
    <w:rsid w:val="00065FB6"/>
    <w:rsid w:val="000718FF"/>
    <w:rsid w:val="00074265"/>
    <w:rsid w:val="00077CBB"/>
    <w:rsid w:val="00092F0D"/>
    <w:rsid w:val="0009449D"/>
    <w:rsid w:val="00097ED8"/>
    <w:rsid w:val="000A1B25"/>
    <w:rsid w:val="000A2918"/>
    <w:rsid w:val="000A448D"/>
    <w:rsid w:val="000B14D0"/>
    <w:rsid w:val="000B747B"/>
    <w:rsid w:val="000C3B16"/>
    <w:rsid w:val="000C519B"/>
    <w:rsid w:val="000E497B"/>
    <w:rsid w:val="000F0680"/>
    <w:rsid w:val="000F0FBD"/>
    <w:rsid w:val="000F3ACC"/>
    <w:rsid w:val="000F7F51"/>
    <w:rsid w:val="001025A6"/>
    <w:rsid w:val="001044DC"/>
    <w:rsid w:val="00130540"/>
    <w:rsid w:val="00135759"/>
    <w:rsid w:val="00141240"/>
    <w:rsid w:val="00150B7A"/>
    <w:rsid w:val="001516E7"/>
    <w:rsid w:val="00154113"/>
    <w:rsid w:val="00156BC2"/>
    <w:rsid w:val="0016214B"/>
    <w:rsid w:val="001701C8"/>
    <w:rsid w:val="00173A1E"/>
    <w:rsid w:val="00174DB3"/>
    <w:rsid w:val="00175494"/>
    <w:rsid w:val="00176985"/>
    <w:rsid w:val="00177E01"/>
    <w:rsid w:val="001823FD"/>
    <w:rsid w:val="00182412"/>
    <w:rsid w:val="00183CF3"/>
    <w:rsid w:val="0018686C"/>
    <w:rsid w:val="00191925"/>
    <w:rsid w:val="00196719"/>
    <w:rsid w:val="0019741F"/>
    <w:rsid w:val="0019762F"/>
    <w:rsid w:val="001A3159"/>
    <w:rsid w:val="001A4D59"/>
    <w:rsid w:val="001A640B"/>
    <w:rsid w:val="001B1FD4"/>
    <w:rsid w:val="001B36DB"/>
    <w:rsid w:val="001B7EEA"/>
    <w:rsid w:val="001C2A58"/>
    <w:rsid w:val="001C5419"/>
    <w:rsid w:val="001D58C9"/>
    <w:rsid w:val="001E4A54"/>
    <w:rsid w:val="001E563F"/>
    <w:rsid w:val="001F022B"/>
    <w:rsid w:val="001F218B"/>
    <w:rsid w:val="001F41F5"/>
    <w:rsid w:val="001F6B15"/>
    <w:rsid w:val="001F708F"/>
    <w:rsid w:val="0020104C"/>
    <w:rsid w:val="00205EEB"/>
    <w:rsid w:val="002060AB"/>
    <w:rsid w:val="00213DFE"/>
    <w:rsid w:val="00214438"/>
    <w:rsid w:val="00215CD8"/>
    <w:rsid w:val="00217223"/>
    <w:rsid w:val="0022022F"/>
    <w:rsid w:val="00223A31"/>
    <w:rsid w:val="00223E2C"/>
    <w:rsid w:val="00230029"/>
    <w:rsid w:val="0023098C"/>
    <w:rsid w:val="0023495A"/>
    <w:rsid w:val="002401C3"/>
    <w:rsid w:val="00242A04"/>
    <w:rsid w:val="00245B70"/>
    <w:rsid w:val="002500B3"/>
    <w:rsid w:val="0025359A"/>
    <w:rsid w:val="0025744F"/>
    <w:rsid w:val="002615BA"/>
    <w:rsid w:val="0026369A"/>
    <w:rsid w:val="00270446"/>
    <w:rsid w:val="00271081"/>
    <w:rsid w:val="00273549"/>
    <w:rsid w:val="00275F60"/>
    <w:rsid w:val="0027642A"/>
    <w:rsid w:val="002771A9"/>
    <w:rsid w:val="00277C31"/>
    <w:rsid w:val="002823A1"/>
    <w:rsid w:val="002825BB"/>
    <w:rsid w:val="00282A33"/>
    <w:rsid w:val="00292BEB"/>
    <w:rsid w:val="00295D9B"/>
    <w:rsid w:val="00297EAC"/>
    <w:rsid w:val="002A6F84"/>
    <w:rsid w:val="002B0EF8"/>
    <w:rsid w:val="002B2B7C"/>
    <w:rsid w:val="002C024C"/>
    <w:rsid w:val="002C423D"/>
    <w:rsid w:val="002C5D85"/>
    <w:rsid w:val="002C5EA9"/>
    <w:rsid w:val="002C7BEE"/>
    <w:rsid w:val="002D1E39"/>
    <w:rsid w:val="002D4472"/>
    <w:rsid w:val="002E459A"/>
    <w:rsid w:val="002E4B8E"/>
    <w:rsid w:val="002E7222"/>
    <w:rsid w:val="002F1E26"/>
    <w:rsid w:val="002F38B8"/>
    <w:rsid w:val="002F7E71"/>
    <w:rsid w:val="0030324D"/>
    <w:rsid w:val="00305C36"/>
    <w:rsid w:val="003156DC"/>
    <w:rsid w:val="003160D3"/>
    <w:rsid w:val="00323677"/>
    <w:rsid w:val="00337087"/>
    <w:rsid w:val="00337821"/>
    <w:rsid w:val="00344139"/>
    <w:rsid w:val="00344D52"/>
    <w:rsid w:val="00345843"/>
    <w:rsid w:val="00345BA1"/>
    <w:rsid w:val="00347F16"/>
    <w:rsid w:val="003549D7"/>
    <w:rsid w:val="00361BA0"/>
    <w:rsid w:val="003631D7"/>
    <w:rsid w:val="0036360A"/>
    <w:rsid w:val="003636FA"/>
    <w:rsid w:val="0036459D"/>
    <w:rsid w:val="00365885"/>
    <w:rsid w:val="00371E2D"/>
    <w:rsid w:val="00375489"/>
    <w:rsid w:val="003779CF"/>
    <w:rsid w:val="0038046C"/>
    <w:rsid w:val="00382C14"/>
    <w:rsid w:val="00382F03"/>
    <w:rsid w:val="00385C63"/>
    <w:rsid w:val="00386233"/>
    <w:rsid w:val="003867FE"/>
    <w:rsid w:val="00387B23"/>
    <w:rsid w:val="003918E4"/>
    <w:rsid w:val="00392C24"/>
    <w:rsid w:val="003973BE"/>
    <w:rsid w:val="00397959"/>
    <w:rsid w:val="003A3724"/>
    <w:rsid w:val="003A4112"/>
    <w:rsid w:val="003A4694"/>
    <w:rsid w:val="003A50FF"/>
    <w:rsid w:val="003B0118"/>
    <w:rsid w:val="003B0558"/>
    <w:rsid w:val="003B1DFB"/>
    <w:rsid w:val="003B2903"/>
    <w:rsid w:val="003B3FBD"/>
    <w:rsid w:val="003C0836"/>
    <w:rsid w:val="003C1314"/>
    <w:rsid w:val="003C2349"/>
    <w:rsid w:val="003C2BE7"/>
    <w:rsid w:val="003C375F"/>
    <w:rsid w:val="003C568A"/>
    <w:rsid w:val="003C66EE"/>
    <w:rsid w:val="003D008A"/>
    <w:rsid w:val="003D06B0"/>
    <w:rsid w:val="003D3922"/>
    <w:rsid w:val="003D4A0D"/>
    <w:rsid w:val="003E51E0"/>
    <w:rsid w:val="003E723B"/>
    <w:rsid w:val="003F3E73"/>
    <w:rsid w:val="003F7468"/>
    <w:rsid w:val="0040054F"/>
    <w:rsid w:val="0040095C"/>
    <w:rsid w:val="00403FCB"/>
    <w:rsid w:val="004113B4"/>
    <w:rsid w:val="0041346C"/>
    <w:rsid w:val="00423A1C"/>
    <w:rsid w:val="00430F33"/>
    <w:rsid w:val="004378D3"/>
    <w:rsid w:val="004446FD"/>
    <w:rsid w:val="0044606D"/>
    <w:rsid w:val="00446A1A"/>
    <w:rsid w:val="00447799"/>
    <w:rsid w:val="00451A67"/>
    <w:rsid w:val="0045238C"/>
    <w:rsid w:val="00460E58"/>
    <w:rsid w:val="00473646"/>
    <w:rsid w:val="004847B0"/>
    <w:rsid w:val="004859C2"/>
    <w:rsid w:val="00486EE3"/>
    <w:rsid w:val="00487AAA"/>
    <w:rsid w:val="0049266D"/>
    <w:rsid w:val="00495050"/>
    <w:rsid w:val="00497018"/>
    <w:rsid w:val="004A62E3"/>
    <w:rsid w:val="004A6AC8"/>
    <w:rsid w:val="004B2206"/>
    <w:rsid w:val="004B4007"/>
    <w:rsid w:val="004C0712"/>
    <w:rsid w:val="004C5116"/>
    <w:rsid w:val="004C5EA2"/>
    <w:rsid w:val="004C6E14"/>
    <w:rsid w:val="004D00E3"/>
    <w:rsid w:val="004D5C79"/>
    <w:rsid w:val="004D5E2A"/>
    <w:rsid w:val="004E265C"/>
    <w:rsid w:val="005021EE"/>
    <w:rsid w:val="00502FCD"/>
    <w:rsid w:val="0050791E"/>
    <w:rsid w:val="00510D2B"/>
    <w:rsid w:val="005114D9"/>
    <w:rsid w:val="00512F79"/>
    <w:rsid w:val="005141C6"/>
    <w:rsid w:val="00514695"/>
    <w:rsid w:val="0051535F"/>
    <w:rsid w:val="005216D1"/>
    <w:rsid w:val="00521FD9"/>
    <w:rsid w:val="0052617E"/>
    <w:rsid w:val="00526FC6"/>
    <w:rsid w:val="005349DA"/>
    <w:rsid w:val="00535DFC"/>
    <w:rsid w:val="00537E6B"/>
    <w:rsid w:val="00543D52"/>
    <w:rsid w:val="00546EFB"/>
    <w:rsid w:val="00547469"/>
    <w:rsid w:val="00551B46"/>
    <w:rsid w:val="00553B25"/>
    <w:rsid w:val="00553DF7"/>
    <w:rsid w:val="00561212"/>
    <w:rsid w:val="00567DED"/>
    <w:rsid w:val="00570E1B"/>
    <w:rsid w:val="00572623"/>
    <w:rsid w:val="00575D55"/>
    <w:rsid w:val="00576B75"/>
    <w:rsid w:val="00580689"/>
    <w:rsid w:val="005854BD"/>
    <w:rsid w:val="00590AD4"/>
    <w:rsid w:val="00591999"/>
    <w:rsid w:val="00591EC6"/>
    <w:rsid w:val="00593166"/>
    <w:rsid w:val="005965A8"/>
    <w:rsid w:val="005A63C2"/>
    <w:rsid w:val="005B2647"/>
    <w:rsid w:val="005C0E78"/>
    <w:rsid w:val="005C3239"/>
    <w:rsid w:val="005C4B6D"/>
    <w:rsid w:val="005C546D"/>
    <w:rsid w:val="005C78EC"/>
    <w:rsid w:val="005D2614"/>
    <w:rsid w:val="005D460A"/>
    <w:rsid w:val="005D753C"/>
    <w:rsid w:val="005D7FBC"/>
    <w:rsid w:val="005E61EA"/>
    <w:rsid w:val="005E658A"/>
    <w:rsid w:val="005F2C83"/>
    <w:rsid w:val="005F30B1"/>
    <w:rsid w:val="006012BE"/>
    <w:rsid w:val="00603D26"/>
    <w:rsid w:val="006057F3"/>
    <w:rsid w:val="00615014"/>
    <w:rsid w:val="006157FC"/>
    <w:rsid w:val="00616531"/>
    <w:rsid w:val="00617E2A"/>
    <w:rsid w:val="0062385F"/>
    <w:rsid w:val="0063113B"/>
    <w:rsid w:val="006354CF"/>
    <w:rsid w:val="00637C45"/>
    <w:rsid w:val="00641152"/>
    <w:rsid w:val="006443ED"/>
    <w:rsid w:val="00647D41"/>
    <w:rsid w:val="006542C0"/>
    <w:rsid w:val="00654357"/>
    <w:rsid w:val="00655667"/>
    <w:rsid w:val="00661207"/>
    <w:rsid w:val="00674601"/>
    <w:rsid w:val="0067583B"/>
    <w:rsid w:val="006803B9"/>
    <w:rsid w:val="0068156E"/>
    <w:rsid w:val="00682133"/>
    <w:rsid w:val="0068298C"/>
    <w:rsid w:val="00693649"/>
    <w:rsid w:val="006C0224"/>
    <w:rsid w:val="006C0E62"/>
    <w:rsid w:val="006C16E6"/>
    <w:rsid w:val="006C41E2"/>
    <w:rsid w:val="006C54A2"/>
    <w:rsid w:val="006D132B"/>
    <w:rsid w:val="006D5A80"/>
    <w:rsid w:val="006E51C5"/>
    <w:rsid w:val="006E744C"/>
    <w:rsid w:val="006F21AD"/>
    <w:rsid w:val="007010A5"/>
    <w:rsid w:val="0070279C"/>
    <w:rsid w:val="00704809"/>
    <w:rsid w:val="00705AAC"/>
    <w:rsid w:val="007132D8"/>
    <w:rsid w:val="00714250"/>
    <w:rsid w:val="00714EEB"/>
    <w:rsid w:val="00716DC3"/>
    <w:rsid w:val="00721E85"/>
    <w:rsid w:val="007345B3"/>
    <w:rsid w:val="00742FD5"/>
    <w:rsid w:val="0074320E"/>
    <w:rsid w:val="00746168"/>
    <w:rsid w:val="00752018"/>
    <w:rsid w:val="007542C9"/>
    <w:rsid w:val="00755D7C"/>
    <w:rsid w:val="00756B6D"/>
    <w:rsid w:val="00757290"/>
    <w:rsid w:val="0076146E"/>
    <w:rsid w:val="00761C74"/>
    <w:rsid w:val="00773A84"/>
    <w:rsid w:val="00774906"/>
    <w:rsid w:val="00776959"/>
    <w:rsid w:val="00776F3A"/>
    <w:rsid w:val="0077701E"/>
    <w:rsid w:val="007818BC"/>
    <w:rsid w:val="007819C5"/>
    <w:rsid w:val="00784AE3"/>
    <w:rsid w:val="007938F7"/>
    <w:rsid w:val="007953C4"/>
    <w:rsid w:val="007A08CA"/>
    <w:rsid w:val="007A1513"/>
    <w:rsid w:val="007A334F"/>
    <w:rsid w:val="007A42D5"/>
    <w:rsid w:val="007A5472"/>
    <w:rsid w:val="007A5AAD"/>
    <w:rsid w:val="007A6FE5"/>
    <w:rsid w:val="007B659A"/>
    <w:rsid w:val="007B77AB"/>
    <w:rsid w:val="007C0814"/>
    <w:rsid w:val="007D18DD"/>
    <w:rsid w:val="007D202F"/>
    <w:rsid w:val="007D30CA"/>
    <w:rsid w:val="007D5A9F"/>
    <w:rsid w:val="007D6664"/>
    <w:rsid w:val="007E6660"/>
    <w:rsid w:val="007F221C"/>
    <w:rsid w:val="007F226E"/>
    <w:rsid w:val="007F2445"/>
    <w:rsid w:val="007F3655"/>
    <w:rsid w:val="007F67F3"/>
    <w:rsid w:val="00800772"/>
    <w:rsid w:val="00802F7C"/>
    <w:rsid w:val="00805256"/>
    <w:rsid w:val="00806C82"/>
    <w:rsid w:val="008072E0"/>
    <w:rsid w:val="00811833"/>
    <w:rsid w:val="00817BB5"/>
    <w:rsid w:val="00817EF4"/>
    <w:rsid w:val="00824EA7"/>
    <w:rsid w:val="00824F1B"/>
    <w:rsid w:val="008258E5"/>
    <w:rsid w:val="00831E02"/>
    <w:rsid w:val="008337EF"/>
    <w:rsid w:val="0084346B"/>
    <w:rsid w:val="008457E8"/>
    <w:rsid w:val="00856921"/>
    <w:rsid w:val="00856F0F"/>
    <w:rsid w:val="00857FCF"/>
    <w:rsid w:val="00865C2E"/>
    <w:rsid w:val="00875BB5"/>
    <w:rsid w:val="008822E9"/>
    <w:rsid w:val="00882AE6"/>
    <w:rsid w:val="0089159F"/>
    <w:rsid w:val="00891A67"/>
    <w:rsid w:val="00892092"/>
    <w:rsid w:val="008926B1"/>
    <w:rsid w:val="00893DF6"/>
    <w:rsid w:val="0089511C"/>
    <w:rsid w:val="00895BCB"/>
    <w:rsid w:val="00897AF2"/>
    <w:rsid w:val="008A0962"/>
    <w:rsid w:val="008A2A93"/>
    <w:rsid w:val="008A49D6"/>
    <w:rsid w:val="008A5D55"/>
    <w:rsid w:val="008A7AC0"/>
    <w:rsid w:val="008B44F9"/>
    <w:rsid w:val="008B4ED6"/>
    <w:rsid w:val="008B60EF"/>
    <w:rsid w:val="008C36DA"/>
    <w:rsid w:val="008D2331"/>
    <w:rsid w:val="008D4EBB"/>
    <w:rsid w:val="008D7533"/>
    <w:rsid w:val="008E35FF"/>
    <w:rsid w:val="008E7DCC"/>
    <w:rsid w:val="00901F40"/>
    <w:rsid w:val="00902AB5"/>
    <w:rsid w:val="00904D17"/>
    <w:rsid w:val="009101BF"/>
    <w:rsid w:val="0091142D"/>
    <w:rsid w:val="00912F5D"/>
    <w:rsid w:val="009146F5"/>
    <w:rsid w:val="00915887"/>
    <w:rsid w:val="0091619C"/>
    <w:rsid w:val="009209FA"/>
    <w:rsid w:val="00921BC4"/>
    <w:rsid w:val="009227C7"/>
    <w:rsid w:val="00922E0B"/>
    <w:rsid w:val="00932362"/>
    <w:rsid w:val="00933996"/>
    <w:rsid w:val="00936BEA"/>
    <w:rsid w:val="00944E73"/>
    <w:rsid w:val="00945401"/>
    <w:rsid w:val="0094654F"/>
    <w:rsid w:val="00946D66"/>
    <w:rsid w:val="009475A6"/>
    <w:rsid w:val="009605D0"/>
    <w:rsid w:val="00960F2C"/>
    <w:rsid w:val="00962984"/>
    <w:rsid w:val="00967695"/>
    <w:rsid w:val="00967765"/>
    <w:rsid w:val="0097031E"/>
    <w:rsid w:val="009717F4"/>
    <w:rsid w:val="00977197"/>
    <w:rsid w:val="009771DB"/>
    <w:rsid w:val="00982BA3"/>
    <w:rsid w:val="00987588"/>
    <w:rsid w:val="0098766A"/>
    <w:rsid w:val="00995580"/>
    <w:rsid w:val="00996DC7"/>
    <w:rsid w:val="009B0089"/>
    <w:rsid w:val="009B270A"/>
    <w:rsid w:val="009C30FE"/>
    <w:rsid w:val="009D5152"/>
    <w:rsid w:val="009D6806"/>
    <w:rsid w:val="009E1D78"/>
    <w:rsid w:val="009E6514"/>
    <w:rsid w:val="009F2648"/>
    <w:rsid w:val="009F4037"/>
    <w:rsid w:val="009F53F1"/>
    <w:rsid w:val="009F6016"/>
    <w:rsid w:val="009F744A"/>
    <w:rsid w:val="00A01C15"/>
    <w:rsid w:val="00A02402"/>
    <w:rsid w:val="00A05458"/>
    <w:rsid w:val="00A05B4E"/>
    <w:rsid w:val="00A05F17"/>
    <w:rsid w:val="00A100A1"/>
    <w:rsid w:val="00A11DD4"/>
    <w:rsid w:val="00A21485"/>
    <w:rsid w:val="00A23CEA"/>
    <w:rsid w:val="00A25041"/>
    <w:rsid w:val="00A2785F"/>
    <w:rsid w:val="00A305A6"/>
    <w:rsid w:val="00A31DB0"/>
    <w:rsid w:val="00A33F63"/>
    <w:rsid w:val="00A341B4"/>
    <w:rsid w:val="00A34AF3"/>
    <w:rsid w:val="00A427C5"/>
    <w:rsid w:val="00A47F5B"/>
    <w:rsid w:val="00A51530"/>
    <w:rsid w:val="00A51759"/>
    <w:rsid w:val="00A51BEB"/>
    <w:rsid w:val="00A52779"/>
    <w:rsid w:val="00A537A1"/>
    <w:rsid w:val="00A537E8"/>
    <w:rsid w:val="00A62A14"/>
    <w:rsid w:val="00A817D7"/>
    <w:rsid w:val="00A83416"/>
    <w:rsid w:val="00A92DC2"/>
    <w:rsid w:val="00A96C7C"/>
    <w:rsid w:val="00AA5FA2"/>
    <w:rsid w:val="00AA6E24"/>
    <w:rsid w:val="00AB41C1"/>
    <w:rsid w:val="00AE16D5"/>
    <w:rsid w:val="00AE1875"/>
    <w:rsid w:val="00AE19FB"/>
    <w:rsid w:val="00AE5375"/>
    <w:rsid w:val="00AE5557"/>
    <w:rsid w:val="00AE5C1C"/>
    <w:rsid w:val="00AE6D4F"/>
    <w:rsid w:val="00AF1DB1"/>
    <w:rsid w:val="00B1411E"/>
    <w:rsid w:val="00B20338"/>
    <w:rsid w:val="00B31F3D"/>
    <w:rsid w:val="00B325AD"/>
    <w:rsid w:val="00B33023"/>
    <w:rsid w:val="00B345A4"/>
    <w:rsid w:val="00B40953"/>
    <w:rsid w:val="00B46A1B"/>
    <w:rsid w:val="00B5288D"/>
    <w:rsid w:val="00B6577B"/>
    <w:rsid w:val="00B65E62"/>
    <w:rsid w:val="00B870D5"/>
    <w:rsid w:val="00B90A02"/>
    <w:rsid w:val="00B912E9"/>
    <w:rsid w:val="00B91749"/>
    <w:rsid w:val="00B93932"/>
    <w:rsid w:val="00B979CA"/>
    <w:rsid w:val="00BA619A"/>
    <w:rsid w:val="00BA6F9F"/>
    <w:rsid w:val="00BB05D9"/>
    <w:rsid w:val="00BB216B"/>
    <w:rsid w:val="00BB2C73"/>
    <w:rsid w:val="00BB659A"/>
    <w:rsid w:val="00BC32BD"/>
    <w:rsid w:val="00BC4D0F"/>
    <w:rsid w:val="00BD188C"/>
    <w:rsid w:val="00BD216C"/>
    <w:rsid w:val="00BD27E7"/>
    <w:rsid w:val="00BD347F"/>
    <w:rsid w:val="00BD6187"/>
    <w:rsid w:val="00BD78E0"/>
    <w:rsid w:val="00BE059A"/>
    <w:rsid w:val="00BE1D3F"/>
    <w:rsid w:val="00BE24FB"/>
    <w:rsid w:val="00BE2E1A"/>
    <w:rsid w:val="00BE3F2D"/>
    <w:rsid w:val="00BE4B1C"/>
    <w:rsid w:val="00BE52A2"/>
    <w:rsid w:val="00BF49B3"/>
    <w:rsid w:val="00BF4B76"/>
    <w:rsid w:val="00C03CED"/>
    <w:rsid w:val="00C05579"/>
    <w:rsid w:val="00C0581B"/>
    <w:rsid w:val="00C107E9"/>
    <w:rsid w:val="00C169F7"/>
    <w:rsid w:val="00C175C9"/>
    <w:rsid w:val="00C31C6A"/>
    <w:rsid w:val="00C336A0"/>
    <w:rsid w:val="00C364A6"/>
    <w:rsid w:val="00C36D3A"/>
    <w:rsid w:val="00C37078"/>
    <w:rsid w:val="00C3751E"/>
    <w:rsid w:val="00C41C48"/>
    <w:rsid w:val="00C427E5"/>
    <w:rsid w:val="00C437CB"/>
    <w:rsid w:val="00C45A9F"/>
    <w:rsid w:val="00C4694E"/>
    <w:rsid w:val="00C507C0"/>
    <w:rsid w:val="00C55264"/>
    <w:rsid w:val="00C5590D"/>
    <w:rsid w:val="00C56EE4"/>
    <w:rsid w:val="00C6239D"/>
    <w:rsid w:val="00C64693"/>
    <w:rsid w:val="00C6516E"/>
    <w:rsid w:val="00C67D84"/>
    <w:rsid w:val="00C7044C"/>
    <w:rsid w:val="00C7196E"/>
    <w:rsid w:val="00C76357"/>
    <w:rsid w:val="00C844A9"/>
    <w:rsid w:val="00C9711E"/>
    <w:rsid w:val="00CA2F8E"/>
    <w:rsid w:val="00CA7113"/>
    <w:rsid w:val="00CB030B"/>
    <w:rsid w:val="00CB28A9"/>
    <w:rsid w:val="00CB430F"/>
    <w:rsid w:val="00CB4E0E"/>
    <w:rsid w:val="00CC36FF"/>
    <w:rsid w:val="00CC5824"/>
    <w:rsid w:val="00CC73E5"/>
    <w:rsid w:val="00CD0E1C"/>
    <w:rsid w:val="00CD2557"/>
    <w:rsid w:val="00CD3021"/>
    <w:rsid w:val="00CD3BCA"/>
    <w:rsid w:val="00CD5C42"/>
    <w:rsid w:val="00CE6009"/>
    <w:rsid w:val="00CF24B0"/>
    <w:rsid w:val="00D06116"/>
    <w:rsid w:val="00D0636E"/>
    <w:rsid w:val="00D1112E"/>
    <w:rsid w:val="00D12E1A"/>
    <w:rsid w:val="00D13D41"/>
    <w:rsid w:val="00D15DE4"/>
    <w:rsid w:val="00D207F6"/>
    <w:rsid w:val="00D25C2D"/>
    <w:rsid w:val="00D44B52"/>
    <w:rsid w:val="00D44C06"/>
    <w:rsid w:val="00D52DFF"/>
    <w:rsid w:val="00D6268C"/>
    <w:rsid w:val="00D66115"/>
    <w:rsid w:val="00D70C0F"/>
    <w:rsid w:val="00D73F34"/>
    <w:rsid w:val="00D809E1"/>
    <w:rsid w:val="00D826C5"/>
    <w:rsid w:val="00D83281"/>
    <w:rsid w:val="00D84358"/>
    <w:rsid w:val="00D84B9D"/>
    <w:rsid w:val="00D9173E"/>
    <w:rsid w:val="00D9541C"/>
    <w:rsid w:val="00DA09AD"/>
    <w:rsid w:val="00DA3E96"/>
    <w:rsid w:val="00DA632C"/>
    <w:rsid w:val="00DA6C51"/>
    <w:rsid w:val="00DA7516"/>
    <w:rsid w:val="00DB0244"/>
    <w:rsid w:val="00DB1F46"/>
    <w:rsid w:val="00DB7C48"/>
    <w:rsid w:val="00DD307B"/>
    <w:rsid w:val="00DD4E35"/>
    <w:rsid w:val="00DF0738"/>
    <w:rsid w:val="00E013D7"/>
    <w:rsid w:val="00E01782"/>
    <w:rsid w:val="00E02C34"/>
    <w:rsid w:val="00E03E65"/>
    <w:rsid w:val="00E05025"/>
    <w:rsid w:val="00E05A69"/>
    <w:rsid w:val="00E10DC9"/>
    <w:rsid w:val="00E15D9A"/>
    <w:rsid w:val="00E24D12"/>
    <w:rsid w:val="00E37D51"/>
    <w:rsid w:val="00E42D96"/>
    <w:rsid w:val="00E44A51"/>
    <w:rsid w:val="00E531F6"/>
    <w:rsid w:val="00E6451B"/>
    <w:rsid w:val="00E64F92"/>
    <w:rsid w:val="00E7107C"/>
    <w:rsid w:val="00E73C7B"/>
    <w:rsid w:val="00E73E02"/>
    <w:rsid w:val="00E754C9"/>
    <w:rsid w:val="00E85D19"/>
    <w:rsid w:val="00E8629E"/>
    <w:rsid w:val="00E86ACB"/>
    <w:rsid w:val="00E90D13"/>
    <w:rsid w:val="00E92A58"/>
    <w:rsid w:val="00E93DE7"/>
    <w:rsid w:val="00EA1A5A"/>
    <w:rsid w:val="00EA1DDB"/>
    <w:rsid w:val="00EB431F"/>
    <w:rsid w:val="00EC04DC"/>
    <w:rsid w:val="00EC6419"/>
    <w:rsid w:val="00EC71D8"/>
    <w:rsid w:val="00ED0D45"/>
    <w:rsid w:val="00ED1121"/>
    <w:rsid w:val="00ED2600"/>
    <w:rsid w:val="00ED78BF"/>
    <w:rsid w:val="00ED7A8E"/>
    <w:rsid w:val="00EE3694"/>
    <w:rsid w:val="00EF3817"/>
    <w:rsid w:val="00F00362"/>
    <w:rsid w:val="00F02923"/>
    <w:rsid w:val="00F1200E"/>
    <w:rsid w:val="00F13DC9"/>
    <w:rsid w:val="00F15A1B"/>
    <w:rsid w:val="00F169F1"/>
    <w:rsid w:val="00F21F21"/>
    <w:rsid w:val="00F251B0"/>
    <w:rsid w:val="00F275A1"/>
    <w:rsid w:val="00F357C2"/>
    <w:rsid w:val="00F37A5C"/>
    <w:rsid w:val="00F4186C"/>
    <w:rsid w:val="00F46F2B"/>
    <w:rsid w:val="00F4728E"/>
    <w:rsid w:val="00F510F9"/>
    <w:rsid w:val="00F522B4"/>
    <w:rsid w:val="00F5344A"/>
    <w:rsid w:val="00F546E4"/>
    <w:rsid w:val="00F672A9"/>
    <w:rsid w:val="00F75BEB"/>
    <w:rsid w:val="00F778C1"/>
    <w:rsid w:val="00F77C06"/>
    <w:rsid w:val="00F81034"/>
    <w:rsid w:val="00F81B4E"/>
    <w:rsid w:val="00F84F01"/>
    <w:rsid w:val="00F85024"/>
    <w:rsid w:val="00F86E25"/>
    <w:rsid w:val="00F87080"/>
    <w:rsid w:val="00F8783F"/>
    <w:rsid w:val="00FA186B"/>
    <w:rsid w:val="00FA2641"/>
    <w:rsid w:val="00FA2912"/>
    <w:rsid w:val="00FA4EDE"/>
    <w:rsid w:val="00FA78B8"/>
    <w:rsid w:val="00FB1777"/>
    <w:rsid w:val="00FB33DE"/>
    <w:rsid w:val="00FB71F8"/>
    <w:rsid w:val="00FD13F3"/>
    <w:rsid w:val="00FD601F"/>
    <w:rsid w:val="00FF0178"/>
    <w:rsid w:val="00FF1419"/>
    <w:rsid w:val="00FF28C6"/>
    <w:rsid w:val="00FF2E05"/>
    <w:rsid w:val="00FF64A3"/>
    <w:rsid w:val="00FF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3BC36"/>
  <w15:chartTrackingRefBased/>
  <w15:docId w15:val="{3B59F25A-3B2C-4E47-93AD-32CD8741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2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22F"/>
    <w:pPr>
      <w:tabs>
        <w:tab w:val="center" w:pos="4513"/>
        <w:tab w:val="right" w:pos="9026"/>
      </w:tabs>
    </w:pPr>
  </w:style>
  <w:style w:type="character" w:customStyle="1" w:styleId="FooterChar">
    <w:name w:val="Footer Char"/>
    <w:basedOn w:val="DefaultParagraphFont"/>
    <w:link w:val="Footer"/>
    <w:uiPriority w:val="99"/>
    <w:rsid w:val="0022022F"/>
  </w:style>
  <w:style w:type="character" w:styleId="PageNumber">
    <w:name w:val="page number"/>
    <w:basedOn w:val="DefaultParagraphFont"/>
    <w:uiPriority w:val="99"/>
    <w:semiHidden/>
    <w:unhideWhenUsed/>
    <w:rsid w:val="0022022F"/>
  </w:style>
  <w:style w:type="paragraph" w:styleId="Header">
    <w:name w:val="header"/>
    <w:aliases w:val="encabezado"/>
    <w:basedOn w:val="Normal"/>
    <w:link w:val="HeaderChar"/>
    <w:uiPriority w:val="99"/>
    <w:unhideWhenUsed/>
    <w:rsid w:val="00ED78BF"/>
    <w:pPr>
      <w:tabs>
        <w:tab w:val="center" w:pos="4513"/>
        <w:tab w:val="right" w:pos="9026"/>
      </w:tabs>
    </w:pPr>
  </w:style>
  <w:style w:type="character" w:customStyle="1" w:styleId="HeaderChar">
    <w:name w:val="Header Char"/>
    <w:aliases w:val="encabezado Char"/>
    <w:basedOn w:val="DefaultParagraphFont"/>
    <w:link w:val="Header"/>
    <w:uiPriority w:val="99"/>
    <w:rsid w:val="00ED78BF"/>
  </w:style>
  <w:style w:type="character" w:styleId="Hyperlink">
    <w:name w:val="Hyperlink"/>
    <w:basedOn w:val="DefaultParagraphFont"/>
    <w:uiPriority w:val="99"/>
    <w:unhideWhenUsed/>
    <w:rsid w:val="00ED78BF"/>
    <w:rPr>
      <w:color w:val="0563C1" w:themeColor="hyperlink"/>
      <w:u w:val="single"/>
    </w:rPr>
  </w:style>
  <w:style w:type="character" w:styleId="UnresolvedMention">
    <w:name w:val="Unresolved Mention"/>
    <w:basedOn w:val="DefaultParagraphFont"/>
    <w:uiPriority w:val="99"/>
    <w:semiHidden/>
    <w:unhideWhenUsed/>
    <w:rsid w:val="00ED78BF"/>
    <w:rPr>
      <w:color w:val="605E5C"/>
      <w:shd w:val="clear" w:color="auto" w:fill="E1DFDD"/>
    </w:rPr>
  </w:style>
  <w:style w:type="paragraph" w:styleId="ListParagraph">
    <w:name w:val="List Paragraph"/>
    <w:aliases w:val="Fundamentacion,Bulleted List,SubPárrafo de lista"/>
    <w:basedOn w:val="Normal"/>
    <w:link w:val="ListParagraphChar"/>
    <w:uiPriority w:val="34"/>
    <w:qFormat/>
    <w:rsid w:val="00ED78BF"/>
    <w:pPr>
      <w:ind w:left="720"/>
    </w:pPr>
    <w:rPr>
      <w:rFonts w:ascii="Times New Roman" w:eastAsia="Calibri" w:hAnsi="Times New Roman" w:cs="Times New Roman"/>
      <w:lang w:val="en-US"/>
    </w:rPr>
  </w:style>
  <w:style w:type="paragraph" w:styleId="NormalWeb">
    <w:name w:val="Normal (Web)"/>
    <w:basedOn w:val="Normal"/>
    <w:uiPriority w:val="99"/>
    <w:unhideWhenUsed/>
    <w:rsid w:val="00ED78BF"/>
    <w:pPr>
      <w:spacing w:before="100" w:beforeAutospacing="1" w:after="100" w:afterAutospacing="1"/>
    </w:pPr>
    <w:rPr>
      <w:rFonts w:ascii="Times New Roman" w:eastAsia="Times New Roman" w:hAnsi="Times New Roman" w:cs="Times New Roman"/>
      <w:lang w:val="en-US"/>
    </w:rPr>
  </w:style>
  <w:style w:type="character" w:customStyle="1" w:styleId="ListParagraphChar">
    <w:name w:val="List Paragraph Char"/>
    <w:aliases w:val="Fundamentacion Char,Bulleted List Char,SubPárrafo de lista Char"/>
    <w:link w:val="ListParagraph"/>
    <w:uiPriority w:val="34"/>
    <w:locked/>
    <w:rsid w:val="00ED78BF"/>
    <w:rPr>
      <w:rFonts w:ascii="Times New Roman" w:eastAsia="Calibri" w:hAnsi="Times New Roman" w:cs="Times New Roman"/>
      <w:lang w:val="en-US"/>
    </w:rPr>
  </w:style>
  <w:style w:type="paragraph" w:customStyle="1" w:styleId="paragraph">
    <w:name w:val="paragraph"/>
    <w:basedOn w:val="Normal"/>
    <w:rsid w:val="00ED78BF"/>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07426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7818BC"/>
    <w:rPr>
      <w:rFonts w:ascii="Calibri" w:eastAsia="Calibri" w:hAnsi="Calibri" w:cs="Times New Roman"/>
      <w:sz w:val="22"/>
      <w:szCs w:val="22"/>
      <w:lang w:val="es-ES"/>
    </w:rPr>
  </w:style>
  <w:style w:type="character" w:customStyle="1" w:styleId="NoSpacingChar">
    <w:name w:val="No Spacing Char"/>
    <w:link w:val="NoSpacing"/>
    <w:uiPriority w:val="1"/>
    <w:locked/>
    <w:rsid w:val="007818BC"/>
    <w:rPr>
      <w:rFonts w:ascii="Calibri" w:eastAsia="Calibri" w:hAnsi="Calibri" w:cs="Times New Roman"/>
      <w:sz w:val="22"/>
      <w:szCs w:val="22"/>
      <w:lang w:val="es-ES"/>
    </w:rPr>
  </w:style>
  <w:style w:type="paragraph" w:styleId="PlainText">
    <w:name w:val="Plain Text"/>
    <w:basedOn w:val="Normal"/>
    <w:link w:val="PlainTextChar"/>
    <w:uiPriority w:val="99"/>
    <w:unhideWhenUsed/>
    <w:rsid w:val="00B870D5"/>
    <w:rPr>
      <w:rFonts w:ascii="Courier New" w:eastAsia="Calibri" w:hAnsi="Courier New" w:cs="Courier New"/>
      <w:sz w:val="20"/>
      <w:szCs w:val="20"/>
      <w:lang w:val="en-US"/>
    </w:rPr>
  </w:style>
  <w:style w:type="character" w:customStyle="1" w:styleId="PlainTextChar">
    <w:name w:val="Plain Text Char"/>
    <w:basedOn w:val="DefaultParagraphFont"/>
    <w:link w:val="PlainText"/>
    <w:uiPriority w:val="99"/>
    <w:rsid w:val="00B870D5"/>
    <w:rPr>
      <w:rFonts w:ascii="Courier New" w:eastAsia="Calibri" w:hAnsi="Courier New" w:cs="Courier New"/>
      <w:sz w:val="20"/>
      <w:szCs w:val="20"/>
      <w:lang w:val="en-US"/>
    </w:rPr>
  </w:style>
  <w:style w:type="character" w:styleId="Strong">
    <w:name w:val="Strong"/>
    <w:basedOn w:val="DefaultParagraphFont"/>
    <w:uiPriority w:val="22"/>
    <w:qFormat/>
    <w:rsid w:val="00047D85"/>
    <w:rPr>
      <w:b/>
      <w:bCs/>
    </w:rPr>
  </w:style>
  <w:style w:type="paragraph" w:styleId="FootnoteText">
    <w:name w:val="footnote text"/>
    <w:basedOn w:val="Normal"/>
    <w:link w:val="FootnoteTextChar"/>
    <w:uiPriority w:val="99"/>
    <w:semiHidden/>
    <w:unhideWhenUsed/>
    <w:rsid w:val="004113B4"/>
    <w:rPr>
      <w:sz w:val="20"/>
      <w:szCs w:val="20"/>
    </w:rPr>
  </w:style>
  <w:style w:type="character" w:customStyle="1" w:styleId="FootnoteTextChar">
    <w:name w:val="Footnote Text Char"/>
    <w:basedOn w:val="DefaultParagraphFont"/>
    <w:link w:val="FootnoteText"/>
    <w:uiPriority w:val="99"/>
    <w:semiHidden/>
    <w:rsid w:val="004113B4"/>
    <w:rPr>
      <w:sz w:val="20"/>
      <w:szCs w:val="20"/>
    </w:rPr>
  </w:style>
  <w:style w:type="character" w:styleId="FootnoteReference">
    <w:name w:val="footnote reference"/>
    <w:basedOn w:val="DefaultParagraphFont"/>
    <w:uiPriority w:val="99"/>
    <w:semiHidden/>
    <w:unhideWhenUsed/>
    <w:rsid w:val="004113B4"/>
    <w:rPr>
      <w:vertAlign w:val="superscript"/>
    </w:rPr>
  </w:style>
  <w:style w:type="character" w:styleId="FollowedHyperlink">
    <w:name w:val="FollowedHyperlink"/>
    <w:basedOn w:val="DefaultParagraphFont"/>
    <w:uiPriority w:val="99"/>
    <w:semiHidden/>
    <w:unhideWhenUsed/>
    <w:rsid w:val="00CF24B0"/>
    <w:rPr>
      <w:color w:val="954F72" w:themeColor="followedHyperlink"/>
      <w:u w:val="single"/>
    </w:rPr>
  </w:style>
  <w:style w:type="paragraph" w:customStyle="1" w:styleId="Body">
    <w:name w:val="Body"/>
    <w:rsid w:val="00487AAA"/>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customStyle="1" w:styleId="BodyA">
    <w:name w:val="Body A"/>
    <w:rsid w:val="005021EE"/>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14:textOutline w14:w="12700" w14:cap="flat" w14:cmpd="sng" w14:algn="ctr">
        <w14:noFill/>
        <w14:prstDash w14:val="solid"/>
        <w14:miter w14:lim="400000"/>
      </w14:textOutline>
    </w:rPr>
  </w:style>
  <w:style w:type="numbering" w:customStyle="1" w:styleId="ImportedStyle4">
    <w:name w:val="Imported Style 4"/>
    <w:rsid w:val="005021E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5587">
      <w:bodyDiv w:val="1"/>
      <w:marLeft w:val="0"/>
      <w:marRight w:val="0"/>
      <w:marTop w:val="0"/>
      <w:marBottom w:val="0"/>
      <w:divBdr>
        <w:top w:val="none" w:sz="0" w:space="0" w:color="auto"/>
        <w:left w:val="none" w:sz="0" w:space="0" w:color="auto"/>
        <w:bottom w:val="none" w:sz="0" w:space="0" w:color="auto"/>
        <w:right w:val="none" w:sz="0" w:space="0" w:color="auto"/>
      </w:divBdr>
      <w:divsChild>
        <w:div w:id="526985009">
          <w:marLeft w:val="0"/>
          <w:marRight w:val="0"/>
          <w:marTop w:val="150"/>
          <w:marBottom w:val="150"/>
          <w:divBdr>
            <w:top w:val="none" w:sz="0" w:space="0" w:color="auto"/>
            <w:left w:val="none" w:sz="0" w:space="0" w:color="auto"/>
            <w:bottom w:val="none" w:sz="0" w:space="0" w:color="auto"/>
            <w:right w:val="none" w:sz="0" w:space="0" w:color="auto"/>
          </w:divBdr>
        </w:div>
      </w:divsChild>
    </w:div>
    <w:div w:id="85418813">
      <w:bodyDiv w:val="1"/>
      <w:marLeft w:val="0"/>
      <w:marRight w:val="0"/>
      <w:marTop w:val="0"/>
      <w:marBottom w:val="0"/>
      <w:divBdr>
        <w:top w:val="none" w:sz="0" w:space="0" w:color="auto"/>
        <w:left w:val="none" w:sz="0" w:space="0" w:color="auto"/>
        <w:bottom w:val="none" w:sz="0" w:space="0" w:color="auto"/>
        <w:right w:val="none" w:sz="0" w:space="0" w:color="auto"/>
      </w:divBdr>
      <w:divsChild>
        <w:div w:id="2060204493">
          <w:marLeft w:val="0"/>
          <w:marRight w:val="0"/>
          <w:marTop w:val="150"/>
          <w:marBottom w:val="150"/>
          <w:divBdr>
            <w:top w:val="none" w:sz="0" w:space="0" w:color="auto"/>
            <w:left w:val="none" w:sz="0" w:space="0" w:color="auto"/>
            <w:bottom w:val="none" w:sz="0" w:space="0" w:color="auto"/>
            <w:right w:val="none" w:sz="0" w:space="0" w:color="auto"/>
          </w:divBdr>
        </w:div>
      </w:divsChild>
    </w:div>
    <w:div w:id="471213209">
      <w:bodyDiv w:val="1"/>
      <w:marLeft w:val="0"/>
      <w:marRight w:val="0"/>
      <w:marTop w:val="0"/>
      <w:marBottom w:val="0"/>
      <w:divBdr>
        <w:top w:val="none" w:sz="0" w:space="0" w:color="auto"/>
        <w:left w:val="none" w:sz="0" w:space="0" w:color="auto"/>
        <w:bottom w:val="none" w:sz="0" w:space="0" w:color="auto"/>
        <w:right w:val="none" w:sz="0" w:space="0" w:color="auto"/>
      </w:divBdr>
    </w:div>
    <w:div w:id="523981309">
      <w:bodyDiv w:val="1"/>
      <w:marLeft w:val="0"/>
      <w:marRight w:val="0"/>
      <w:marTop w:val="0"/>
      <w:marBottom w:val="0"/>
      <w:divBdr>
        <w:top w:val="none" w:sz="0" w:space="0" w:color="auto"/>
        <w:left w:val="none" w:sz="0" w:space="0" w:color="auto"/>
        <w:bottom w:val="none" w:sz="0" w:space="0" w:color="auto"/>
        <w:right w:val="none" w:sz="0" w:space="0" w:color="auto"/>
      </w:divBdr>
      <w:divsChild>
        <w:div w:id="785612262">
          <w:marLeft w:val="0"/>
          <w:marRight w:val="0"/>
          <w:marTop w:val="0"/>
          <w:marBottom w:val="0"/>
          <w:divBdr>
            <w:top w:val="none" w:sz="0" w:space="0" w:color="auto"/>
            <w:left w:val="none" w:sz="0" w:space="0" w:color="auto"/>
            <w:bottom w:val="none" w:sz="0" w:space="0" w:color="auto"/>
            <w:right w:val="none" w:sz="0" w:space="0" w:color="auto"/>
          </w:divBdr>
        </w:div>
      </w:divsChild>
    </w:div>
    <w:div w:id="981930898">
      <w:bodyDiv w:val="1"/>
      <w:marLeft w:val="0"/>
      <w:marRight w:val="0"/>
      <w:marTop w:val="0"/>
      <w:marBottom w:val="0"/>
      <w:divBdr>
        <w:top w:val="none" w:sz="0" w:space="0" w:color="auto"/>
        <w:left w:val="none" w:sz="0" w:space="0" w:color="auto"/>
        <w:bottom w:val="none" w:sz="0" w:space="0" w:color="auto"/>
        <w:right w:val="none" w:sz="0" w:space="0" w:color="auto"/>
      </w:divBdr>
      <w:divsChild>
        <w:div w:id="1455707183">
          <w:marLeft w:val="0"/>
          <w:marRight w:val="0"/>
          <w:marTop w:val="150"/>
          <w:marBottom w:val="150"/>
          <w:divBdr>
            <w:top w:val="none" w:sz="0" w:space="0" w:color="auto"/>
            <w:left w:val="none" w:sz="0" w:space="0" w:color="auto"/>
            <w:bottom w:val="none" w:sz="0" w:space="0" w:color="auto"/>
            <w:right w:val="none" w:sz="0" w:space="0" w:color="auto"/>
          </w:divBdr>
        </w:div>
      </w:divsChild>
    </w:div>
    <w:div w:id="1055663762">
      <w:bodyDiv w:val="1"/>
      <w:marLeft w:val="0"/>
      <w:marRight w:val="0"/>
      <w:marTop w:val="0"/>
      <w:marBottom w:val="0"/>
      <w:divBdr>
        <w:top w:val="none" w:sz="0" w:space="0" w:color="auto"/>
        <w:left w:val="none" w:sz="0" w:space="0" w:color="auto"/>
        <w:bottom w:val="none" w:sz="0" w:space="0" w:color="auto"/>
        <w:right w:val="none" w:sz="0" w:space="0" w:color="auto"/>
      </w:divBdr>
      <w:divsChild>
        <w:div w:id="1464302979">
          <w:marLeft w:val="0"/>
          <w:marRight w:val="0"/>
          <w:marTop w:val="150"/>
          <w:marBottom w:val="150"/>
          <w:divBdr>
            <w:top w:val="none" w:sz="0" w:space="0" w:color="auto"/>
            <w:left w:val="none" w:sz="0" w:space="0" w:color="auto"/>
            <w:bottom w:val="none" w:sz="0" w:space="0" w:color="auto"/>
            <w:right w:val="none" w:sz="0" w:space="0" w:color="auto"/>
          </w:divBdr>
        </w:div>
      </w:divsChild>
    </w:div>
    <w:div w:id="1249121651">
      <w:bodyDiv w:val="1"/>
      <w:marLeft w:val="0"/>
      <w:marRight w:val="0"/>
      <w:marTop w:val="0"/>
      <w:marBottom w:val="0"/>
      <w:divBdr>
        <w:top w:val="none" w:sz="0" w:space="0" w:color="auto"/>
        <w:left w:val="none" w:sz="0" w:space="0" w:color="auto"/>
        <w:bottom w:val="none" w:sz="0" w:space="0" w:color="auto"/>
        <w:right w:val="none" w:sz="0" w:space="0" w:color="auto"/>
      </w:divBdr>
      <w:divsChild>
        <w:div w:id="1143280506">
          <w:marLeft w:val="0"/>
          <w:marRight w:val="0"/>
          <w:marTop w:val="0"/>
          <w:marBottom w:val="0"/>
          <w:divBdr>
            <w:top w:val="none" w:sz="0" w:space="0" w:color="auto"/>
            <w:left w:val="none" w:sz="0" w:space="0" w:color="auto"/>
            <w:bottom w:val="none" w:sz="0" w:space="0" w:color="auto"/>
            <w:right w:val="none" w:sz="0" w:space="0" w:color="auto"/>
          </w:divBdr>
        </w:div>
      </w:divsChild>
    </w:div>
    <w:div w:id="1256398486">
      <w:bodyDiv w:val="1"/>
      <w:marLeft w:val="0"/>
      <w:marRight w:val="0"/>
      <w:marTop w:val="0"/>
      <w:marBottom w:val="0"/>
      <w:divBdr>
        <w:top w:val="none" w:sz="0" w:space="0" w:color="auto"/>
        <w:left w:val="none" w:sz="0" w:space="0" w:color="auto"/>
        <w:bottom w:val="none" w:sz="0" w:space="0" w:color="auto"/>
        <w:right w:val="none" w:sz="0" w:space="0" w:color="auto"/>
      </w:divBdr>
    </w:div>
    <w:div w:id="1476876442">
      <w:bodyDiv w:val="1"/>
      <w:marLeft w:val="0"/>
      <w:marRight w:val="0"/>
      <w:marTop w:val="0"/>
      <w:marBottom w:val="0"/>
      <w:divBdr>
        <w:top w:val="none" w:sz="0" w:space="0" w:color="auto"/>
        <w:left w:val="none" w:sz="0" w:space="0" w:color="auto"/>
        <w:bottom w:val="none" w:sz="0" w:space="0" w:color="auto"/>
        <w:right w:val="none" w:sz="0" w:space="0" w:color="auto"/>
      </w:divBdr>
      <w:divsChild>
        <w:div w:id="1331372543">
          <w:marLeft w:val="0"/>
          <w:marRight w:val="0"/>
          <w:marTop w:val="150"/>
          <w:marBottom w:val="150"/>
          <w:divBdr>
            <w:top w:val="none" w:sz="0" w:space="0" w:color="auto"/>
            <w:left w:val="none" w:sz="0" w:space="0" w:color="auto"/>
            <w:bottom w:val="none" w:sz="0" w:space="0" w:color="auto"/>
            <w:right w:val="none" w:sz="0" w:space="0" w:color="auto"/>
          </w:divBdr>
        </w:div>
      </w:divsChild>
    </w:div>
    <w:div w:id="1829444760">
      <w:bodyDiv w:val="1"/>
      <w:marLeft w:val="0"/>
      <w:marRight w:val="0"/>
      <w:marTop w:val="0"/>
      <w:marBottom w:val="0"/>
      <w:divBdr>
        <w:top w:val="none" w:sz="0" w:space="0" w:color="auto"/>
        <w:left w:val="none" w:sz="0" w:space="0" w:color="auto"/>
        <w:bottom w:val="none" w:sz="0" w:space="0" w:color="auto"/>
        <w:right w:val="none" w:sz="0" w:space="0" w:color="auto"/>
      </w:divBdr>
      <w:divsChild>
        <w:div w:id="12710911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m.oas.org/IDMS/Redirectpage.aspx?class=V.14.1.CIDI/RME/dec&amp;classNum=1&amp;la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m.oas.org/IDMS/Redirectpage.aspx?class=AICD/JD/DE&amp;classNum=131&amp;lang=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cm.oas.org/IDMS/Redirectpage.aspx?class=V.14.1.CIDI/RME/doc&amp;classNum=6&amp;lang=s" TargetMode="External"/><Relationship Id="rId25" Type="http://schemas.openxmlformats.org/officeDocument/2006/relationships/hyperlink" Target="https://scm.oas.org/IDMS/Redirectpage.aspx?class=AICD/JD/DE&amp;classNum=131&amp;lang=s" TargetMode="External"/><Relationship Id="rId2" Type="http://schemas.openxmlformats.org/officeDocument/2006/relationships/numbering" Target="numbering.xml"/><Relationship Id="rId16" Type="http://schemas.openxmlformats.org/officeDocument/2006/relationships/hyperlink" Target="https://www.ellibrototal.com/" TargetMode="External"/><Relationship Id="rId20" Type="http://schemas.openxmlformats.org/officeDocument/2006/relationships/hyperlink" Target="http://rialnet.org/?q=es/portafolio_teletraba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m.oas.org/IDMS/Redirectpage.aspx?class=AICD/JD/DE&amp;classNum=130&amp;lang=s" TargetMode="External"/><Relationship Id="rId5" Type="http://schemas.openxmlformats.org/officeDocument/2006/relationships/webSettings" Target="webSettings.xml"/><Relationship Id="rId15" Type="http://schemas.openxmlformats.org/officeDocument/2006/relationships/hyperlink" Target="https://turismoindigena.net/" TargetMode="External"/><Relationship Id="rId23" Type="http://schemas.openxmlformats.org/officeDocument/2006/relationships/hyperlink" Target="https://scm.oas.org/IDMS/Redirectpage.aspx?class=cidi/doc.&amp;classNum=304&amp;lang=s" TargetMode="External"/><Relationship Id="rId10" Type="http://schemas.openxmlformats.org/officeDocument/2006/relationships/footer" Target="footer1.xml"/><Relationship Id="rId19" Type="http://schemas.openxmlformats.org/officeDocument/2006/relationships/hyperlink" Target="https://scm.oas.org/IDMS/Redirectpage.aspx?class=V.14.1.CIDI/RME/doc&amp;classNum=8&amp;lang=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scm.oas.org/IDMS/Redirectpage.aspx?class=AICD/JD/DE&amp;classNum=126&amp;lang=s"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F52D-A2D3-0B40-9154-81291413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15252</Words>
  <Characters>86937</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Knowles</dc:creator>
  <cp:keywords>, docId:D50A4F6829075C18FDD5B2857DD6839E</cp:keywords>
  <dc:description/>
  <cp:lastModifiedBy>Burns, Sandra</cp:lastModifiedBy>
  <cp:revision>3</cp:revision>
  <cp:lastPrinted>2022-12-16T05:18:00Z</cp:lastPrinted>
  <dcterms:created xsi:type="dcterms:W3CDTF">2023-03-13T16:47:00Z</dcterms:created>
  <dcterms:modified xsi:type="dcterms:W3CDTF">2023-03-13T16:47:00Z</dcterms:modified>
</cp:coreProperties>
</file>