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E35D" w14:textId="5A0BF70A" w:rsidR="00463C7A" w:rsidRPr="006011A8" w:rsidRDefault="00463C7A" w:rsidP="006011A8">
      <w:pPr>
        <w:tabs>
          <w:tab w:val="left" w:pos="7200"/>
        </w:tabs>
        <w:ind w:right="-1080"/>
        <w:rPr>
          <w:rFonts w:eastAsia="Times New Roman"/>
          <w:sz w:val="22"/>
          <w:szCs w:val="22"/>
          <w:lang w:val="pt-BR"/>
        </w:rPr>
      </w:pPr>
      <w:r w:rsidRPr="004C6E7E">
        <w:rPr>
          <w:sz w:val="22"/>
          <w:szCs w:val="22"/>
        </w:rPr>
        <w:tab/>
      </w:r>
      <w:r w:rsidRPr="006011A8">
        <w:rPr>
          <w:sz w:val="22"/>
          <w:szCs w:val="22"/>
          <w:lang w:val="pt-BR"/>
        </w:rPr>
        <w:t>OEA/Ser.W</w:t>
      </w:r>
    </w:p>
    <w:p w14:paraId="78D75C92" w14:textId="1A916D91" w:rsidR="00463C7A" w:rsidRPr="006011A8" w:rsidRDefault="00463C7A" w:rsidP="006011A8">
      <w:pPr>
        <w:tabs>
          <w:tab w:val="left" w:pos="7200"/>
        </w:tabs>
        <w:ind w:right="-1080"/>
        <w:rPr>
          <w:rFonts w:eastAsia="Times New Roman"/>
          <w:sz w:val="22"/>
          <w:szCs w:val="22"/>
          <w:lang w:val="pt-BR"/>
        </w:rPr>
      </w:pPr>
      <w:r w:rsidRPr="006011A8">
        <w:rPr>
          <w:b/>
          <w:sz w:val="22"/>
          <w:szCs w:val="22"/>
          <w:lang w:val="pt-BR"/>
        </w:rPr>
        <w:tab/>
      </w:r>
      <w:r w:rsidRPr="006011A8">
        <w:rPr>
          <w:sz w:val="22"/>
          <w:szCs w:val="22"/>
          <w:lang w:val="pt-BR"/>
        </w:rPr>
        <w:t>CIDI/doc.375/23</w:t>
      </w:r>
      <w:r w:rsidR="00787D55">
        <w:rPr>
          <w:sz w:val="22"/>
          <w:szCs w:val="22"/>
          <w:lang w:val="pt-BR"/>
        </w:rPr>
        <w:t xml:space="preserve"> rev.1</w:t>
      </w:r>
    </w:p>
    <w:p w14:paraId="79073B8E" w14:textId="00474471" w:rsidR="00463C7A" w:rsidRPr="004C6E7E" w:rsidRDefault="00463C7A" w:rsidP="006011A8">
      <w:pPr>
        <w:tabs>
          <w:tab w:val="left" w:pos="7200"/>
        </w:tabs>
        <w:ind w:right="-1570"/>
        <w:rPr>
          <w:rFonts w:eastAsia="Times New Roman"/>
          <w:i/>
          <w:sz w:val="22"/>
          <w:szCs w:val="22"/>
          <w:highlight w:val="yellow"/>
        </w:rPr>
      </w:pPr>
      <w:r w:rsidRPr="006011A8">
        <w:rPr>
          <w:i/>
          <w:sz w:val="22"/>
          <w:szCs w:val="22"/>
          <w:lang w:val="pt-BR"/>
        </w:rPr>
        <w:tab/>
      </w:r>
      <w:r w:rsidR="00787D55">
        <w:rPr>
          <w:sz w:val="22"/>
          <w:szCs w:val="22"/>
        </w:rPr>
        <w:t>3</w:t>
      </w:r>
      <w:r w:rsidRPr="004C6E7E">
        <w:rPr>
          <w:sz w:val="22"/>
          <w:szCs w:val="22"/>
        </w:rPr>
        <w:t xml:space="preserve"> </w:t>
      </w:r>
      <w:r w:rsidR="00787D55" w:rsidRPr="00787D55">
        <w:rPr>
          <w:rFonts w:eastAsia="Times New Roman"/>
          <w:color w:val="000000"/>
          <w:sz w:val="22"/>
          <w:szCs w:val="22"/>
          <w:lang w:eastAsia="en-US"/>
        </w:rPr>
        <w:t>février</w:t>
      </w:r>
      <w:r w:rsidRPr="004C6E7E">
        <w:rPr>
          <w:sz w:val="22"/>
          <w:szCs w:val="22"/>
        </w:rPr>
        <w:t xml:space="preserve"> 2023</w:t>
      </w:r>
    </w:p>
    <w:p w14:paraId="2584B3CB" w14:textId="77777777" w:rsidR="00463C7A" w:rsidRPr="004C6E7E" w:rsidRDefault="00463C7A" w:rsidP="006011A8">
      <w:pPr>
        <w:tabs>
          <w:tab w:val="center" w:pos="4320"/>
          <w:tab w:val="left" w:pos="7200"/>
          <w:tab w:val="right" w:pos="8640"/>
        </w:tabs>
        <w:ind w:right="-900"/>
        <w:rPr>
          <w:rFonts w:eastAsia="Times New Roman"/>
          <w:i/>
          <w:sz w:val="22"/>
          <w:szCs w:val="22"/>
        </w:rPr>
      </w:pPr>
      <w:r w:rsidRPr="004C6E7E">
        <w:rPr>
          <w:i/>
          <w:sz w:val="22"/>
          <w:szCs w:val="22"/>
        </w:rPr>
        <w:tab/>
      </w:r>
      <w:r w:rsidRPr="004C6E7E">
        <w:rPr>
          <w:i/>
          <w:sz w:val="22"/>
          <w:szCs w:val="22"/>
        </w:rPr>
        <w:tab/>
      </w:r>
      <w:r w:rsidRPr="004C6E7E">
        <w:rPr>
          <w:sz w:val="22"/>
          <w:szCs w:val="22"/>
        </w:rPr>
        <w:t>Original: espagnol</w:t>
      </w:r>
    </w:p>
    <w:p w14:paraId="59CED6F8" w14:textId="77777777" w:rsidR="00463C7A" w:rsidRPr="004C6E7E" w:rsidRDefault="00463C7A" w:rsidP="00463C7A">
      <w:pPr>
        <w:pBdr>
          <w:bottom w:val="single" w:sz="12" w:space="1" w:color="auto"/>
        </w:pBdr>
        <w:tabs>
          <w:tab w:val="left" w:pos="8640"/>
        </w:tabs>
        <w:ind w:right="-29"/>
        <w:jc w:val="both"/>
        <w:rPr>
          <w:sz w:val="22"/>
          <w:szCs w:val="22"/>
        </w:rPr>
      </w:pPr>
    </w:p>
    <w:p w14:paraId="34AC78B8" w14:textId="77777777" w:rsidR="00F30954" w:rsidRPr="006011A8" w:rsidRDefault="00F30954" w:rsidP="006011A8">
      <w:pPr>
        <w:ind w:right="-29"/>
        <w:rPr>
          <w:sz w:val="22"/>
          <w:szCs w:val="22"/>
          <w:lang w:val="fr-FR"/>
        </w:rPr>
      </w:pPr>
    </w:p>
    <w:p w14:paraId="57A007C2" w14:textId="77777777" w:rsidR="000F27C2" w:rsidRPr="004C6E7E" w:rsidRDefault="000F27C2" w:rsidP="006011A8">
      <w:pPr>
        <w:jc w:val="both"/>
        <w:rPr>
          <w:sz w:val="22"/>
          <w:szCs w:val="22"/>
        </w:rPr>
      </w:pPr>
    </w:p>
    <w:p w14:paraId="315670F3" w14:textId="75CBEAFB" w:rsidR="00766B1D" w:rsidRPr="004C6E7E" w:rsidRDefault="00F30044" w:rsidP="006011A8">
      <w:pPr>
        <w:jc w:val="center"/>
        <w:rPr>
          <w:sz w:val="22"/>
          <w:szCs w:val="22"/>
        </w:rPr>
      </w:pPr>
      <w:r w:rsidRPr="004C6E7E">
        <w:rPr>
          <w:sz w:val="22"/>
          <w:szCs w:val="22"/>
        </w:rPr>
        <w:t>PROJET D'ORDRE DU JOUR</w:t>
      </w:r>
      <w:r w:rsidRPr="004C6E7E">
        <w:rPr>
          <w:sz w:val="22"/>
          <w:szCs w:val="22"/>
        </w:rPr>
        <w:br/>
        <w:t>XIII</w:t>
      </w:r>
      <w:r w:rsidRPr="004C6E7E">
        <w:rPr>
          <w:sz w:val="22"/>
          <w:szCs w:val="22"/>
          <w:vertAlign w:val="superscript"/>
        </w:rPr>
        <w:t>e</w:t>
      </w:r>
      <w:r w:rsidRPr="004C6E7E">
        <w:rPr>
          <w:sz w:val="22"/>
          <w:szCs w:val="22"/>
        </w:rPr>
        <w:t xml:space="preserve"> RÉUNION ORDINAIRE DE LA CIP</w:t>
      </w:r>
      <w:r w:rsidRPr="004C6E7E">
        <w:rPr>
          <w:sz w:val="22"/>
          <w:szCs w:val="22"/>
        </w:rPr>
        <w:br/>
        <w:t>« L'innovation technologique : un outil transversal pour la modernisation des ports »</w:t>
      </w:r>
    </w:p>
    <w:p w14:paraId="5C37DB17" w14:textId="77777777" w:rsidR="00E5421D" w:rsidRPr="004C6E7E" w:rsidRDefault="00E5421D" w:rsidP="006011A8">
      <w:pPr>
        <w:jc w:val="both"/>
        <w:rPr>
          <w:sz w:val="22"/>
          <w:szCs w:val="22"/>
        </w:rPr>
      </w:pPr>
    </w:p>
    <w:p w14:paraId="05508EDA" w14:textId="77777777" w:rsidR="00787D55" w:rsidRPr="00787D55" w:rsidRDefault="00787D55" w:rsidP="00787D55">
      <w:pPr>
        <w:jc w:val="center"/>
        <w:rPr>
          <w:rFonts w:eastAsia="Batang"/>
          <w:noProof/>
          <w:sz w:val="22"/>
          <w:szCs w:val="22"/>
          <w:lang w:eastAsia="ko-KR"/>
        </w:rPr>
      </w:pPr>
      <w:r w:rsidRPr="00787D55">
        <w:rPr>
          <w:rFonts w:eastAsia="Batang"/>
          <w:noProof/>
          <w:sz w:val="22"/>
          <w:szCs w:val="22"/>
          <w:lang w:eastAsia="ko-KR"/>
        </w:rPr>
        <w:t>(</w:t>
      </w:r>
      <w:r w:rsidRPr="00787D55">
        <w:rPr>
          <w:rFonts w:eastAsia="Times New Roman"/>
          <w:color w:val="000000"/>
          <w:sz w:val="22"/>
          <w:szCs w:val="22"/>
          <w:lang w:eastAsia="en-US"/>
        </w:rPr>
        <w:t>Approuvée à sa séance ordinaire tenue le 2 février 2023</w:t>
      </w:r>
      <w:r w:rsidRPr="00787D55">
        <w:rPr>
          <w:rFonts w:eastAsia="Batang"/>
          <w:noProof/>
          <w:sz w:val="22"/>
          <w:szCs w:val="22"/>
          <w:lang w:eastAsia="ko-KR"/>
        </w:rPr>
        <w:t>)</w:t>
      </w:r>
    </w:p>
    <w:p w14:paraId="658136F2" w14:textId="77777777" w:rsidR="008244D2" w:rsidRPr="00787D55" w:rsidRDefault="008244D2" w:rsidP="006011A8">
      <w:pPr>
        <w:jc w:val="both"/>
        <w:rPr>
          <w:sz w:val="22"/>
          <w:szCs w:val="22"/>
        </w:rPr>
      </w:pPr>
    </w:p>
    <w:p w14:paraId="2925CC77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2A21AFF2" w14:textId="54F021DA" w:rsidR="008244D2" w:rsidRPr="004C6E7E" w:rsidRDefault="008244D2" w:rsidP="006011A8">
      <w:pPr>
        <w:ind w:left="72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1.</w:t>
      </w:r>
      <w:r w:rsidRPr="004C6E7E">
        <w:rPr>
          <w:sz w:val="22"/>
          <w:szCs w:val="22"/>
        </w:rPr>
        <w:tab/>
        <w:t>Adoption des décisions issues de la réunion préliminaire des chefs de délégation : élection du bureau de la réunion, des sous-commissions et des groupes de travail de la réunion, adoption de l'ordre du jour et du calendrier définitifs, ordre de préséance, présentation des propositions et autres questions</w:t>
      </w:r>
    </w:p>
    <w:p w14:paraId="6967B206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4A258B96" w14:textId="002FDFD4" w:rsidR="008244D2" w:rsidRPr="004C6E7E" w:rsidRDefault="008244D2" w:rsidP="006011A8">
      <w:pPr>
        <w:ind w:left="72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2.</w:t>
      </w:r>
      <w:r w:rsidRPr="004C6E7E">
        <w:rPr>
          <w:sz w:val="22"/>
          <w:szCs w:val="22"/>
        </w:rPr>
        <w:tab/>
        <w:t>Rapports dans le cadre du Plan d'action de Buenos Aires (2021-2023)</w:t>
      </w:r>
    </w:p>
    <w:p w14:paraId="1D68D98D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5A6ECAD1" w14:textId="77777777" w:rsidR="008244D2" w:rsidRPr="004C6E7E" w:rsidRDefault="008244D2" w:rsidP="006011A8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 xml:space="preserve">Rapport d'activité du Président du Comité exécutif de la Commission interaméricaine des ports (CECIP) </w:t>
      </w:r>
    </w:p>
    <w:p w14:paraId="67679089" w14:textId="77777777" w:rsidR="008244D2" w:rsidRPr="006011A8" w:rsidRDefault="008244D2" w:rsidP="006011A8">
      <w:pPr>
        <w:jc w:val="both"/>
        <w:rPr>
          <w:sz w:val="22"/>
          <w:szCs w:val="22"/>
          <w:lang w:val="fr-FR"/>
        </w:rPr>
      </w:pPr>
    </w:p>
    <w:p w14:paraId="0B20C518" w14:textId="72FFBA8E" w:rsidR="008244D2" w:rsidRPr="004C6E7E" w:rsidRDefault="008244D2" w:rsidP="006011A8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Rapport d’activité des présidents des comités techniques consultatifs (CTC)</w:t>
      </w:r>
    </w:p>
    <w:p w14:paraId="0335DDB9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4487B7EE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 xml:space="preserve">CTC Logistique, innovation et compétitivité (Panama) </w:t>
      </w:r>
    </w:p>
    <w:p w14:paraId="25A8085F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CTC Gestion durable des ports et protection environnementale (Mexique)</w:t>
      </w:r>
    </w:p>
    <w:p w14:paraId="3A55E600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CTC Protection et sécurité portuaire (Barbade)</w:t>
      </w:r>
    </w:p>
    <w:p w14:paraId="0C655E67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CTC Politiques publiques, législation et réglementation (Uruguay)</w:t>
      </w:r>
    </w:p>
    <w:p w14:paraId="27E34513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CTC Voies d’eau, ports intérieurs et ports de croisière (Argentine)</w:t>
      </w:r>
    </w:p>
    <w:p w14:paraId="54DDB175" w14:textId="77777777" w:rsidR="008244D2" w:rsidRPr="004C6E7E" w:rsidRDefault="008244D2" w:rsidP="006011A8">
      <w:pPr>
        <w:pStyle w:val="Cuerpo"/>
        <w:numPr>
          <w:ilvl w:val="1"/>
          <w:numId w:val="20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CTC Relation port-ville, responsabilité sociale et égalité des genres (Pérou)</w:t>
      </w:r>
    </w:p>
    <w:p w14:paraId="57EDC140" w14:textId="77777777" w:rsidR="008244D2" w:rsidRPr="006011A8" w:rsidRDefault="008244D2" w:rsidP="006011A8">
      <w:pPr>
        <w:jc w:val="both"/>
        <w:rPr>
          <w:sz w:val="22"/>
          <w:szCs w:val="22"/>
          <w:lang w:val="fr-FR"/>
        </w:rPr>
      </w:pPr>
    </w:p>
    <w:p w14:paraId="571B95BB" w14:textId="692D18BF" w:rsidR="008244D2" w:rsidRPr="004C6E7E" w:rsidRDefault="008244D2" w:rsidP="006011A8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Rapport d'activité du Secrétariat de la Commission interaméricaine des ports (S/CIP)</w:t>
      </w:r>
    </w:p>
    <w:p w14:paraId="584C0CD6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789548C7" w14:textId="77777777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Renforcement et promotion du dialogue interaméricain en matière portuaire</w:t>
      </w:r>
    </w:p>
    <w:p w14:paraId="1215EEBC" w14:textId="77777777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Préparation du capital humain et renforcement des capacités institutionnelles</w:t>
      </w:r>
    </w:p>
    <w:p w14:paraId="6E746043" w14:textId="77777777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Assistance technique directe pour les projets de modernisation portuaire</w:t>
      </w:r>
    </w:p>
    <w:p w14:paraId="019DCC80" w14:textId="77777777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Promotion des ports des Amériques et coopération avec le secteur privé</w:t>
      </w:r>
    </w:p>
    <w:p w14:paraId="1DBAFC2E" w14:textId="1371683B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4C6E7E">
        <w:rPr>
          <w:rFonts w:ascii="Times New Roman" w:hAnsi="Times New Roman"/>
          <w:color w:val="auto"/>
          <w:sz w:val="22"/>
          <w:szCs w:val="22"/>
        </w:rPr>
        <w:t>Rapport financier sur le Programme portuaire spécial de la CIP</w:t>
      </w:r>
    </w:p>
    <w:p w14:paraId="29693499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4413A64A" w14:textId="77777777" w:rsidR="008244D2" w:rsidRPr="004C6E7E" w:rsidRDefault="008244D2" w:rsidP="006011A8">
      <w:pPr>
        <w:numPr>
          <w:ilvl w:val="3"/>
          <w:numId w:val="22"/>
        </w:numPr>
        <w:tabs>
          <w:tab w:val="clear" w:pos="2880"/>
        </w:tabs>
        <w:jc w:val="both"/>
        <w:rPr>
          <w:sz w:val="22"/>
          <w:szCs w:val="22"/>
        </w:rPr>
      </w:pPr>
      <w:r w:rsidRPr="004C6E7E">
        <w:rPr>
          <w:sz w:val="22"/>
          <w:szCs w:val="22"/>
        </w:rPr>
        <w:t>Rapport financier des CTC 2021 (second semestre), 2022 et 2023 (premier semestre)</w:t>
      </w:r>
    </w:p>
    <w:p w14:paraId="40DF38C4" w14:textId="77777777" w:rsidR="008244D2" w:rsidRPr="004C6E7E" w:rsidRDefault="008244D2" w:rsidP="006011A8">
      <w:pPr>
        <w:numPr>
          <w:ilvl w:val="3"/>
          <w:numId w:val="22"/>
        </w:numPr>
        <w:tabs>
          <w:tab w:val="clear" w:pos="2880"/>
        </w:tabs>
        <w:jc w:val="both"/>
        <w:rPr>
          <w:sz w:val="22"/>
          <w:szCs w:val="22"/>
        </w:rPr>
      </w:pPr>
      <w:r w:rsidRPr="004C6E7E">
        <w:rPr>
          <w:sz w:val="22"/>
          <w:szCs w:val="22"/>
        </w:rPr>
        <w:t>Rapport d'étape sur le Programme portuaire spécial de la CIP</w:t>
      </w:r>
    </w:p>
    <w:p w14:paraId="4E918B1F" w14:textId="77777777" w:rsidR="00493BD3" w:rsidRPr="004C6E7E" w:rsidRDefault="00493BD3" w:rsidP="006011A8">
      <w:pPr>
        <w:jc w:val="both"/>
        <w:rPr>
          <w:sz w:val="22"/>
          <w:szCs w:val="22"/>
        </w:rPr>
      </w:pPr>
    </w:p>
    <w:p w14:paraId="40930EE3" w14:textId="77777777" w:rsidR="008244D2" w:rsidRPr="004C6E7E" w:rsidRDefault="008244D2" w:rsidP="006011A8">
      <w:pPr>
        <w:pStyle w:val="Cuerpo"/>
        <w:numPr>
          <w:ilvl w:val="1"/>
          <w:numId w:val="19"/>
        </w:numPr>
        <w:tabs>
          <w:tab w:val="clear" w:pos="1440"/>
        </w:tabs>
        <w:ind w:left="2160"/>
        <w:jc w:val="both"/>
        <w:rPr>
          <w:rFonts w:ascii="Times New Roman" w:hAnsi="Times New Roman"/>
          <w:sz w:val="22"/>
          <w:szCs w:val="22"/>
        </w:rPr>
      </w:pPr>
      <w:r w:rsidRPr="004C6E7E">
        <w:rPr>
          <w:rFonts w:ascii="Times New Roman" w:hAnsi="Times New Roman"/>
          <w:sz w:val="22"/>
          <w:szCs w:val="22"/>
        </w:rPr>
        <w:t>Projet de budget du Programme portuaire spécial 2024-2026 de la CIP</w:t>
      </w:r>
    </w:p>
    <w:p w14:paraId="64AEE025" w14:textId="77777777" w:rsidR="008244D2" w:rsidRPr="006011A8" w:rsidRDefault="008244D2" w:rsidP="006011A8">
      <w:pPr>
        <w:jc w:val="both"/>
        <w:rPr>
          <w:sz w:val="22"/>
          <w:szCs w:val="22"/>
          <w:lang w:val="fr-FR"/>
        </w:rPr>
      </w:pPr>
    </w:p>
    <w:p w14:paraId="23D9E8CC" w14:textId="77777777" w:rsidR="008244D2" w:rsidRPr="004C6E7E" w:rsidRDefault="008244D2" w:rsidP="006011A8">
      <w:pPr>
        <w:ind w:left="72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3.</w:t>
      </w:r>
      <w:r w:rsidRPr="004C6E7E">
        <w:rPr>
          <w:sz w:val="22"/>
          <w:szCs w:val="22"/>
        </w:rPr>
        <w:tab/>
        <w:t>Forum interaméricain sur les expériences réussies en matière d'innovation technologique : un outil transversal pour la modernisation des ports</w:t>
      </w:r>
    </w:p>
    <w:p w14:paraId="79C4AF86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098EAA95" w14:textId="7C70C744" w:rsidR="008244D2" w:rsidRPr="004C6E7E" w:rsidRDefault="008244D2" w:rsidP="006011A8">
      <w:pPr>
        <w:ind w:left="144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lastRenderedPageBreak/>
        <w:t>a.</w:t>
      </w:r>
      <w:r w:rsidR="002062ED">
        <w:rPr>
          <w:sz w:val="22"/>
          <w:szCs w:val="22"/>
        </w:rPr>
        <w:tab/>
      </w:r>
      <w:r w:rsidRPr="004C6E7E">
        <w:rPr>
          <w:sz w:val="22"/>
          <w:szCs w:val="22"/>
        </w:rPr>
        <w:t xml:space="preserve">Interventions des institutions du secteur public ou privé, des organisations internationales et de la société civile </w:t>
      </w:r>
    </w:p>
    <w:p w14:paraId="4132D631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564FFB41" w14:textId="77777777" w:rsidR="008244D2" w:rsidRPr="004C6E7E" w:rsidRDefault="008244D2" w:rsidP="006011A8">
      <w:pPr>
        <w:ind w:left="72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4.</w:t>
      </w:r>
      <w:r w:rsidRPr="004C6E7E">
        <w:rPr>
          <w:sz w:val="22"/>
          <w:szCs w:val="22"/>
        </w:rPr>
        <w:tab/>
        <w:t xml:space="preserve">Débats et examen des stratégies et des actions visant à soutenir la réalisation des objectifs de la CIP </w:t>
      </w:r>
    </w:p>
    <w:p w14:paraId="5566C434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6281E5B1" w14:textId="3B377BF9" w:rsidR="008244D2" w:rsidRPr="004C6E7E" w:rsidRDefault="008244D2" w:rsidP="006011A8">
      <w:pPr>
        <w:numPr>
          <w:ilvl w:val="0"/>
          <w:numId w:val="21"/>
        </w:numPr>
        <w:jc w:val="both"/>
        <w:rPr>
          <w:sz w:val="22"/>
          <w:szCs w:val="22"/>
        </w:rPr>
      </w:pPr>
      <w:r w:rsidRPr="004C6E7E">
        <w:rPr>
          <w:sz w:val="22"/>
          <w:szCs w:val="22"/>
        </w:rPr>
        <w:t>Projet de résolution de Roatán</w:t>
      </w:r>
    </w:p>
    <w:p w14:paraId="2C55993C" w14:textId="2470FDD7" w:rsidR="008244D2" w:rsidRPr="004C6E7E" w:rsidRDefault="008244D2" w:rsidP="006011A8">
      <w:pPr>
        <w:numPr>
          <w:ilvl w:val="0"/>
          <w:numId w:val="21"/>
        </w:numPr>
        <w:jc w:val="both"/>
        <w:rPr>
          <w:sz w:val="22"/>
          <w:szCs w:val="22"/>
        </w:rPr>
      </w:pPr>
      <w:r w:rsidRPr="004C6E7E">
        <w:rPr>
          <w:sz w:val="22"/>
          <w:szCs w:val="22"/>
        </w:rPr>
        <w:t>Projet de plan d’action de Roatán (2023-2026)</w:t>
      </w:r>
    </w:p>
    <w:p w14:paraId="6AE455C8" w14:textId="77777777" w:rsidR="008244D2" w:rsidRPr="004C6E7E" w:rsidRDefault="008244D2" w:rsidP="006011A8">
      <w:pPr>
        <w:numPr>
          <w:ilvl w:val="0"/>
          <w:numId w:val="21"/>
        </w:numPr>
        <w:jc w:val="both"/>
        <w:rPr>
          <w:sz w:val="22"/>
          <w:szCs w:val="22"/>
        </w:rPr>
      </w:pPr>
      <w:r w:rsidRPr="004C6E7E">
        <w:rPr>
          <w:sz w:val="22"/>
          <w:szCs w:val="22"/>
        </w:rPr>
        <w:t>Projet de budget du Programme portuaire spécial 2024-2026 de la CIP</w:t>
      </w:r>
    </w:p>
    <w:p w14:paraId="54BBC255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421B0747" w14:textId="77777777" w:rsidR="008244D2" w:rsidRPr="004C6E7E" w:rsidRDefault="008244D2" w:rsidP="006011A8">
      <w:pPr>
        <w:jc w:val="both"/>
        <w:rPr>
          <w:sz w:val="22"/>
          <w:szCs w:val="22"/>
        </w:rPr>
      </w:pPr>
      <w:r w:rsidRPr="004C6E7E">
        <w:rPr>
          <w:sz w:val="22"/>
          <w:szCs w:val="22"/>
        </w:rPr>
        <w:t>5.</w:t>
      </w:r>
      <w:r w:rsidRPr="004C6E7E">
        <w:rPr>
          <w:sz w:val="22"/>
          <w:szCs w:val="22"/>
        </w:rPr>
        <w:tab/>
        <w:t>Élection du bureau du CECIP 2023-2026</w:t>
      </w:r>
    </w:p>
    <w:p w14:paraId="21F304D0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030C6720" w14:textId="77777777" w:rsidR="008244D2" w:rsidRPr="004C6E7E" w:rsidRDefault="008244D2" w:rsidP="006011A8">
      <w:pPr>
        <w:ind w:left="720" w:hanging="720"/>
        <w:jc w:val="both"/>
        <w:rPr>
          <w:sz w:val="22"/>
          <w:szCs w:val="22"/>
        </w:rPr>
      </w:pPr>
      <w:r w:rsidRPr="004C6E7E">
        <w:rPr>
          <w:sz w:val="22"/>
          <w:szCs w:val="22"/>
        </w:rPr>
        <w:t>6.</w:t>
      </w:r>
      <w:r w:rsidRPr="004C6E7E">
        <w:rPr>
          <w:sz w:val="22"/>
          <w:szCs w:val="22"/>
        </w:rPr>
        <w:tab/>
        <w:t>Lieu et date de la XXIVe réunion du CECIP 2024, de la XIVe réunion ordinaire de la CIP 2026 et de la XXVe réunion du CECIP</w:t>
      </w:r>
    </w:p>
    <w:p w14:paraId="0DDCD5A6" w14:textId="77777777" w:rsidR="008244D2" w:rsidRPr="004C6E7E" w:rsidRDefault="008244D2" w:rsidP="006011A8">
      <w:pPr>
        <w:jc w:val="both"/>
        <w:rPr>
          <w:sz w:val="22"/>
          <w:szCs w:val="22"/>
        </w:rPr>
      </w:pPr>
    </w:p>
    <w:p w14:paraId="6BFCFC6C" w14:textId="48205A2A" w:rsidR="00F30954" w:rsidRPr="004C6E7E" w:rsidRDefault="008244D2" w:rsidP="006011A8">
      <w:pPr>
        <w:jc w:val="both"/>
        <w:rPr>
          <w:sz w:val="22"/>
          <w:szCs w:val="22"/>
        </w:rPr>
      </w:pPr>
      <w:r w:rsidRPr="004C6E7E">
        <w:rPr>
          <w:sz w:val="22"/>
          <w:szCs w:val="22"/>
        </w:rPr>
        <w:t>7.</w:t>
      </w:r>
      <w:r w:rsidRPr="004C6E7E">
        <w:rPr>
          <w:sz w:val="22"/>
          <w:szCs w:val="22"/>
        </w:rPr>
        <w:tab/>
        <w:t>Autres questions</w:t>
      </w:r>
    </w:p>
    <w:p w14:paraId="6E8C4288" w14:textId="09AF6CA9" w:rsidR="009E23C4" w:rsidRPr="004C6E7E" w:rsidRDefault="009E23C4" w:rsidP="006011A8">
      <w:pPr>
        <w:rPr>
          <w:sz w:val="22"/>
          <w:szCs w:val="22"/>
          <w:lang w:eastAsia="en-US"/>
        </w:rPr>
      </w:pPr>
      <w:r w:rsidRPr="004C6E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8C398D" wp14:editId="3FFDC1DA">
                <wp:simplePos x="0" y="0"/>
                <wp:positionH relativeFrom="column">
                  <wp:posOffset>1905</wp:posOffset>
                </wp:positionH>
                <wp:positionV relativeFrom="page">
                  <wp:posOffset>9811385</wp:posOffset>
                </wp:positionV>
                <wp:extent cx="143065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065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096BAB" w14:textId="652EB8F2" w:rsidR="009E23C4" w:rsidRDefault="009E23C4" w:rsidP="009E23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87D55">
                              <w:rPr>
                                <w:noProof/>
                                <w:sz w:val="18"/>
                              </w:rPr>
                              <w:t>CIDRP03764F01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3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772.55pt;width:112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" filled="f" stroked="f">
                <v:stroke joinstyle="round"/>
                <v:textbox>
                  <w:txbxContent>
                    <w:p w14:paraId="35096BAB" w14:textId="652EB8F2" w:rsidR="009E23C4" w:rsidRDefault="009E23C4" w:rsidP="009E23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87D55">
                        <w:rPr>
                          <w:noProof/>
                          <w:sz w:val="18"/>
                        </w:rPr>
                        <w:t>CIDRP03764F01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E23C4" w:rsidRPr="004C6E7E" w:rsidSect="009E23C4">
      <w:headerReference w:type="default" r:id="rId10"/>
      <w:headerReference w:type="first" r:id="rId11"/>
      <w:type w:val="oddPage"/>
      <w:pgSz w:w="11907" w:h="16839" w:code="9"/>
      <w:pgMar w:top="2160" w:right="1287" w:bottom="1570" w:left="1699" w:header="1296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924A" w14:textId="77777777" w:rsidR="00B36D25" w:rsidRDefault="00B36D25">
      <w:r>
        <w:separator/>
      </w:r>
    </w:p>
  </w:endnote>
  <w:endnote w:type="continuationSeparator" w:id="0">
    <w:p w14:paraId="089B53C2" w14:textId="77777777" w:rsidR="00B36D25" w:rsidRDefault="00B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147E" w14:textId="77777777" w:rsidR="00B36D25" w:rsidRDefault="00B36D25">
      <w:r>
        <w:separator/>
      </w:r>
    </w:p>
  </w:footnote>
  <w:footnote w:type="continuationSeparator" w:id="0">
    <w:p w14:paraId="112AB11B" w14:textId="77777777" w:rsidR="00B36D25" w:rsidRDefault="00B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61772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2CFCA1F0" w14:textId="022919D2" w:rsidR="009E23C4" w:rsidRPr="006011A8" w:rsidRDefault="009E23C4">
        <w:pPr>
          <w:pStyle w:val="Header"/>
          <w:jc w:val="center"/>
          <w:rPr>
            <w:sz w:val="22"/>
            <w:szCs w:val="22"/>
          </w:rPr>
        </w:pPr>
        <w:r w:rsidRPr="006011A8">
          <w:rPr>
            <w:sz w:val="22"/>
            <w:szCs w:val="22"/>
          </w:rPr>
          <w:fldChar w:fldCharType="begin"/>
        </w:r>
        <w:r w:rsidRPr="006011A8">
          <w:rPr>
            <w:sz w:val="22"/>
            <w:szCs w:val="22"/>
          </w:rPr>
          <w:instrText xml:space="preserve"> PAGE  \* ArabicDash  \* MERGEFORMAT </w:instrText>
        </w:r>
        <w:r w:rsidRPr="006011A8">
          <w:rPr>
            <w:sz w:val="22"/>
            <w:szCs w:val="22"/>
          </w:rPr>
          <w:fldChar w:fldCharType="separate"/>
        </w:r>
        <w:r w:rsidRPr="006011A8">
          <w:rPr>
            <w:sz w:val="22"/>
            <w:szCs w:val="22"/>
          </w:rPr>
          <w:t>- 2 -</w:t>
        </w:r>
        <w:r w:rsidRPr="006011A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13" w14:textId="0D208899" w:rsidR="00F30044" w:rsidRDefault="006011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E89BC" wp14:editId="23D65AB7">
              <wp:simplePos x="0" y="0"/>
              <wp:positionH relativeFrom="column">
                <wp:posOffset>550545</wp:posOffset>
              </wp:positionH>
              <wp:positionV relativeFrom="paragraph">
                <wp:posOffset>-393535</wp:posOffset>
              </wp:positionV>
              <wp:extent cx="4261789" cy="675861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789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C1828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ORGANISATION DES ÉTATS AMÉRICAINS</w:t>
                          </w:r>
                        </w:p>
                        <w:p w14:paraId="02B76D3C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51E63AD6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eastAsia="Times New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E8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.35pt;margin-top:-31pt;width:335.55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" stroked="f">
              <v:textbox>
                <w:txbxContent>
                  <w:p w14:paraId="1B7C1828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8"/>
                        <w:szCs w:val="20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ORGANISATION DES ÉTATS AMÉRICAINS</w:t>
                    </w:r>
                  </w:p>
                  <w:p w14:paraId="02B76D3C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</w:rPr>
                      <w:t>Conseil interaméricain pour le développement intégré</w:t>
                    </w:r>
                  </w:p>
                  <w:p w14:paraId="51E63AD6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eastAsia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DD12614" wp14:editId="34A6A8C4">
          <wp:simplePos x="0" y="0"/>
          <wp:positionH relativeFrom="column">
            <wp:posOffset>4918958</wp:posOffset>
          </wp:positionH>
          <wp:positionV relativeFrom="paragraph">
            <wp:posOffset>-395522</wp:posOffset>
          </wp:positionV>
          <wp:extent cx="1097280" cy="755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235">
      <w:rPr>
        <w:noProof/>
      </w:rPr>
      <w:drawing>
        <wp:anchor distT="0" distB="0" distL="114300" distR="114300" simplePos="0" relativeHeight="251657728" behindDoc="0" locked="0" layoutInCell="1" allowOverlap="1" wp14:anchorId="34ED4732" wp14:editId="1E6261A0">
          <wp:simplePos x="0" y="0"/>
          <wp:positionH relativeFrom="column">
            <wp:posOffset>-460127</wp:posOffset>
          </wp:positionH>
          <wp:positionV relativeFrom="paragraph">
            <wp:posOffset>-488591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235">
      <w:t xml:space="preserve">- </w:t>
    </w:r>
    <w:r w:rsidR="00F30044">
      <w:fldChar w:fldCharType="begin"/>
    </w:r>
    <w:r w:rsidR="00F30044">
      <w:instrText xml:space="preserve"> PAGE   \* MERGEFORMAT </w:instrText>
    </w:r>
    <w:r w:rsidR="00F30044">
      <w:fldChar w:fldCharType="separate"/>
    </w:r>
    <w:r w:rsidR="00C330F8">
      <w:t>1</w:t>
    </w:r>
    <w:r w:rsidR="00F30044">
      <w:fldChar w:fldCharType="end"/>
    </w:r>
    <w:r w:rsidR="008E4235">
      <w:t xml:space="preserve"> -</w:t>
    </w:r>
  </w:p>
  <w:p w14:paraId="72283794" w14:textId="77777777" w:rsidR="00F30044" w:rsidRDefault="00F3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CF"/>
    <w:multiLevelType w:val="hybridMultilevel"/>
    <w:tmpl w:val="AE766076"/>
    <w:styleLink w:val="Legal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3E1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B1F"/>
    <w:multiLevelType w:val="hybridMultilevel"/>
    <w:tmpl w:val="04B6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32E"/>
    <w:multiLevelType w:val="hybridMultilevel"/>
    <w:tmpl w:val="28F23430"/>
    <w:lvl w:ilvl="0" w:tplc="F8C6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442E2"/>
    <w:multiLevelType w:val="hybridMultilevel"/>
    <w:tmpl w:val="5746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52B"/>
    <w:multiLevelType w:val="hybridMultilevel"/>
    <w:tmpl w:val="1CDA5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BCD"/>
    <w:multiLevelType w:val="hybridMultilevel"/>
    <w:tmpl w:val="7398F022"/>
    <w:lvl w:ilvl="0" w:tplc="6882C9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512AE"/>
    <w:multiLevelType w:val="hybridMultilevel"/>
    <w:tmpl w:val="9EA46F8E"/>
    <w:lvl w:ilvl="0" w:tplc="CE2E4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FBE25D7"/>
    <w:multiLevelType w:val="hybridMultilevel"/>
    <w:tmpl w:val="9AA09984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6654D8"/>
    <w:multiLevelType w:val="hybridMultilevel"/>
    <w:tmpl w:val="17463A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76AB"/>
    <w:multiLevelType w:val="hybridMultilevel"/>
    <w:tmpl w:val="79DC8448"/>
    <w:lvl w:ilvl="0" w:tplc="F8C68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A7079"/>
    <w:multiLevelType w:val="hybridMultilevel"/>
    <w:tmpl w:val="4AF273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96216"/>
    <w:multiLevelType w:val="hybridMultilevel"/>
    <w:tmpl w:val="4816F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C1400"/>
    <w:multiLevelType w:val="hybridMultilevel"/>
    <w:tmpl w:val="D0E8EA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925BC"/>
    <w:multiLevelType w:val="hybridMultilevel"/>
    <w:tmpl w:val="AC82A07C"/>
    <w:lvl w:ilvl="0" w:tplc="DB247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07D3"/>
    <w:multiLevelType w:val="hybridMultilevel"/>
    <w:tmpl w:val="C4BE4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9C7"/>
    <w:multiLevelType w:val="hybridMultilevel"/>
    <w:tmpl w:val="10F00FEE"/>
    <w:lvl w:ilvl="0" w:tplc="C9A66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9A67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3D0F"/>
    <w:multiLevelType w:val="hybridMultilevel"/>
    <w:tmpl w:val="F9CCB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F1824"/>
    <w:multiLevelType w:val="hybridMultilevel"/>
    <w:tmpl w:val="993C2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268B"/>
    <w:multiLevelType w:val="hybridMultilevel"/>
    <w:tmpl w:val="B9BE44DA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8334F1"/>
    <w:multiLevelType w:val="hybridMultilevel"/>
    <w:tmpl w:val="95FA060C"/>
    <w:lvl w:ilvl="0" w:tplc="46861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518C1"/>
    <w:multiLevelType w:val="hybridMultilevel"/>
    <w:tmpl w:val="5EF66582"/>
    <w:lvl w:ilvl="0" w:tplc="976E00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C0890"/>
    <w:multiLevelType w:val="hybridMultilevel"/>
    <w:tmpl w:val="4956E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5343679">
    <w:abstractNumId w:val="0"/>
  </w:num>
  <w:num w:numId="2" w16cid:durableId="65878314">
    <w:abstractNumId w:val="15"/>
  </w:num>
  <w:num w:numId="3" w16cid:durableId="867524701">
    <w:abstractNumId w:val="8"/>
  </w:num>
  <w:num w:numId="4" w16cid:durableId="318196027">
    <w:abstractNumId w:val="13"/>
  </w:num>
  <w:num w:numId="5" w16cid:durableId="583033846">
    <w:abstractNumId w:val="6"/>
  </w:num>
  <w:num w:numId="6" w16cid:durableId="694698886">
    <w:abstractNumId w:val="21"/>
  </w:num>
  <w:num w:numId="7" w16cid:durableId="615914833">
    <w:abstractNumId w:val="1"/>
  </w:num>
  <w:num w:numId="8" w16cid:durableId="1950428988">
    <w:abstractNumId w:val="4"/>
  </w:num>
  <w:num w:numId="9" w16cid:durableId="979110064">
    <w:abstractNumId w:val="17"/>
  </w:num>
  <w:num w:numId="10" w16cid:durableId="1963614978">
    <w:abstractNumId w:val="14"/>
  </w:num>
  <w:num w:numId="11" w16cid:durableId="137310639">
    <w:abstractNumId w:val="19"/>
  </w:num>
  <w:num w:numId="12" w16cid:durableId="861895057">
    <w:abstractNumId w:val="11"/>
  </w:num>
  <w:num w:numId="13" w16cid:durableId="1865751145">
    <w:abstractNumId w:val="3"/>
  </w:num>
  <w:num w:numId="14" w16cid:durableId="1474905044">
    <w:abstractNumId w:val="2"/>
  </w:num>
  <w:num w:numId="15" w16cid:durableId="1379354140">
    <w:abstractNumId w:val="9"/>
  </w:num>
  <w:num w:numId="16" w16cid:durableId="1390763012">
    <w:abstractNumId w:val="10"/>
  </w:num>
  <w:num w:numId="17" w16cid:durableId="1434477381">
    <w:abstractNumId w:val="12"/>
  </w:num>
  <w:num w:numId="18" w16cid:durableId="409273708">
    <w:abstractNumId w:val="5"/>
  </w:num>
  <w:num w:numId="19" w16cid:durableId="899252139">
    <w:abstractNumId w:val="7"/>
  </w:num>
  <w:num w:numId="20" w16cid:durableId="157891781">
    <w:abstractNumId w:val="16"/>
  </w:num>
  <w:num w:numId="21" w16cid:durableId="386153180">
    <w:abstractNumId w:val="20"/>
  </w:num>
  <w:num w:numId="22" w16cid:durableId="115706517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8C7260-2F12-405D-B102-6D4BA52C37F5}"/>
    <w:docVar w:name="dgnword-eventsink" w:val="99055264"/>
  </w:docVars>
  <w:rsids>
    <w:rsidRoot w:val="0009117B"/>
    <w:rsid w:val="0000546D"/>
    <w:rsid w:val="0004094B"/>
    <w:rsid w:val="00052DC7"/>
    <w:rsid w:val="00061EC4"/>
    <w:rsid w:val="00081F56"/>
    <w:rsid w:val="00090F27"/>
    <w:rsid w:val="0009117B"/>
    <w:rsid w:val="000A0278"/>
    <w:rsid w:val="000A27A6"/>
    <w:rsid w:val="000B3E55"/>
    <w:rsid w:val="000C209C"/>
    <w:rsid w:val="000C348B"/>
    <w:rsid w:val="000D01BA"/>
    <w:rsid w:val="000D5239"/>
    <w:rsid w:val="000F27C2"/>
    <w:rsid w:val="00117E39"/>
    <w:rsid w:val="00133ED2"/>
    <w:rsid w:val="001343AA"/>
    <w:rsid w:val="0016590F"/>
    <w:rsid w:val="00185C33"/>
    <w:rsid w:val="001B24D8"/>
    <w:rsid w:val="001B4069"/>
    <w:rsid w:val="001C1653"/>
    <w:rsid w:val="001D081B"/>
    <w:rsid w:val="001E2426"/>
    <w:rsid w:val="001E5D02"/>
    <w:rsid w:val="001F1471"/>
    <w:rsid w:val="001F4C2E"/>
    <w:rsid w:val="00205689"/>
    <w:rsid w:val="002062ED"/>
    <w:rsid w:val="002111F6"/>
    <w:rsid w:val="002168D7"/>
    <w:rsid w:val="00255B85"/>
    <w:rsid w:val="002568F6"/>
    <w:rsid w:val="00274823"/>
    <w:rsid w:val="0027622C"/>
    <w:rsid w:val="00282DF1"/>
    <w:rsid w:val="0028621C"/>
    <w:rsid w:val="002B0688"/>
    <w:rsid w:val="002B2AD0"/>
    <w:rsid w:val="002E1E42"/>
    <w:rsid w:val="00317B04"/>
    <w:rsid w:val="00320DB2"/>
    <w:rsid w:val="00354EDC"/>
    <w:rsid w:val="00376CFF"/>
    <w:rsid w:val="003911F1"/>
    <w:rsid w:val="003A4062"/>
    <w:rsid w:val="003C309A"/>
    <w:rsid w:val="003C3776"/>
    <w:rsid w:val="003D3CE5"/>
    <w:rsid w:val="003F4823"/>
    <w:rsid w:val="0043260D"/>
    <w:rsid w:val="00435C3A"/>
    <w:rsid w:val="004407D0"/>
    <w:rsid w:val="00461C78"/>
    <w:rsid w:val="00463C7A"/>
    <w:rsid w:val="00467FD6"/>
    <w:rsid w:val="00476465"/>
    <w:rsid w:val="00477492"/>
    <w:rsid w:val="00483059"/>
    <w:rsid w:val="00486E82"/>
    <w:rsid w:val="00493BD3"/>
    <w:rsid w:val="004A0F8B"/>
    <w:rsid w:val="004A49A7"/>
    <w:rsid w:val="004A60F9"/>
    <w:rsid w:val="004A6EC1"/>
    <w:rsid w:val="004C6E7E"/>
    <w:rsid w:val="004E38D4"/>
    <w:rsid w:val="004E43CE"/>
    <w:rsid w:val="00535513"/>
    <w:rsid w:val="00536A27"/>
    <w:rsid w:val="00557E8B"/>
    <w:rsid w:val="00563DD2"/>
    <w:rsid w:val="00574653"/>
    <w:rsid w:val="005777CE"/>
    <w:rsid w:val="0058027A"/>
    <w:rsid w:val="00581E9D"/>
    <w:rsid w:val="005A3D98"/>
    <w:rsid w:val="005B065C"/>
    <w:rsid w:val="005B140D"/>
    <w:rsid w:val="005D49B8"/>
    <w:rsid w:val="005D7D25"/>
    <w:rsid w:val="006011A8"/>
    <w:rsid w:val="006329C3"/>
    <w:rsid w:val="00662EA1"/>
    <w:rsid w:val="00697620"/>
    <w:rsid w:val="006A037C"/>
    <w:rsid w:val="006B63EB"/>
    <w:rsid w:val="006C0E63"/>
    <w:rsid w:val="006C6F7C"/>
    <w:rsid w:val="006D2F80"/>
    <w:rsid w:val="006D6722"/>
    <w:rsid w:val="006D7C1A"/>
    <w:rsid w:val="00703F6B"/>
    <w:rsid w:val="00716036"/>
    <w:rsid w:val="007220F6"/>
    <w:rsid w:val="00723A22"/>
    <w:rsid w:val="007375D8"/>
    <w:rsid w:val="0074145A"/>
    <w:rsid w:val="00744730"/>
    <w:rsid w:val="00752544"/>
    <w:rsid w:val="00762AD2"/>
    <w:rsid w:val="00766B1D"/>
    <w:rsid w:val="007719F8"/>
    <w:rsid w:val="00787048"/>
    <w:rsid w:val="00787566"/>
    <w:rsid w:val="00787D55"/>
    <w:rsid w:val="007A07EE"/>
    <w:rsid w:val="007D083C"/>
    <w:rsid w:val="007D1543"/>
    <w:rsid w:val="007D4856"/>
    <w:rsid w:val="007D7D42"/>
    <w:rsid w:val="007E2934"/>
    <w:rsid w:val="007E299D"/>
    <w:rsid w:val="007F077D"/>
    <w:rsid w:val="007F1B9E"/>
    <w:rsid w:val="00820DDD"/>
    <w:rsid w:val="008244D2"/>
    <w:rsid w:val="00825FAD"/>
    <w:rsid w:val="00826813"/>
    <w:rsid w:val="0083157F"/>
    <w:rsid w:val="008440B9"/>
    <w:rsid w:val="00852F63"/>
    <w:rsid w:val="00853736"/>
    <w:rsid w:val="00862A48"/>
    <w:rsid w:val="00864D3A"/>
    <w:rsid w:val="008660FA"/>
    <w:rsid w:val="00876A80"/>
    <w:rsid w:val="008B1B53"/>
    <w:rsid w:val="008B335A"/>
    <w:rsid w:val="008C08D4"/>
    <w:rsid w:val="008C243E"/>
    <w:rsid w:val="008D055C"/>
    <w:rsid w:val="008D079E"/>
    <w:rsid w:val="008E4235"/>
    <w:rsid w:val="009032BC"/>
    <w:rsid w:val="009101C2"/>
    <w:rsid w:val="009238F3"/>
    <w:rsid w:val="00935D6F"/>
    <w:rsid w:val="00940D2E"/>
    <w:rsid w:val="009410BE"/>
    <w:rsid w:val="0094187F"/>
    <w:rsid w:val="00972CFA"/>
    <w:rsid w:val="00981E28"/>
    <w:rsid w:val="009841D1"/>
    <w:rsid w:val="009945CF"/>
    <w:rsid w:val="009A4988"/>
    <w:rsid w:val="009A6762"/>
    <w:rsid w:val="009C4CA6"/>
    <w:rsid w:val="009C7068"/>
    <w:rsid w:val="009D3D37"/>
    <w:rsid w:val="009D7448"/>
    <w:rsid w:val="009E23C4"/>
    <w:rsid w:val="009E7EE2"/>
    <w:rsid w:val="009F0E48"/>
    <w:rsid w:val="009F28BA"/>
    <w:rsid w:val="00A35C2F"/>
    <w:rsid w:val="00A370F9"/>
    <w:rsid w:val="00A74982"/>
    <w:rsid w:val="00A83EEE"/>
    <w:rsid w:val="00A91809"/>
    <w:rsid w:val="00A969E1"/>
    <w:rsid w:val="00AA7769"/>
    <w:rsid w:val="00AC37D8"/>
    <w:rsid w:val="00AD4806"/>
    <w:rsid w:val="00AD502E"/>
    <w:rsid w:val="00AD590B"/>
    <w:rsid w:val="00B001FB"/>
    <w:rsid w:val="00B333FA"/>
    <w:rsid w:val="00B36D25"/>
    <w:rsid w:val="00B37327"/>
    <w:rsid w:val="00B43052"/>
    <w:rsid w:val="00B53865"/>
    <w:rsid w:val="00B6224E"/>
    <w:rsid w:val="00B6650C"/>
    <w:rsid w:val="00B847E7"/>
    <w:rsid w:val="00B8628F"/>
    <w:rsid w:val="00B87445"/>
    <w:rsid w:val="00B94F07"/>
    <w:rsid w:val="00BE68F2"/>
    <w:rsid w:val="00BF6335"/>
    <w:rsid w:val="00BF6C63"/>
    <w:rsid w:val="00C05882"/>
    <w:rsid w:val="00C22CC1"/>
    <w:rsid w:val="00C31ACF"/>
    <w:rsid w:val="00C330F8"/>
    <w:rsid w:val="00C47FB8"/>
    <w:rsid w:val="00C53532"/>
    <w:rsid w:val="00C54A7D"/>
    <w:rsid w:val="00C6714A"/>
    <w:rsid w:val="00C9209B"/>
    <w:rsid w:val="00C96979"/>
    <w:rsid w:val="00CB2755"/>
    <w:rsid w:val="00CF1A28"/>
    <w:rsid w:val="00CF5FA2"/>
    <w:rsid w:val="00D109E2"/>
    <w:rsid w:val="00D20AAE"/>
    <w:rsid w:val="00D4565B"/>
    <w:rsid w:val="00D53240"/>
    <w:rsid w:val="00D5769F"/>
    <w:rsid w:val="00DB36B2"/>
    <w:rsid w:val="00DB419C"/>
    <w:rsid w:val="00DB7582"/>
    <w:rsid w:val="00DC1259"/>
    <w:rsid w:val="00DF49B9"/>
    <w:rsid w:val="00DF6F44"/>
    <w:rsid w:val="00E00193"/>
    <w:rsid w:val="00E2298D"/>
    <w:rsid w:val="00E5421D"/>
    <w:rsid w:val="00E558B1"/>
    <w:rsid w:val="00E72654"/>
    <w:rsid w:val="00E73102"/>
    <w:rsid w:val="00E75EBB"/>
    <w:rsid w:val="00E76660"/>
    <w:rsid w:val="00EA5125"/>
    <w:rsid w:val="00EB5F2A"/>
    <w:rsid w:val="00EB757B"/>
    <w:rsid w:val="00EC419C"/>
    <w:rsid w:val="00ED5009"/>
    <w:rsid w:val="00EF53F1"/>
    <w:rsid w:val="00EF78E8"/>
    <w:rsid w:val="00F02DE1"/>
    <w:rsid w:val="00F30044"/>
    <w:rsid w:val="00F302DD"/>
    <w:rsid w:val="00F30954"/>
    <w:rsid w:val="00F52475"/>
    <w:rsid w:val="00F52BFE"/>
    <w:rsid w:val="00F6245A"/>
    <w:rsid w:val="00F71FA6"/>
    <w:rsid w:val="00F7325F"/>
    <w:rsid w:val="00FA204D"/>
    <w:rsid w:val="00FA68BE"/>
    <w:rsid w:val="00FC4B96"/>
    <w:rsid w:val="00FC5629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46DC4"/>
  <w15:chartTrackingRefBased/>
  <w15:docId w15:val="{839D7CD7-39DE-436F-BD88-0315DB3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7B"/>
    <w:rPr>
      <w:rFonts w:ascii="Times New Roman" w:eastAsia="PMingLiU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0911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117B"/>
    <w:rPr>
      <w:rFonts w:ascii="Cambria" w:eastAsia="Times New Roman" w:hAnsi="Cambria" w:cs="Times New Roman"/>
      <w:b/>
      <w:bCs/>
      <w:kern w:val="32"/>
      <w:sz w:val="32"/>
      <w:szCs w:val="32"/>
      <w:lang w:val="fr-CA" w:eastAsia="es-ES"/>
    </w:rPr>
  </w:style>
  <w:style w:type="paragraph" w:styleId="Header">
    <w:name w:val="header"/>
    <w:aliases w:val="encabezado"/>
    <w:basedOn w:val="Normal"/>
    <w:link w:val="HeaderChar1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1">
    <w:name w:val="Header Char1"/>
    <w:aliases w:val="encabezado Char1"/>
    <w:link w:val="Header"/>
    <w:uiPriority w:val="99"/>
    <w:rsid w:val="0009117B"/>
    <w:rPr>
      <w:rFonts w:ascii="Times New Roman" w:eastAsia="PMingLiU" w:hAnsi="Times New Roman" w:cs="Times New Roman"/>
      <w:lang w:val="fr-CA" w:eastAsia="es-ES"/>
    </w:rPr>
  </w:style>
  <w:style w:type="character" w:styleId="PageNumber">
    <w:name w:val="page number"/>
    <w:basedOn w:val="DefaultParagraphFont"/>
    <w:rsid w:val="0009117B"/>
  </w:style>
  <w:style w:type="paragraph" w:styleId="FootnoteText">
    <w:name w:val="footnote text"/>
    <w:basedOn w:val="Normal"/>
    <w:link w:val="FootnoteTextChar"/>
    <w:semiHidden/>
    <w:rsid w:val="0009117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9117B"/>
    <w:rPr>
      <w:rFonts w:ascii="Times New Roman" w:eastAsia="PMingLiU" w:hAnsi="Times New Roman" w:cs="Times New Roman"/>
      <w:sz w:val="20"/>
      <w:szCs w:val="20"/>
      <w:lang w:val="fr-CA" w:eastAsia="es-ES"/>
    </w:rPr>
  </w:style>
  <w:style w:type="character" w:styleId="FootnoteReference">
    <w:name w:val="footnote reference"/>
    <w:semiHidden/>
    <w:rsid w:val="0009117B"/>
    <w:rPr>
      <w:vertAlign w:val="superscript"/>
    </w:rPr>
  </w:style>
  <w:style w:type="table" w:styleId="TableGrid">
    <w:name w:val="Table Grid"/>
    <w:basedOn w:val="TableNormal"/>
    <w:rsid w:val="000911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117B"/>
    <w:rPr>
      <w:rFonts w:ascii="Times New Roman" w:eastAsia="PMingLiU" w:hAnsi="Times New Roman" w:cs="Times New Roman"/>
      <w:lang w:val="fr-CA" w:eastAsia="es-ES"/>
    </w:rPr>
  </w:style>
  <w:style w:type="paragraph" w:styleId="BalloonText">
    <w:name w:val="Balloon Text"/>
    <w:basedOn w:val="Normal"/>
    <w:link w:val="BalloonTextChar"/>
    <w:semiHidden/>
    <w:rsid w:val="000911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9117B"/>
    <w:rPr>
      <w:rFonts w:ascii="Tahoma" w:eastAsia="PMingLiU" w:hAnsi="Tahoma" w:cs="Tahoma"/>
      <w:sz w:val="16"/>
      <w:szCs w:val="16"/>
      <w:lang w:val="fr-CA" w:eastAsia="es-ES"/>
    </w:rPr>
  </w:style>
  <w:style w:type="paragraph" w:customStyle="1" w:styleId="ListParagraph1">
    <w:name w:val="List Paragraph1"/>
    <w:basedOn w:val="Normal"/>
    <w:qFormat/>
    <w:rsid w:val="0009117B"/>
    <w:pPr>
      <w:ind w:left="720"/>
      <w:contextualSpacing/>
    </w:pPr>
  </w:style>
  <w:style w:type="numbering" w:customStyle="1" w:styleId="Legal">
    <w:name w:val="Legal"/>
    <w:rsid w:val="0009117B"/>
    <w:pPr>
      <w:numPr>
        <w:numId w:val="1"/>
      </w:numPr>
    </w:pPr>
  </w:style>
  <w:style w:type="paragraph" w:customStyle="1" w:styleId="Prrafodelista1">
    <w:name w:val="Párrafo de lista1"/>
    <w:basedOn w:val="Normal"/>
    <w:uiPriority w:val="34"/>
    <w:qFormat/>
    <w:rsid w:val="0009117B"/>
    <w:pPr>
      <w:ind w:left="708"/>
    </w:pPr>
    <w:rPr>
      <w:rFonts w:ascii="Arial" w:eastAsia="ヒラギノ角ゴ Pro W3" w:hAnsi="Arial"/>
      <w:color w:val="000000"/>
      <w:lang w:eastAsia="en-US"/>
    </w:rPr>
  </w:style>
  <w:style w:type="character" w:customStyle="1" w:styleId="hps">
    <w:name w:val="hps"/>
    <w:basedOn w:val="DefaultParagraphFont"/>
    <w:rsid w:val="0009117B"/>
  </w:style>
  <w:style w:type="paragraph" w:styleId="BodyTextIndent3">
    <w:name w:val="Body Text Indent 3"/>
    <w:basedOn w:val="Normal"/>
    <w:link w:val="BodyTextIndent3Char"/>
    <w:rsid w:val="0009117B"/>
    <w:pPr>
      <w:spacing w:after="120"/>
      <w:ind w:left="360"/>
    </w:pPr>
    <w:rPr>
      <w:rFonts w:eastAsia="Times New Roman"/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rsid w:val="0009117B"/>
    <w:rPr>
      <w:rFonts w:ascii="Times New Roman" w:eastAsia="Times New Roman" w:hAnsi="Times New Roman" w:cs="Times New Roman"/>
      <w:sz w:val="16"/>
      <w:szCs w:val="16"/>
      <w:lang w:val="fr-CA" w:eastAsia="x-none"/>
    </w:rPr>
  </w:style>
  <w:style w:type="paragraph" w:customStyle="1" w:styleId="Ttulo11">
    <w:name w:val="Título 11"/>
    <w:next w:val="Normal"/>
    <w:rsid w:val="0009117B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es-PE"/>
    </w:rPr>
  </w:style>
  <w:style w:type="paragraph" w:customStyle="1" w:styleId="Cuerpo">
    <w:name w:val="Cuerpo"/>
    <w:rsid w:val="0009117B"/>
    <w:rPr>
      <w:rFonts w:ascii="Helvetica" w:eastAsia="ヒラギノ角ゴ Pro W3" w:hAnsi="Helvetica"/>
      <w:color w:val="000000"/>
      <w:sz w:val="24"/>
      <w:lang w:eastAsia="es-PE"/>
    </w:rPr>
  </w:style>
  <w:style w:type="paragraph" w:customStyle="1" w:styleId="CM92">
    <w:name w:val="CM92"/>
    <w:basedOn w:val="Normal"/>
    <w:next w:val="Normal"/>
    <w:rsid w:val="0009117B"/>
    <w:pPr>
      <w:widowControl w:val="0"/>
      <w:autoSpaceDE w:val="0"/>
      <w:autoSpaceDN w:val="0"/>
      <w:adjustRightInd w:val="0"/>
    </w:pPr>
    <w:rPr>
      <w:rFonts w:ascii="Garamond,Bold" w:eastAsia="Calibri" w:hAnsi="Garamond,Bold"/>
      <w:lang w:eastAsia="es-PE"/>
    </w:rPr>
  </w:style>
  <w:style w:type="character" w:styleId="CommentReference">
    <w:name w:val="annotation reference"/>
    <w:semiHidden/>
    <w:rsid w:val="000911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117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9117B"/>
    <w:rPr>
      <w:rFonts w:ascii="Times New Roman" w:eastAsia="PMingLiU" w:hAnsi="Times New Roman" w:cs="Times New Roman"/>
      <w:sz w:val="20"/>
      <w:szCs w:val="20"/>
      <w:lang w:val="fr-CA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117B"/>
    <w:rPr>
      <w:b/>
      <w:bCs/>
    </w:rPr>
  </w:style>
  <w:style w:type="character" w:customStyle="1" w:styleId="CommentSubjectChar">
    <w:name w:val="Comment Subject Char"/>
    <w:link w:val="CommentSubject"/>
    <w:semiHidden/>
    <w:rsid w:val="0009117B"/>
    <w:rPr>
      <w:rFonts w:ascii="Times New Roman" w:eastAsia="PMingLiU" w:hAnsi="Times New Roman" w:cs="Times New Roman"/>
      <w:b/>
      <w:bCs/>
      <w:sz w:val="20"/>
      <w:szCs w:val="20"/>
      <w:lang w:val="fr-CA" w:eastAsia="es-ES"/>
    </w:rPr>
  </w:style>
  <w:style w:type="paragraph" w:styleId="TOC1">
    <w:name w:val="toc 1"/>
    <w:basedOn w:val="Normal"/>
    <w:next w:val="Normal"/>
    <w:autoRedefine/>
    <w:semiHidden/>
    <w:rsid w:val="0009117B"/>
    <w:pPr>
      <w:tabs>
        <w:tab w:val="right" w:leader="dot" w:pos="9360"/>
      </w:tabs>
      <w:ind w:left="2880" w:hanging="2880"/>
      <w:jc w:val="center"/>
    </w:pPr>
    <w:rPr>
      <w:rFonts w:eastAsia="Times New Roman"/>
      <w:lang w:eastAsia="en-US"/>
    </w:rPr>
  </w:style>
  <w:style w:type="character" w:styleId="Hyperlink">
    <w:name w:val="Hyperlink"/>
    <w:rsid w:val="0009117B"/>
    <w:rPr>
      <w:color w:val="0000FF"/>
      <w:u w:val="single"/>
    </w:rPr>
  </w:style>
  <w:style w:type="character" w:customStyle="1" w:styleId="CharChar">
    <w:name w:val="Char Char"/>
    <w:locked/>
    <w:rsid w:val="0009117B"/>
    <w:rPr>
      <w:sz w:val="16"/>
      <w:lang w:val="fr-CA" w:eastAsia="en-US"/>
    </w:rPr>
  </w:style>
  <w:style w:type="paragraph" w:styleId="EndnoteText">
    <w:name w:val="endnote text"/>
    <w:basedOn w:val="Normal"/>
    <w:semiHidden/>
    <w:rsid w:val="007C3D86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semiHidden/>
    <w:rsid w:val="007C3D86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6E1417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HeaderChar">
    <w:name w:val="Header Char"/>
    <w:aliases w:val="encabezado Char"/>
    <w:uiPriority w:val="99"/>
    <w:locked/>
    <w:rsid w:val="00E862CE"/>
    <w:rPr>
      <w:rFonts w:eastAsia="PMingLiU"/>
      <w:sz w:val="24"/>
      <w:szCs w:val="24"/>
      <w:lang w:val="fr-CA" w:eastAsia="es-ES" w:bidi="ar-SA"/>
    </w:rPr>
  </w:style>
  <w:style w:type="character" w:styleId="FollowedHyperlink">
    <w:name w:val="FollowedHyperlink"/>
    <w:rsid w:val="0053341B"/>
    <w:rPr>
      <w:color w:val="800080"/>
      <w:u w:val="single"/>
    </w:rPr>
  </w:style>
  <w:style w:type="paragraph" w:styleId="NormalWeb">
    <w:name w:val="Normal (Web)"/>
    <w:basedOn w:val="Normal"/>
    <w:uiPriority w:val="99"/>
    <w:rsid w:val="006C51AB"/>
    <w:pPr>
      <w:spacing w:beforeLines="1" w:afterLines="1"/>
    </w:pPr>
    <w:rPr>
      <w:rFonts w:ascii="Times" w:eastAsia="MS Minngs" w:hAnsi="Times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DD263C"/>
    <w:pPr>
      <w:suppressAutoHyphens/>
    </w:pPr>
    <w:rPr>
      <w:rFonts w:ascii="Courier New" w:eastAsia="MS Mincho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DD263C"/>
    <w:rPr>
      <w:rFonts w:ascii="Courier New" w:eastAsia="MS Mincho" w:hAnsi="Courier New" w:cs="Courier New"/>
      <w:lang w:eastAsia="ar-SA"/>
    </w:rPr>
  </w:style>
  <w:style w:type="paragraph" w:styleId="Revision">
    <w:name w:val="Revision"/>
    <w:hidden/>
    <w:rsid w:val="00716036"/>
    <w:rPr>
      <w:rFonts w:ascii="Times New Roman" w:eastAsia="PMingLiU" w:hAnsi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7D083C"/>
    <w:pPr>
      <w:spacing w:after="120"/>
    </w:pPr>
  </w:style>
  <w:style w:type="character" w:customStyle="1" w:styleId="BodyTextChar">
    <w:name w:val="Body Text Char"/>
    <w:link w:val="BodyText"/>
    <w:rsid w:val="007D083C"/>
    <w:rPr>
      <w:rFonts w:ascii="Times New Roman" w:eastAsia="PMingLiU" w:hAnsi="Times New Roman"/>
      <w:sz w:val="24"/>
      <w:szCs w:val="24"/>
      <w:lang w:val="fr-CA" w:eastAsia="es-ES"/>
    </w:rPr>
  </w:style>
  <w:style w:type="paragraph" w:styleId="ListParagraph">
    <w:name w:val="List Paragraph"/>
    <w:basedOn w:val="Normal"/>
    <w:uiPriority w:val="34"/>
    <w:qFormat/>
    <w:rsid w:val="00824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3" ma:contentTypeDescription="Create a new document." ma:contentTypeScope="" ma:versionID="aa22fdcbbbcd440507cdd6e857b0b289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a543f359edbbe02f4407835556d0daa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36C3E-A315-4969-9512-8E81C1FF6684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DB44C1D4-8F7D-4F98-999E-2640E424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C0349-B31D-429D-957A-92494AD59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2236</Characters>
  <Application>Microsoft Office Word</Application>
  <DocSecurity>0</DocSecurity>
  <Lines>67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PLAN DE ACCIÓN DE CARTAGENA 2014-2015</vt:lpstr>
      <vt:lpstr>PROPUESTA DE PLAN DE ACCIÓN DE CARTAGENA 2014-2015</vt:lpstr>
    </vt:vector>
  </TitlesOfParts>
  <Company>Misión de Costa Rica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PLAN DE ACCIÓN DE CARTAGENA 2014-2015</dc:title>
  <dc:subject/>
  <dc:creator>mrechy</dc:creator>
  <cp:keywords/>
  <cp:lastModifiedBy>Burns, Sandra</cp:lastModifiedBy>
  <cp:revision>4</cp:revision>
  <cp:lastPrinted>2018-04-24T16:01:00Z</cp:lastPrinted>
  <dcterms:created xsi:type="dcterms:W3CDTF">2023-02-09T21:11:00Z</dcterms:created>
  <dcterms:modified xsi:type="dcterms:W3CDTF">2023-02-09T21:23:00Z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