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68A7" w14:textId="77777777" w:rsidR="00491E99" w:rsidRPr="008536B0" w:rsidRDefault="00491E99" w:rsidP="00491E99">
      <w:pPr>
        <w:tabs>
          <w:tab w:val="left" w:pos="7200"/>
        </w:tabs>
        <w:ind w:right="-1080"/>
        <w:rPr>
          <w:sz w:val="22"/>
          <w:szCs w:val="22"/>
          <w:lang w:val="pt-BR"/>
        </w:rPr>
      </w:pPr>
      <w:r w:rsidRPr="008536B0">
        <w:rPr>
          <w:sz w:val="22"/>
          <w:lang w:val="pt-BR"/>
        </w:rPr>
        <w:tab/>
        <w:t>OEA/Ser.W</w:t>
      </w:r>
    </w:p>
    <w:p w14:paraId="3429C428" w14:textId="32EB61A9" w:rsidR="00491E99" w:rsidRPr="008536B0" w:rsidRDefault="00491E99" w:rsidP="00491E99">
      <w:pPr>
        <w:tabs>
          <w:tab w:val="left" w:pos="7200"/>
        </w:tabs>
        <w:ind w:right="-1080"/>
        <w:rPr>
          <w:sz w:val="22"/>
          <w:szCs w:val="22"/>
          <w:lang w:val="pt-BR"/>
        </w:rPr>
      </w:pPr>
      <w:r w:rsidRPr="008536B0">
        <w:rPr>
          <w:sz w:val="22"/>
          <w:lang w:val="pt-BR"/>
        </w:rPr>
        <w:tab/>
        <w:t>CIDI/doc. 376/23</w:t>
      </w:r>
      <w:r w:rsidR="005B10A2">
        <w:rPr>
          <w:sz w:val="22"/>
          <w:lang w:val="pt-BR"/>
        </w:rPr>
        <w:t xml:space="preserve"> rev.1</w:t>
      </w:r>
    </w:p>
    <w:p w14:paraId="4157052D" w14:textId="4935793E" w:rsidR="00491E99" w:rsidRPr="008536B0" w:rsidRDefault="00491E99" w:rsidP="00491E99">
      <w:pPr>
        <w:tabs>
          <w:tab w:val="left" w:pos="7200"/>
        </w:tabs>
        <w:ind w:right="-1080"/>
        <w:rPr>
          <w:sz w:val="22"/>
          <w:szCs w:val="22"/>
          <w:lang w:val="pt-BR"/>
        </w:rPr>
      </w:pPr>
      <w:r w:rsidRPr="008536B0">
        <w:rPr>
          <w:sz w:val="22"/>
          <w:lang w:val="pt-BR"/>
        </w:rPr>
        <w:tab/>
      </w:r>
      <w:r w:rsidR="005B10A2">
        <w:rPr>
          <w:sz w:val="22"/>
          <w:lang w:val="pt-BR"/>
        </w:rPr>
        <w:t>28</w:t>
      </w:r>
      <w:r w:rsidRPr="008536B0">
        <w:rPr>
          <w:sz w:val="22"/>
          <w:lang w:val="pt-BR"/>
        </w:rPr>
        <w:t xml:space="preserve"> fevereiro 2023</w:t>
      </w:r>
    </w:p>
    <w:p w14:paraId="426E7699" w14:textId="77777777" w:rsidR="00491E99" w:rsidRPr="008536B0" w:rsidRDefault="00491E99" w:rsidP="00491E99">
      <w:pPr>
        <w:pBdr>
          <w:bottom w:val="single" w:sz="12" w:space="1" w:color="auto"/>
        </w:pBdr>
        <w:tabs>
          <w:tab w:val="left" w:pos="7200"/>
        </w:tabs>
        <w:ind w:right="-389"/>
        <w:rPr>
          <w:sz w:val="22"/>
          <w:szCs w:val="22"/>
          <w:lang w:val="pt-BR"/>
        </w:rPr>
      </w:pPr>
      <w:r w:rsidRPr="008536B0">
        <w:rPr>
          <w:sz w:val="22"/>
          <w:lang w:val="pt-BR"/>
        </w:rPr>
        <w:tab/>
        <w:t>Original: espanhol</w:t>
      </w:r>
    </w:p>
    <w:p w14:paraId="22C8B0F6" w14:textId="77777777" w:rsidR="00491E99" w:rsidRPr="008536B0" w:rsidRDefault="00491E99" w:rsidP="00491E99">
      <w:pPr>
        <w:pBdr>
          <w:bottom w:val="single" w:sz="12" w:space="1" w:color="auto"/>
        </w:pBdr>
        <w:tabs>
          <w:tab w:val="left" w:pos="7200"/>
        </w:tabs>
        <w:ind w:right="-389"/>
        <w:rPr>
          <w:sz w:val="22"/>
          <w:szCs w:val="22"/>
          <w:lang w:val="pt-BR"/>
        </w:rPr>
      </w:pPr>
    </w:p>
    <w:p w14:paraId="08399DFE" w14:textId="77777777" w:rsidR="00491E99" w:rsidRPr="008536B0" w:rsidRDefault="00491E99" w:rsidP="00491E99">
      <w:pPr>
        <w:jc w:val="center"/>
        <w:rPr>
          <w:sz w:val="22"/>
          <w:szCs w:val="22"/>
          <w:lang w:val="pt-BR"/>
        </w:rPr>
      </w:pPr>
    </w:p>
    <w:p w14:paraId="256EDDD6" w14:textId="77777777" w:rsidR="00491E99" w:rsidRPr="008536B0" w:rsidRDefault="00491E99" w:rsidP="00491E99">
      <w:pPr>
        <w:jc w:val="center"/>
        <w:rPr>
          <w:b/>
          <w:bCs/>
          <w:sz w:val="22"/>
          <w:szCs w:val="22"/>
          <w:lang w:val="pt-BR"/>
        </w:rPr>
      </w:pPr>
      <w:r w:rsidRPr="008536B0">
        <w:rPr>
          <w:b/>
          <w:sz w:val="22"/>
          <w:lang w:val="pt-BR"/>
        </w:rPr>
        <w:t>REAJUSTES AO CICLO MINISTERIAL TRIENAL</w:t>
      </w:r>
    </w:p>
    <w:p w14:paraId="294115F0" w14:textId="77777777" w:rsidR="00491E99" w:rsidRPr="008536B0" w:rsidRDefault="00491E99" w:rsidP="00491E99">
      <w:pPr>
        <w:jc w:val="center"/>
        <w:rPr>
          <w:b/>
          <w:bCs/>
          <w:sz w:val="22"/>
          <w:szCs w:val="22"/>
          <w:lang w:val="pt-BR"/>
        </w:rPr>
      </w:pPr>
      <w:r w:rsidRPr="008536B0">
        <w:rPr>
          <w:b/>
          <w:sz w:val="22"/>
          <w:lang w:val="pt-BR"/>
        </w:rPr>
        <w:t xml:space="preserve">DO PROCESSO SETORIAL DE CULTURA </w:t>
      </w:r>
    </w:p>
    <w:p w14:paraId="40F35EB2" w14:textId="77777777" w:rsidR="00491E99" w:rsidRDefault="00491E99" w:rsidP="00491E99">
      <w:pPr>
        <w:rPr>
          <w:b/>
          <w:bCs/>
          <w:sz w:val="22"/>
          <w:szCs w:val="22"/>
          <w:lang w:val="pt-BR"/>
        </w:rPr>
      </w:pPr>
    </w:p>
    <w:p w14:paraId="60FC2D62" w14:textId="77777777" w:rsidR="005B10A2" w:rsidRPr="005B10A2" w:rsidRDefault="005B10A2" w:rsidP="007E5970">
      <w:pPr>
        <w:jc w:val="center"/>
        <w:rPr>
          <w:sz w:val="22"/>
          <w:szCs w:val="22"/>
          <w:lang w:val="pt-BR"/>
        </w:rPr>
      </w:pPr>
      <w:r w:rsidRPr="005B10A2">
        <w:rPr>
          <w:sz w:val="22"/>
          <w:szCs w:val="22"/>
          <w:lang w:val="pt-BR"/>
        </w:rPr>
        <w:t>(Aprovado pelo CIDI em reunião ordinária realizada em 28 de fevereiro de 2023)</w:t>
      </w:r>
    </w:p>
    <w:p w14:paraId="5384A994" w14:textId="77777777" w:rsidR="00491E99" w:rsidRPr="005B10A2" w:rsidRDefault="00491E99" w:rsidP="00491E99">
      <w:pPr>
        <w:jc w:val="center"/>
        <w:rPr>
          <w:sz w:val="22"/>
          <w:szCs w:val="22"/>
          <w:lang w:val="pt-BR"/>
        </w:rPr>
      </w:pPr>
    </w:p>
    <w:p w14:paraId="45414EF4" w14:textId="77777777" w:rsidR="005B10A2" w:rsidRPr="005B10A2" w:rsidRDefault="005B10A2" w:rsidP="00491E99">
      <w:pPr>
        <w:jc w:val="center"/>
        <w:rPr>
          <w:sz w:val="22"/>
          <w:szCs w:val="22"/>
          <w:lang w:val="pt-BR"/>
        </w:rPr>
      </w:pPr>
    </w:p>
    <w:p w14:paraId="236A8795" w14:textId="77777777" w:rsidR="00491E99" w:rsidRPr="008536B0" w:rsidRDefault="00491E99" w:rsidP="00491E99">
      <w:pPr>
        <w:tabs>
          <w:tab w:val="left" w:pos="720"/>
        </w:tabs>
        <w:jc w:val="both"/>
        <w:rPr>
          <w:sz w:val="22"/>
          <w:szCs w:val="22"/>
          <w:lang w:val="pt-BR"/>
        </w:rPr>
      </w:pPr>
      <w:r w:rsidRPr="005B10A2">
        <w:rPr>
          <w:sz w:val="22"/>
          <w:lang w:val="pt-BR"/>
        </w:rPr>
        <w:tab/>
      </w:r>
      <w:r w:rsidRPr="008536B0">
        <w:rPr>
          <w:sz w:val="22"/>
          <w:lang w:val="pt-BR"/>
        </w:rPr>
        <w:t>O ciclo ministerial trienal de Cultura foi postergado em relação aos prazos estabelecidos nas “Diretrizes Gerais para os Processos Setoriais no Nível Ministerial no Âmbito do Conselho Interamericano de Desenvolvimento Integral (CIDI)” (CIDI/doc.228/17).</w:t>
      </w:r>
    </w:p>
    <w:p w14:paraId="48E0196C" w14:textId="77777777" w:rsidR="00491E99" w:rsidRPr="008536B0" w:rsidRDefault="00491E99" w:rsidP="00491E99">
      <w:pPr>
        <w:tabs>
          <w:tab w:val="left" w:pos="720"/>
        </w:tabs>
        <w:jc w:val="both"/>
        <w:rPr>
          <w:sz w:val="22"/>
          <w:szCs w:val="22"/>
          <w:lang w:val="pt-BR"/>
        </w:rPr>
      </w:pPr>
      <w:r w:rsidRPr="008536B0">
        <w:rPr>
          <w:sz w:val="22"/>
          <w:lang w:val="pt-BR"/>
        </w:rPr>
        <w:t>  </w:t>
      </w:r>
    </w:p>
    <w:p w14:paraId="583C2A36" w14:textId="77777777" w:rsidR="00491E99" w:rsidRPr="008536B0" w:rsidRDefault="00491E99" w:rsidP="00491E99">
      <w:pPr>
        <w:tabs>
          <w:tab w:val="left" w:pos="720"/>
        </w:tabs>
        <w:jc w:val="both"/>
        <w:rPr>
          <w:sz w:val="22"/>
          <w:szCs w:val="22"/>
          <w:lang w:val="pt-BR"/>
        </w:rPr>
      </w:pPr>
      <w:r w:rsidRPr="008536B0">
        <w:rPr>
          <w:sz w:val="22"/>
          <w:lang w:val="pt-BR"/>
        </w:rPr>
        <w:tab/>
        <w:t xml:space="preserve">A Reunião de Planejamento de Autoridades do Processo Ministerial de Cultura deveria ter sido realizada em janeiro de 2023, três meses após a reunião ministerial, porém não foi possível realizá-la oportunamente. Isso se deveu à dificuldade de coordenar as agendas das diferentes autoridades da Comissão Interamericana de Cultura (CIC) devido a compromissos anteriores, ao início das gestões orçamentários dos Estados membros e aos feriados na Secretaria-Geral, incluindo o Natal e o fim do ano. Esses eventos não permitiram a coordenação necessária para a preparação da reunião e para a discussão prévia sobre os documentos a serem negociados. </w:t>
      </w:r>
    </w:p>
    <w:p w14:paraId="172C3BA0" w14:textId="77777777" w:rsidR="00491E99" w:rsidRPr="008536B0" w:rsidRDefault="00491E99" w:rsidP="00491E99">
      <w:pPr>
        <w:tabs>
          <w:tab w:val="left" w:pos="720"/>
        </w:tabs>
        <w:jc w:val="both"/>
        <w:rPr>
          <w:sz w:val="22"/>
          <w:szCs w:val="22"/>
          <w:lang w:val="pt-BR"/>
        </w:rPr>
      </w:pPr>
      <w:r w:rsidRPr="008536B0">
        <w:rPr>
          <w:sz w:val="22"/>
          <w:lang w:val="pt-BR"/>
        </w:rPr>
        <w:t> </w:t>
      </w:r>
    </w:p>
    <w:p w14:paraId="16F83315" w14:textId="71FDABD3" w:rsidR="00491E99" w:rsidRPr="005B10A2" w:rsidRDefault="00491E99" w:rsidP="00491E99">
      <w:pPr>
        <w:jc w:val="both"/>
        <w:rPr>
          <w:sz w:val="22"/>
          <w:lang w:val="pt-BR"/>
        </w:rPr>
      </w:pPr>
      <w:r w:rsidRPr="008536B0">
        <w:rPr>
          <w:sz w:val="22"/>
          <w:lang w:val="pt-BR"/>
        </w:rPr>
        <w:tab/>
        <w:t xml:space="preserve">Por essas razões, apreciando o compromisso das autoridades da CIC e dos membros da Troika, e levando em conta as Disposições Gerais das Diretrizes Gerais para os Processos Setoriais no Nível Ministerial no Âmbito do CIDI que estabelecem que “(....) em caso de circunstâncias imprevistas, o CIDI, com o assessoramento da Secretaria, terá a prerrogativa de aprovar mudanças em um determinado ciclo ministerial em caráter excepcional e levando em consideração as consequências logísticas, orçamentárias e organizacionais da mudança proposta”, </w:t>
      </w:r>
      <w:r w:rsidR="005B10A2" w:rsidRPr="005B10A2">
        <w:rPr>
          <w:sz w:val="22"/>
          <w:lang w:val="pt-BR"/>
        </w:rPr>
        <w:t xml:space="preserve">O CIDI aprovou que </w:t>
      </w:r>
      <w:r w:rsidRPr="008536B0">
        <w:rPr>
          <w:sz w:val="22"/>
          <w:lang w:val="pt-BR"/>
        </w:rPr>
        <w:t xml:space="preserve">a Reunião de Planejamento de Autoridades do Processo Ministerial de Cultura seja convocada no formato presencial, na sede da Secretaria-Geral da OEA, em 16 e 17 de março de 2023. </w:t>
      </w:r>
    </w:p>
    <w:p w14:paraId="34A70031" w14:textId="4DF36D91" w:rsidR="00D14D68" w:rsidRPr="008536B0" w:rsidRDefault="008D0665" w:rsidP="00491E99">
      <w:pPr>
        <w:rPr>
          <w:lang w:val="pt-BR"/>
        </w:rPr>
      </w:pPr>
      <w:r>
        <w:rPr>
          <w:noProof/>
          <w:lang w:val="pt-BR"/>
        </w:rPr>
        <mc:AlternateContent>
          <mc:Choice Requires="wps">
            <w:drawing>
              <wp:anchor distT="0" distB="0" distL="114300" distR="114300" simplePos="0" relativeHeight="251659264" behindDoc="0" locked="1" layoutInCell="1" allowOverlap="1" wp14:anchorId="0EBF2D98" wp14:editId="639AE2C5">
                <wp:simplePos x="0" y="0"/>
                <wp:positionH relativeFrom="column">
                  <wp:posOffset>-91440</wp:posOffset>
                </wp:positionH>
                <wp:positionV relativeFrom="page">
                  <wp:posOffset>9144000</wp:posOffset>
                </wp:positionV>
                <wp:extent cx="3383280" cy="228600"/>
                <wp:effectExtent l="0" t="0" r="0" b="0"/>
                <wp:wrapNone/>
                <wp:docPr id="393499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D96AD4" w14:textId="271EE8CC" w:rsidR="008D0665" w:rsidRPr="008D0665" w:rsidRDefault="008D0665">
                            <w:pPr>
                              <w:rPr>
                                <w:sz w:val="18"/>
                              </w:rPr>
                            </w:pPr>
                            <w:r>
                              <w:rPr>
                                <w:sz w:val="18"/>
                              </w:rPr>
                              <w:fldChar w:fldCharType="begin"/>
                            </w:r>
                            <w:r>
                              <w:rPr>
                                <w:sz w:val="18"/>
                              </w:rPr>
                              <w:instrText xml:space="preserve"> FILENAME  \* MERGEFORMAT </w:instrText>
                            </w:r>
                            <w:r>
                              <w:rPr>
                                <w:sz w:val="18"/>
                              </w:rPr>
                              <w:fldChar w:fldCharType="separate"/>
                            </w:r>
                            <w:r>
                              <w:rPr>
                                <w:noProof/>
                                <w:sz w:val="18"/>
                              </w:rPr>
                              <w:t>CIDRP03899P01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BF2D98"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ED96AD4" w14:textId="271EE8CC" w:rsidR="008D0665" w:rsidRPr="008D0665" w:rsidRDefault="008D0665">
                      <w:pPr>
                        <w:rPr>
                          <w:sz w:val="18"/>
                        </w:rPr>
                      </w:pPr>
                      <w:r>
                        <w:rPr>
                          <w:sz w:val="18"/>
                        </w:rPr>
                        <w:fldChar w:fldCharType="begin"/>
                      </w:r>
                      <w:r>
                        <w:rPr>
                          <w:sz w:val="18"/>
                        </w:rPr>
                        <w:instrText xml:space="preserve"> FILENAME  \* MERGEFORMAT </w:instrText>
                      </w:r>
                      <w:r>
                        <w:rPr>
                          <w:sz w:val="18"/>
                        </w:rPr>
                        <w:fldChar w:fldCharType="separate"/>
                      </w:r>
                      <w:r>
                        <w:rPr>
                          <w:noProof/>
                          <w:sz w:val="18"/>
                        </w:rPr>
                        <w:t>CIDRP03899P01</w:t>
                      </w:r>
                      <w:r>
                        <w:rPr>
                          <w:sz w:val="18"/>
                        </w:rPr>
                        <w:fldChar w:fldCharType="end"/>
                      </w:r>
                    </w:p>
                  </w:txbxContent>
                </v:textbox>
                <w10:wrap anchory="page"/>
                <w10:anchorlock/>
              </v:shape>
            </w:pict>
          </mc:Fallback>
        </mc:AlternateContent>
      </w:r>
    </w:p>
    <w:sectPr w:rsidR="00D14D68" w:rsidRPr="008536B0"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C35" w14:textId="77777777" w:rsidR="00EC6A87" w:rsidRDefault="00EC6A87">
      <w:r>
        <w:rPr>
          <w:lang w:val="es"/>
        </w:rPr>
        <w:separator/>
      </w:r>
    </w:p>
  </w:endnote>
  <w:endnote w:type="continuationSeparator" w:id="0">
    <w:p w14:paraId="158B6B0C" w14:textId="77777777" w:rsidR="00EC6A87" w:rsidRDefault="00EC6A8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F1F2" w14:textId="77777777" w:rsidR="00EC6A87" w:rsidRDefault="00EC6A87">
      <w:r>
        <w:rPr>
          <w:lang w:val="es"/>
        </w:rPr>
        <w:separator/>
      </w:r>
    </w:p>
  </w:footnote>
  <w:footnote w:type="continuationSeparator" w:id="0">
    <w:p w14:paraId="12D046B7" w14:textId="77777777" w:rsidR="00EC6A87" w:rsidRDefault="00EC6A8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04D91B4">
              <wp:simplePos x="0" y="0"/>
              <wp:positionH relativeFrom="column">
                <wp:posOffset>444500</wp:posOffset>
              </wp:positionH>
              <wp:positionV relativeFrom="paragraph">
                <wp:posOffset>-356235</wp:posOffset>
              </wp:positionV>
              <wp:extent cx="4728845" cy="781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5534BC1C" w:rsidR="00921E9E" w:rsidRPr="005B10A2" w:rsidRDefault="00FA607C" w:rsidP="00921E9E">
                          <w:pPr>
                            <w:pStyle w:val="Header"/>
                            <w:tabs>
                              <w:tab w:val="left" w:pos="900"/>
                            </w:tabs>
                            <w:spacing w:line="0" w:lineRule="atLeast"/>
                            <w:jc w:val="center"/>
                            <w:rPr>
                              <w:rFonts w:ascii="Garamond" w:hAnsi="Garamond"/>
                              <w:b/>
                              <w:sz w:val="28"/>
                              <w:szCs w:val="28"/>
                              <w:lang w:val="pt-BR"/>
                            </w:rPr>
                          </w:pPr>
                          <w:r w:rsidRPr="005B10A2">
                            <w:rPr>
                              <w:rFonts w:ascii="Garamond" w:hAnsi="Garamond"/>
                              <w:b/>
                              <w:sz w:val="28"/>
                              <w:szCs w:val="28"/>
                              <w:lang w:val="pt-BR"/>
                            </w:rPr>
                            <w:t>ORGANIZA</w:t>
                          </w:r>
                          <w:r w:rsidR="00ED673C" w:rsidRPr="005B10A2">
                            <w:rPr>
                              <w:rFonts w:ascii="Garamond" w:hAnsi="Garamond"/>
                              <w:b/>
                              <w:sz w:val="28"/>
                              <w:szCs w:val="28"/>
                              <w:lang w:val="pt-BR"/>
                            </w:rPr>
                            <w:t xml:space="preserve">ÇÃO DOS </w:t>
                          </w:r>
                          <w:r w:rsidRPr="005B10A2">
                            <w:rPr>
                              <w:rFonts w:ascii="Garamond" w:hAnsi="Garamond"/>
                              <w:b/>
                              <w:sz w:val="28"/>
                              <w:szCs w:val="28"/>
                              <w:lang w:val="pt-BR"/>
                            </w:rPr>
                            <w:t xml:space="preserve">ESTADOS AMERICANOS </w:t>
                          </w:r>
                        </w:p>
                        <w:p w14:paraId="2CA4038B" w14:textId="147070ED" w:rsidR="00921E9E" w:rsidRPr="002802F8" w:rsidRDefault="00FA607C" w:rsidP="00921E9E">
                          <w:pPr>
                            <w:pStyle w:val="Header"/>
                            <w:tabs>
                              <w:tab w:val="left" w:pos="900"/>
                            </w:tabs>
                            <w:spacing w:line="0" w:lineRule="atLeast"/>
                            <w:jc w:val="center"/>
                            <w:rPr>
                              <w:rFonts w:ascii="Garamond" w:hAnsi="Garamond"/>
                              <w:b/>
                              <w:sz w:val="24"/>
                              <w:szCs w:val="24"/>
                              <w:lang w:val="pt-BR"/>
                            </w:rPr>
                          </w:pPr>
                          <w:r w:rsidRPr="002802F8">
                            <w:rPr>
                              <w:rFonts w:ascii="Garamond" w:hAnsi="Garamond"/>
                              <w:b/>
                              <w:sz w:val="24"/>
                              <w:szCs w:val="24"/>
                              <w:lang w:val="pt-BR"/>
                            </w:rPr>
                            <w:t>Conse</w:t>
                          </w:r>
                          <w:r w:rsidR="00ED673C" w:rsidRPr="002802F8">
                            <w:rPr>
                              <w:rFonts w:ascii="Garamond" w:hAnsi="Garamond"/>
                              <w:b/>
                              <w:sz w:val="24"/>
                              <w:szCs w:val="24"/>
                              <w:lang w:val="pt-BR"/>
                            </w:rPr>
                            <w:t>lh</w:t>
                          </w:r>
                          <w:r w:rsidRPr="002802F8">
                            <w:rPr>
                              <w:rFonts w:ascii="Garamond" w:hAnsi="Garamond"/>
                              <w:b/>
                              <w:sz w:val="24"/>
                              <w:szCs w:val="24"/>
                              <w:lang w:val="pt-BR"/>
                            </w:rPr>
                            <w:t xml:space="preserve">o Interamericano </w:t>
                          </w:r>
                          <w:r w:rsidR="00ED673C" w:rsidRPr="002802F8">
                            <w:rPr>
                              <w:rFonts w:ascii="Garamond" w:hAnsi="Garamond"/>
                              <w:b/>
                              <w:sz w:val="24"/>
                              <w:szCs w:val="24"/>
                              <w:lang w:val="pt-BR"/>
                            </w:rPr>
                            <w:t>de Desenvolvimento</w:t>
                          </w:r>
                          <w:r w:rsidRPr="002802F8">
                            <w:rPr>
                              <w:rFonts w:ascii="Garamond" w:hAnsi="Garamond"/>
                              <w:b/>
                              <w:sz w:val="24"/>
                              <w:szCs w:val="24"/>
                              <w:lang w:val="pt-BR"/>
                            </w:rPr>
                            <w:t xml:space="preserve"> Integral </w:t>
                          </w:r>
                        </w:p>
                        <w:p w14:paraId="2B28C509" w14:textId="77777777" w:rsidR="00921E9E" w:rsidRPr="002802F8" w:rsidRDefault="00FA607C" w:rsidP="00921E9E">
                          <w:pPr>
                            <w:pStyle w:val="Header"/>
                            <w:tabs>
                              <w:tab w:val="left" w:pos="900"/>
                            </w:tabs>
                            <w:spacing w:line="0" w:lineRule="atLeast"/>
                            <w:jc w:val="center"/>
                            <w:rPr>
                              <w:b/>
                              <w:szCs w:val="22"/>
                              <w:lang w:val="pt-BR"/>
                            </w:rPr>
                          </w:pPr>
                          <w:r w:rsidRPr="002802F8">
                            <w:rPr>
                              <w:rFonts w:ascii="Garamond" w:hAnsi="Garamond"/>
                              <w:b/>
                              <w:sz w:val="24"/>
                              <w:szCs w:val="24"/>
                              <w:lang w:val="pt-BR"/>
                            </w:rPr>
                            <w:t>(CIDI</w:t>
                          </w:r>
                          <w:r w:rsidRPr="002802F8">
                            <w:rPr>
                              <w:b/>
                              <w:szCs w:val="22"/>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35pt;margin-top:-28.05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" stroked="f">
              <v:textbox>
                <w:txbxContent>
                  <w:p w14:paraId="44131F49" w14:textId="5534BC1C" w:rsidR="00921E9E" w:rsidRPr="005B10A2" w:rsidRDefault="00FA607C" w:rsidP="00921E9E">
                    <w:pPr>
                      <w:pStyle w:val="Header"/>
                      <w:tabs>
                        <w:tab w:val="left" w:pos="900"/>
                      </w:tabs>
                      <w:spacing w:line="0" w:lineRule="atLeast"/>
                      <w:jc w:val="center"/>
                      <w:rPr>
                        <w:rFonts w:ascii="Garamond" w:hAnsi="Garamond"/>
                        <w:b/>
                        <w:sz w:val="28"/>
                        <w:szCs w:val="28"/>
                        <w:lang w:val="pt-BR"/>
                      </w:rPr>
                    </w:pPr>
                    <w:r w:rsidRPr="005B10A2">
                      <w:rPr>
                        <w:rFonts w:ascii="Garamond" w:hAnsi="Garamond"/>
                        <w:b/>
                        <w:sz w:val="28"/>
                        <w:szCs w:val="28"/>
                        <w:lang w:val="pt-BR"/>
                      </w:rPr>
                      <w:t>ORGANIZA</w:t>
                    </w:r>
                    <w:r w:rsidR="00ED673C" w:rsidRPr="005B10A2">
                      <w:rPr>
                        <w:rFonts w:ascii="Garamond" w:hAnsi="Garamond"/>
                        <w:b/>
                        <w:sz w:val="28"/>
                        <w:szCs w:val="28"/>
                        <w:lang w:val="pt-BR"/>
                      </w:rPr>
                      <w:t xml:space="preserve">ÇÃO DOS </w:t>
                    </w:r>
                    <w:r w:rsidRPr="005B10A2">
                      <w:rPr>
                        <w:rFonts w:ascii="Garamond" w:hAnsi="Garamond"/>
                        <w:b/>
                        <w:sz w:val="28"/>
                        <w:szCs w:val="28"/>
                        <w:lang w:val="pt-BR"/>
                      </w:rPr>
                      <w:t xml:space="preserve">ESTADOS AMERICANOS </w:t>
                    </w:r>
                  </w:p>
                  <w:p w14:paraId="2CA4038B" w14:textId="147070ED" w:rsidR="00921E9E" w:rsidRPr="002802F8" w:rsidRDefault="00FA607C" w:rsidP="00921E9E">
                    <w:pPr>
                      <w:pStyle w:val="Header"/>
                      <w:tabs>
                        <w:tab w:val="left" w:pos="900"/>
                      </w:tabs>
                      <w:spacing w:line="0" w:lineRule="atLeast"/>
                      <w:jc w:val="center"/>
                      <w:rPr>
                        <w:rFonts w:ascii="Garamond" w:hAnsi="Garamond"/>
                        <w:b/>
                        <w:sz w:val="24"/>
                        <w:szCs w:val="24"/>
                        <w:lang w:val="pt-BR"/>
                      </w:rPr>
                    </w:pPr>
                    <w:r w:rsidRPr="002802F8">
                      <w:rPr>
                        <w:rFonts w:ascii="Garamond" w:hAnsi="Garamond"/>
                        <w:b/>
                        <w:sz w:val="24"/>
                        <w:szCs w:val="24"/>
                        <w:lang w:val="pt-BR"/>
                      </w:rPr>
                      <w:t>Conse</w:t>
                    </w:r>
                    <w:r w:rsidR="00ED673C" w:rsidRPr="002802F8">
                      <w:rPr>
                        <w:rFonts w:ascii="Garamond" w:hAnsi="Garamond"/>
                        <w:b/>
                        <w:sz w:val="24"/>
                        <w:szCs w:val="24"/>
                        <w:lang w:val="pt-BR"/>
                      </w:rPr>
                      <w:t>lh</w:t>
                    </w:r>
                    <w:r w:rsidRPr="002802F8">
                      <w:rPr>
                        <w:rFonts w:ascii="Garamond" w:hAnsi="Garamond"/>
                        <w:b/>
                        <w:sz w:val="24"/>
                        <w:szCs w:val="24"/>
                        <w:lang w:val="pt-BR"/>
                      </w:rPr>
                      <w:t xml:space="preserve">o Interamericano </w:t>
                    </w:r>
                    <w:r w:rsidR="00ED673C" w:rsidRPr="002802F8">
                      <w:rPr>
                        <w:rFonts w:ascii="Garamond" w:hAnsi="Garamond"/>
                        <w:b/>
                        <w:sz w:val="24"/>
                        <w:szCs w:val="24"/>
                        <w:lang w:val="pt-BR"/>
                      </w:rPr>
                      <w:t>de Desenvolvimento</w:t>
                    </w:r>
                    <w:r w:rsidRPr="002802F8">
                      <w:rPr>
                        <w:rFonts w:ascii="Garamond" w:hAnsi="Garamond"/>
                        <w:b/>
                        <w:sz w:val="24"/>
                        <w:szCs w:val="24"/>
                        <w:lang w:val="pt-BR"/>
                      </w:rPr>
                      <w:t xml:space="preserve"> Integral </w:t>
                    </w:r>
                  </w:p>
                  <w:p w14:paraId="2B28C509" w14:textId="77777777" w:rsidR="00921E9E" w:rsidRPr="002802F8" w:rsidRDefault="00FA607C" w:rsidP="00921E9E">
                    <w:pPr>
                      <w:pStyle w:val="Header"/>
                      <w:tabs>
                        <w:tab w:val="left" w:pos="900"/>
                      </w:tabs>
                      <w:spacing w:line="0" w:lineRule="atLeast"/>
                      <w:jc w:val="center"/>
                      <w:rPr>
                        <w:b/>
                        <w:szCs w:val="22"/>
                        <w:lang w:val="pt-BR"/>
                      </w:rPr>
                    </w:pPr>
                    <w:r w:rsidRPr="002802F8">
                      <w:rPr>
                        <w:rFonts w:ascii="Garamond" w:hAnsi="Garamond"/>
                        <w:b/>
                        <w:sz w:val="24"/>
                        <w:szCs w:val="24"/>
                        <w:lang w:val="pt-BR"/>
                      </w:rPr>
                      <w:t>(CIDI</w:t>
                    </w:r>
                    <w:r w:rsidRPr="002802F8">
                      <w:rPr>
                        <w:b/>
                        <w:szCs w:val="22"/>
                        <w:lang w:val="pt-BR"/>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02F8"/>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24D2"/>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284B"/>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1E99"/>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10A2"/>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65F4"/>
    <w:rsid w:val="00836740"/>
    <w:rsid w:val="00836CCC"/>
    <w:rsid w:val="0084046A"/>
    <w:rsid w:val="00845965"/>
    <w:rsid w:val="0085184E"/>
    <w:rsid w:val="00852DA4"/>
    <w:rsid w:val="008536B0"/>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0665"/>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56BAA"/>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5DF0"/>
    <w:rsid w:val="00E768B6"/>
    <w:rsid w:val="00E81A17"/>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673C"/>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23448941">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2023-06-03T04:43:00Z</dcterms:created>
  <dcterms:modified xsi:type="dcterms:W3CDTF">2023-06-03T04:46:00Z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