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2BC9" w14:textId="77777777" w:rsidR="00DE3AB3" w:rsidRPr="005B4668" w:rsidRDefault="00DE3AB3" w:rsidP="00D2033C">
      <w:pPr>
        <w:tabs>
          <w:tab w:val="left" w:pos="6840"/>
        </w:tabs>
        <w:ind w:right="-749"/>
        <w:rPr>
          <w:sz w:val="22"/>
          <w:szCs w:val="22"/>
          <w:lang w:val="pt-BR"/>
        </w:rPr>
      </w:pPr>
      <w:r w:rsidRPr="005347B7">
        <w:rPr>
          <w:b/>
          <w:bCs/>
          <w:sz w:val="22"/>
          <w:szCs w:val="22"/>
          <w:lang w:val="fr-CA"/>
        </w:rPr>
        <w:tab/>
      </w:r>
      <w:r w:rsidRPr="005B4668">
        <w:rPr>
          <w:snapToGrid w:val="0"/>
          <w:sz w:val="22"/>
          <w:szCs w:val="22"/>
          <w:lang w:val="pt-BR"/>
        </w:rPr>
        <w:t>OEA/Ser.W</w:t>
      </w:r>
    </w:p>
    <w:p w14:paraId="6584923D" w14:textId="4F792F21" w:rsidR="00DE3AB3" w:rsidRPr="005B4668" w:rsidRDefault="00DE3AB3" w:rsidP="00D2033C">
      <w:pPr>
        <w:tabs>
          <w:tab w:val="left" w:pos="6840"/>
        </w:tabs>
        <w:ind w:right="-929"/>
        <w:rPr>
          <w:bCs/>
          <w:sz w:val="22"/>
          <w:szCs w:val="22"/>
          <w:lang w:val="pt-BR"/>
        </w:rPr>
      </w:pPr>
      <w:r w:rsidRPr="005B4668">
        <w:rPr>
          <w:b/>
          <w:bCs/>
          <w:sz w:val="22"/>
          <w:szCs w:val="22"/>
          <w:lang w:val="pt-BR"/>
        </w:rPr>
        <w:tab/>
      </w:r>
      <w:r w:rsidRPr="005B4668">
        <w:rPr>
          <w:bCs/>
          <w:sz w:val="22"/>
          <w:szCs w:val="22"/>
          <w:lang w:val="pt-BR"/>
        </w:rPr>
        <w:t>CIDI/doc.</w:t>
      </w:r>
      <w:r w:rsidR="00FD0F1B">
        <w:rPr>
          <w:bCs/>
          <w:sz w:val="22"/>
          <w:szCs w:val="22"/>
          <w:lang w:val="pt-BR"/>
        </w:rPr>
        <w:t xml:space="preserve"> </w:t>
      </w:r>
      <w:r w:rsidR="003A46EF" w:rsidRPr="005B4668">
        <w:rPr>
          <w:bCs/>
          <w:sz w:val="22"/>
          <w:szCs w:val="22"/>
          <w:lang w:val="pt-BR"/>
        </w:rPr>
        <w:t>382</w:t>
      </w:r>
      <w:r w:rsidR="00BE46E1" w:rsidRPr="005B4668">
        <w:rPr>
          <w:bCs/>
          <w:sz w:val="22"/>
          <w:szCs w:val="22"/>
          <w:lang w:val="pt-BR"/>
        </w:rPr>
        <w:t>/2</w:t>
      </w:r>
      <w:r w:rsidR="00F30F7E" w:rsidRPr="005B4668">
        <w:rPr>
          <w:bCs/>
          <w:sz w:val="22"/>
          <w:szCs w:val="22"/>
          <w:lang w:val="pt-BR"/>
        </w:rPr>
        <w:t>3</w:t>
      </w:r>
      <w:r w:rsidR="00A2706E">
        <w:rPr>
          <w:bCs/>
          <w:sz w:val="22"/>
          <w:szCs w:val="22"/>
          <w:lang w:val="pt-BR"/>
        </w:rPr>
        <w:t xml:space="preserve"> rev. </w:t>
      </w:r>
      <w:r w:rsidR="00C52EEB">
        <w:rPr>
          <w:bCs/>
          <w:sz w:val="22"/>
          <w:szCs w:val="22"/>
          <w:lang w:val="pt-BR"/>
        </w:rPr>
        <w:t>2</w:t>
      </w:r>
    </w:p>
    <w:p w14:paraId="29EB0E4B" w14:textId="0295C897" w:rsidR="00DE3AB3" w:rsidRPr="005347B7" w:rsidRDefault="00DE3AB3" w:rsidP="00D2033C">
      <w:pPr>
        <w:tabs>
          <w:tab w:val="left" w:pos="6840"/>
        </w:tabs>
        <w:ind w:right="-929"/>
        <w:rPr>
          <w:snapToGrid w:val="0"/>
          <w:sz w:val="22"/>
          <w:szCs w:val="22"/>
          <w:lang w:val="fr-CA"/>
        </w:rPr>
      </w:pPr>
      <w:r w:rsidRPr="005B4668">
        <w:rPr>
          <w:sz w:val="22"/>
          <w:szCs w:val="22"/>
          <w:lang w:val="pt-BR"/>
        </w:rPr>
        <w:tab/>
      </w:r>
      <w:r w:rsidR="00A2706E" w:rsidRPr="00B70BBE">
        <w:rPr>
          <w:sz w:val="22"/>
          <w:szCs w:val="22"/>
          <w:lang w:val="fr-FR"/>
        </w:rPr>
        <w:t>2</w:t>
      </w:r>
      <w:r w:rsidR="00C52EEB">
        <w:rPr>
          <w:sz w:val="22"/>
          <w:szCs w:val="22"/>
          <w:lang w:val="fr-FR"/>
        </w:rPr>
        <w:t>7</w:t>
      </w:r>
      <w:r w:rsidR="00A2706E" w:rsidRPr="00B70BBE">
        <w:rPr>
          <w:sz w:val="22"/>
          <w:szCs w:val="22"/>
          <w:lang w:val="fr-FR"/>
        </w:rPr>
        <w:t xml:space="preserve"> avril </w:t>
      </w:r>
      <w:r w:rsidRPr="005347B7">
        <w:rPr>
          <w:sz w:val="22"/>
          <w:szCs w:val="22"/>
          <w:lang w:val="fr-CA"/>
        </w:rPr>
        <w:t>202</w:t>
      </w:r>
      <w:r w:rsidR="00F30F7E" w:rsidRPr="005347B7">
        <w:rPr>
          <w:sz w:val="22"/>
          <w:szCs w:val="22"/>
          <w:lang w:val="fr-CA"/>
        </w:rPr>
        <w:t>3</w:t>
      </w:r>
    </w:p>
    <w:p w14:paraId="39902ECF" w14:textId="77777777" w:rsidR="00DE3AB3" w:rsidRPr="005347B7" w:rsidRDefault="00DE3AB3" w:rsidP="00D2033C">
      <w:pPr>
        <w:tabs>
          <w:tab w:val="left" w:pos="6840"/>
        </w:tabs>
        <w:ind w:right="-749"/>
        <w:rPr>
          <w:sz w:val="22"/>
          <w:szCs w:val="22"/>
          <w:lang w:val="fr-CA"/>
        </w:rPr>
      </w:pPr>
      <w:r w:rsidRPr="005347B7">
        <w:rPr>
          <w:sz w:val="22"/>
          <w:szCs w:val="22"/>
          <w:lang w:val="fr-CA"/>
        </w:rPr>
        <w:tab/>
        <w:t xml:space="preserve">Original: </w:t>
      </w:r>
      <w:r w:rsidR="005347B7">
        <w:rPr>
          <w:sz w:val="22"/>
          <w:szCs w:val="22"/>
          <w:lang w:val="fr-CA"/>
        </w:rPr>
        <w:t>anglais</w:t>
      </w:r>
    </w:p>
    <w:p w14:paraId="6B6093B0" w14:textId="77777777" w:rsidR="00DE3AB3" w:rsidRPr="005347B7" w:rsidRDefault="00DE3AB3" w:rsidP="00D2033C">
      <w:pPr>
        <w:pBdr>
          <w:bottom w:val="single" w:sz="12" w:space="1" w:color="auto"/>
        </w:pBdr>
        <w:tabs>
          <w:tab w:val="left" w:pos="6030"/>
          <w:tab w:val="left" w:pos="6210"/>
        </w:tabs>
        <w:rPr>
          <w:sz w:val="22"/>
          <w:szCs w:val="22"/>
          <w:lang w:val="fr-CA"/>
        </w:rPr>
      </w:pPr>
    </w:p>
    <w:p w14:paraId="730EB4A1" w14:textId="77777777" w:rsidR="00DE3AB3" w:rsidRPr="005B4668" w:rsidRDefault="00DE3AB3" w:rsidP="005B4668">
      <w:pPr>
        <w:jc w:val="both"/>
        <w:rPr>
          <w:sz w:val="22"/>
          <w:szCs w:val="22"/>
          <w:lang w:val="fr-CA"/>
        </w:rPr>
      </w:pPr>
    </w:p>
    <w:p w14:paraId="163481B2" w14:textId="77777777" w:rsidR="0088039A" w:rsidRPr="005B4668" w:rsidRDefault="0088039A" w:rsidP="005B4668">
      <w:pPr>
        <w:jc w:val="both"/>
        <w:rPr>
          <w:sz w:val="22"/>
          <w:szCs w:val="22"/>
          <w:lang w:val="fr-CA"/>
        </w:rPr>
      </w:pPr>
    </w:p>
    <w:p w14:paraId="77605138" w14:textId="37832A3D" w:rsidR="00D2033C" w:rsidRPr="005347B7" w:rsidRDefault="005347B7" w:rsidP="00D2033C">
      <w:pPr>
        <w:pStyle w:val="BodyText"/>
        <w:tabs>
          <w:tab w:val="left" w:pos="0"/>
        </w:tabs>
        <w:rPr>
          <w:rFonts w:ascii="Times New Roman" w:hAnsi="Times New Roman"/>
          <w:bCs w:val="0"/>
          <w:szCs w:val="22"/>
          <w:lang w:val="fr-CA"/>
        </w:rPr>
      </w:pPr>
      <w:r>
        <w:rPr>
          <w:rFonts w:ascii="Times New Roman" w:hAnsi="Times New Roman"/>
          <w:bCs w:val="0"/>
          <w:szCs w:val="22"/>
          <w:lang w:val="fr-CA"/>
        </w:rPr>
        <w:t xml:space="preserve">ORDRE DU JOUR ANNOTÉ </w:t>
      </w:r>
    </w:p>
    <w:p w14:paraId="4518BD17" w14:textId="77777777" w:rsidR="005347B7" w:rsidRDefault="005347B7" w:rsidP="0088039A">
      <w:pPr>
        <w:tabs>
          <w:tab w:val="left" w:pos="6840"/>
        </w:tabs>
        <w:jc w:val="center"/>
        <w:rPr>
          <w:b/>
          <w:bCs/>
          <w:sz w:val="22"/>
          <w:szCs w:val="22"/>
          <w:lang w:val="fr-CA"/>
        </w:rPr>
      </w:pPr>
      <w:r>
        <w:rPr>
          <w:b/>
          <w:bCs/>
          <w:sz w:val="22"/>
          <w:szCs w:val="22"/>
          <w:lang w:val="fr-CA"/>
        </w:rPr>
        <w:t>DE LA DIXIÈME RÉUNION ORDINAIRE DE LA COMMISSION INTERAMÉRICAINE</w:t>
      </w:r>
    </w:p>
    <w:p w14:paraId="611AFCFC" w14:textId="77777777" w:rsidR="00D2033C" w:rsidRPr="005347B7" w:rsidRDefault="005347B7" w:rsidP="0088039A">
      <w:pPr>
        <w:tabs>
          <w:tab w:val="left" w:pos="6840"/>
        </w:tabs>
        <w:jc w:val="center"/>
        <w:rPr>
          <w:sz w:val="22"/>
          <w:szCs w:val="22"/>
          <w:lang w:val="fr-CA"/>
        </w:rPr>
      </w:pPr>
      <w:r>
        <w:rPr>
          <w:b/>
          <w:bCs/>
          <w:sz w:val="22"/>
          <w:szCs w:val="22"/>
          <w:lang w:val="fr-CA"/>
        </w:rPr>
        <w:t xml:space="preserve"> DE LA </w:t>
      </w:r>
      <w:r w:rsidR="00D2033C" w:rsidRPr="005347B7">
        <w:rPr>
          <w:b/>
          <w:bCs/>
          <w:sz w:val="22"/>
          <w:szCs w:val="22"/>
          <w:lang w:val="fr-CA"/>
        </w:rPr>
        <w:t xml:space="preserve">SCIENCE </w:t>
      </w:r>
      <w:r>
        <w:rPr>
          <w:b/>
          <w:bCs/>
          <w:sz w:val="22"/>
          <w:szCs w:val="22"/>
          <w:lang w:val="fr-CA"/>
        </w:rPr>
        <w:t xml:space="preserve">ET DE LA </w:t>
      </w:r>
      <w:r w:rsidR="00D2033C" w:rsidRPr="005347B7">
        <w:rPr>
          <w:b/>
          <w:bCs/>
          <w:sz w:val="22"/>
          <w:szCs w:val="22"/>
          <w:lang w:val="fr-CA"/>
        </w:rPr>
        <w:t>TECHNOLOG</w:t>
      </w:r>
      <w:r>
        <w:rPr>
          <w:b/>
          <w:bCs/>
          <w:sz w:val="22"/>
          <w:szCs w:val="22"/>
          <w:lang w:val="fr-CA"/>
        </w:rPr>
        <w:t>IE</w:t>
      </w:r>
    </w:p>
    <w:p w14:paraId="63684362" w14:textId="77777777" w:rsidR="00D2033C" w:rsidRPr="005B4668" w:rsidRDefault="00D2033C" w:rsidP="005B4668">
      <w:pPr>
        <w:jc w:val="both"/>
        <w:rPr>
          <w:sz w:val="22"/>
          <w:szCs w:val="22"/>
          <w:lang w:val="fr-CA"/>
        </w:rPr>
      </w:pPr>
    </w:p>
    <w:p w14:paraId="31EDFFC3" w14:textId="77777777" w:rsidR="00D2033C" w:rsidRPr="005347B7" w:rsidRDefault="00D2033C" w:rsidP="00D2033C">
      <w:pPr>
        <w:pStyle w:val="BodyText"/>
        <w:tabs>
          <w:tab w:val="left" w:pos="0"/>
        </w:tabs>
        <w:rPr>
          <w:rFonts w:ascii="Times New Roman" w:hAnsi="Times New Roman"/>
          <w:b w:val="0"/>
          <w:szCs w:val="22"/>
          <w:lang w:val="fr-CA"/>
        </w:rPr>
      </w:pPr>
      <w:r w:rsidRPr="005347B7">
        <w:rPr>
          <w:rFonts w:ascii="Times New Roman" w:hAnsi="Times New Roman"/>
          <w:szCs w:val="22"/>
          <w:lang w:val="fr-CA"/>
        </w:rPr>
        <w:t xml:space="preserve">Washington, D.C., </w:t>
      </w:r>
      <w:r w:rsidR="005347B7">
        <w:rPr>
          <w:rFonts w:ascii="Times New Roman" w:hAnsi="Times New Roman"/>
          <w:szCs w:val="22"/>
          <w:lang w:val="fr-CA"/>
        </w:rPr>
        <w:t xml:space="preserve">5 mai </w:t>
      </w:r>
      <w:r w:rsidRPr="005347B7">
        <w:rPr>
          <w:rFonts w:ascii="Times New Roman" w:hAnsi="Times New Roman"/>
          <w:szCs w:val="22"/>
          <w:lang w:val="fr-CA"/>
        </w:rPr>
        <w:t>2023</w:t>
      </w:r>
    </w:p>
    <w:p w14:paraId="1279AAAB" w14:textId="77777777" w:rsidR="00D2033C" w:rsidRPr="005B4668" w:rsidRDefault="00D2033C" w:rsidP="005B4668">
      <w:pPr>
        <w:jc w:val="both"/>
        <w:rPr>
          <w:sz w:val="22"/>
          <w:szCs w:val="22"/>
          <w:lang w:val="fr-CA"/>
        </w:rPr>
      </w:pPr>
    </w:p>
    <w:p w14:paraId="7AA51E10" w14:textId="77777777" w:rsidR="00C52EEB" w:rsidRPr="00C52EEB" w:rsidRDefault="00C52EEB" w:rsidP="00C52EEB">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fr-CA"/>
        </w:rPr>
      </w:pPr>
      <w:r w:rsidRPr="00C52EEB">
        <w:rPr>
          <w:color w:val="000000"/>
          <w:sz w:val="22"/>
          <w:szCs w:val="22"/>
          <w:lang w:val="fr-CA"/>
        </w:rPr>
        <w:t>(Approuvé par le CIDI lors de la réunion ordinaire tenue le 25 avril 2023)</w:t>
      </w:r>
    </w:p>
    <w:p w14:paraId="7834CC3D" w14:textId="77777777" w:rsidR="00C52EEB" w:rsidRDefault="00C52EEB" w:rsidP="00D2033C">
      <w:pPr>
        <w:jc w:val="both"/>
        <w:rPr>
          <w:bCs/>
          <w:sz w:val="22"/>
          <w:szCs w:val="22"/>
          <w:lang w:val="fr-CA"/>
        </w:rPr>
      </w:pPr>
    </w:p>
    <w:p w14:paraId="488BA431" w14:textId="77777777" w:rsidR="00C52EEB" w:rsidRPr="005347B7" w:rsidRDefault="00C52EEB" w:rsidP="00D2033C">
      <w:pPr>
        <w:jc w:val="both"/>
        <w:rPr>
          <w:bCs/>
          <w:sz w:val="22"/>
          <w:szCs w:val="22"/>
          <w:lang w:val="fr-CA"/>
        </w:rPr>
      </w:pPr>
    </w:p>
    <w:p w14:paraId="52E8DA90" w14:textId="77777777" w:rsidR="00D2033C" w:rsidRPr="00A27D55" w:rsidRDefault="005347B7" w:rsidP="00D2033C">
      <w:pPr>
        <w:pStyle w:val="ListParagraph"/>
        <w:numPr>
          <w:ilvl w:val="0"/>
          <w:numId w:val="18"/>
        </w:numPr>
        <w:ind w:hanging="720"/>
        <w:jc w:val="both"/>
        <w:rPr>
          <w:bCs/>
          <w:sz w:val="22"/>
          <w:szCs w:val="22"/>
          <w:lang w:val="fr-CA"/>
        </w:rPr>
      </w:pPr>
      <w:r>
        <w:rPr>
          <w:b/>
          <w:sz w:val="22"/>
          <w:szCs w:val="22"/>
          <w:lang w:val="fr-CA"/>
        </w:rPr>
        <w:t>Antécédents</w:t>
      </w:r>
    </w:p>
    <w:p w14:paraId="4A15AA31" w14:textId="77777777" w:rsidR="00D2033C" w:rsidRPr="005347B7" w:rsidRDefault="00D2033C" w:rsidP="00D2033C">
      <w:pPr>
        <w:jc w:val="both"/>
        <w:rPr>
          <w:bCs/>
          <w:sz w:val="22"/>
          <w:szCs w:val="22"/>
          <w:lang w:val="fr-CA"/>
        </w:rPr>
      </w:pPr>
    </w:p>
    <w:p w14:paraId="3C2EF883" w14:textId="77777777" w:rsidR="000A0117" w:rsidRPr="00BF13EF" w:rsidRDefault="00F9739E" w:rsidP="00F9739E">
      <w:pPr>
        <w:suppressAutoHyphens/>
        <w:ind w:firstLine="720"/>
        <w:jc w:val="both"/>
        <w:rPr>
          <w:b/>
          <w:bCs/>
          <w:sz w:val="22"/>
          <w:szCs w:val="22"/>
          <w:lang w:val="fr-CA"/>
        </w:rPr>
      </w:pPr>
      <w:r>
        <w:rPr>
          <w:bCs/>
          <w:sz w:val="22"/>
          <w:szCs w:val="22"/>
          <w:lang w:val="fr-CA"/>
        </w:rPr>
        <w:t>C</w:t>
      </w:r>
      <w:r w:rsidR="000A0117">
        <w:rPr>
          <w:bCs/>
          <w:sz w:val="22"/>
          <w:szCs w:val="22"/>
          <w:lang w:val="fr-CA"/>
        </w:rPr>
        <w:t>onform</w:t>
      </w:r>
      <w:r>
        <w:rPr>
          <w:bCs/>
          <w:sz w:val="22"/>
          <w:szCs w:val="22"/>
          <w:lang w:val="fr-CA"/>
        </w:rPr>
        <w:t xml:space="preserve">ément au </w:t>
      </w:r>
      <w:r w:rsidR="000A0117">
        <w:rPr>
          <w:bCs/>
          <w:sz w:val="22"/>
          <w:szCs w:val="22"/>
          <w:lang w:val="fr-CA"/>
        </w:rPr>
        <w:t xml:space="preserve">Règlement de la Commission interaméricaine pour le développement intégré (CIDI), les Commissions interaméricaines du CIDI </w:t>
      </w:r>
      <w:r>
        <w:rPr>
          <w:bCs/>
          <w:sz w:val="22"/>
          <w:szCs w:val="22"/>
          <w:lang w:val="fr-CA"/>
        </w:rPr>
        <w:t xml:space="preserve">ont </w:t>
      </w:r>
      <w:r w:rsidR="000A0117" w:rsidRPr="00BF13EF">
        <w:rPr>
          <w:sz w:val="22"/>
          <w:szCs w:val="22"/>
          <w:lang w:val="fr-CA"/>
        </w:rPr>
        <w:t xml:space="preserve">pour but de coordonner la mise en œuvre du dialogue ministériel interaméricain dans leurs </w:t>
      </w:r>
      <w:r w:rsidR="000A0117">
        <w:rPr>
          <w:sz w:val="22"/>
          <w:szCs w:val="22"/>
          <w:lang w:val="fr-CA"/>
        </w:rPr>
        <w:t xml:space="preserve">domaines </w:t>
      </w:r>
      <w:r w:rsidR="000A0117" w:rsidRPr="00BF13EF">
        <w:rPr>
          <w:sz w:val="22"/>
          <w:szCs w:val="22"/>
          <w:lang w:val="fr-CA"/>
        </w:rPr>
        <w:t>de compétence respecti</w:t>
      </w:r>
      <w:r>
        <w:rPr>
          <w:sz w:val="22"/>
          <w:szCs w:val="22"/>
          <w:lang w:val="fr-CA"/>
        </w:rPr>
        <w:t xml:space="preserve">fs </w:t>
      </w:r>
      <w:r w:rsidR="000A0117">
        <w:rPr>
          <w:sz w:val="22"/>
          <w:szCs w:val="22"/>
          <w:lang w:val="fr-CA"/>
        </w:rPr>
        <w:t xml:space="preserve">en assurant le </w:t>
      </w:r>
      <w:r w:rsidR="000A0117" w:rsidRPr="00BF13EF">
        <w:rPr>
          <w:sz w:val="22"/>
          <w:szCs w:val="22"/>
          <w:lang w:val="fr-CA"/>
        </w:rPr>
        <w:t xml:space="preserve">suivi des décisions prises aux réunions des ministres </w:t>
      </w:r>
      <w:r>
        <w:rPr>
          <w:sz w:val="22"/>
          <w:szCs w:val="22"/>
          <w:lang w:val="fr-CA"/>
        </w:rPr>
        <w:t>et/</w:t>
      </w:r>
      <w:r w:rsidR="000A0117" w:rsidRPr="00BF13EF">
        <w:rPr>
          <w:sz w:val="22"/>
          <w:szCs w:val="22"/>
          <w:lang w:val="fr-CA"/>
        </w:rPr>
        <w:t xml:space="preserve">ou hauts fonctionnaires du secteur concerné, </w:t>
      </w:r>
      <w:r w:rsidR="000A0117">
        <w:rPr>
          <w:sz w:val="22"/>
          <w:szCs w:val="22"/>
          <w:lang w:val="fr-CA"/>
        </w:rPr>
        <w:t>d’iden</w:t>
      </w:r>
      <w:r w:rsidR="000A0117" w:rsidRPr="00BF13EF">
        <w:rPr>
          <w:sz w:val="22"/>
          <w:szCs w:val="22"/>
          <w:lang w:val="fr-CA"/>
        </w:rPr>
        <w:t>tifier des initiatives multilatérales pertinentes</w:t>
      </w:r>
      <w:r w:rsidR="000A0117">
        <w:rPr>
          <w:sz w:val="22"/>
          <w:szCs w:val="22"/>
          <w:lang w:val="fr-CA"/>
        </w:rPr>
        <w:t xml:space="preserve"> et </w:t>
      </w:r>
      <w:r w:rsidR="000A0117" w:rsidRPr="00BF13EF">
        <w:rPr>
          <w:sz w:val="22"/>
          <w:szCs w:val="22"/>
          <w:lang w:val="fr-CA"/>
        </w:rPr>
        <w:t xml:space="preserve">de contribuer à la mise en </w:t>
      </w:r>
      <w:r w:rsidR="00301ED7">
        <w:rPr>
          <w:sz w:val="22"/>
          <w:szCs w:val="22"/>
          <w:lang w:val="fr-CA"/>
        </w:rPr>
        <w:t xml:space="preserve">application </w:t>
      </w:r>
      <w:r w:rsidR="000A0117" w:rsidRPr="00BF13EF">
        <w:rPr>
          <w:sz w:val="22"/>
          <w:szCs w:val="22"/>
          <w:lang w:val="fr-CA"/>
        </w:rPr>
        <w:t>des politiques de l’O</w:t>
      </w:r>
      <w:r w:rsidR="00301ED7">
        <w:rPr>
          <w:sz w:val="22"/>
          <w:szCs w:val="22"/>
          <w:lang w:val="fr-CA"/>
        </w:rPr>
        <w:t>rganisation des États Américains (O</w:t>
      </w:r>
      <w:r w:rsidR="000A0117" w:rsidRPr="00BF13EF">
        <w:rPr>
          <w:sz w:val="22"/>
          <w:szCs w:val="22"/>
          <w:lang w:val="fr-CA"/>
        </w:rPr>
        <w:t>EA</w:t>
      </w:r>
      <w:r w:rsidR="00301ED7">
        <w:rPr>
          <w:sz w:val="22"/>
          <w:szCs w:val="22"/>
          <w:lang w:val="fr-CA"/>
        </w:rPr>
        <w:t>)</w:t>
      </w:r>
      <w:r w:rsidR="000A0117" w:rsidRPr="00BF13EF">
        <w:rPr>
          <w:sz w:val="22"/>
          <w:szCs w:val="22"/>
          <w:lang w:val="fr-CA"/>
        </w:rPr>
        <w:t xml:space="preserve"> en matière de partenariat pour le développement, conformément au Plan stratégique intégral de l’Organisation.</w:t>
      </w:r>
    </w:p>
    <w:p w14:paraId="710083D7" w14:textId="77777777" w:rsidR="00D2033C" w:rsidRPr="005347B7" w:rsidRDefault="00D2033C" w:rsidP="00D2033C">
      <w:pPr>
        <w:jc w:val="both"/>
        <w:rPr>
          <w:bCs/>
          <w:sz w:val="22"/>
          <w:szCs w:val="22"/>
          <w:lang w:val="fr-CA"/>
        </w:rPr>
      </w:pPr>
    </w:p>
    <w:p w14:paraId="3BCECF88" w14:textId="77777777" w:rsidR="00D2033C" w:rsidRPr="005347B7" w:rsidRDefault="00301ED7" w:rsidP="00D2033C">
      <w:pPr>
        <w:ind w:firstLine="720"/>
        <w:jc w:val="both"/>
        <w:rPr>
          <w:sz w:val="22"/>
          <w:szCs w:val="22"/>
          <w:lang w:val="fr-CA"/>
        </w:rPr>
      </w:pPr>
      <w:r>
        <w:rPr>
          <w:sz w:val="22"/>
          <w:szCs w:val="22"/>
          <w:lang w:val="fr-CA"/>
        </w:rPr>
        <w:t xml:space="preserve">Les Directives générales relatives aux processus ministériels sectoriels dans le cadre du </w:t>
      </w:r>
      <w:r w:rsidR="00D2033C" w:rsidRPr="005347B7">
        <w:rPr>
          <w:sz w:val="22"/>
          <w:szCs w:val="22"/>
          <w:lang w:val="fr-CA"/>
        </w:rPr>
        <w:t xml:space="preserve">CIDI </w:t>
      </w:r>
      <w:r>
        <w:rPr>
          <w:sz w:val="22"/>
          <w:szCs w:val="22"/>
          <w:lang w:val="fr-CA"/>
        </w:rPr>
        <w:t>établissent que le but des réunions des commissions interaméricaines sont : « </w:t>
      </w:r>
      <w:r w:rsidRPr="000768B2">
        <w:rPr>
          <w:sz w:val="22"/>
          <w:szCs w:val="22"/>
          <w:lang w:val="fr-FR"/>
        </w:rPr>
        <w:t>(i) d’examiner l’état d’avancement et la mise en œuvre des mandats ministériels (mise en œuvre du Plan d’action et du Plan de travail) ; (ii) d’</w:t>
      </w:r>
      <w:r>
        <w:rPr>
          <w:sz w:val="22"/>
          <w:szCs w:val="22"/>
          <w:lang w:val="fr-FR"/>
        </w:rPr>
        <w:t xml:space="preserve">analyser </w:t>
      </w:r>
      <w:r w:rsidRPr="000768B2">
        <w:rPr>
          <w:sz w:val="22"/>
          <w:szCs w:val="22"/>
          <w:lang w:val="fr-FR"/>
        </w:rPr>
        <w:t xml:space="preserve">les tendances régionales </w:t>
      </w:r>
      <w:r>
        <w:rPr>
          <w:sz w:val="22"/>
          <w:szCs w:val="22"/>
          <w:lang w:val="fr-FR"/>
        </w:rPr>
        <w:t xml:space="preserve">et mondiales </w:t>
      </w:r>
      <w:r w:rsidRPr="000768B2">
        <w:rPr>
          <w:sz w:val="22"/>
          <w:szCs w:val="22"/>
          <w:lang w:val="fr-FR"/>
        </w:rPr>
        <w:t xml:space="preserve">en la matière et </w:t>
      </w:r>
      <w:r>
        <w:rPr>
          <w:sz w:val="22"/>
          <w:szCs w:val="22"/>
          <w:lang w:val="fr-FR"/>
        </w:rPr>
        <w:t xml:space="preserve">d’évaluer </w:t>
      </w:r>
      <w:r w:rsidRPr="000768B2">
        <w:rPr>
          <w:sz w:val="22"/>
          <w:szCs w:val="22"/>
          <w:lang w:val="fr-FR"/>
        </w:rPr>
        <w:t>la pertinence du travail de l’OEA dans les domaines de priorité ; (iii) de décider du ou des thèmes qui seront abordés lors de la prochaine réunion ministérielle et de donner des directives au Secrétariat pour la rédaction de l’avant-projet d’ordre du jour annoté ; et (iv) de recevoir les annonces officielles de la part des pays souhaitant accueillir la prochaine réunion ministérielle</w:t>
      </w:r>
      <w:r>
        <w:rPr>
          <w:sz w:val="22"/>
          <w:szCs w:val="22"/>
          <w:lang w:val="fr-FR"/>
        </w:rPr>
        <w:t>… »</w:t>
      </w:r>
      <w:r w:rsidRPr="000768B2">
        <w:rPr>
          <w:sz w:val="22"/>
          <w:szCs w:val="22"/>
          <w:lang w:val="fr-FR"/>
        </w:rPr>
        <w:t xml:space="preserve"> </w:t>
      </w:r>
    </w:p>
    <w:p w14:paraId="07FC7B23" w14:textId="77777777" w:rsidR="00D2033C" w:rsidRPr="005347B7" w:rsidRDefault="00D2033C" w:rsidP="00D2033C">
      <w:pPr>
        <w:jc w:val="both"/>
        <w:rPr>
          <w:bCs/>
          <w:sz w:val="22"/>
          <w:szCs w:val="22"/>
          <w:lang w:val="fr-CA"/>
        </w:rPr>
      </w:pPr>
    </w:p>
    <w:p w14:paraId="7C0CA250" w14:textId="77777777" w:rsidR="00D2033C" w:rsidRPr="005347B7" w:rsidRDefault="00301ED7" w:rsidP="00D2033C">
      <w:pPr>
        <w:pStyle w:val="ListParagraph"/>
        <w:numPr>
          <w:ilvl w:val="0"/>
          <w:numId w:val="18"/>
        </w:numPr>
        <w:ind w:hanging="720"/>
        <w:jc w:val="both"/>
        <w:rPr>
          <w:b/>
          <w:sz w:val="22"/>
          <w:szCs w:val="22"/>
          <w:lang w:val="fr-CA"/>
        </w:rPr>
      </w:pPr>
      <w:r>
        <w:rPr>
          <w:b/>
          <w:sz w:val="22"/>
          <w:szCs w:val="22"/>
          <w:lang w:val="fr-CA"/>
        </w:rPr>
        <w:t>Objectif de la réunion</w:t>
      </w:r>
    </w:p>
    <w:p w14:paraId="0BBBC489" w14:textId="77777777" w:rsidR="00D2033C" w:rsidRPr="005B4668" w:rsidRDefault="00D2033C" w:rsidP="00D2033C">
      <w:pPr>
        <w:jc w:val="both"/>
        <w:rPr>
          <w:bCs/>
          <w:sz w:val="22"/>
          <w:szCs w:val="22"/>
          <w:lang w:val="fr-CA"/>
        </w:rPr>
      </w:pPr>
    </w:p>
    <w:p w14:paraId="3D6F7DC8" w14:textId="77777777" w:rsidR="00D2033C" w:rsidRPr="005347B7" w:rsidRDefault="00301ED7" w:rsidP="00D2033C">
      <w:pPr>
        <w:ind w:firstLine="720"/>
        <w:jc w:val="both"/>
        <w:rPr>
          <w:bCs/>
          <w:sz w:val="22"/>
          <w:szCs w:val="22"/>
          <w:lang w:val="fr-CA"/>
        </w:rPr>
      </w:pPr>
      <w:r>
        <w:rPr>
          <w:bCs/>
          <w:sz w:val="22"/>
          <w:szCs w:val="22"/>
          <w:lang w:val="fr-CA"/>
        </w:rPr>
        <w:t xml:space="preserve">L’objectif de la dixième </w:t>
      </w:r>
      <w:r w:rsidR="00B33DE8">
        <w:rPr>
          <w:bCs/>
          <w:sz w:val="22"/>
          <w:szCs w:val="22"/>
          <w:lang w:val="fr-CA"/>
        </w:rPr>
        <w:t>R</w:t>
      </w:r>
      <w:r>
        <w:rPr>
          <w:bCs/>
          <w:sz w:val="22"/>
          <w:szCs w:val="22"/>
          <w:lang w:val="fr-CA"/>
        </w:rPr>
        <w:t xml:space="preserve">éunion ordinaire de la Commission interaméricaine de la science et de la technologie </w:t>
      </w:r>
      <w:r w:rsidR="00D2033C" w:rsidRPr="005347B7">
        <w:rPr>
          <w:bCs/>
          <w:sz w:val="22"/>
          <w:szCs w:val="22"/>
          <w:lang w:val="fr-CA"/>
        </w:rPr>
        <w:t>(</w:t>
      </w:r>
      <w:r w:rsidR="00B33DE8">
        <w:rPr>
          <w:bCs/>
          <w:sz w:val="22"/>
          <w:szCs w:val="22"/>
          <w:lang w:val="fr-CA"/>
        </w:rPr>
        <w:t xml:space="preserve">dixième </w:t>
      </w:r>
      <w:r w:rsidR="00D2033C" w:rsidRPr="005347B7">
        <w:rPr>
          <w:bCs/>
          <w:sz w:val="22"/>
          <w:szCs w:val="22"/>
          <w:lang w:val="fr-CA"/>
        </w:rPr>
        <w:t xml:space="preserve">COMCYT) </w:t>
      </w:r>
      <w:r w:rsidR="002235E6">
        <w:rPr>
          <w:bCs/>
          <w:sz w:val="22"/>
          <w:szCs w:val="22"/>
          <w:lang w:val="fr-CA"/>
        </w:rPr>
        <w:t xml:space="preserve">est : </w:t>
      </w:r>
      <w:r w:rsidR="00D2033C" w:rsidRPr="005347B7">
        <w:rPr>
          <w:bCs/>
          <w:sz w:val="22"/>
          <w:szCs w:val="22"/>
          <w:lang w:val="fr-CA"/>
        </w:rPr>
        <w:t xml:space="preserve">(i) </w:t>
      </w:r>
      <w:r w:rsidR="002235E6">
        <w:rPr>
          <w:bCs/>
          <w:sz w:val="22"/>
          <w:szCs w:val="22"/>
          <w:lang w:val="fr-CA"/>
        </w:rPr>
        <w:t xml:space="preserve">d’examiner l’état d’avancement et la mise en œuvre des mandats ministériels contenus dans la Déclaration de la Jamaïque </w:t>
      </w:r>
      <w:r w:rsidR="00D2033C" w:rsidRPr="005347B7">
        <w:rPr>
          <w:bCs/>
          <w:sz w:val="22"/>
          <w:szCs w:val="22"/>
          <w:lang w:val="fr-CA"/>
        </w:rPr>
        <w:t xml:space="preserve">(2021) </w:t>
      </w:r>
      <w:r w:rsidR="002235E6">
        <w:rPr>
          <w:bCs/>
          <w:sz w:val="22"/>
          <w:szCs w:val="22"/>
          <w:lang w:val="fr-CA"/>
        </w:rPr>
        <w:t xml:space="preserve">et dans le Plan de travail </w:t>
      </w:r>
      <w:r w:rsidR="00D2033C" w:rsidRPr="005347B7">
        <w:rPr>
          <w:bCs/>
          <w:sz w:val="22"/>
          <w:szCs w:val="22"/>
          <w:lang w:val="fr-CA"/>
        </w:rPr>
        <w:t>2022-2024</w:t>
      </w:r>
      <w:r w:rsidR="002235E6">
        <w:rPr>
          <w:bCs/>
          <w:sz w:val="22"/>
          <w:szCs w:val="22"/>
          <w:lang w:val="fr-CA"/>
        </w:rPr>
        <w:t xml:space="preserve"> de la COMCYT</w:t>
      </w:r>
      <w:r w:rsidR="00D2033C" w:rsidRPr="005347B7">
        <w:rPr>
          <w:bCs/>
          <w:sz w:val="22"/>
          <w:szCs w:val="22"/>
          <w:lang w:val="fr-CA"/>
        </w:rPr>
        <w:t xml:space="preserve">; (ii) </w:t>
      </w:r>
      <w:r w:rsidR="002235E6">
        <w:rPr>
          <w:bCs/>
          <w:sz w:val="22"/>
          <w:szCs w:val="22"/>
          <w:lang w:val="fr-CA"/>
        </w:rPr>
        <w:t xml:space="preserve">de recueillir des informations de la part des États membres, des organisations internationales ayant un mandat similaire, des universités et des partenaires pertinents du secteur privé afin d’analyser les tendances régionales et mondiales dans le domaine de la science et de la technologie et </w:t>
      </w:r>
      <w:r w:rsidR="00B33DE8">
        <w:rPr>
          <w:bCs/>
          <w:sz w:val="22"/>
          <w:szCs w:val="22"/>
          <w:lang w:val="fr-CA"/>
        </w:rPr>
        <w:t>d’</w:t>
      </w:r>
      <w:r w:rsidR="002235E6">
        <w:rPr>
          <w:bCs/>
          <w:sz w:val="22"/>
          <w:szCs w:val="22"/>
          <w:lang w:val="fr-CA"/>
        </w:rPr>
        <w:t xml:space="preserve">évaluer la pertinence des activités de l’OEA dans les domaines de priorité;  </w:t>
      </w:r>
      <w:r w:rsidR="00D2033C" w:rsidRPr="005347B7">
        <w:rPr>
          <w:bCs/>
          <w:sz w:val="22"/>
          <w:szCs w:val="22"/>
          <w:lang w:val="fr-CA"/>
        </w:rPr>
        <w:t xml:space="preserve">(iii) </w:t>
      </w:r>
      <w:r w:rsidR="002235E6">
        <w:rPr>
          <w:bCs/>
          <w:sz w:val="22"/>
          <w:szCs w:val="22"/>
          <w:lang w:val="fr-CA"/>
        </w:rPr>
        <w:t xml:space="preserve">de donner des informations et des directives au </w:t>
      </w:r>
      <w:r w:rsidR="00D2033C" w:rsidRPr="005347B7">
        <w:rPr>
          <w:bCs/>
          <w:sz w:val="22"/>
          <w:szCs w:val="22"/>
          <w:lang w:val="fr-CA"/>
        </w:rPr>
        <w:t>Secr</w:t>
      </w:r>
      <w:r w:rsidR="002235E6">
        <w:rPr>
          <w:bCs/>
          <w:sz w:val="22"/>
          <w:szCs w:val="22"/>
          <w:lang w:val="fr-CA"/>
        </w:rPr>
        <w:t>é</w:t>
      </w:r>
      <w:r w:rsidR="00D2033C" w:rsidRPr="005347B7">
        <w:rPr>
          <w:bCs/>
          <w:sz w:val="22"/>
          <w:szCs w:val="22"/>
          <w:lang w:val="fr-CA"/>
        </w:rPr>
        <w:t xml:space="preserve">tariat </w:t>
      </w:r>
      <w:r w:rsidR="002235E6">
        <w:rPr>
          <w:bCs/>
          <w:sz w:val="22"/>
          <w:szCs w:val="22"/>
          <w:lang w:val="fr-CA"/>
        </w:rPr>
        <w:t xml:space="preserve">pour l’élaboration d’un livre blanc, un document d’information issu des contributions et des consultations, document qui, à son tour, </w:t>
      </w:r>
      <w:r w:rsidR="00A9137E">
        <w:rPr>
          <w:bCs/>
          <w:sz w:val="22"/>
          <w:szCs w:val="22"/>
          <w:lang w:val="fr-CA"/>
        </w:rPr>
        <w:t xml:space="preserve">servira de base pour le thème et l’ordre du jour de la </w:t>
      </w:r>
      <w:r w:rsidR="00B33DE8">
        <w:rPr>
          <w:bCs/>
          <w:sz w:val="22"/>
          <w:szCs w:val="22"/>
          <w:lang w:val="fr-CA"/>
        </w:rPr>
        <w:t xml:space="preserve">prochaine </w:t>
      </w:r>
      <w:r w:rsidR="00A9137E">
        <w:rPr>
          <w:bCs/>
          <w:sz w:val="22"/>
          <w:szCs w:val="22"/>
          <w:lang w:val="fr-CA"/>
        </w:rPr>
        <w:t xml:space="preserve">réunion ministérielle; </w:t>
      </w:r>
      <w:r w:rsidR="00D2033C" w:rsidRPr="005347B7">
        <w:rPr>
          <w:bCs/>
          <w:sz w:val="22"/>
          <w:szCs w:val="22"/>
          <w:lang w:val="fr-CA"/>
        </w:rPr>
        <w:t xml:space="preserve">iv) </w:t>
      </w:r>
      <w:r w:rsidR="00B33DE8">
        <w:rPr>
          <w:bCs/>
          <w:sz w:val="22"/>
          <w:szCs w:val="22"/>
          <w:lang w:val="fr-CA"/>
        </w:rPr>
        <w:t>de r</w:t>
      </w:r>
      <w:r w:rsidR="00D2033C" w:rsidRPr="005347B7">
        <w:rPr>
          <w:bCs/>
          <w:sz w:val="22"/>
          <w:szCs w:val="22"/>
          <w:lang w:val="fr-CA"/>
        </w:rPr>
        <w:t>ece</w:t>
      </w:r>
      <w:r w:rsidR="00A9137E">
        <w:rPr>
          <w:bCs/>
          <w:sz w:val="22"/>
          <w:szCs w:val="22"/>
          <w:lang w:val="fr-CA"/>
        </w:rPr>
        <w:t xml:space="preserve">voir des orientations et des recommandations des États membres </w:t>
      </w:r>
      <w:r w:rsidR="00B33DE8">
        <w:rPr>
          <w:bCs/>
          <w:sz w:val="22"/>
          <w:szCs w:val="22"/>
          <w:lang w:val="fr-CA"/>
        </w:rPr>
        <w:t>en vue d’</w:t>
      </w:r>
      <w:r w:rsidR="00A9137E">
        <w:rPr>
          <w:bCs/>
          <w:sz w:val="22"/>
          <w:szCs w:val="22"/>
          <w:lang w:val="fr-CA"/>
        </w:rPr>
        <w:t xml:space="preserve">apporter des modifications au Plan de travail 2022-2024 </w:t>
      </w:r>
      <w:r w:rsidR="00A9137E">
        <w:rPr>
          <w:bCs/>
          <w:sz w:val="22"/>
          <w:szCs w:val="22"/>
          <w:lang w:val="fr-CA"/>
        </w:rPr>
        <w:lastRenderedPageBreak/>
        <w:t xml:space="preserve">de la </w:t>
      </w:r>
      <w:r w:rsidR="00D2033C" w:rsidRPr="005347B7">
        <w:rPr>
          <w:bCs/>
          <w:sz w:val="22"/>
          <w:szCs w:val="22"/>
          <w:lang w:val="fr-CA"/>
        </w:rPr>
        <w:t>COMCYT</w:t>
      </w:r>
      <w:r w:rsidR="00A9137E">
        <w:rPr>
          <w:bCs/>
          <w:sz w:val="22"/>
          <w:szCs w:val="22"/>
          <w:lang w:val="fr-CA"/>
        </w:rPr>
        <w:t xml:space="preserve">, si besoin est; </w:t>
      </w:r>
      <w:r w:rsidR="00D2033C" w:rsidRPr="005347B7">
        <w:rPr>
          <w:bCs/>
          <w:sz w:val="22"/>
          <w:szCs w:val="22"/>
          <w:lang w:val="fr-CA"/>
        </w:rPr>
        <w:t xml:space="preserve">v) </w:t>
      </w:r>
      <w:r w:rsidR="00B33DE8">
        <w:rPr>
          <w:bCs/>
          <w:sz w:val="22"/>
          <w:szCs w:val="22"/>
          <w:lang w:val="fr-CA"/>
        </w:rPr>
        <w:t>de r</w:t>
      </w:r>
      <w:r w:rsidR="00D2033C" w:rsidRPr="005347B7">
        <w:rPr>
          <w:bCs/>
          <w:sz w:val="22"/>
          <w:szCs w:val="22"/>
          <w:lang w:val="fr-CA"/>
        </w:rPr>
        <w:t>ece</w:t>
      </w:r>
      <w:r w:rsidR="00A9137E">
        <w:rPr>
          <w:bCs/>
          <w:sz w:val="22"/>
          <w:szCs w:val="22"/>
          <w:lang w:val="fr-CA"/>
        </w:rPr>
        <w:t>voir les annonces officielles des États membres désireux d’accueillir la prochaine réunion ministérielle.</w:t>
      </w:r>
    </w:p>
    <w:p w14:paraId="79393C77" w14:textId="77777777" w:rsidR="0088039A" w:rsidRPr="005347B7" w:rsidRDefault="0088039A" w:rsidP="00D2033C">
      <w:pPr>
        <w:jc w:val="both"/>
        <w:rPr>
          <w:bCs/>
          <w:sz w:val="22"/>
          <w:szCs w:val="22"/>
          <w:lang w:val="fr-CA"/>
        </w:rPr>
      </w:pPr>
    </w:p>
    <w:p w14:paraId="23D1A721" w14:textId="77777777" w:rsidR="00D2033C" w:rsidRPr="005347B7" w:rsidRDefault="00A9137E" w:rsidP="00D2033C">
      <w:pPr>
        <w:pStyle w:val="ListParagraph"/>
        <w:numPr>
          <w:ilvl w:val="0"/>
          <w:numId w:val="18"/>
        </w:numPr>
        <w:ind w:hanging="720"/>
        <w:jc w:val="both"/>
        <w:rPr>
          <w:b/>
          <w:sz w:val="22"/>
          <w:szCs w:val="22"/>
          <w:lang w:val="fr-CA"/>
        </w:rPr>
      </w:pPr>
      <w:r>
        <w:rPr>
          <w:b/>
          <w:sz w:val="22"/>
          <w:szCs w:val="22"/>
          <w:lang w:val="fr-CA"/>
        </w:rPr>
        <w:t>POINTS PROPOSÉS</w:t>
      </w:r>
    </w:p>
    <w:p w14:paraId="3D05673E" w14:textId="77777777" w:rsidR="00D2033C" w:rsidRPr="005347B7" w:rsidRDefault="00D2033C" w:rsidP="00D2033C">
      <w:pPr>
        <w:jc w:val="both"/>
        <w:rPr>
          <w:bCs/>
          <w:sz w:val="22"/>
          <w:szCs w:val="22"/>
          <w:lang w:val="fr-CA"/>
        </w:rPr>
      </w:pPr>
    </w:p>
    <w:p w14:paraId="13568F97" w14:textId="77777777" w:rsidR="00D2033C" w:rsidRPr="005347B7" w:rsidRDefault="00A9137E" w:rsidP="00D2033C">
      <w:pPr>
        <w:ind w:firstLine="720"/>
        <w:jc w:val="both"/>
        <w:rPr>
          <w:bCs/>
          <w:sz w:val="22"/>
          <w:szCs w:val="22"/>
          <w:lang w:val="fr-CA"/>
        </w:rPr>
      </w:pPr>
      <w:r>
        <w:rPr>
          <w:bCs/>
          <w:sz w:val="22"/>
          <w:szCs w:val="22"/>
          <w:lang w:val="fr-CA"/>
        </w:rPr>
        <w:t xml:space="preserve">Les points proposés pour le projet d’ordre du jour de la </w:t>
      </w:r>
      <w:r w:rsidR="00B33DE8">
        <w:rPr>
          <w:bCs/>
          <w:sz w:val="22"/>
          <w:szCs w:val="22"/>
          <w:lang w:val="fr-CA"/>
        </w:rPr>
        <w:t xml:space="preserve">dixième </w:t>
      </w:r>
      <w:r w:rsidR="00D2033C" w:rsidRPr="005347B7">
        <w:rPr>
          <w:bCs/>
          <w:sz w:val="22"/>
          <w:szCs w:val="22"/>
          <w:lang w:val="fr-CA"/>
        </w:rPr>
        <w:t xml:space="preserve">COMCYT </w:t>
      </w:r>
      <w:r w:rsidR="00F4639F">
        <w:rPr>
          <w:bCs/>
          <w:sz w:val="22"/>
          <w:szCs w:val="22"/>
          <w:lang w:val="fr-CA"/>
        </w:rPr>
        <w:t xml:space="preserve">sont les suivants : </w:t>
      </w:r>
    </w:p>
    <w:p w14:paraId="7ACF5411" w14:textId="77777777" w:rsidR="00D2033C" w:rsidRPr="005347B7" w:rsidRDefault="00D2033C" w:rsidP="00D2033C">
      <w:pPr>
        <w:jc w:val="both"/>
        <w:rPr>
          <w:bCs/>
          <w:sz w:val="22"/>
          <w:szCs w:val="22"/>
          <w:lang w:val="fr-CA"/>
        </w:rPr>
      </w:pPr>
    </w:p>
    <w:p w14:paraId="7ED90390" w14:textId="77777777" w:rsidR="00D2033C" w:rsidRPr="005347B7" w:rsidRDefault="00D2033C" w:rsidP="00D2033C">
      <w:pPr>
        <w:numPr>
          <w:ilvl w:val="0"/>
          <w:numId w:val="16"/>
        </w:numPr>
        <w:tabs>
          <w:tab w:val="clear" w:pos="720"/>
          <w:tab w:val="num" w:pos="1440"/>
        </w:tabs>
        <w:ind w:left="1440" w:hanging="720"/>
        <w:jc w:val="both"/>
        <w:rPr>
          <w:bCs/>
          <w:sz w:val="22"/>
          <w:szCs w:val="22"/>
          <w:lang w:val="fr-CA"/>
        </w:rPr>
      </w:pPr>
      <w:r w:rsidRPr="005347B7">
        <w:rPr>
          <w:b/>
          <w:bCs/>
          <w:sz w:val="22"/>
          <w:szCs w:val="22"/>
          <w:lang w:val="fr-CA"/>
        </w:rPr>
        <w:t xml:space="preserve">Adoption </w:t>
      </w:r>
      <w:r w:rsidR="00F4639F">
        <w:rPr>
          <w:b/>
          <w:bCs/>
          <w:sz w:val="22"/>
          <w:szCs w:val="22"/>
          <w:lang w:val="fr-CA"/>
        </w:rPr>
        <w:t xml:space="preserve">du projet d’ordre du jour </w:t>
      </w:r>
      <w:r w:rsidR="00A2706E">
        <w:rPr>
          <w:b/>
          <w:bCs/>
          <w:sz w:val="22"/>
          <w:szCs w:val="22"/>
          <w:lang w:val="fr-CA"/>
        </w:rPr>
        <w:t xml:space="preserve">et du projet de calendrier </w:t>
      </w:r>
      <w:r w:rsidR="00F4639F">
        <w:rPr>
          <w:b/>
          <w:bCs/>
          <w:sz w:val="22"/>
          <w:szCs w:val="22"/>
          <w:lang w:val="fr-CA"/>
        </w:rPr>
        <w:t>de la réunion</w:t>
      </w:r>
      <w:r w:rsidR="00A2706E">
        <w:rPr>
          <w:b/>
          <w:bCs/>
          <w:sz w:val="22"/>
          <w:szCs w:val="22"/>
          <w:lang w:val="fr-CA"/>
        </w:rPr>
        <w:t>.</w:t>
      </w:r>
      <w:r w:rsidR="00F4639F">
        <w:rPr>
          <w:b/>
          <w:bCs/>
          <w:sz w:val="22"/>
          <w:szCs w:val="22"/>
          <w:lang w:val="fr-CA"/>
        </w:rPr>
        <w:t xml:space="preserve"> </w:t>
      </w:r>
      <w:r w:rsidR="00D85F47" w:rsidRPr="00D85F47">
        <w:rPr>
          <w:sz w:val="22"/>
          <w:szCs w:val="22"/>
          <w:lang w:val="fr-CA"/>
        </w:rPr>
        <w:t xml:space="preserve">Conformément à </w:t>
      </w:r>
      <w:r w:rsidR="00F4639F">
        <w:rPr>
          <w:sz w:val="22"/>
          <w:szCs w:val="22"/>
          <w:lang w:val="fr-CA"/>
        </w:rPr>
        <w:t xml:space="preserve">l’article 24 du Règlement des commissions interaméricaines du </w:t>
      </w:r>
      <w:r w:rsidRPr="005347B7">
        <w:rPr>
          <w:bCs/>
          <w:sz w:val="22"/>
          <w:szCs w:val="22"/>
          <w:lang w:val="fr-CA"/>
        </w:rPr>
        <w:t>CIDI</w:t>
      </w:r>
      <w:r w:rsidR="00A2706E">
        <w:rPr>
          <w:bCs/>
          <w:sz w:val="22"/>
          <w:szCs w:val="22"/>
          <w:lang w:val="fr-CA"/>
        </w:rPr>
        <w:t xml:space="preserve">, un projet d’ordre du jour et un projet de calendrier ayant pour objet d’organiser </w:t>
      </w:r>
      <w:r w:rsidR="00E2132E">
        <w:rPr>
          <w:bCs/>
          <w:sz w:val="22"/>
          <w:szCs w:val="22"/>
          <w:lang w:val="fr-CA"/>
        </w:rPr>
        <w:t xml:space="preserve">les réunions et les débats </w:t>
      </w:r>
      <w:r w:rsidR="00D85F47">
        <w:rPr>
          <w:bCs/>
          <w:sz w:val="22"/>
          <w:szCs w:val="22"/>
          <w:lang w:val="fr-CA"/>
        </w:rPr>
        <w:t>ser</w:t>
      </w:r>
      <w:r w:rsidR="00E2132E">
        <w:rPr>
          <w:bCs/>
          <w:sz w:val="22"/>
          <w:szCs w:val="22"/>
          <w:lang w:val="fr-CA"/>
        </w:rPr>
        <w:t>ont examinés aux fins d’approbation</w:t>
      </w:r>
      <w:r w:rsidRPr="005347B7">
        <w:rPr>
          <w:bCs/>
          <w:sz w:val="22"/>
          <w:szCs w:val="22"/>
          <w:lang w:val="fr-CA"/>
        </w:rPr>
        <w:t xml:space="preserve">. </w:t>
      </w:r>
    </w:p>
    <w:p w14:paraId="666AA106" w14:textId="77777777" w:rsidR="00D2033C" w:rsidRPr="005347B7" w:rsidRDefault="00D2033C" w:rsidP="005B4668">
      <w:pPr>
        <w:jc w:val="both"/>
        <w:rPr>
          <w:bCs/>
          <w:sz w:val="22"/>
          <w:szCs w:val="22"/>
          <w:lang w:val="fr-CA"/>
        </w:rPr>
      </w:pPr>
    </w:p>
    <w:p w14:paraId="23B04ACF" w14:textId="77777777" w:rsidR="00D2033C" w:rsidRPr="005347B7" w:rsidRDefault="00E2132E" w:rsidP="00D2033C">
      <w:pPr>
        <w:tabs>
          <w:tab w:val="num" w:pos="1440"/>
        </w:tabs>
        <w:ind w:left="1440" w:hanging="720"/>
        <w:jc w:val="both"/>
        <w:rPr>
          <w:bCs/>
          <w:sz w:val="22"/>
          <w:szCs w:val="22"/>
          <w:lang w:val="fr-CA"/>
        </w:rPr>
      </w:pPr>
      <w:r>
        <w:rPr>
          <w:b/>
          <w:sz w:val="22"/>
          <w:szCs w:val="22"/>
          <w:lang w:val="fr-CA"/>
        </w:rPr>
        <w:t>2</w:t>
      </w:r>
      <w:r w:rsidR="00D2033C" w:rsidRPr="005347B7">
        <w:rPr>
          <w:b/>
          <w:sz w:val="22"/>
          <w:szCs w:val="22"/>
          <w:lang w:val="fr-CA"/>
        </w:rPr>
        <w:t>.</w:t>
      </w:r>
      <w:r w:rsidR="00D2033C" w:rsidRPr="005347B7">
        <w:rPr>
          <w:b/>
          <w:sz w:val="22"/>
          <w:szCs w:val="22"/>
          <w:lang w:val="fr-CA"/>
        </w:rPr>
        <w:tab/>
        <w:t>Dur</w:t>
      </w:r>
      <w:r w:rsidR="00F4639F">
        <w:rPr>
          <w:b/>
          <w:sz w:val="22"/>
          <w:szCs w:val="22"/>
          <w:lang w:val="fr-CA"/>
        </w:rPr>
        <w:t>ée de la réunion</w:t>
      </w:r>
      <w:r w:rsidR="00D2033C" w:rsidRPr="005347B7">
        <w:rPr>
          <w:b/>
          <w:sz w:val="22"/>
          <w:szCs w:val="22"/>
          <w:lang w:val="fr-CA"/>
        </w:rPr>
        <w:t xml:space="preserve">. </w:t>
      </w:r>
      <w:r w:rsidR="00F4639F" w:rsidRPr="00F4639F">
        <w:rPr>
          <w:sz w:val="22"/>
          <w:szCs w:val="22"/>
          <w:lang w:val="fr-CA"/>
        </w:rPr>
        <w:t xml:space="preserve">Les États </w:t>
      </w:r>
      <w:r w:rsidR="00F4639F">
        <w:rPr>
          <w:bCs/>
          <w:sz w:val="22"/>
          <w:szCs w:val="22"/>
          <w:lang w:val="fr-CA"/>
        </w:rPr>
        <w:t xml:space="preserve">membres examineront, aux fins d’approbation, les heures attribuées à la réunion. </w:t>
      </w:r>
      <w:r w:rsidR="00D2033C" w:rsidRPr="005347B7">
        <w:rPr>
          <w:bCs/>
          <w:sz w:val="22"/>
          <w:szCs w:val="22"/>
          <w:lang w:val="fr-CA"/>
        </w:rPr>
        <w:t xml:space="preserve"> </w:t>
      </w:r>
    </w:p>
    <w:p w14:paraId="3D32A2B1" w14:textId="77777777" w:rsidR="00D2033C" w:rsidRPr="005347B7" w:rsidRDefault="00D2033C" w:rsidP="005B4668">
      <w:pPr>
        <w:jc w:val="both"/>
        <w:rPr>
          <w:bCs/>
          <w:sz w:val="22"/>
          <w:szCs w:val="22"/>
          <w:lang w:val="fr-CA"/>
        </w:rPr>
      </w:pPr>
    </w:p>
    <w:p w14:paraId="5A9842AE" w14:textId="77777777" w:rsidR="00D2033C" w:rsidRPr="005347B7" w:rsidRDefault="00E2132E" w:rsidP="00D2033C">
      <w:pPr>
        <w:tabs>
          <w:tab w:val="num" w:pos="1440"/>
        </w:tabs>
        <w:ind w:left="1440" w:hanging="720"/>
        <w:jc w:val="both"/>
        <w:rPr>
          <w:bCs/>
          <w:sz w:val="22"/>
          <w:szCs w:val="22"/>
          <w:lang w:val="fr-CA"/>
        </w:rPr>
      </w:pPr>
      <w:r>
        <w:rPr>
          <w:b/>
          <w:sz w:val="22"/>
          <w:szCs w:val="22"/>
          <w:lang w:val="fr-CA"/>
        </w:rPr>
        <w:t>3</w:t>
      </w:r>
      <w:r w:rsidR="00D2033C" w:rsidRPr="005347B7">
        <w:rPr>
          <w:bCs/>
          <w:sz w:val="22"/>
          <w:szCs w:val="22"/>
          <w:lang w:val="fr-CA"/>
        </w:rPr>
        <w:t>.</w:t>
      </w:r>
      <w:r w:rsidR="00D2033C" w:rsidRPr="005347B7">
        <w:rPr>
          <w:bCs/>
          <w:sz w:val="22"/>
          <w:szCs w:val="22"/>
          <w:lang w:val="fr-CA"/>
        </w:rPr>
        <w:tab/>
      </w:r>
      <w:r w:rsidR="00F4639F" w:rsidRPr="00F4639F">
        <w:rPr>
          <w:b/>
          <w:bCs/>
          <w:sz w:val="22"/>
          <w:szCs w:val="22"/>
          <w:lang w:val="fr-CA"/>
        </w:rPr>
        <w:t>Rappo</w:t>
      </w:r>
      <w:r w:rsidR="00F4639F">
        <w:rPr>
          <w:b/>
          <w:bCs/>
          <w:sz w:val="22"/>
          <w:szCs w:val="22"/>
          <w:lang w:val="fr-CA"/>
        </w:rPr>
        <w:t xml:space="preserve">rt </w:t>
      </w:r>
      <w:r w:rsidR="002A3322">
        <w:rPr>
          <w:b/>
          <w:bCs/>
          <w:sz w:val="22"/>
          <w:szCs w:val="22"/>
          <w:lang w:val="fr-CA"/>
        </w:rPr>
        <w:t xml:space="preserve">d’activités </w:t>
      </w:r>
      <w:r w:rsidR="00F4639F">
        <w:rPr>
          <w:b/>
          <w:bCs/>
          <w:sz w:val="22"/>
          <w:szCs w:val="22"/>
          <w:lang w:val="fr-CA"/>
        </w:rPr>
        <w:t xml:space="preserve">sur la mise en œuvre des mandats et des engagements figurant dans la Déclaration de la Jamaïque et dans le Plan de travail 2022-2024 de la </w:t>
      </w:r>
      <w:r w:rsidR="00D2033C" w:rsidRPr="005347B7">
        <w:rPr>
          <w:b/>
          <w:sz w:val="22"/>
          <w:szCs w:val="22"/>
          <w:lang w:val="fr-CA"/>
        </w:rPr>
        <w:t>COMCYT</w:t>
      </w:r>
      <w:r w:rsidR="00D2033C" w:rsidRPr="005347B7">
        <w:rPr>
          <w:bCs/>
          <w:sz w:val="22"/>
          <w:szCs w:val="22"/>
          <w:lang w:val="fr-CA"/>
        </w:rPr>
        <w:t>.</w:t>
      </w:r>
    </w:p>
    <w:p w14:paraId="1E42FA02" w14:textId="77777777" w:rsidR="00D2033C" w:rsidRPr="005347B7" w:rsidRDefault="00D2033C" w:rsidP="00D2033C">
      <w:pPr>
        <w:jc w:val="both"/>
        <w:rPr>
          <w:bCs/>
          <w:sz w:val="22"/>
          <w:szCs w:val="22"/>
          <w:lang w:val="fr-CA"/>
        </w:rPr>
      </w:pPr>
    </w:p>
    <w:p w14:paraId="0A7DEEAE" w14:textId="77777777" w:rsidR="00D2033C" w:rsidRPr="005347B7" w:rsidRDefault="002A3322" w:rsidP="00D2033C">
      <w:pPr>
        <w:tabs>
          <w:tab w:val="left" w:pos="1440"/>
          <w:tab w:val="left" w:pos="2160"/>
        </w:tabs>
        <w:ind w:left="1440"/>
        <w:contextualSpacing/>
        <w:jc w:val="both"/>
        <w:rPr>
          <w:rFonts w:eastAsia="Malgun Gothic"/>
          <w:sz w:val="22"/>
          <w:szCs w:val="22"/>
          <w:lang w:val="fr-CA"/>
        </w:rPr>
      </w:pPr>
      <w:r>
        <w:rPr>
          <w:rFonts w:eastAsia="Malgun Gothic"/>
          <w:sz w:val="22"/>
          <w:szCs w:val="22"/>
          <w:lang w:val="fr-CA"/>
        </w:rPr>
        <w:t>Conformément à l’a</w:t>
      </w:r>
      <w:r w:rsidR="00D2033C" w:rsidRPr="005347B7">
        <w:rPr>
          <w:rFonts w:eastAsia="Malgun Gothic"/>
          <w:sz w:val="22"/>
          <w:szCs w:val="22"/>
          <w:lang w:val="fr-CA"/>
        </w:rPr>
        <w:t xml:space="preserve">rticle 9 </w:t>
      </w:r>
      <w:r>
        <w:rPr>
          <w:rFonts w:eastAsia="Malgun Gothic"/>
          <w:sz w:val="22"/>
          <w:szCs w:val="22"/>
          <w:lang w:val="fr-CA"/>
        </w:rPr>
        <w:t xml:space="preserve">du Règlement des commissions interaméricaines du CIDI, le Secrétariat général de l’OEA dispense son soutien à la </w:t>
      </w:r>
      <w:r w:rsidR="00D2033C" w:rsidRPr="005347B7">
        <w:rPr>
          <w:rFonts w:eastAsia="Malgun Gothic"/>
          <w:sz w:val="22"/>
          <w:szCs w:val="22"/>
          <w:lang w:val="fr-CA"/>
        </w:rPr>
        <w:t xml:space="preserve">COMCYT </w:t>
      </w:r>
      <w:r>
        <w:rPr>
          <w:rFonts w:eastAsia="Malgun Gothic"/>
          <w:sz w:val="22"/>
          <w:szCs w:val="22"/>
          <w:lang w:val="fr-CA"/>
        </w:rPr>
        <w:t>en qualité de Secrétariat technique</w:t>
      </w:r>
      <w:r w:rsidR="00D2033C" w:rsidRPr="005347B7">
        <w:rPr>
          <w:rFonts w:eastAsia="Malgun Gothic"/>
          <w:sz w:val="22"/>
          <w:szCs w:val="22"/>
          <w:lang w:val="fr-CA"/>
        </w:rPr>
        <w:t xml:space="preserve">. </w:t>
      </w:r>
    </w:p>
    <w:p w14:paraId="1C3A356C" w14:textId="77777777" w:rsidR="00D2033C" w:rsidRPr="005347B7" w:rsidRDefault="00D2033C" w:rsidP="005B4668">
      <w:pPr>
        <w:jc w:val="both"/>
        <w:rPr>
          <w:rFonts w:eastAsia="Malgun Gothic"/>
          <w:sz w:val="22"/>
          <w:szCs w:val="22"/>
          <w:lang w:val="fr-CA"/>
        </w:rPr>
      </w:pPr>
    </w:p>
    <w:p w14:paraId="00202A28" w14:textId="77777777" w:rsidR="00D2033C" w:rsidRPr="005347B7" w:rsidRDefault="002A3322" w:rsidP="00D2033C">
      <w:pPr>
        <w:ind w:left="1440"/>
        <w:jc w:val="both"/>
        <w:rPr>
          <w:bCs/>
          <w:sz w:val="22"/>
          <w:szCs w:val="22"/>
          <w:lang w:val="fr-CA"/>
        </w:rPr>
      </w:pPr>
      <w:r>
        <w:rPr>
          <w:rFonts w:eastAsia="Malgun Gothic"/>
          <w:sz w:val="22"/>
          <w:szCs w:val="22"/>
          <w:lang w:val="fr-CA"/>
        </w:rPr>
        <w:t xml:space="preserve">Le </w:t>
      </w:r>
      <w:r w:rsidR="00D2033C" w:rsidRPr="005347B7">
        <w:rPr>
          <w:rFonts w:eastAsia="Malgun Gothic"/>
          <w:sz w:val="22"/>
          <w:szCs w:val="22"/>
          <w:lang w:val="fr-CA"/>
        </w:rPr>
        <w:t>Secr</w:t>
      </w:r>
      <w:r>
        <w:rPr>
          <w:rFonts w:eastAsia="Malgun Gothic"/>
          <w:sz w:val="22"/>
          <w:szCs w:val="22"/>
          <w:lang w:val="fr-CA"/>
        </w:rPr>
        <w:t>é</w:t>
      </w:r>
      <w:r w:rsidR="00D2033C" w:rsidRPr="005347B7">
        <w:rPr>
          <w:rFonts w:eastAsia="Malgun Gothic"/>
          <w:sz w:val="22"/>
          <w:szCs w:val="22"/>
          <w:lang w:val="fr-CA"/>
        </w:rPr>
        <w:t xml:space="preserve">tariat </w:t>
      </w:r>
      <w:r>
        <w:rPr>
          <w:rFonts w:eastAsia="Malgun Gothic"/>
          <w:sz w:val="22"/>
          <w:szCs w:val="22"/>
          <w:lang w:val="fr-CA"/>
        </w:rPr>
        <w:t xml:space="preserve">technique de la </w:t>
      </w:r>
      <w:r w:rsidR="00D2033C" w:rsidRPr="005347B7">
        <w:rPr>
          <w:rFonts w:eastAsia="Malgun Gothic"/>
          <w:sz w:val="22"/>
          <w:szCs w:val="22"/>
          <w:lang w:val="fr-CA"/>
        </w:rPr>
        <w:t xml:space="preserve">COMCYT </w:t>
      </w:r>
      <w:r>
        <w:rPr>
          <w:rFonts w:eastAsia="Malgun Gothic"/>
          <w:sz w:val="22"/>
          <w:szCs w:val="22"/>
          <w:lang w:val="fr-CA"/>
        </w:rPr>
        <w:t>présente un rapport sur les résultats obtenus et les progrès réalisés dans la mise en œuvre de la Déclaration de la Jamaïque « </w:t>
      </w:r>
      <w:r w:rsidR="0059424D">
        <w:rPr>
          <w:rFonts w:eastAsia="Malgun Gothic"/>
          <w:b/>
          <w:sz w:val="22"/>
          <w:szCs w:val="22"/>
          <w:lang w:val="fr-CA"/>
        </w:rPr>
        <w:t xml:space="preserve">Mobiliser la puissance de la </w:t>
      </w:r>
      <w:r>
        <w:rPr>
          <w:b/>
          <w:sz w:val="22"/>
          <w:szCs w:val="22"/>
          <w:lang w:val="fr-CA"/>
        </w:rPr>
        <w:t>science et des technologies transformat</w:t>
      </w:r>
      <w:r w:rsidR="0059424D">
        <w:rPr>
          <w:b/>
          <w:sz w:val="22"/>
          <w:szCs w:val="22"/>
          <w:lang w:val="fr-CA"/>
        </w:rPr>
        <w:t xml:space="preserve">rices pour faire avancer </w:t>
      </w:r>
      <w:r>
        <w:rPr>
          <w:b/>
          <w:sz w:val="22"/>
          <w:szCs w:val="22"/>
          <w:lang w:val="fr-CA"/>
        </w:rPr>
        <w:t>nos communautés »</w:t>
      </w:r>
      <w:r w:rsidR="00BC2B3D">
        <w:rPr>
          <w:b/>
          <w:sz w:val="22"/>
          <w:szCs w:val="22"/>
          <w:lang w:val="fr-CA"/>
        </w:rPr>
        <w:t xml:space="preserve">, </w:t>
      </w:r>
      <w:r w:rsidR="00BC2B3D" w:rsidRPr="00BC2B3D">
        <w:rPr>
          <w:sz w:val="22"/>
          <w:szCs w:val="22"/>
          <w:lang w:val="fr-CA"/>
        </w:rPr>
        <w:t>ado</w:t>
      </w:r>
      <w:r w:rsidR="00BC2B3D">
        <w:rPr>
          <w:sz w:val="22"/>
          <w:szCs w:val="22"/>
          <w:lang w:val="fr-CA"/>
        </w:rPr>
        <w:t xml:space="preserve">ptée par la sixième </w:t>
      </w:r>
      <w:r w:rsidR="00B33DE8">
        <w:rPr>
          <w:sz w:val="22"/>
          <w:szCs w:val="22"/>
          <w:lang w:val="fr-CA"/>
        </w:rPr>
        <w:t>R</w:t>
      </w:r>
      <w:r w:rsidR="00BC2B3D">
        <w:rPr>
          <w:sz w:val="22"/>
          <w:szCs w:val="22"/>
          <w:lang w:val="fr-CA"/>
        </w:rPr>
        <w:t>éunion des ministres et hauts fonctionnaires chargés de la s</w:t>
      </w:r>
      <w:r w:rsidR="00D2033C" w:rsidRPr="005347B7">
        <w:rPr>
          <w:bCs/>
          <w:sz w:val="22"/>
          <w:szCs w:val="22"/>
          <w:lang w:val="fr-CA"/>
        </w:rPr>
        <w:t xml:space="preserve">cience </w:t>
      </w:r>
      <w:r w:rsidR="00BC2B3D">
        <w:rPr>
          <w:bCs/>
          <w:sz w:val="22"/>
          <w:szCs w:val="22"/>
          <w:lang w:val="fr-CA"/>
        </w:rPr>
        <w:t>et de la t</w:t>
      </w:r>
      <w:r w:rsidR="00D2033C" w:rsidRPr="005347B7">
        <w:rPr>
          <w:bCs/>
          <w:sz w:val="22"/>
          <w:szCs w:val="22"/>
          <w:lang w:val="fr-CA"/>
        </w:rPr>
        <w:t>echnolog</w:t>
      </w:r>
      <w:r w:rsidR="00BC2B3D">
        <w:rPr>
          <w:bCs/>
          <w:sz w:val="22"/>
          <w:szCs w:val="22"/>
          <w:lang w:val="fr-CA"/>
        </w:rPr>
        <w:t xml:space="preserve">ie, qui s’est tenue les 7 et 8 décembre </w:t>
      </w:r>
      <w:r w:rsidR="00D2033C" w:rsidRPr="005347B7">
        <w:rPr>
          <w:bCs/>
          <w:sz w:val="22"/>
          <w:szCs w:val="22"/>
          <w:lang w:val="fr-CA"/>
        </w:rPr>
        <w:t>2021</w:t>
      </w:r>
      <w:r w:rsidR="00BC2B3D">
        <w:rPr>
          <w:bCs/>
          <w:sz w:val="22"/>
          <w:szCs w:val="22"/>
          <w:lang w:val="fr-CA"/>
        </w:rPr>
        <w:t>, et d</w:t>
      </w:r>
      <w:r w:rsidR="00B33DE8">
        <w:rPr>
          <w:bCs/>
          <w:sz w:val="22"/>
          <w:szCs w:val="22"/>
          <w:lang w:val="fr-CA"/>
        </w:rPr>
        <w:t>u</w:t>
      </w:r>
      <w:r w:rsidR="00BC2B3D">
        <w:rPr>
          <w:bCs/>
          <w:sz w:val="22"/>
          <w:szCs w:val="22"/>
          <w:lang w:val="fr-CA"/>
        </w:rPr>
        <w:t xml:space="preserve"> Plan de travail 2022-2024 de la </w:t>
      </w:r>
      <w:r w:rsidR="00D2033C" w:rsidRPr="005347B7">
        <w:rPr>
          <w:rFonts w:eastAsia="Malgun Gothic"/>
          <w:sz w:val="22"/>
          <w:szCs w:val="22"/>
          <w:lang w:val="fr-CA"/>
        </w:rPr>
        <w:t>COMCYT</w:t>
      </w:r>
      <w:r w:rsidR="00E2132E">
        <w:rPr>
          <w:rFonts w:eastAsia="Malgun Gothic"/>
          <w:sz w:val="22"/>
          <w:szCs w:val="22"/>
          <w:lang w:val="fr-CA"/>
        </w:rPr>
        <w:t xml:space="preserve"> approuvé par la Commission sur les politiques de partenariat pour le développement le 2 février 2023</w:t>
      </w:r>
      <w:r w:rsidR="00BC2B3D">
        <w:rPr>
          <w:rFonts w:eastAsia="Malgun Gothic"/>
          <w:sz w:val="22"/>
          <w:szCs w:val="22"/>
          <w:lang w:val="fr-CA"/>
        </w:rPr>
        <w:t xml:space="preserve">. </w:t>
      </w:r>
      <w:r w:rsidR="00D2033C" w:rsidRPr="005347B7">
        <w:rPr>
          <w:rFonts w:eastAsia="Malgun Gothic"/>
          <w:sz w:val="22"/>
          <w:szCs w:val="22"/>
          <w:lang w:val="fr-CA"/>
        </w:rPr>
        <w:t xml:space="preserve"> </w:t>
      </w:r>
    </w:p>
    <w:p w14:paraId="6CFE03AA" w14:textId="77777777" w:rsidR="00D2033C" w:rsidRPr="005347B7" w:rsidRDefault="00D2033C" w:rsidP="005B4668">
      <w:pPr>
        <w:jc w:val="both"/>
        <w:rPr>
          <w:sz w:val="22"/>
          <w:szCs w:val="22"/>
          <w:lang w:val="fr-CA"/>
        </w:rPr>
      </w:pPr>
    </w:p>
    <w:p w14:paraId="67DF875E" w14:textId="77777777" w:rsidR="00D2033C" w:rsidRPr="005347B7" w:rsidRDefault="00E2132E" w:rsidP="00D2033C">
      <w:pPr>
        <w:ind w:left="1440" w:right="-40" w:hanging="720"/>
        <w:jc w:val="both"/>
        <w:rPr>
          <w:bCs/>
          <w:sz w:val="22"/>
          <w:szCs w:val="22"/>
          <w:lang w:val="fr-CA"/>
        </w:rPr>
      </w:pPr>
      <w:r>
        <w:rPr>
          <w:b/>
          <w:sz w:val="22"/>
          <w:szCs w:val="22"/>
          <w:lang w:val="fr-CA"/>
        </w:rPr>
        <w:t>4</w:t>
      </w:r>
      <w:r w:rsidR="00D2033C" w:rsidRPr="005347B7">
        <w:rPr>
          <w:b/>
          <w:sz w:val="22"/>
          <w:szCs w:val="22"/>
          <w:lang w:val="fr-CA"/>
        </w:rPr>
        <w:t>.</w:t>
      </w:r>
      <w:r w:rsidR="00D2033C" w:rsidRPr="005347B7">
        <w:rPr>
          <w:b/>
          <w:sz w:val="22"/>
          <w:szCs w:val="22"/>
          <w:lang w:val="fr-CA"/>
        </w:rPr>
        <w:tab/>
      </w:r>
      <w:r w:rsidR="00BC2B3D">
        <w:rPr>
          <w:b/>
          <w:sz w:val="22"/>
          <w:szCs w:val="22"/>
          <w:lang w:val="fr-CA"/>
        </w:rPr>
        <w:t xml:space="preserve">Mise en commun </w:t>
      </w:r>
      <w:r>
        <w:rPr>
          <w:b/>
          <w:sz w:val="22"/>
          <w:szCs w:val="22"/>
          <w:lang w:val="fr-CA"/>
        </w:rPr>
        <w:t xml:space="preserve">de connaissances et </w:t>
      </w:r>
      <w:r w:rsidR="00BC2B3D">
        <w:rPr>
          <w:b/>
          <w:sz w:val="22"/>
          <w:szCs w:val="22"/>
          <w:lang w:val="fr-CA"/>
        </w:rPr>
        <w:t xml:space="preserve">de bonnes pratiques concernant </w:t>
      </w:r>
      <w:r>
        <w:rPr>
          <w:b/>
          <w:sz w:val="22"/>
          <w:szCs w:val="22"/>
          <w:lang w:val="fr-CA"/>
        </w:rPr>
        <w:t xml:space="preserve">les sujets d’intérêt et </w:t>
      </w:r>
      <w:r w:rsidR="00BC2B3D">
        <w:rPr>
          <w:b/>
          <w:sz w:val="22"/>
          <w:szCs w:val="22"/>
          <w:lang w:val="fr-CA"/>
        </w:rPr>
        <w:t xml:space="preserve">les priorités </w:t>
      </w:r>
      <w:r>
        <w:rPr>
          <w:b/>
          <w:sz w:val="22"/>
          <w:szCs w:val="22"/>
          <w:lang w:val="fr-CA"/>
        </w:rPr>
        <w:t xml:space="preserve">établis </w:t>
      </w:r>
      <w:r w:rsidR="00BC2B3D">
        <w:rPr>
          <w:b/>
          <w:sz w:val="22"/>
          <w:szCs w:val="22"/>
          <w:lang w:val="fr-CA"/>
        </w:rPr>
        <w:t xml:space="preserve">par les États membres </w:t>
      </w:r>
      <w:r>
        <w:rPr>
          <w:b/>
          <w:sz w:val="22"/>
          <w:szCs w:val="22"/>
          <w:lang w:val="fr-CA"/>
        </w:rPr>
        <w:t xml:space="preserve">et énoncés </w:t>
      </w:r>
      <w:r w:rsidR="00BC2B3D">
        <w:rPr>
          <w:b/>
          <w:sz w:val="22"/>
          <w:szCs w:val="22"/>
          <w:lang w:val="fr-CA"/>
        </w:rPr>
        <w:t xml:space="preserve">dans la Déclaration de la Jamaïque et dans le Plan de travail 2022-2024 de la </w:t>
      </w:r>
      <w:r w:rsidR="00D2033C" w:rsidRPr="005347B7">
        <w:rPr>
          <w:b/>
          <w:sz w:val="22"/>
          <w:szCs w:val="22"/>
          <w:lang w:val="fr-CA"/>
        </w:rPr>
        <w:t>COMCYT</w:t>
      </w:r>
      <w:r w:rsidR="00BC2B3D">
        <w:rPr>
          <w:b/>
          <w:sz w:val="22"/>
          <w:szCs w:val="22"/>
          <w:lang w:val="fr-CA"/>
        </w:rPr>
        <w:t>.</w:t>
      </w:r>
    </w:p>
    <w:p w14:paraId="05591E0F" w14:textId="77777777" w:rsidR="00D2033C" w:rsidRPr="005347B7" w:rsidRDefault="00D2033C" w:rsidP="00D2033C">
      <w:pPr>
        <w:jc w:val="both"/>
        <w:rPr>
          <w:bCs/>
          <w:sz w:val="22"/>
          <w:szCs w:val="22"/>
          <w:lang w:val="fr-CA"/>
        </w:rPr>
      </w:pPr>
    </w:p>
    <w:p w14:paraId="46E2D10F" w14:textId="77777777" w:rsidR="00D2033C" w:rsidRDefault="00BC2B3D" w:rsidP="00D2033C">
      <w:pPr>
        <w:ind w:left="1440"/>
        <w:jc w:val="both"/>
        <w:rPr>
          <w:rFonts w:eastAsia="Malgun Gothic"/>
          <w:sz w:val="22"/>
          <w:szCs w:val="22"/>
          <w:lang w:val="fr-CA"/>
        </w:rPr>
      </w:pPr>
      <w:r>
        <w:rPr>
          <w:bCs/>
          <w:sz w:val="22"/>
          <w:szCs w:val="22"/>
          <w:lang w:val="fr-CA"/>
        </w:rPr>
        <w:t xml:space="preserve">Les États membres et les partenaires de la </w:t>
      </w:r>
      <w:r w:rsidR="00D2033C" w:rsidRPr="005347B7">
        <w:rPr>
          <w:bCs/>
          <w:sz w:val="22"/>
          <w:szCs w:val="22"/>
          <w:lang w:val="fr-CA"/>
        </w:rPr>
        <w:t xml:space="preserve">COMCYT </w:t>
      </w:r>
      <w:r>
        <w:rPr>
          <w:bCs/>
          <w:sz w:val="22"/>
          <w:szCs w:val="22"/>
          <w:lang w:val="fr-CA"/>
        </w:rPr>
        <w:t>partagen</w:t>
      </w:r>
      <w:r w:rsidR="00846266">
        <w:rPr>
          <w:bCs/>
          <w:sz w:val="22"/>
          <w:szCs w:val="22"/>
          <w:lang w:val="fr-CA"/>
        </w:rPr>
        <w:t>t</w:t>
      </w:r>
      <w:r>
        <w:rPr>
          <w:bCs/>
          <w:sz w:val="22"/>
          <w:szCs w:val="22"/>
          <w:lang w:val="fr-CA"/>
        </w:rPr>
        <w:t xml:space="preserve"> des informations, des bonnes pratiques et des propositions </w:t>
      </w:r>
      <w:r w:rsidR="00116AA5">
        <w:rPr>
          <w:bCs/>
          <w:sz w:val="22"/>
          <w:szCs w:val="22"/>
          <w:lang w:val="fr-CA"/>
        </w:rPr>
        <w:t xml:space="preserve">réalisées dans le cadre de la mise en œuvre de la Déclaration de la Jamaïque et du Plan de travail 2022-2024 de la </w:t>
      </w:r>
      <w:r w:rsidR="00116AA5" w:rsidRPr="005347B7">
        <w:rPr>
          <w:rFonts w:eastAsia="Malgun Gothic"/>
          <w:sz w:val="22"/>
          <w:szCs w:val="22"/>
          <w:lang w:val="fr-CA"/>
        </w:rPr>
        <w:t>COMCYT</w:t>
      </w:r>
      <w:r w:rsidR="00116AA5">
        <w:rPr>
          <w:rFonts w:eastAsia="Malgun Gothic"/>
          <w:sz w:val="22"/>
          <w:szCs w:val="22"/>
          <w:lang w:val="fr-CA"/>
        </w:rPr>
        <w:t xml:space="preserve">. Les points abordés sont, entre autres, les suivants : </w:t>
      </w:r>
    </w:p>
    <w:p w14:paraId="067AFB5A" w14:textId="77777777" w:rsidR="00E2132E" w:rsidRDefault="00E2132E" w:rsidP="00B70BBE">
      <w:pPr>
        <w:jc w:val="both"/>
        <w:rPr>
          <w:rFonts w:eastAsia="Malgun Gothic"/>
          <w:sz w:val="22"/>
          <w:szCs w:val="22"/>
          <w:lang w:val="fr-CA"/>
        </w:rPr>
      </w:pPr>
    </w:p>
    <w:p w14:paraId="37096970" w14:textId="77777777" w:rsidR="00E2132E" w:rsidRPr="005347B7" w:rsidRDefault="00B70BBE" w:rsidP="00B70BBE">
      <w:pPr>
        <w:ind w:left="2160" w:hanging="720"/>
        <w:jc w:val="both"/>
        <w:rPr>
          <w:bCs/>
          <w:sz w:val="22"/>
          <w:szCs w:val="22"/>
          <w:lang w:val="fr-CA"/>
        </w:rPr>
      </w:pPr>
      <w:bookmarkStart w:id="0" w:name="_Hlk130382086"/>
      <w:r>
        <w:rPr>
          <w:bCs/>
          <w:sz w:val="22"/>
          <w:szCs w:val="22"/>
          <w:lang w:val="fr-CA"/>
        </w:rPr>
        <w:t xml:space="preserve">4.1 </w:t>
      </w:r>
      <w:r>
        <w:rPr>
          <w:bCs/>
          <w:sz w:val="22"/>
          <w:szCs w:val="22"/>
          <w:lang w:val="fr-CA"/>
        </w:rPr>
        <w:tab/>
      </w:r>
      <w:r w:rsidR="00E2132E" w:rsidRPr="00E2132E">
        <w:rPr>
          <w:bCs/>
          <w:sz w:val="22"/>
          <w:szCs w:val="22"/>
          <w:lang w:val="fr-CA"/>
        </w:rPr>
        <w:t>L’histoire de la science et la diplomatie scientifique : Renforcement de la</w:t>
      </w:r>
      <w:r w:rsidR="00E2132E">
        <w:rPr>
          <w:bCs/>
          <w:sz w:val="22"/>
          <w:szCs w:val="22"/>
          <w:lang w:val="fr-CA"/>
        </w:rPr>
        <w:t xml:space="preserve"> </w:t>
      </w:r>
      <w:r w:rsidR="00E2132E" w:rsidRPr="00E2132E">
        <w:rPr>
          <w:bCs/>
          <w:sz w:val="22"/>
          <w:szCs w:val="22"/>
          <w:lang w:val="fr-CA"/>
        </w:rPr>
        <w:t>coopération régionale en matière de R&amp;D moyennant des approches multidisciplinaires</w:t>
      </w:r>
      <w:r w:rsidR="00E2132E">
        <w:rPr>
          <w:bCs/>
          <w:sz w:val="22"/>
          <w:szCs w:val="22"/>
          <w:lang w:val="fr-CA"/>
        </w:rPr>
        <w:t xml:space="preserve"> </w:t>
      </w:r>
      <w:r w:rsidR="00E2132E" w:rsidRPr="00E2132E">
        <w:rPr>
          <w:bCs/>
          <w:sz w:val="22"/>
          <w:szCs w:val="22"/>
          <w:lang w:val="fr-CA"/>
        </w:rPr>
        <w:t>et plurilingues</w:t>
      </w:r>
      <w:bookmarkEnd w:id="0"/>
    </w:p>
    <w:p w14:paraId="7F1EBAEF" w14:textId="77777777" w:rsidR="00D2033C" w:rsidRPr="005347B7" w:rsidRDefault="00D2033C" w:rsidP="00B70BBE">
      <w:pPr>
        <w:jc w:val="both"/>
        <w:rPr>
          <w:bCs/>
          <w:sz w:val="22"/>
          <w:szCs w:val="22"/>
          <w:lang w:val="fr-CA"/>
        </w:rPr>
      </w:pPr>
    </w:p>
    <w:p w14:paraId="58F66D71" w14:textId="77777777" w:rsidR="00D2033C" w:rsidRPr="00B70BBE" w:rsidRDefault="00B70BBE" w:rsidP="00B70BBE">
      <w:pPr>
        <w:ind w:left="2160" w:hanging="720"/>
        <w:jc w:val="both"/>
        <w:rPr>
          <w:sz w:val="22"/>
          <w:szCs w:val="22"/>
          <w:lang w:val="fr-CA"/>
        </w:rPr>
      </w:pPr>
      <w:bookmarkStart w:id="1" w:name="_Hlk130379018"/>
      <w:r>
        <w:rPr>
          <w:bCs/>
          <w:sz w:val="22"/>
          <w:szCs w:val="22"/>
          <w:lang w:val="fr-CA"/>
        </w:rPr>
        <w:t xml:space="preserve">4.2 </w:t>
      </w:r>
      <w:r>
        <w:rPr>
          <w:bCs/>
          <w:sz w:val="22"/>
          <w:szCs w:val="22"/>
          <w:lang w:val="fr-CA"/>
        </w:rPr>
        <w:tab/>
      </w:r>
      <w:r w:rsidR="00116AA5">
        <w:rPr>
          <w:bCs/>
          <w:sz w:val="22"/>
          <w:szCs w:val="22"/>
          <w:lang w:val="fr-CA"/>
        </w:rPr>
        <w:t>Les jeunes</w:t>
      </w:r>
      <w:r w:rsidR="00D2033C" w:rsidRPr="005347B7">
        <w:rPr>
          <w:bCs/>
          <w:sz w:val="22"/>
          <w:szCs w:val="22"/>
          <w:lang w:val="fr-CA"/>
        </w:rPr>
        <w:t xml:space="preserve">: </w:t>
      </w:r>
      <w:r w:rsidR="00116AA5">
        <w:rPr>
          <w:bCs/>
          <w:sz w:val="22"/>
          <w:szCs w:val="22"/>
          <w:lang w:val="fr-CA"/>
        </w:rPr>
        <w:t>Améliorer les compétences et l</w:t>
      </w:r>
      <w:r w:rsidR="0059424D">
        <w:rPr>
          <w:bCs/>
          <w:sz w:val="22"/>
          <w:szCs w:val="22"/>
          <w:lang w:val="fr-CA"/>
        </w:rPr>
        <w:t>e niveau de</w:t>
      </w:r>
      <w:r w:rsidR="00116AA5">
        <w:rPr>
          <w:bCs/>
          <w:sz w:val="22"/>
          <w:szCs w:val="22"/>
          <w:lang w:val="fr-CA"/>
        </w:rPr>
        <w:t xml:space="preserve"> préparation pour l’industrie </w:t>
      </w:r>
      <w:r w:rsidR="00D2033C" w:rsidRPr="005347B7">
        <w:rPr>
          <w:bCs/>
          <w:sz w:val="22"/>
          <w:szCs w:val="22"/>
          <w:lang w:val="fr-CA"/>
        </w:rPr>
        <w:t>4.0 (</w:t>
      </w:r>
      <w:r w:rsidR="00116AA5">
        <w:rPr>
          <w:bCs/>
          <w:sz w:val="22"/>
          <w:szCs w:val="22"/>
          <w:lang w:val="fr-CA"/>
        </w:rPr>
        <w:t>Académie des jeunes sur les technologies transformatrices</w:t>
      </w:r>
      <w:r w:rsidR="00846266">
        <w:rPr>
          <w:bCs/>
          <w:sz w:val="22"/>
          <w:szCs w:val="22"/>
          <w:lang w:val="fr-CA"/>
        </w:rPr>
        <w:t xml:space="preserve"> de </w:t>
      </w:r>
      <w:r w:rsidR="00846266" w:rsidRPr="00B70BBE">
        <w:rPr>
          <w:sz w:val="22"/>
          <w:szCs w:val="22"/>
          <w:lang w:val="fr-CA"/>
        </w:rPr>
        <w:t>l’OEA</w:t>
      </w:r>
      <w:r w:rsidR="00D2033C" w:rsidRPr="00B70BBE">
        <w:rPr>
          <w:sz w:val="22"/>
          <w:szCs w:val="22"/>
          <w:lang w:val="fr-CA"/>
        </w:rPr>
        <w:t>)</w:t>
      </w:r>
      <w:bookmarkEnd w:id="1"/>
    </w:p>
    <w:p w14:paraId="00D16364" w14:textId="77777777" w:rsidR="00D2033C" w:rsidRPr="005347B7" w:rsidRDefault="00D2033C" w:rsidP="00B70BBE">
      <w:pPr>
        <w:jc w:val="both"/>
        <w:rPr>
          <w:bCs/>
          <w:sz w:val="22"/>
          <w:szCs w:val="22"/>
          <w:lang w:val="fr-CA"/>
        </w:rPr>
      </w:pPr>
    </w:p>
    <w:p w14:paraId="7BDEB6E9" w14:textId="77777777" w:rsidR="00D2033C" w:rsidRPr="005347B7" w:rsidRDefault="00B70BBE" w:rsidP="00B70BBE">
      <w:pPr>
        <w:ind w:left="2160" w:hanging="720"/>
        <w:jc w:val="both"/>
        <w:rPr>
          <w:bCs/>
          <w:sz w:val="22"/>
          <w:szCs w:val="22"/>
          <w:lang w:val="fr-CA"/>
        </w:rPr>
      </w:pPr>
      <w:bookmarkStart w:id="2" w:name="_Hlk130379356"/>
      <w:r>
        <w:rPr>
          <w:bCs/>
          <w:sz w:val="22"/>
          <w:szCs w:val="22"/>
          <w:lang w:val="fr-CA"/>
        </w:rPr>
        <w:lastRenderedPageBreak/>
        <w:t xml:space="preserve">4.3 </w:t>
      </w:r>
      <w:r>
        <w:rPr>
          <w:bCs/>
          <w:sz w:val="22"/>
          <w:szCs w:val="22"/>
          <w:lang w:val="fr-CA"/>
        </w:rPr>
        <w:tab/>
      </w:r>
      <w:r w:rsidR="0059424D">
        <w:rPr>
          <w:bCs/>
          <w:sz w:val="22"/>
          <w:szCs w:val="22"/>
          <w:lang w:val="fr-CA"/>
        </w:rPr>
        <w:t xml:space="preserve">La prospective technologique en tant qu’élément des décisions de politiques publiques </w:t>
      </w:r>
      <w:r w:rsidR="00D2033C" w:rsidRPr="005347B7">
        <w:rPr>
          <w:bCs/>
          <w:sz w:val="22"/>
          <w:szCs w:val="22"/>
          <w:lang w:val="fr-CA"/>
        </w:rPr>
        <w:t xml:space="preserve">(Prospecta </w:t>
      </w:r>
      <w:proofErr w:type="spellStart"/>
      <w:r w:rsidR="00D2033C" w:rsidRPr="005347B7">
        <w:rPr>
          <w:bCs/>
          <w:sz w:val="22"/>
          <w:szCs w:val="22"/>
          <w:lang w:val="fr-CA"/>
        </w:rPr>
        <w:t>Americas</w:t>
      </w:r>
      <w:proofErr w:type="spellEnd"/>
      <w:r w:rsidR="00D2033C" w:rsidRPr="005347B7">
        <w:rPr>
          <w:bCs/>
          <w:sz w:val="22"/>
          <w:szCs w:val="22"/>
          <w:lang w:val="fr-CA"/>
        </w:rPr>
        <w:t xml:space="preserve"> </w:t>
      </w:r>
      <w:r w:rsidR="0059424D">
        <w:rPr>
          <w:bCs/>
          <w:sz w:val="22"/>
          <w:szCs w:val="22"/>
          <w:lang w:val="fr-CA"/>
        </w:rPr>
        <w:t>et les Centres d’excellence sur les technologies transformatrices de l’OEA)</w:t>
      </w:r>
      <w:bookmarkEnd w:id="2"/>
    </w:p>
    <w:p w14:paraId="2A1C02B5" w14:textId="77777777" w:rsidR="00D2033C" w:rsidRPr="005347B7" w:rsidRDefault="00D2033C" w:rsidP="00B70BBE">
      <w:pPr>
        <w:jc w:val="both"/>
        <w:rPr>
          <w:bCs/>
          <w:sz w:val="22"/>
          <w:szCs w:val="22"/>
          <w:lang w:val="fr-CA"/>
        </w:rPr>
      </w:pPr>
    </w:p>
    <w:p w14:paraId="0FA094BA" w14:textId="77777777" w:rsidR="00D2033C" w:rsidRPr="005347B7" w:rsidRDefault="00D2033C" w:rsidP="00B70BBE">
      <w:pPr>
        <w:jc w:val="both"/>
        <w:rPr>
          <w:bCs/>
          <w:sz w:val="22"/>
          <w:szCs w:val="22"/>
          <w:lang w:val="fr-CA"/>
        </w:rPr>
      </w:pPr>
    </w:p>
    <w:p w14:paraId="1E76552D" w14:textId="77777777" w:rsidR="00D2033C" w:rsidRPr="005347B7" w:rsidRDefault="00B70BBE" w:rsidP="00B70BBE">
      <w:pPr>
        <w:ind w:left="2160" w:hanging="720"/>
        <w:jc w:val="both"/>
        <w:rPr>
          <w:bCs/>
          <w:sz w:val="22"/>
          <w:szCs w:val="22"/>
          <w:lang w:val="fr-CA"/>
        </w:rPr>
      </w:pPr>
      <w:bookmarkStart w:id="3" w:name="_Hlk130381688"/>
      <w:r>
        <w:rPr>
          <w:bCs/>
          <w:sz w:val="22"/>
          <w:szCs w:val="22"/>
          <w:lang w:val="fr-CA"/>
        </w:rPr>
        <w:t xml:space="preserve">4.4 </w:t>
      </w:r>
      <w:r>
        <w:rPr>
          <w:bCs/>
          <w:sz w:val="22"/>
          <w:szCs w:val="22"/>
          <w:lang w:val="fr-CA"/>
        </w:rPr>
        <w:tab/>
      </w:r>
      <w:r w:rsidR="00E2132E">
        <w:rPr>
          <w:bCs/>
          <w:sz w:val="22"/>
          <w:szCs w:val="22"/>
          <w:lang w:val="fr-CA"/>
        </w:rPr>
        <w:t xml:space="preserve">Cas d’utilisation des </w:t>
      </w:r>
      <w:r w:rsidR="003D275B">
        <w:rPr>
          <w:bCs/>
          <w:sz w:val="22"/>
          <w:szCs w:val="22"/>
          <w:lang w:val="fr-CA"/>
        </w:rPr>
        <w:t xml:space="preserve">technologies </w:t>
      </w:r>
      <w:r w:rsidR="00E2132E">
        <w:rPr>
          <w:bCs/>
          <w:sz w:val="22"/>
          <w:szCs w:val="22"/>
          <w:lang w:val="fr-CA"/>
        </w:rPr>
        <w:t>transformatrices pour le développement durable des Amériques</w:t>
      </w:r>
      <w:bookmarkEnd w:id="3"/>
    </w:p>
    <w:p w14:paraId="3CAE5C44" w14:textId="77777777" w:rsidR="00D2033C" w:rsidRPr="005347B7" w:rsidRDefault="00D2033C" w:rsidP="00B70BBE">
      <w:pPr>
        <w:jc w:val="both"/>
        <w:rPr>
          <w:bCs/>
          <w:sz w:val="22"/>
          <w:szCs w:val="22"/>
          <w:lang w:val="fr-CA"/>
        </w:rPr>
      </w:pPr>
    </w:p>
    <w:p w14:paraId="08166A08" w14:textId="77777777" w:rsidR="00D2033C" w:rsidRDefault="00B70BBE" w:rsidP="00B70BBE">
      <w:pPr>
        <w:ind w:left="2160" w:hanging="720"/>
        <w:jc w:val="both"/>
        <w:rPr>
          <w:bCs/>
          <w:sz w:val="22"/>
          <w:szCs w:val="22"/>
          <w:lang w:val="fr-CA"/>
        </w:rPr>
      </w:pPr>
      <w:bookmarkStart w:id="4" w:name="_Hlk130381861"/>
      <w:r>
        <w:rPr>
          <w:bCs/>
          <w:sz w:val="22"/>
          <w:szCs w:val="22"/>
          <w:lang w:val="fr-CA"/>
        </w:rPr>
        <w:t xml:space="preserve">4.5 </w:t>
      </w:r>
      <w:r>
        <w:rPr>
          <w:bCs/>
          <w:sz w:val="22"/>
          <w:szCs w:val="22"/>
          <w:lang w:val="fr-CA"/>
        </w:rPr>
        <w:tab/>
      </w:r>
      <w:r w:rsidR="003D275B">
        <w:rPr>
          <w:bCs/>
          <w:sz w:val="22"/>
          <w:szCs w:val="22"/>
          <w:lang w:val="fr-CA"/>
        </w:rPr>
        <w:t>Les infrastructures de qualité et les technologies transformatrices</w:t>
      </w:r>
      <w:bookmarkEnd w:id="4"/>
    </w:p>
    <w:p w14:paraId="5EEE79C4" w14:textId="77777777" w:rsidR="00E2132E" w:rsidRDefault="00E2132E" w:rsidP="00B70BBE">
      <w:pPr>
        <w:jc w:val="both"/>
        <w:rPr>
          <w:bCs/>
          <w:sz w:val="22"/>
          <w:szCs w:val="22"/>
          <w:lang w:val="fr-CA"/>
        </w:rPr>
      </w:pPr>
    </w:p>
    <w:p w14:paraId="7DC22B44" w14:textId="77777777" w:rsidR="00E2132E" w:rsidRDefault="00B70BBE" w:rsidP="00B70BBE">
      <w:pPr>
        <w:ind w:left="2160" w:hanging="720"/>
        <w:jc w:val="both"/>
        <w:rPr>
          <w:bCs/>
          <w:sz w:val="22"/>
          <w:szCs w:val="22"/>
          <w:lang w:val="fr-CA"/>
        </w:rPr>
      </w:pPr>
      <w:r>
        <w:rPr>
          <w:bCs/>
          <w:sz w:val="22"/>
          <w:szCs w:val="22"/>
          <w:lang w:val="fr-CA"/>
        </w:rPr>
        <w:t xml:space="preserve">4.6 </w:t>
      </w:r>
      <w:r>
        <w:rPr>
          <w:bCs/>
          <w:sz w:val="22"/>
          <w:szCs w:val="22"/>
          <w:lang w:val="fr-CA"/>
        </w:rPr>
        <w:tab/>
      </w:r>
      <w:r w:rsidR="00E2132E">
        <w:rPr>
          <w:bCs/>
          <w:sz w:val="22"/>
          <w:szCs w:val="22"/>
          <w:lang w:val="fr-CA"/>
        </w:rPr>
        <w:t>Technologies innovatrices et solutions pour une croissance résiliente, durable et inclusive. Interventions de collaboration innovatrices des administrations publiques, du monde universitaire et du secteur privé</w:t>
      </w:r>
    </w:p>
    <w:p w14:paraId="1D02D275" w14:textId="77777777" w:rsidR="00E2132E" w:rsidRDefault="00E2132E" w:rsidP="00B70BBE">
      <w:pPr>
        <w:jc w:val="both"/>
        <w:rPr>
          <w:bCs/>
          <w:sz w:val="22"/>
          <w:szCs w:val="22"/>
          <w:lang w:val="fr-CA"/>
        </w:rPr>
      </w:pPr>
    </w:p>
    <w:p w14:paraId="105084A2" w14:textId="77777777" w:rsidR="00E2132E" w:rsidRPr="005347B7" w:rsidRDefault="00B70BBE" w:rsidP="00B70BBE">
      <w:pPr>
        <w:ind w:left="2160" w:hanging="720"/>
        <w:jc w:val="both"/>
        <w:rPr>
          <w:bCs/>
          <w:sz w:val="22"/>
          <w:szCs w:val="22"/>
          <w:lang w:val="fr-CA"/>
        </w:rPr>
      </w:pPr>
      <w:r>
        <w:rPr>
          <w:bCs/>
          <w:sz w:val="22"/>
          <w:szCs w:val="22"/>
          <w:lang w:val="fr-CA"/>
        </w:rPr>
        <w:t xml:space="preserve">4.7 </w:t>
      </w:r>
      <w:r>
        <w:rPr>
          <w:bCs/>
          <w:sz w:val="22"/>
          <w:szCs w:val="22"/>
          <w:lang w:val="fr-CA"/>
        </w:rPr>
        <w:tab/>
      </w:r>
      <w:r w:rsidR="00E2132E">
        <w:rPr>
          <w:bCs/>
          <w:sz w:val="22"/>
          <w:szCs w:val="22"/>
          <w:lang w:val="fr-CA"/>
        </w:rPr>
        <w:t>Connectivité et initiatives d’ingénierie dans les Amériques</w:t>
      </w:r>
    </w:p>
    <w:p w14:paraId="7BFD022E" w14:textId="77777777" w:rsidR="00D2033C" w:rsidRPr="005347B7" w:rsidRDefault="00D2033C" w:rsidP="00D2033C">
      <w:pPr>
        <w:jc w:val="both"/>
        <w:rPr>
          <w:sz w:val="22"/>
          <w:szCs w:val="22"/>
          <w:lang w:val="fr-CA"/>
        </w:rPr>
      </w:pPr>
    </w:p>
    <w:p w14:paraId="34499BEB" w14:textId="77777777" w:rsidR="00D2033C" w:rsidRPr="005347B7" w:rsidRDefault="00CD677B" w:rsidP="00D2033C">
      <w:pPr>
        <w:ind w:left="1440" w:hanging="720"/>
        <w:jc w:val="both"/>
        <w:rPr>
          <w:b/>
          <w:sz w:val="22"/>
          <w:szCs w:val="22"/>
          <w:lang w:val="fr-CA"/>
        </w:rPr>
      </w:pPr>
      <w:bookmarkStart w:id="5" w:name="_Hlk130382321"/>
      <w:r>
        <w:rPr>
          <w:b/>
          <w:sz w:val="22"/>
          <w:szCs w:val="22"/>
          <w:lang w:val="fr-CA"/>
        </w:rPr>
        <w:t>5</w:t>
      </w:r>
      <w:r w:rsidR="00D2033C" w:rsidRPr="005347B7">
        <w:rPr>
          <w:b/>
          <w:sz w:val="22"/>
          <w:szCs w:val="22"/>
          <w:lang w:val="fr-CA"/>
        </w:rPr>
        <w:t>.</w:t>
      </w:r>
      <w:r w:rsidR="00D2033C" w:rsidRPr="005347B7">
        <w:rPr>
          <w:b/>
          <w:sz w:val="22"/>
          <w:szCs w:val="22"/>
          <w:lang w:val="fr-CA"/>
        </w:rPr>
        <w:tab/>
      </w:r>
      <w:r w:rsidR="003D275B">
        <w:rPr>
          <w:b/>
          <w:sz w:val="22"/>
          <w:szCs w:val="22"/>
          <w:lang w:val="fr-CA"/>
        </w:rPr>
        <w:t xml:space="preserve">Résumé des contributions et directives adressées au Secrétariat </w:t>
      </w:r>
      <w:r w:rsidR="00846266">
        <w:rPr>
          <w:b/>
          <w:sz w:val="22"/>
          <w:szCs w:val="22"/>
          <w:lang w:val="fr-CA"/>
        </w:rPr>
        <w:t xml:space="preserve">en vue de </w:t>
      </w:r>
      <w:r w:rsidR="003D275B">
        <w:rPr>
          <w:b/>
          <w:sz w:val="22"/>
          <w:szCs w:val="22"/>
          <w:lang w:val="fr-CA"/>
        </w:rPr>
        <w:t>l’élaboration d’un livre blanc qui servira de base pour le thème et l’ordre du jour de la prochaine réunion ministérielle</w:t>
      </w:r>
    </w:p>
    <w:p w14:paraId="06EF4DEE" w14:textId="77777777" w:rsidR="00D2033C" w:rsidRPr="005B4668" w:rsidRDefault="00D2033C" w:rsidP="005B4668">
      <w:pPr>
        <w:jc w:val="both"/>
        <w:rPr>
          <w:bCs/>
          <w:sz w:val="22"/>
          <w:szCs w:val="22"/>
          <w:lang w:val="fr-CA"/>
        </w:rPr>
      </w:pPr>
    </w:p>
    <w:p w14:paraId="258D68D9" w14:textId="77777777" w:rsidR="00D2033C" w:rsidRPr="005347B7" w:rsidRDefault="003D275B" w:rsidP="00D2033C">
      <w:pPr>
        <w:ind w:left="1440"/>
        <w:jc w:val="both"/>
        <w:rPr>
          <w:bCs/>
          <w:sz w:val="22"/>
          <w:szCs w:val="22"/>
          <w:lang w:val="fr-CA"/>
        </w:rPr>
      </w:pPr>
      <w:r>
        <w:rPr>
          <w:bCs/>
          <w:sz w:val="22"/>
          <w:szCs w:val="22"/>
          <w:lang w:val="fr-CA"/>
        </w:rPr>
        <w:t>Les États membres formulent des recommandations au Secrétariat pour l’élaboration d’</w:t>
      </w:r>
      <w:r w:rsidR="00104D16">
        <w:rPr>
          <w:bCs/>
          <w:sz w:val="22"/>
          <w:szCs w:val="22"/>
          <w:lang w:val="fr-CA"/>
        </w:rPr>
        <w:t>un livre blanc qui servira de base pour le thème et l’ordre du jour de la prochaine réunion ministérielle</w:t>
      </w:r>
      <w:r w:rsidR="00D2033C" w:rsidRPr="005347B7">
        <w:rPr>
          <w:bCs/>
          <w:sz w:val="22"/>
          <w:szCs w:val="22"/>
          <w:lang w:val="fr-CA"/>
        </w:rPr>
        <w:t xml:space="preserve">. </w:t>
      </w:r>
    </w:p>
    <w:p w14:paraId="3CFC07F3" w14:textId="77777777" w:rsidR="0088039A" w:rsidRPr="005347B7" w:rsidRDefault="0088039A" w:rsidP="005B4668">
      <w:pPr>
        <w:jc w:val="both"/>
        <w:rPr>
          <w:bCs/>
          <w:sz w:val="22"/>
          <w:szCs w:val="22"/>
          <w:lang w:val="fr-CA"/>
        </w:rPr>
      </w:pPr>
      <w:bookmarkStart w:id="6" w:name="_Hlk130382473"/>
      <w:bookmarkEnd w:id="5"/>
    </w:p>
    <w:bookmarkEnd w:id="6"/>
    <w:p w14:paraId="2BC9DB2E" w14:textId="77777777" w:rsidR="0088039A" w:rsidRPr="005347B7" w:rsidRDefault="00CD677B" w:rsidP="00D2033C">
      <w:pPr>
        <w:ind w:left="1440" w:hanging="720"/>
        <w:jc w:val="both"/>
        <w:rPr>
          <w:b/>
          <w:sz w:val="22"/>
          <w:szCs w:val="22"/>
          <w:lang w:val="fr-CA"/>
        </w:rPr>
      </w:pPr>
      <w:r>
        <w:rPr>
          <w:b/>
          <w:sz w:val="22"/>
          <w:szCs w:val="22"/>
          <w:lang w:val="fr-CA"/>
        </w:rPr>
        <w:t>6</w:t>
      </w:r>
      <w:r w:rsidR="00D2033C" w:rsidRPr="005347B7">
        <w:rPr>
          <w:b/>
          <w:sz w:val="22"/>
          <w:szCs w:val="22"/>
          <w:lang w:val="fr-CA"/>
        </w:rPr>
        <w:t>.</w:t>
      </w:r>
      <w:r w:rsidR="00D2033C" w:rsidRPr="005347B7">
        <w:rPr>
          <w:b/>
          <w:sz w:val="22"/>
          <w:szCs w:val="22"/>
          <w:lang w:val="fr-CA"/>
        </w:rPr>
        <w:tab/>
      </w:r>
      <w:r w:rsidR="00104D16">
        <w:rPr>
          <w:b/>
          <w:sz w:val="22"/>
          <w:szCs w:val="22"/>
          <w:lang w:val="fr-CA"/>
        </w:rPr>
        <w:t>Autres questions</w:t>
      </w:r>
    </w:p>
    <w:p w14:paraId="79EA4EBF" w14:textId="77777777" w:rsidR="0088039A" w:rsidRPr="005B4668" w:rsidRDefault="0088039A" w:rsidP="005B4668">
      <w:pPr>
        <w:jc w:val="both"/>
        <w:rPr>
          <w:bCs/>
          <w:sz w:val="22"/>
          <w:szCs w:val="22"/>
          <w:lang w:val="fr-CA"/>
        </w:rPr>
      </w:pPr>
    </w:p>
    <w:p w14:paraId="2CDBE9D4" w14:textId="77777777" w:rsidR="00D2033C" w:rsidRPr="005347B7" w:rsidRDefault="00104D16" w:rsidP="0088039A">
      <w:pPr>
        <w:ind w:left="1440"/>
        <w:jc w:val="both"/>
        <w:rPr>
          <w:bCs/>
          <w:sz w:val="22"/>
          <w:szCs w:val="22"/>
          <w:lang w:val="fr-CA"/>
        </w:rPr>
      </w:pPr>
      <w:r>
        <w:rPr>
          <w:bCs/>
          <w:sz w:val="22"/>
          <w:szCs w:val="22"/>
          <w:lang w:val="fr-CA"/>
        </w:rPr>
        <w:t xml:space="preserve">Les délégations peuvent soulever d’autres questions, aux fins d’examen par la réunion, ou bien </w:t>
      </w:r>
      <w:r w:rsidR="00846266">
        <w:rPr>
          <w:bCs/>
          <w:sz w:val="22"/>
          <w:szCs w:val="22"/>
          <w:lang w:val="fr-CA"/>
        </w:rPr>
        <w:t>faire part d’</w:t>
      </w:r>
      <w:r>
        <w:rPr>
          <w:bCs/>
          <w:sz w:val="22"/>
          <w:szCs w:val="22"/>
          <w:lang w:val="fr-CA"/>
        </w:rPr>
        <w:t xml:space="preserve">annonces, le cas échéant. </w:t>
      </w:r>
    </w:p>
    <w:p w14:paraId="0BA627FC" w14:textId="77777777" w:rsidR="00D2033C" w:rsidRPr="005347B7" w:rsidRDefault="00D2033C" w:rsidP="005B4668">
      <w:pPr>
        <w:jc w:val="both"/>
        <w:rPr>
          <w:bCs/>
          <w:sz w:val="22"/>
          <w:szCs w:val="22"/>
          <w:lang w:val="fr-CA"/>
        </w:rPr>
      </w:pPr>
    </w:p>
    <w:p w14:paraId="0058AA58" w14:textId="77777777" w:rsidR="00D2033C" w:rsidRPr="005347B7" w:rsidRDefault="00D2033C" w:rsidP="00D2033C">
      <w:pPr>
        <w:pStyle w:val="ListParagraph"/>
        <w:numPr>
          <w:ilvl w:val="0"/>
          <w:numId w:val="18"/>
        </w:numPr>
        <w:tabs>
          <w:tab w:val="left" w:pos="1440"/>
          <w:tab w:val="left" w:pos="2160"/>
        </w:tabs>
        <w:ind w:hanging="720"/>
        <w:jc w:val="both"/>
        <w:rPr>
          <w:b/>
          <w:sz w:val="22"/>
          <w:szCs w:val="22"/>
          <w:lang w:val="fr-CA"/>
        </w:rPr>
      </w:pPr>
      <w:r w:rsidRPr="005347B7">
        <w:rPr>
          <w:b/>
          <w:sz w:val="22"/>
          <w:szCs w:val="22"/>
          <w:lang w:val="fr-CA"/>
        </w:rPr>
        <w:t>R</w:t>
      </w:r>
      <w:r w:rsidR="005D1AB1">
        <w:rPr>
          <w:b/>
          <w:sz w:val="22"/>
          <w:szCs w:val="22"/>
          <w:lang w:val="fr-CA"/>
        </w:rPr>
        <w:t>É</w:t>
      </w:r>
      <w:r w:rsidRPr="005347B7">
        <w:rPr>
          <w:b/>
          <w:sz w:val="22"/>
          <w:szCs w:val="22"/>
          <w:lang w:val="fr-CA"/>
        </w:rPr>
        <w:t>SULT</w:t>
      </w:r>
      <w:r w:rsidR="005D1AB1">
        <w:rPr>
          <w:b/>
          <w:sz w:val="22"/>
          <w:szCs w:val="22"/>
          <w:lang w:val="fr-CA"/>
        </w:rPr>
        <w:t>AT</w:t>
      </w:r>
      <w:r w:rsidRPr="005347B7">
        <w:rPr>
          <w:b/>
          <w:sz w:val="22"/>
          <w:szCs w:val="22"/>
          <w:lang w:val="fr-CA"/>
        </w:rPr>
        <w:t>S</w:t>
      </w:r>
      <w:r w:rsidR="005D1AB1">
        <w:rPr>
          <w:b/>
          <w:sz w:val="22"/>
          <w:szCs w:val="22"/>
          <w:lang w:val="fr-CA"/>
        </w:rPr>
        <w:t xml:space="preserve"> ATTENDUS</w:t>
      </w:r>
    </w:p>
    <w:p w14:paraId="648BA37F" w14:textId="77777777" w:rsidR="0088039A" w:rsidRPr="005347B7" w:rsidRDefault="0088039A" w:rsidP="005B4668">
      <w:pPr>
        <w:jc w:val="both"/>
        <w:rPr>
          <w:bCs/>
          <w:sz w:val="22"/>
          <w:szCs w:val="22"/>
          <w:lang w:val="fr-CA"/>
        </w:rPr>
      </w:pPr>
    </w:p>
    <w:p w14:paraId="5C0C1B73" w14:textId="77777777" w:rsidR="00D2033C" w:rsidRPr="005347B7" w:rsidRDefault="005D1AB1" w:rsidP="0088039A">
      <w:pPr>
        <w:ind w:firstLine="720"/>
        <w:jc w:val="both"/>
        <w:rPr>
          <w:bCs/>
          <w:sz w:val="22"/>
          <w:szCs w:val="22"/>
          <w:lang w:val="fr-CA"/>
        </w:rPr>
      </w:pPr>
      <w:r>
        <w:rPr>
          <w:bCs/>
          <w:sz w:val="22"/>
          <w:szCs w:val="22"/>
          <w:lang w:val="fr-CA"/>
        </w:rPr>
        <w:t xml:space="preserve">La </w:t>
      </w:r>
      <w:r w:rsidR="00846266">
        <w:rPr>
          <w:bCs/>
          <w:sz w:val="22"/>
          <w:szCs w:val="22"/>
          <w:lang w:val="fr-CA"/>
        </w:rPr>
        <w:t xml:space="preserve">dixième </w:t>
      </w:r>
      <w:r w:rsidR="00D2033C" w:rsidRPr="005347B7">
        <w:rPr>
          <w:bCs/>
          <w:sz w:val="22"/>
          <w:szCs w:val="22"/>
          <w:lang w:val="fr-CA"/>
        </w:rPr>
        <w:t xml:space="preserve">COMCYT </w:t>
      </w:r>
      <w:r w:rsidR="00CF03C2">
        <w:rPr>
          <w:bCs/>
          <w:sz w:val="22"/>
          <w:szCs w:val="22"/>
          <w:lang w:val="fr-CA"/>
        </w:rPr>
        <w:t xml:space="preserve">devrait </w:t>
      </w:r>
      <w:r>
        <w:rPr>
          <w:bCs/>
          <w:sz w:val="22"/>
          <w:szCs w:val="22"/>
          <w:lang w:val="fr-CA"/>
        </w:rPr>
        <w:t xml:space="preserve">permettre </w:t>
      </w:r>
      <w:r w:rsidR="00CF03C2">
        <w:rPr>
          <w:bCs/>
          <w:sz w:val="22"/>
          <w:szCs w:val="22"/>
          <w:lang w:val="fr-CA"/>
        </w:rPr>
        <w:t>de</w:t>
      </w:r>
      <w:r>
        <w:rPr>
          <w:bCs/>
          <w:sz w:val="22"/>
          <w:szCs w:val="22"/>
          <w:lang w:val="fr-CA"/>
        </w:rPr>
        <w:t xml:space="preserve"> recueil</w:t>
      </w:r>
      <w:r w:rsidR="00CF03C2">
        <w:rPr>
          <w:bCs/>
          <w:sz w:val="22"/>
          <w:szCs w:val="22"/>
          <w:lang w:val="fr-CA"/>
        </w:rPr>
        <w:t>lir</w:t>
      </w:r>
      <w:r>
        <w:rPr>
          <w:bCs/>
          <w:sz w:val="22"/>
          <w:szCs w:val="22"/>
          <w:lang w:val="fr-CA"/>
        </w:rPr>
        <w:t xml:space="preserve"> d</w:t>
      </w:r>
      <w:r w:rsidR="00CF03C2">
        <w:rPr>
          <w:bCs/>
          <w:sz w:val="22"/>
          <w:szCs w:val="22"/>
          <w:lang w:val="fr-CA"/>
        </w:rPr>
        <w:t xml:space="preserve">es </w:t>
      </w:r>
      <w:r>
        <w:rPr>
          <w:bCs/>
          <w:sz w:val="22"/>
          <w:szCs w:val="22"/>
          <w:lang w:val="fr-CA"/>
        </w:rPr>
        <w:t xml:space="preserve">informations sur les tendances régionales et mondiales dans le domaine de la science et de la technologie, </w:t>
      </w:r>
      <w:r w:rsidR="00CF03C2">
        <w:rPr>
          <w:bCs/>
          <w:sz w:val="22"/>
          <w:szCs w:val="22"/>
          <w:lang w:val="fr-CA"/>
        </w:rPr>
        <w:t xml:space="preserve">d’identifier les </w:t>
      </w:r>
      <w:r>
        <w:rPr>
          <w:bCs/>
          <w:sz w:val="22"/>
          <w:szCs w:val="22"/>
          <w:lang w:val="fr-CA"/>
        </w:rPr>
        <w:t xml:space="preserve">défis, </w:t>
      </w:r>
      <w:r w:rsidR="00CF03C2">
        <w:rPr>
          <w:bCs/>
          <w:sz w:val="22"/>
          <w:szCs w:val="22"/>
          <w:lang w:val="fr-CA"/>
        </w:rPr>
        <w:t>l</w:t>
      </w:r>
      <w:r>
        <w:rPr>
          <w:bCs/>
          <w:sz w:val="22"/>
          <w:szCs w:val="22"/>
          <w:lang w:val="fr-CA"/>
        </w:rPr>
        <w:t xml:space="preserve">es lacunes et </w:t>
      </w:r>
      <w:r w:rsidR="00CF03C2">
        <w:rPr>
          <w:bCs/>
          <w:sz w:val="22"/>
          <w:szCs w:val="22"/>
          <w:lang w:val="fr-CA"/>
        </w:rPr>
        <w:t>l</w:t>
      </w:r>
      <w:r>
        <w:rPr>
          <w:bCs/>
          <w:sz w:val="22"/>
          <w:szCs w:val="22"/>
          <w:lang w:val="fr-CA"/>
        </w:rPr>
        <w:t xml:space="preserve">es possibilités du secteur </w:t>
      </w:r>
      <w:r w:rsidR="00CF03C2">
        <w:rPr>
          <w:bCs/>
          <w:sz w:val="22"/>
          <w:szCs w:val="22"/>
          <w:lang w:val="fr-CA"/>
        </w:rPr>
        <w:t>d</w:t>
      </w:r>
      <w:r w:rsidR="00846266">
        <w:rPr>
          <w:bCs/>
          <w:sz w:val="22"/>
          <w:szCs w:val="22"/>
          <w:lang w:val="fr-CA"/>
        </w:rPr>
        <w:t xml:space="preserve">evant </w:t>
      </w:r>
      <w:r>
        <w:rPr>
          <w:bCs/>
          <w:sz w:val="22"/>
          <w:szCs w:val="22"/>
          <w:lang w:val="fr-CA"/>
        </w:rPr>
        <w:t xml:space="preserve">être abordés par les ministres. Spécifiquement : </w:t>
      </w:r>
      <w:r w:rsidR="00D2033C" w:rsidRPr="005347B7">
        <w:rPr>
          <w:bCs/>
          <w:sz w:val="22"/>
          <w:szCs w:val="22"/>
          <w:lang w:val="fr-CA"/>
        </w:rPr>
        <w:t xml:space="preserve">(i) </w:t>
      </w:r>
      <w:r w:rsidR="00CF03C2">
        <w:rPr>
          <w:bCs/>
          <w:sz w:val="22"/>
          <w:szCs w:val="22"/>
          <w:lang w:val="fr-CA"/>
        </w:rPr>
        <w:t xml:space="preserve">les </w:t>
      </w:r>
      <w:r w:rsidR="00677492">
        <w:rPr>
          <w:bCs/>
          <w:sz w:val="22"/>
          <w:szCs w:val="22"/>
          <w:lang w:val="fr-CA"/>
        </w:rPr>
        <w:t xml:space="preserve">thèmes de la prochaine réunion ministérielle et </w:t>
      </w:r>
      <w:r w:rsidR="00CF03C2">
        <w:rPr>
          <w:bCs/>
          <w:sz w:val="22"/>
          <w:szCs w:val="22"/>
          <w:lang w:val="fr-CA"/>
        </w:rPr>
        <w:t xml:space="preserve">les </w:t>
      </w:r>
      <w:r w:rsidR="00677492">
        <w:rPr>
          <w:bCs/>
          <w:sz w:val="22"/>
          <w:szCs w:val="22"/>
          <w:lang w:val="fr-CA"/>
        </w:rPr>
        <w:t xml:space="preserve">orientations </w:t>
      </w:r>
      <w:r w:rsidR="00CF03C2">
        <w:rPr>
          <w:bCs/>
          <w:sz w:val="22"/>
          <w:szCs w:val="22"/>
          <w:lang w:val="fr-CA"/>
        </w:rPr>
        <w:t xml:space="preserve">à l’intention du </w:t>
      </w:r>
      <w:r w:rsidR="00677492">
        <w:rPr>
          <w:bCs/>
          <w:sz w:val="22"/>
          <w:szCs w:val="22"/>
          <w:lang w:val="fr-CA"/>
        </w:rPr>
        <w:t xml:space="preserve">Secrétariat </w:t>
      </w:r>
      <w:r w:rsidR="00CF03C2">
        <w:rPr>
          <w:bCs/>
          <w:sz w:val="22"/>
          <w:szCs w:val="22"/>
          <w:lang w:val="fr-CA"/>
        </w:rPr>
        <w:t xml:space="preserve">pour l’élaboration du livre blanc; </w:t>
      </w:r>
      <w:r w:rsidR="00D2033C" w:rsidRPr="005347B7">
        <w:rPr>
          <w:bCs/>
          <w:sz w:val="22"/>
          <w:szCs w:val="22"/>
          <w:lang w:val="fr-CA"/>
        </w:rPr>
        <w:t xml:space="preserve">(ii) </w:t>
      </w:r>
      <w:r w:rsidR="00CF03C2">
        <w:rPr>
          <w:bCs/>
          <w:sz w:val="22"/>
          <w:szCs w:val="22"/>
          <w:lang w:val="fr-CA"/>
        </w:rPr>
        <w:t>l’</w:t>
      </w:r>
      <w:r w:rsidR="00D2033C" w:rsidRPr="005347B7">
        <w:rPr>
          <w:bCs/>
          <w:sz w:val="22"/>
          <w:szCs w:val="22"/>
          <w:lang w:val="fr-CA"/>
        </w:rPr>
        <w:t>analys</w:t>
      </w:r>
      <w:r w:rsidR="00CF03C2">
        <w:rPr>
          <w:bCs/>
          <w:sz w:val="22"/>
          <w:szCs w:val="22"/>
          <w:lang w:val="fr-CA"/>
        </w:rPr>
        <w:t xml:space="preserve">e des progrès réalisés dans la mise en œuvre des mandats ministériels et les recommandations pour les ajustements à apporter au Plan de travail, si besoin est; </w:t>
      </w:r>
      <w:r w:rsidR="00D2033C" w:rsidRPr="005347B7">
        <w:rPr>
          <w:bCs/>
          <w:sz w:val="22"/>
          <w:szCs w:val="22"/>
          <w:lang w:val="fr-CA"/>
        </w:rPr>
        <w:t>(ii</w:t>
      </w:r>
      <w:r w:rsidR="00CF03C2">
        <w:rPr>
          <w:bCs/>
          <w:sz w:val="22"/>
          <w:szCs w:val="22"/>
          <w:lang w:val="fr-CA"/>
        </w:rPr>
        <w:t>i</w:t>
      </w:r>
      <w:r w:rsidR="00D2033C" w:rsidRPr="005347B7">
        <w:rPr>
          <w:bCs/>
          <w:sz w:val="22"/>
          <w:szCs w:val="22"/>
          <w:lang w:val="fr-CA"/>
        </w:rPr>
        <w:t xml:space="preserve">) </w:t>
      </w:r>
      <w:r w:rsidR="00CF03C2">
        <w:rPr>
          <w:bCs/>
          <w:sz w:val="22"/>
          <w:szCs w:val="22"/>
          <w:lang w:val="fr-CA"/>
        </w:rPr>
        <w:t xml:space="preserve">et de recevoir toute </w:t>
      </w:r>
      <w:r w:rsidR="00686304">
        <w:rPr>
          <w:bCs/>
          <w:sz w:val="22"/>
          <w:szCs w:val="22"/>
          <w:lang w:val="fr-CA"/>
        </w:rPr>
        <w:t xml:space="preserve">proposition d’accueil de </w:t>
      </w:r>
      <w:r w:rsidR="00CF03C2">
        <w:rPr>
          <w:bCs/>
          <w:sz w:val="22"/>
          <w:szCs w:val="22"/>
          <w:lang w:val="fr-CA"/>
        </w:rPr>
        <w:t xml:space="preserve">la prochaine réunion ministérielle. </w:t>
      </w:r>
    </w:p>
    <w:p w14:paraId="5785EA9C" w14:textId="77777777" w:rsidR="00D2033C" w:rsidRPr="005B4668" w:rsidRDefault="00D2033C" w:rsidP="005B4668">
      <w:pPr>
        <w:jc w:val="both"/>
        <w:rPr>
          <w:bCs/>
          <w:sz w:val="22"/>
          <w:szCs w:val="22"/>
          <w:lang w:val="fr-CA"/>
        </w:rPr>
      </w:pPr>
    </w:p>
    <w:p w14:paraId="478648B9" w14:textId="77777777" w:rsidR="00D2033C" w:rsidRPr="005347B7" w:rsidRDefault="00D2033C" w:rsidP="00D2033C">
      <w:pPr>
        <w:tabs>
          <w:tab w:val="left" w:pos="720"/>
          <w:tab w:val="left" w:pos="2160"/>
        </w:tabs>
        <w:contextualSpacing/>
        <w:rPr>
          <w:b/>
          <w:sz w:val="22"/>
          <w:szCs w:val="22"/>
          <w:lang w:val="fr-CA"/>
        </w:rPr>
      </w:pPr>
      <w:r w:rsidRPr="005347B7">
        <w:rPr>
          <w:b/>
          <w:sz w:val="22"/>
          <w:szCs w:val="22"/>
          <w:lang w:val="fr-CA"/>
        </w:rPr>
        <w:t>E.</w:t>
      </w:r>
      <w:r w:rsidR="0088039A" w:rsidRPr="005347B7">
        <w:rPr>
          <w:b/>
          <w:sz w:val="22"/>
          <w:szCs w:val="22"/>
          <w:lang w:val="fr-CA"/>
        </w:rPr>
        <w:tab/>
      </w:r>
      <w:r w:rsidRPr="005347B7">
        <w:rPr>
          <w:b/>
          <w:sz w:val="22"/>
          <w:szCs w:val="22"/>
          <w:lang w:val="fr-CA"/>
        </w:rPr>
        <w:t xml:space="preserve">STRUCTURE </w:t>
      </w:r>
      <w:r w:rsidR="00CF03C2">
        <w:rPr>
          <w:b/>
          <w:sz w:val="22"/>
          <w:szCs w:val="22"/>
          <w:lang w:val="fr-CA"/>
        </w:rPr>
        <w:t>DE LA RÉUNION</w:t>
      </w:r>
      <w:r w:rsidRPr="005347B7">
        <w:rPr>
          <w:b/>
          <w:sz w:val="22"/>
          <w:szCs w:val="22"/>
          <w:lang w:val="fr-CA"/>
        </w:rPr>
        <w:t xml:space="preserve"> </w:t>
      </w:r>
    </w:p>
    <w:p w14:paraId="05A0CA2F" w14:textId="77777777" w:rsidR="00D2033C" w:rsidRPr="005B4668" w:rsidRDefault="00D2033C" w:rsidP="005B4668">
      <w:pPr>
        <w:jc w:val="both"/>
        <w:rPr>
          <w:bCs/>
          <w:sz w:val="22"/>
          <w:szCs w:val="22"/>
          <w:lang w:val="fr-CA"/>
        </w:rPr>
      </w:pPr>
    </w:p>
    <w:p w14:paraId="047932E9" w14:textId="1A6815C1" w:rsidR="00894676" w:rsidRPr="005B4668" w:rsidRDefault="0088039A" w:rsidP="005B4668">
      <w:pPr>
        <w:pStyle w:val="ListParagraph"/>
        <w:tabs>
          <w:tab w:val="left" w:pos="720"/>
          <w:tab w:val="left" w:pos="1440"/>
          <w:tab w:val="left" w:pos="2160"/>
        </w:tabs>
        <w:ind w:left="0"/>
        <w:jc w:val="both"/>
        <w:rPr>
          <w:bCs/>
          <w:sz w:val="22"/>
          <w:szCs w:val="22"/>
          <w:lang w:val="fr-CA"/>
        </w:rPr>
      </w:pPr>
      <w:r w:rsidRPr="005347B7">
        <w:rPr>
          <w:bCs/>
          <w:sz w:val="22"/>
          <w:szCs w:val="22"/>
          <w:lang w:val="fr-CA"/>
        </w:rPr>
        <w:tab/>
      </w:r>
      <w:r w:rsidR="00CF03C2">
        <w:rPr>
          <w:bCs/>
          <w:sz w:val="22"/>
          <w:szCs w:val="22"/>
          <w:lang w:val="fr-CA"/>
        </w:rPr>
        <w:t xml:space="preserve">La </w:t>
      </w:r>
      <w:r w:rsidR="00686304">
        <w:rPr>
          <w:bCs/>
          <w:sz w:val="22"/>
          <w:szCs w:val="22"/>
          <w:lang w:val="fr-CA"/>
        </w:rPr>
        <w:t xml:space="preserve">dixième </w:t>
      </w:r>
      <w:r w:rsidR="00CF03C2" w:rsidRPr="005347B7">
        <w:rPr>
          <w:bCs/>
          <w:sz w:val="22"/>
          <w:szCs w:val="22"/>
          <w:lang w:val="fr-CA"/>
        </w:rPr>
        <w:t xml:space="preserve">COMCYT </w:t>
      </w:r>
      <w:r w:rsidR="00CF03C2">
        <w:rPr>
          <w:bCs/>
          <w:sz w:val="22"/>
          <w:szCs w:val="22"/>
          <w:lang w:val="fr-CA"/>
        </w:rPr>
        <w:t>réuni</w:t>
      </w:r>
      <w:r w:rsidR="00686304">
        <w:rPr>
          <w:bCs/>
          <w:sz w:val="22"/>
          <w:szCs w:val="22"/>
          <w:lang w:val="fr-CA"/>
        </w:rPr>
        <w:t>ra</w:t>
      </w:r>
      <w:r w:rsidR="00CF03C2">
        <w:rPr>
          <w:bCs/>
          <w:sz w:val="22"/>
          <w:szCs w:val="22"/>
          <w:lang w:val="fr-CA"/>
        </w:rPr>
        <w:t xml:space="preserve"> les autorités sectorielles de la sc</w:t>
      </w:r>
      <w:r w:rsidR="00D2033C" w:rsidRPr="005347B7">
        <w:rPr>
          <w:bCs/>
          <w:sz w:val="22"/>
          <w:szCs w:val="22"/>
          <w:lang w:val="fr-CA"/>
        </w:rPr>
        <w:t xml:space="preserve">ience </w:t>
      </w:r>
      <w:r w:rsidR="00CF03C2">
        <w:rPr>
          <w:bCs/>
          <w:sz w:val="22"/>
          <w:szCs w:val="22"/>
          <w:lang w:val="fr-CA"/>
        </w:rPr>
        <w:t xml:space="preserve">et de la technologie qui seront représentées au niveau technique et/ou des missions permanentes près l’OEA. D’autres organisations et partenaires pertinents de la </w:t>
      </w:r>
      <w:r w:rsidR="00D2033C" w:rsidRPr="005347B7">
        <w:rPr>
          <w:bCs/>
          <w:sz w:val="22"/>
          <w:szCs w:val="22"/>
          <w:lang w:val="fr-CA"/>
        </w:rPr>
        <w:t xml:space="preserve">COMCYT </w:t>
      </w:r>
      <w:r w:rsidR="00CF03C2">
        <w:rPr>
          <w:bCs/>
          <w:sz w:val="22"/>
          <w:szCs w:val="22"/>
          <w:lang w:val="fr-CA"/>
        </w:rPr>
        <w:t xml:space="preserve">seront invités à fournir des informations, conformément au Règlement des commissions interaméricaines du </w:t>
      </w:r>
      <w:r w:rsidR="00D2033C" w:rsidRPr="005347B7">
        <w:rPr>
          <w:bCs/>
          <w:sz w:val="22"/>
          <w:szCs w:val="22"/>
          <w:lang w:val="fr-CA"/>
        </w:rPr>
        <w:t xml:space="preserve">CIDI. </w:t>
      </w:r>
      <w:r w:rsidR="00CF03C2">
        <w:rPr>
          <w:bCs/>
          <w:sz w:val="22"/>
          <w:szCs w:val="22"/>
          <w:lang w:val="fr-CA"/>
        </w:rPr>
        <w:t>La réunion se déroulera en séance plénière avec la participation des délégations de tous les États membres de l’OEA.</w:t>
      </w:r>
      <w:r w:rsidR="00C365C7">
        <w:rPr>
          <w:bCs/>
          <w:noProof/>
          <w:sz w:val="22"/>
          <w:szCs w:val="22"/>
          <w:lang w:val="fr-CA"/>
        </w:rPr>
        <mc:AlternateContent>
          <mc:Choice Requires="wps">
            <w:drawing>
              <wp:anchor distT="0" distB="0" distL="114300" distR="114300" simplePos="0" relativeHeight="251659264" behindDoc="0" locked="1" layoutInCell="1" allowOverlap="1" wp14:anchorId="2617545F" wp14:editId="013BEDBE">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0BF191" w14:textId="4FD636E2" w:rsidR="00C365C7" w:rsidRPr="00C365C7" w:rsidRDefault="00C365C7">
                            <w:pPr>
                              <w:rPr>
                                <w:sz w:val="18"/>
                              </w:rPr>
                            </w:pPr>
                            <w:r>
                              <w:rPr>
                                <w:sz w:val="18"/>
                              </w:rPr>
                              <w:fldChar w:fldCharType="begin"/>
                            </w:r>
                            <w:r>
                              <w:rPr>
                                <w:sz w:val="18"/>
                              </w:rPr>
                              <w:instrText xml:space="preserve"> FILENAME  \* MERGEFORMAT </w:instrText>
                            </w:r>
                            <w:r>
                              <w:rPr>
                                <w:sz w:val="18"/>
                              </w:rPr>
                              <w:fldChar w:fldCharType="separate"/>
                            </w:r>
                            <w:r>
                              <w:rPr>
                                <w:noProof/>
                                <w:sz w:val="18"/>
                              </w:rPr>
                              <w:t>CIDRP03855F01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17545F"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50BF191" w14:textId="4FD636E2" w:rsidR="00C365C7" w:rsidRPr="00C365C7" w:rsidRDefault="00C365C7">
                      <w:pPr>
                        <w:rPr>
                          <w:sz w:val="18"/>
                        </w:rPr>
                      </w:pPr>
                      <w:r>
                        <w:rPr>
                          <w:sz w:val="18"/>
                        </w:rPr>
                        <w:fldChar w:fldCharType="begin"/>
                      </w:r>
                      <w:r>
                        <w:rPr>
                          <w:sz w:val="18"/>
                        </w:rPr>
                        <w:instrText xml:space="preserve"> FILENAME  \* MERGEFORMAT </w:instrText>
                      </w:r>
                      <w:r>
                        <w:rPr>
                          <w:sz w:val="18"/>
                        </w:rPr>
                        <w:fldChar w:fldCharType="separate"/>
                      </w:r>
                      <w:r>
                        <w:rPr>
                          <w:noProof/>
                          <w:sz w:val="18"/>
                        </w:rPr>
                        <w:t>CIDRP03855F01</w:t>
                      </w:r>
                      <w:r>
                        <w:rPr>
                          <w:sz w:val="18"/>
                        </w:rPr>
                        <w:fldChar w:fldCharType="end"/>
                      </w:r>
                    </w:p>
                  </w:txbxContent>
                </v:textbox>
                <w10:wrap anchory="page"/>
                <w10:anchorlock/>
              </v:shape>
            </w:pict>
          </mc:Fallback>
        </mc:AlternateContent>
      </w:r>
    </w:p>
    <w:sectPr w:rsidR="00894676" w:rsidRPr="005B4668"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BA01" w14:textId="77777777" w:rsidR="00AE03A3" w:rsidRDefault="00AE03A3" w:rsidP="00DE3AB3">
      <w:r>
        <w:separator/>
      </w:r>
    </w:p>
  </w:endnote>
  <w:endnote w:type="continuationSeparator" w:id="0">
    <w:p w14:paraId="520CF233" w14:textId="77777777" w:rsidR="00AE03A3" w:rsidRDefault="00AE03A3"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C809" w14:textId="77777777" w:rsidR="00AE03A3" w:rsidRDefault="00AE03A3" w:rsidP="00DE3AB3">
      <w:r>
        <w:separator/>
      </w:r>
    </w:p>
  </w:footnote>
  <w:footnote w:type="continuationSeparator" w:id="0">
    <w:p w14:paraId="2C1AAB9F" w14:textId="77777777" w:rsidR="00AE03A3" w:rsidRDefault="00AE03A3"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845F" w14:textId="77777777" w:rsidR="00DD662F" w:rsidRDefault="003F4CE0">
    <w:pPr>
      <w:pStyle w:val="Header"/>
      <w:framePr w:wrap="around" w:vAnchor="text" w:hAnchor="margin" w:xAlign="center" w:y="1"/>
      <w:rPr>
        <w:rStyle w:val="PageNumber"/>
      </w:rPr>
    </w:pPr>
    <w:r>
      <w:rPr>
        <w:rStyle w:val="PageNumber"/>
      </w:rPr>
      <w:fldChar w:fldCharType="begin"/>
    </w:r>
    <w:r w:rsidR="00D618A2">
      <w:rPr>
        <w:rStyle w:val="PageNumber"/>
      </w:rPr>
      <w:instrText xml:space="preserve">PAGE  </w:instrText>
    </w:r>
    <w:r>
      <w:rPr>
        <w:rStyle w:val="PageNumber"/>
      </w:rPr>
      <w:fldChar w:fldCharType="separate"/>
    </w:r>
    <w:r w:rsidR="00D618A2">
      <w:rPr>
        <w:rStyle w:val="PageNumber"/>
        <w:noProof/>
      </w:rPr>
      <w:t>2</w:t>
    </w:r>
    <w:r>
      <w:rPr>
        <w:rStyle w:val="PageNumber"/>
      </w:rPr>
      <w:fldChar w:fldCharType="end"/>
    </w:r>
  </w:p>
  <w:p w14:paraId="4214DFF1" w14:textId="77777777" w:rsidR="00DD662F" w:rsidRDefault="00DD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016C" w14:textId="77777777" w:rsidR="00DD662F" w:rsidRDefault="00D618A2">
    <w:pPr>
      <w:pStyle w:val="Header"/>
      <w:framePr w:wrap="around" w:vAnchor="text" w:hAnchor="margin" w:xAlign="center" w:y="1"/>
      <w:rPr>
        <w:rStyle w:val="PageNumber"/>
      </w:rPr>
    </w:pPr>
    <w:r>
      <w:rPr>
        <w:rStyle w:val="PageNumber"/>
      </w:rPr>
      <w:t xml:space="preserve">- </w:t>
    </w:r>
    <w:r w:rsidR="003F4CE0">
      <w:rPr>
        <w:rStyle w:val="PageNumber"/>
      </w:rPr>
      <w:fldChar w:fldCharType="begin"/>
    </w:r>
    <w:r>
      <w:rPr>
        <w:rStyle w:val="PageNumber"/>
      </w:rPr>
      <w:instrText xml:space="preserve">PAGE  </w:instrText>
    </w:r>
    <w:r w:rsidR="003F4CE0">
      <w:rPr>
        <w:rStyle w:val="PageNumber"/>
      </w:rPr>
      <w:fldChar w:fldCharType="separate"/>
    </w:r>
    <w:r w:rsidR="00686304">
      <w:rPr>
        <w:rStyle w:val="PageNumber"/>
        <w:noProof/>
      </w:rPr>
      <w:t>3</w:t>
    </w:r>
    <w:r w:rsidR="003F4CE0">
      <w:rPr>
        <w:rStyle w:val="PageNumber"/>
      </w:rPr>
      <w:fldChar w:fldCharType="end"/>
    </w:r>
    <w:r>
      <w:rPr>
        <w:rStyle w:val="PageNumber"/>
      </w:rPr>
      <w:t xml:space="preserve"> -</w:t>
    </w:r>
  </w:p>
  <w:p w14:paraId="06216C99" w14:textId="77777777" w:rsidR="00DD662F" w:rsidRDefault="00DD6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505" w14:textId="4CB98394" w:rsidR="00DD662F" w:rsidRDefault="00FD0F1B">
    <w:pPr>
      <w:pStyle w:val="Header"/>
    </w:pPr>
    <w:r>
      <w:rPr>
        <w:noProof/>
      </w:rPr>
      <w:drawing>
        <wp:anchor distT="0" distB="0" distL="114300" distR="114300" simplePos="0" relativeHeight="251659264" behindDoc="0" locked="0" layoutInCell="1" allowOverlap="1" wp14:anchorId="6D29D431" wp14:editId="7C89C78E">
          <wp:simplePos x="0" y="0"/>
          <wp:positionH relativeFrom="column">
            <wp:posOffset>5071110</wp:posOffset>
          </wp:positionH>
          <wp:positionV relativeFrom="paragraph">
            <wp:posOffset>-209550</wp:posOffset>
          </wp:positionV>
          <wp:extent cx="1104900" cy="771525"/>
          <wp:effectExtent l="0" t="0" r="0" b="0"/>
          <wp:wrapNone/>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8BE436C" wp14:editId="3C10EF15">
              <wp:simplePos x="0" y="0"/>
              <wp:positionH relativeFrom="column">
                <wp:posOffset>749300</wp:posOffset>
              </wp:positionH>
              <wp:positionV relativeFrom="paragraph">
                <wp:posOffset>-41910</wp:posOffset>
              </wp:positionV>
              <wp:extent cx="4178300" cy="661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wps:spPr>
                    <wps:txbx>
                      <w:txbxContent>
                        <w:p w14:paraId="56239BD4" w14:textId="77777777" w:rsidR="003B3D7E" w:rsidRPr="003B3D7E" w:rsidRDefault="003B3D7E" w:rsidP="003B3D7E">
                          <w:pPr>
                            <w:pStyle w:val="Header"/>
                            <w:tabs>
                              <w:tab w:val="left" w:pos="900"/>
                            </w:tabs>
                            <w:jc w:val="center"/>
                            <w:rPr>
                              <w:rFonts w:ascii="Garamond" w:hAnsi="Garamond"/>
                              <w:b/>
                              <w:sz w:val="28"/>
                              <w:szCs w:val="28"/>
                              <w:lang w:val="fr-CA"/>
                            </w:rPr>
                          </w:pPr>
                          <w:r w:rsidRPr="003B3D7E">
                            <w:rPr>
                              <w:rFonts w:ascii="Garamond" w:hAnsi="Garamond"/>
                              <w:b/>
                              <w:sz w:val="28"/>
                              <w:lang w:val="fr-CA"/>
                            </w:rPr>
                            <w:t>ORGANISATION DES ÉTATS AMÉRICAINS</w:t>
                          </w:r>
                        </w:p>
                        <w:p w14:paraId="2F1DE6AA" w14:textId="77777777" w:rsidR="003B3D7E" w:rsidRPr="003B3D7E" w:rsidRDefault="003B3D7E" w:rsidP="003B3D7E">
                          <w:pPr>
                            <w:pStyle w:val="Header"/>
                            <w:tabs>
                              <w:tab w:val="left" w:pos="900"/>
                            </w:tabs>
                            <w:jc w:val="center"/>
                            <w:rPr>
                              <w:rFonts w:ascii="Garamond" w:hAnsi="Garamond"/>
                              <w:sz w:val="28"/>
                              <w:szCs w:val="28"/>
                              <w:lang w:val="fr-CA"/>
                            </w:rPr>
                          </w:pPr>
                          <w:r w:rsidRPr="003B3D7E">
                            <w:rPr>
                              <w:rFonts w:ascii="Garamond" w:hAnsi="Garamond"/>
                              <w:sz w:val="28"/>
                              <w:lang w:val="fr-CA"/>
                            </w:rPr>
                            <w:t>Conseil interaméricain pour le développement intégré</w:t>
                          </w:r>
                        </w:p>
                        <w:p w14:paraId="2926DFA7" w14:textId="77777777" w:rsidR="003B3D7E" w:rsidRDefault="003B3D7E" w:rsidP="003B3D7E">
                          <w:pPr>
                            <w:pStyle w:val="Header"/>
                            <w:tabs>
                              <w:tab w:val="left" w:pos="900"/>
                            </w:tabs>
                            <w:jc w:val="center"/>
                            <w:rPr>
                              <w:rFonts w:ascii="Garamond" w:hAnsi="Garamond"/>
                              <w:sz w:val="28"/>
                              <w:szCs w:val="28"/>
                            </w:rPr>
                          </w:pPr>
                          <w:r>
                            <w:rPr>
                              <w:rFonts w:ascii="Garamond" w:hAnsi="Garamond"/>
                              <w:sz w:val="28"/>
                            </w:rPr>
                            <w:t>(CIDI)</w:t>
                          </w:r>
                        </w:p>
                        <w:p w14:paraId="535EBF9E" w14:textId="77777777" w:rsidR="002E2FBC" w:rsidRPr="00074448" w:rsidRDefault="002E2FBC" w:rsidP="002E2FBC">
                          <w:pPr>
                            <w:pStyle w:val="Header"/>
                            <w:tabs>
                              <w:tab w:val="left" w:pos="900"/>
                            </w:tabs>
                            <w:jc w:val="center"/>
                            <w:rPr>
                              <w:rFonts w:ascii="Garamond" w:hAnsi="Garamond"/>
                              <w:b/>
                              <w:sz w:val="28"/>
                              <w:szCs w:val="28"/>
                            </w:rPr>
                          </w:pPr>
                          <w:r w:rsidRPr="00074448">
                            <w:rPr>
                              <w:rFonts w:ascii="Garamond" w:hAnsi="Garamond"/>
                              <w:b/>
                              <w:sz w:val="28"/>
                              <w:szCs w:val="28"/>
                            </w:rPr>
                            <w:t>ORGANIZATION OF AMERICAN STATES</w:t>
                          </w:r>
                        </w:p>
                        <w:p w14:paraId="74E9E1D8"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Inter-American Council for Integral Development</w:t>
                          </w:r>
                        </w:p>
                        <w:p w14:paraId="4B8A0651"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436C" id="_x0000_t202" coordsize="21600,21600" o:spt="202" path="m,l,21600r21600,l21600,xe">
              <v:stroke joinstyle="miter"/>
              <v:path gradientshapeok="t" o:connecttype="rect"/>
            </v:shapetype>
            <v:shape id="Text Box 2" o:spid="_x0000_s1027" type="#_x0000_t202" style="position:absolute;margin-left:59pt;margin-top:-3.3pt;width:329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56239BD4" w14:textId="77777777" w:rsidR="003B3D7E" w:rsidRPr="003B3D7E" w:rsidRDefault="003B3D7E" w:rsidP="003B3D7E">
                    <w:pPr>
                      <w:pStyle w:val="Header"/>
                      <w:tabs>
                        <w:tab w:val="left" w:pos="900"/>
                      </w:tabs>
                      <w:jc w:val="center"/>
                      <w:rPr>
                        <w:rFonts w:ascii="Garamond" w:hAnsi="Garamond"/>
                        <w:b/>
                        <w:sz w:val="28"/>
                        <w:szCs w:val="28"/>
                        <w:lang w:val="fr-CA"/>
                      </w:rPr>
                    </w:pPr>
                    <w:r w:rsidRPr="003B3D7E">
                      <w:rPr>
                        <w:rFonts w:ascii="Garamond" w:hAnsi="Garamond"/>
                        <w:b/>
                        <w:sz w:val="28"/>
                        <w:lang w:val="fr-CA"/>
                      </w:rPr>
                      <w:t>ORGANISATION DES ÉTATS AMÉRICAINS</w:t>
                    </w:r>
                  </w:p>
                  <w:p w14:paraId="2F1DE6AA" w14:textId="77777777" w:rsidR="003B3D7E" w:rsidRPr="003B3D7E" w:rsidRDefault="003B3D7E" w:rsidP="003B3D7E">
                    <w:pPr>
                      <w:pStyle w:val="Header"/>
                      <w:tabs>
                        <w:tab w:val="left" w:pos="900"/>
                      </w:tabs>
                      <w:jc w:val="center"/>
                      <w:rPr>
                        <w:rFonts w:ascii="Garamond" w:hAnsi="Garamond"/>
                        <w:sz w:val="28"/>
                        <w:szCs w:val="28"/>
                        <w:lang w:val="fr-CA"/>
                      </w:rPr>
                    </w:pPr>
                    <w:r w:rsidRPr="003B3D7E">
                      <w:rPr>
                        <w:rFonts w:ascii="Garamond" w:hAnsi="Garamond"/>
                        <w:sz w:val="28"/>
                        <w:lang w:val="fr-CA"/>
                      </w:rPr>
                      <w:t>Conseil interaméricain pour le développement intégré</w:t>
                    </w:r>
                  </w:p>
                  <w:p w14:paraId="2926DFA7" w14:textId="77777777" w:rsidR="003B3D7E" w:rsidRDefault="003B3D7E" w:rsidP="003B3D7E">
                    <w:pPr>
                      <w:pStyle w:val="Header"/>
                      <w:tabs>
                        <w:tab w:val="left" w:pos="900"/>
                      </w:tabs>
                      <w:jc w:val="center"/>
                      <w:rPr>
                        <w:rFonts w:ascii="Garamond" w:hAnsi="Garamond"/>
                        <w:sz w:val="28"/>
                        <w:szCs w:val="28"/>
                      </w:rPr>
                    </w:pPr>
                    <w:r>
                      <w:rPr>
                        <w:rFonts w:ascii="Garamond" w:hAnsi="Garamond"/>
                        <w:sz w:val="28"/>
                      </w:rPr>
                      <w:t>(CIDI)</w:t>
                    </w:r>
                  </w:p>
                  <w:p w14:paraId="535EBF9E" w14:textId="77777777" w:rsidR="002E2FBC" w:rsidRPr="00074448" w:rsidRDefault="002E2FBC" w:rsidP="002E2FBC">
                    <w:pPr>
                      <w:pStyle w:val="Header"/>
                      <w:tabs>
                        <w:tab w:val="left" w:pos="900"/>
                      </w:tabs>
                      <w:jc w:val="center"/>
                      <w:rPr>
                        <w:rFonts w:ascii="Garamond" w:hAnsi="Garamond"/>
                        <w:b/>
                        <w:sz w:val="28"/>
                        <w:szCs w:val="28"/>
                      </w:rPr>
                    </w:pPr>
                    <w:r w:rsidRPr="00074448">
                      <w:rPr>
                        <w:rFonts w:ascii="Garamond" w:hAnsi="Garamond"/>
                        <w:b/>
                        <w:sz w:val="28"/>
                        <w:szCs w:val="28"/>
                      </w:rPr>
                      <w:t>ORGANIZATION OF AMERICAN STATES</w:t>
                    </w:r>
                  </w:p>
                  <w:p w14:paraId="74E9E1D8"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Inter-American Council for Integral Development</w:t>
                    </w:r>
                  </w:p>
                  <w:p w14:paraId="4B8A0651"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(CIDI)</w:t>
                    </w:r>
                  </w:p>
                </w:txbxContent>
              </v:textbox>
            </v:shape>
          </w:pict>
        </mc:Fallback>
      </mc:AlternateContent>
    </w:r>
    <w:r>
      <w:rPr>
        <w:noProof/>
      </w:rPr>
      <w:drawing>
        <wp:anchor distT="0" distB="0" distL="114300" distR="114300" simplePos="0" relativeHeight="251658240" behindDoc="0" locked="0" layoutInCell="1" allowOverlap="1" wp14:anchorId="362D8E88" wp14:editId="1D279A43">
          <wp:simplePos x="0" y="0"/>
          <wp:positionH relativeFrom="column">
            <wp:posOffset>-510540</wp:posOffset>
          </wp:positionH>
          <wp:positionV relativeFrom="paragraph">
            <wp:posOffset>-213360</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1BA78" wp14:editId="0A8340B7">
              <wp:simplePos x="0" y="0"/>
              <wp:positionH relativeFrom="column">
                <wp:posOffset>6240145</wp:posOffset>
              </wp:positionH>
              <wp:positionV relativeFrom="paragraph">
                <wp:posOffset>290830</wp:posOffset>
              </wp:positionV>
              <wp:extent cx="252095"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wps:spPr>
                    <wps:txbx>
                      <w:txbxContent>
                        <w:p w14:paraId="58A81FD2" w14:textId="77777777" w:rsidR="002E2FBC" w:rsidRDefault="002E2FBC" w:rsidP="002E2FB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C1BA78" id="Text Box 1" o:spid="_x0000_s1028" type="#_x0000_t202" style="position:absolute;margin-left:491.35pt;margin-top:22.9pt;width:19.8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78w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" stroked="f">
              <v:textbox style="mso-fit-shape-to-text:t">
                <w:txbxContent>
                  <w:p w14:paraId="58A81FD2" w14:textId="77777777" w:rsidR="002E2FBC" w:rsidRDefault="002E2FBC" w:rsidP="002E2FBC">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1567559C"/>
    <w:multiLevelType w:val="hybridMultilevel"/>
    <w:tmpl w:val="17D6AB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lang w:val="es-MX"/>
      </w:rPr>
    </w:lvl>
    <w:lvl w:ilvl="2" w:tplc="FFFFFFFF">
      <w:start w:val="3"/>
      <w:numFmt w:val="lowerLetter"/>
      <w:lvlText w:val="%3."/>
      <w:lvlJc w:val="left"/>
      <w:pPr>
        <w:tabs>
          <w:tab w:val="num" w:pos="2700"/>
        </w:tabs>
        <w:ind w:left="2700" w:hanging="720"/>
      </w:pPr>
      <w:rPr>
        <w:rFonts w:hint="default"/>
      </w:rPr>
    </w:lvl>
    <w:lvl w:ilvl="3" w:tplc="BAB2AD4A">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B829A5"/>
    <w:multiLevelType w:val="multilevel"/>
    <w:tmpl w:val="AC76C8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98821A5"/>
    <w:multiLevelType w:val="hybridMultilevel"/>
    <w:tmpl w:val="FD262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rPr>
    </w:lvl>
    <w:lvl w:ilvl="1" w:tplc="04090003" w:tentative="1">
      <w:start w:val="1"/>
      <w:numFmt w:val="bullet"/>
      <w:lvlText w:val="o"/>
      <w:lvlJc w:val="left"/>
      <w:pPr>
        <w:tabs>
          <w:tab w:val="num" w:pos="4272"/>
        </w:tabs>
        <w:ind w:left="4272" w:hanging="360"/>
      </w:pPr>
      <w:rPr>
        <w:rFonts w:ascii="Courier New" w:hAnsi="Courier New" w:hint="default"/>
      </w:rPr>
    </w:lvl>
    <w:lvl w:ilvl="2" w:tplc="04090005" w:tentative="1">
      <w:start w:val="1"/>
      <w:numFmt w:val="bullet"/>
      <w:lvlText w:val=""/>
      <w:lvlJc w:val="left"/>
      <w:pPr>
        <w:tabs>
          <w:tab w:val="num" w:pos="4992"/>
        </w:tabs>
        <w:ind w:left="4992" w:hanging="360"/>
      </w:pPr>
      <w:rPr>
        <w:rFonts w:ascii="Wingdings" w:hAnsi="Wingdings" w:hint="default"/>
      </w:rPr>
    </w:lvl>
    <w:lvl w:ilvl="3" w:tplc="04090001" w:tentative="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tentative="1">
      <w:start w:val="1"/>
      <w:numFmt w:val="bullet"/>
      <w:lvlText w:val=""/>
      <w:lvlJc w:val="left"/>
      <w:pPr>
        <w:tabs>
          <w:tab w:val="num" w:pos="7152"/>
        </w:tabs>
        <w:ind w:left="7152" w:hanging="360"/>
      </w:pPr>
      <w:rPr>
        <w:rFonts w:ascii="Wingdings" w:hAnsi="Wingdings" w:hint="default"/>
      </w:rPr>
    </w:lvl>
    <w:lvl w:ilvl="6" w:tplc="04090001" w:tentative="1">
      <w:start w:val="1"/>
      <w:numFmt w:val="bullet"/>
      <w:lvlText w:val=""/>
      <w:lvlJc w:val="left"/>
      <w:pPr>
        <w:tabs>
          <w:tab w:val="num" w:pos="7872"/>
        </w:tabs>
        <w:ind w:left="7872" w:hanging="360"/>
      </w:pPr>
      <w:rPr>
        <w:rFonts w:ascii="Symbol" w:hAnsi="Symbol" w:hint="default"/>
      </w:rPr>
    </w:lvl>
    <w:lvl w:ilvl="7" w:tplc="04090003" w:tentative="1">
      <w:start w:val="1"/>
      <w:numFmt w:val="bullet"/>
      <w:lvlText w:val="o"/>
      <w:lvlJc w:val="left"/>
      <w:pPr>
        <w:tabs>
          <w:tab w:val="num" w:pos="8592"/>
        </w:tabs>
        <w:ind w:left="8592" w:hanging="360"/>
      </w:pPr>
      <w:rPr>
        <w:rFonts w:ascii="Courier New" w:hAnsi="Courier New" w:hint="default"/>
      </w:rPr>
    </w:lvl>
    <w:lvl w:ilvl="8" w:tplc="04090005" w:tentative="1">
      <w:start w:val="1"/>
      <w:numFmt w:val="bullet"/>
      <w:lvlText w:val=""/>
      <w:lvlJc w:val="left"/>
      <w:pPr>
        <w:tabs>
          <w:tab w:val="num" w:pos="9312"/>
        </w:tabs>
        <w:ind w:left="9312" w:hanging="360"/>
      </w:pPr>
      <w:rPr>
        <w:rFonts w:ascii="Wingdings" w:hAnsi="Wingdings" w:hint="default"/>
      </w:rPr>
    </w:lvl>
  </w:abstractNum>
  <w:num w:numId="1" w16cid:durableId="275676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260758">
    <w:abstractNumId w:val="6"/>
  </w:num>
  <w:num w:numId="3" w16cid:durableId="1328168932">
    <w:abstractNumId w:val="7"/>
  </w:num>
  <w:num w:numId="4" w16cid:durableId="1477916809">
    <w:abstractNumId w:val="14"/>
  </w:num>
  <w:num w:numId="5" w16cid:durableId="594049638">
    <w:abstractNumId w:val="15"/>
  </w:num>
  <w:num w:numId="6" w16cid:durableId="1912347660">
    <w:abstractNumId w:val="8"/>
  </w:num>
  <w:num w:numId="7" w16cid:durableId="503521013">
    <w:abstractNumId w:val="9"/>
  </w:num>
  <w:num w:numId="8" w16cid:durableId="1156145408">
    <w:abstractNumId w:val="11"/>
  </w:num>
  <w:num w:numId="9" w16cid:durableId="194585249">
    <w:abstractNumId w:val="4"/>
  </w:num>
  <w:num w:numId="10" w16cid:durableId="788671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218191">
    <w:abstractNumId w:val="12"/>
  </w:num>
  <w:num w:numId="12" w16cid:durableId="1022362512">
    <w:abstractNumId w:val="10"/>
  </w:num>
  <w:num w:numId="13" w16cid:durableId="1340111181">
    <w:abstractNumId w:val="0"/>
  </w:num>
  <w:num w:numId="14" w16cid:durableId="1176724716">
    <w:abstractNumId w:val="5"/>
  </w:num>
  <w:num w:numId="15" w16cid:durableId="1858537951">
    <w:abstractNumId w:val="16"/>
  </w:num>
  <w:num w:numId="16" w16cid:durableId="167322059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2833475">
    <w:abstractNumId w:val="2"/>
  </w:num>
  <w:num w:numId="18" w16cid:durableId="1508906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B3"/>
    <w:rsid w:val="00014141"/>
    <w:rsid w:val="00074448"/>
    <w:rsid w:val="000A0117"/>
    <w:rsid w:val="000B4275"/>
    <w:rsid w:val="00103CEE"/>
    <w:rsid w:val="00104D16"/>
    <w:rsid w:val="00116AA5"/>
    <w:rsid w:val="00125BA4"/>
    <w:rsid w:val="001439E5"/>
    <w:rsid w:val="00154A72"/>
    <w:rsid w:val="00191978"/>
    <w:rsid w:val="001A6C71"/>
    <w:rsid w:val="00216661"/>
    <w:rsid w:val="002235E6"/>
    <w:rsid w:val="0023595A"/>
    <w:rsid w:val="0024067E"/>
    <w:rsid w:val="00252579"/>
    <w:rsid w:val="00265254"/>
    <w:rsid w:val="00297B1F"/>
    <w:rsid w:val="002A3322"/>
    <w:rsid w:val="002E2FBC"/>
    <w:rsid w:val="002F6B4E"/>
    <w:rsid w:val="00301ED7"/>
    <w:rsid w:val="003619DC"/>
    <w:rsid w:val="00391A8F"/>
    <w:rsid w:val="003A46EF"/>
    <w:rsid w:val="003B3D7E"/>
    <w:rsid w:val="003D275B"/>
    <w:rsid w:val="003F4CE0"/>
    <w:rsid w:val="004472C3"/>
    <w:rsid w:val="00466439"/>
    <w:rsid w:val="004A7469"/>
    <w:rsid w:val="004E0CBC"/>
    <w:rsid w:val="004F1BC1"/>
    <w:rsid w:val="004F26A0"/>
    <w:rsid w:val="005347B7"/>
    <w:rsid w:val="00562CD0"/>
    <w:rsid w:val="0059424D"/>
    <w:rsid w:val="005B4668"/>
    <w:rsid w:val="005D1AB1"/>
    <w:rsid w:val="005D543C"/>
    <w:rsid w:val="005E2932"/>
    <w:rsid w:val="005F7172"/>
    <w:rsid w:val="00667E3C"/>
    <w:rsid w:val="00677492"/>
    <w:rsid w:val="00686304"/>
    <w:rsid w:val="006D560D"/>
    <w:rsid w:val="007050EB"/>
    <w:rsid w:val="00731DE9"/>
    <w:rsid w:val="00746DD1"/>
    <w:rsid w:val="0077093D"/>
    <w:rsid w:val="007803AB"/>
    <w:rsid w:val="00792991"/>
    <w:rsid w:val="007A2D5F"/>
    <w:rsid w:val="00846266"/>
    <w:rsid w:val="00856C31"/>
    <w:rsid w:val="0088039A"/>
    <w:rsid w:val="00894676"/>
    <w:rsid w:val="008A45BE"/>
    <w:rsid w:val="008C3D86"/>
    <w:rsid w:val="008D1406"/>
    <w:rsid w:val="008E097D"/>
    <w:rsid w:val="008E1780"/>
    <w:rsid w:val="009137E3"/>
    <w:rsid w:val="00914C13"/>
    <w:rsid w:val="00914C8A"/>
    <w:rsid w:val="00923228"/>
    <w:rsid w:val="00923C1E"/>
    <w:rsid w:val="00953DC3"/>
    <w:rsid w:val="00976793"/>
    <w:rsid w:val="009C4286"/>
    <w:rsid w:val="009D72FB"/>
    <w:rsid w:val="00A2706E"/>
    <w:rsid w:val="00A27D55"/>
    <w:rsid w:val="00A32946"/>
    <w:rsid w:val="00A87692"/>
    <w:rsid w:val="00A9137E"/>
    <w:rsid w:val="00AA1468"/>
    <w:rsid w:val="00AA7D96"/>
    <w:rsid w:val="00AB4A53"/>
    <w:rsid w:val="00AD52BB"/>
    <w:rsid w:val="00AE03A3"/>
    <w:rsid w:val="00B14717"/>
    <w:rsid w:val="00B33DE8"/>
    <w:rsid w:val="00B36841"/>
    <w:rsid w:val="00B41D3E"/>
    <w:rsid w:val="00B5062B"/>
    <w:rsid w:val="00B70BBE"/>
    <w:rsid w:val="00B83C41"/>
    <w:rsid w:val="00B92562"/>
    <w:rsid w:val="00B94A5A"/>
    <w:rsid w:val="00B96F6D"/>
    <w:rsid w:val="00BB195F"/>
    <w:rsid w:val="00BC2B3D"/>
    <w:rsid w:val="00BE46E1"/>
    <w:rsid w:val="00BF1AE8"/>
    <w:rsid w:val="00BF3AD6"/>
    <w:rsid w:val="00C05BBC"/>
    <w:rsid w:val="00C365C7"/>
    <w:rsid w:val="00C52EEB"/>
    <w:rsid w:val="00C91B2C"/>
    <w:rsid w:val="00CD677B"/>
    <w:rsid w:val="00CF03C2"/>
    <w:rsid w:val="00D2033C"/>
    <w:rsid w:val="00D253DA"/>
    <w:rsid w:val="00D618A2"/>
    <w:rsid w:val="00D85F47"/>
    <w:rsid w:val="00DD662F"/>
    <w:rsid w:val="00DE3AB3"/>
    <w:rsid w:val="00E0164B"/>
    <w:rsid w:val="00E2132E"/>
    <w:rsid w:val="00ED55C1"/>
    <w:rsid w:val="00F00DF9"/>
    <w:rsid w:val="00F17A07"/>
    <w:rsid w:val="00F303AC"/>
    <w:rsid w:val="00F30F7E"/>
    <w:rsid w:val="00F4639F"/>
    <w:rsid w:val="00F51D4A"/>
    <w:rsid w:val="00F95279"/>
    <w:rsid w:val="00F9739E"/>
    <w:rsid w:val="00F9792B"/>
    <w:rsid w:val="00FD0F1B"/>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15E9"/>
  <w15:docId w15:val="{FB4336D9-D459-4644-8B27-C255F3A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DE3AB3"/>
    <w:pPr>
      <w:tabs>
        <w:tab w:val="center" w:pos="4680"/>
        <w:tab w:val="right" w:pos="9360"/>
      </w:tabs>
    </w:pPr>
  </w:style>
  <w:style w:type="character" w:customStyle="1" w:styleId="HeaderChar">
    <w:name w:val="Header Char"/>
    <w:aliases w:val="encabezado Char"/>
    <w:link w:val="Header"/>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99"/>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link w:val="Footer"/>
    <w:rsid w:val="00DE3AB3"/>
    <w:rPr>
      <w:sz w:val="24"/>
      <w:szCs w:val="24"/>
    </w:rPr>
  </w:style>
  <w:style w:type="character" w:styleId="CommentReference">
    <w:name w:val="annotation reference"/>
    <w:uiPriority w:val="99"/>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rsid w:val="004472C3"/>
    <w:rPr>
      <w:vertAlign w:val="superscript"/>
    </w:rPr>
  </w:style>
  <w:style w:type="paragraph" w:styleId="Revision">
    <w:name w:val="Revision"/>
    <w:hidden/>
    <w:uiPriority w:val="99"/>
    <w:semiHidden/>
    <w:rsid w:val="00103CEE"/>
    <w:rPr>
      <w:sz w:val="24"/>
      <w:szCs w:val="24"/>
    </w:rPr>
  </w:style>
  <w:style w:type="paragraph" w:customStyle="1" w:styleId="paragraph">
    <w:name w:val="paragraph"/>
    <w:basedOn w:val="Normal"/>
    <w:rsid w:val="00297B1F"/>
    <w:pPr>
      <w:spacing w:before="100" w:beforeAutospacing="1" w:after="100" w:afterAutospacing="1"/>
    </w:pPr>
  </w:style>
  <w:style w:type="character" w:customStyle="1" w:styleId="normaltextrun">
    <w:name w:val="normaltextrun"/>
    <w:basedOn w:val="DefaultParagraphFont"/>
    <w:rsid w:val="00297B1F"/>
  </w:style>
  <w:style w:type="character" w:customStyle="1" w:styleId="eop">
    <w:name w:val="eop"/>
    <w:basedOn w:val="DefaultParagraphFont"/>
    <w:rsid w:val="00297B1F"/>
  </w:style>
  <w:style w:type="paragraph" w:styleId="BodyText">
    <w:name w:val="Body Text"/>
    <w:basedOn w:val="Normal"/>
    <w:link w:val="BodyTextChar"/>
    <w:rsid w:val="00D2033C"/>
    <w:pPr>
      <w:jc w:val="center"/>
    </w:pPr>
    <w:rPr>
      <w:rFonts w:ascii="Arial" w:hAnsi="Arial"/>
      <w:b/>
      <w:bCs/>
      <w:sz w:val="22"/>
      <w:szCs w:val="20"/>
    </w:rPr>
  </w:style>
  <w:style w:type="character" w:customStyle="1" w:styleId="BodyTextChar">
    <w:name w:val="Body Text Char"/>
    <w:link w:val="BodyText"/>
    <w:rsid w:val="00D2033C"/>
    <w:rPr>
      <w:rFonts w:ascii="Arial" w:hAnsi="Arial"/>
      <w:b/>
      <w:bCs/>
      <w:sz w:val="22"/>
    </w:rPr>
  </w:style>
  <w:style w:type="character" w:customStyle="1" w:styleId="ListParagraphChar">
    <w:name w:val="List Paragraph Char"/>
    <w:aliases w:val="Fundamentacion Char,Bulleted List Char,SubPárrafo de lista Char"/>
    <w:link w:val="ListParagraph"/>
    <w:uiPriority w:val="99"/>
    <w:locked/>
    <w:rsid w:val="00D20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622300541">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34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3470C-7E66-4D80-A832-A79B20449AA7}">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FF19A36C-1F6F-470E-A897-7FE0749B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96DD6-C3E3-41A7-9BAC-D5F4B9C6FF2E}">
  <ds:schemaRefs>
    <ds:schemaRef ds:uri="http://schemas.openxmlformats.org/officeDocument/2006/bibliography"/>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cp:lastPrinted>2023-03-27T15:48:00Z</cp:lastPrinted>
  <dcterms:created xsi:type="dcterms:W3CDTF">2023-05-03T17:31:00Z</dcterms:created>
  <dcterms:modified xsi:type="dcterms:W3CDTF">2023-05-03T17:32:00Z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