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DAE1" w14:textId="77777777" w:rsidR="00DE3AB3" w:rsidRPr="008911C8" w:rsidRDefault="00DE3AB3" w:rsidP="00F32181">
      <w:pPr>
        <w:tabs>
          <w:tab w:val="left" w:pos="6840"/>
        </w:tabs>
        <w:ind w:right="-749"/>
        <w:rPr>
          <w:sz w:val="22"/>
          <w:szCs w:val="22"/>
          <w:lang w:val="pt-BR"/>
        </w:rPr>
      </w:pPr>
      <w:r w:rsidRPr="002416D6">
        <w:rPr>
          <w:b/>
          <w:sz w:val="22"/>
          <w:szCs w:val="22"/>
        </w:rPr>
        <w:tab/>
      </w:r>
      <w:r w:rsidRPr="008911C8">
        <w:rPr>
          <w:snapToGrid w:val="0"/>
          <w:sz w:val="22"/>
          <w:szCs w:val="22"/>
          <w:lang w:val="pt-BR"/>
        </w:rPr>
        <w:t>OEA/Ser.W</w:t>
      </w:r>
    </w:p>
    <w:p w14:paraId="7BC6BFD4" w14:textId="44A4A114" w:rsidR="00DE3AB3" w:rsidRPr="008911C8" w:rsidRDefault="00DE3AB3" w:rsidP="00F32181">
      <w:pPr>
        <w:tabs>
          <w:tab w:val="left" w:pos="6840"/>
        </w:tabs>
        <w:ind w:right="-929"/>
        <w:rPr>
          <w:bCs/>
          <w:sz w:val="22"/>
          <w:szCs w:val="22"/>
          <w:lang w:val="pt-BR"/>
        </w:rPr>
      </w:pPr>
      <w:r w:rsidRPr="008911C8">
        <w:rPr>
          <w:b/>
          <w:sz w:val="22"/>
          <w:szCs w:val="22"/>
          <w:lang w:val="pt-BR"/>
        </w:rPr>
        <w:tab/>
      </w:r>
      <w:r w:rsidRPr="008911C8">
        <w:rPr>
          <w:sz w:val="22"/>
          <w:szCs w:val="22"/>
          <w:lang w:val="pt-BR"/>
        </w:rPr>
        <w:t>CIDI/doc.</w:t>
      </w:r>
      <w:r w:rsidR="000E1B72">
        <w:rPr>
          <w:sz w:val="22"/>
          <w:szCs w:val="22"/>
          <w:lang w:val="pt-BR"/>
        </w:rPr>
        <w:t xml:space="preserve"> </w:t>
      </w:r>
      <w:r w:rsidRPr="008911C8">
        <w:rPr>
          <w:sz w:val="22"/>
          <w:szCs w:val="22"/>
          <w:lang w:val="pt-BR"/>
        </w:rPr>
        <w:t>384/23</w:t>
      </w:r>
      <w:r w:rsidR="005B7D88">
        <w:rPr>
          <w:sz w:val="22"/>
          <w:szCs w:val="22"/>
          <w:lang w:val="pt-BR"/>
        </w:rPr>
        <w:t xml:space="preserve"> rev.1</w:t>
      </w:r>
    </w:p>
    <w:p w14:paraId="12BA1CE8" w14:textId="5695D918" w:rsidR="00DE3AB3" w:rsidRPr="002416D6" w:rsidRDefault="00DE3AB3" w:rsidP="00F32181">
      <w:pPr>
        <w:tabs>
          <w:tab w:val="left" w:pos="6840"/>
        </w:tabs>
        <w:ind w:right="-929"/>
        <w:rPr>
          <w:snapToGrid w:val="0"/>
          <w:sz w:val="22"/>
          <w:szCs w:val="22"/>
        </w:rPr>
      </w:pPr>
      <w:r w:rsidRPr="008911C8">
        <w:rPr>
          <w:sz w:val="22"/>
          <w:szCs w:val="22"/>
          <w:lang w:val="pt-BR"/>
        </w:rPr>
        <w:tab/>
      </w:r>
      <w:r w:rsidRPr="002416D6">
        <w:rPr>
          <w:sz w:val="22"/>
          <w:szCs w:val="22"/>
        </w:rPr>
        <w:t>2</w:t>
      </w:r>
      <w:r w:rsidR="005B7D88">
        <w:rPr>
          <w:sz w:val="22"/>
          <w:szCs w:val="22"/>
        </w:rPr>
        <w:t>7</w:t>
      </w:r>
      <w:r w:rsidRPr="002416D6">
        <w:rPr>
          <w:sz w:val="22"/>
          <w:szCs w:val="22"/>
        </w:rPr>
        <w:t xml:space="preserve"> avril 2023</w:t>
      </w:r>
    </w:p>
    <w:p w14:paraId="08F3B18C" w14:textId="3B240148" w:rsidR="00DE3AB3" w:rsidRPr="002416D6" w:rsidRDefault="00DE3AB3" w:rsidP="00F32181">
      <w:pPr>
        <w:tabs>
          <w:tab w:val="left" w:pos="6840"/>
        </w:tabs>
        <w:ind w:right="-749"/>
        <w:rPr>
          <w:sz w:val="22"/>
          <w:szCs w:val="22"/>
        </w:rPr>
      </w:pPr>
      <w:r w:rsidRPr="002416D6">
        <w:rPr>
          <w:sz w:val="22"/>
          <w:szCs w:val="22"/>
        </w:rPr>
        <w:tab/>
        <w:t>Original: anglais</w:t>
      </w:r>
    </w:p>
    <w:p w14:paraId="07EF035B" w14:textId="77777777" w:rsidR="00DE3AB3" w:rsidRPr="002416D6" w:rsidRDefault="00DE3AB3" w:rsidP="00F32181">
      <w:pPr>
        <w:pBdr>
          <w:bottom w:val="single" w:sz="12" w:space="1" w:color="auto"/>
        </w:pBdr>
        <w:tabs>
          <w:tab w:val="left" w:pos="6030"/>
          <w:tab w:val="left" w:pos="6210"/>
        </w:tabs>
        <w:rPr>
          <w:sz w:val="22"/>
          <w:szCs w:val="22"/>
        </w:rPr>
      </w:pPr>
    </w:p>
    <w:p w14:paraId="77607613" w14:textId="77777777" w:rsidR="00DE3AB3" w:rsidRPr="008911C8" w:rsidRDefault="00DE3AB3" w:rsidP="008911C8">
      <w:pPr>
        <w:jc w:val="both"/>
        <w:rPr>
          <w:sz w:val="22"/>
          <w:szCs w:val="22"/>
        </w:rPr>
      </w:pPr>
    </w:p>
    <w:p w14:paraId="4A9EA3B3" w14:textId="77777777" w:rsidR="00894676" w:rsidRPr="008911C8" w:rsidRDefault="00894676" w:rsidP="008911C8">
      <w:pPr>
        <w:tabs>
          <w:tab w:val="left" w:pos="720"/>
          <w:tab w:val="center" w:pos="4320"/>
          <w:tab w:val="right" w:pos="8640"/>
        </w:tabs>
        <w:jc w:val="both"/>
        <w:rPr>
          <w:sz w:val="22"/>
          <w:szCs w:val="22"/>
        </w:rPr>
      </w:pPr>
    </w:p>
    <w:p w14:paraId="5B0F1A26" w14:textId="2CDFC45C" w:rsidR="00923228" w:rsidRPr="002416D6" w:rsidRDefault="009B08B6" w:rsidP="00F32181">
      <w:pPr>
        <w:tabs>
          <w:tab w:val="left" w:pos="720"/>
          <w:tab w:val="center" w:pos="4320"/>
          <w:tab w:val="right" w:pos="8640"/>
        </w:tabs>
        <w:jc w:val="center"/>
        <w:rPr>
          <w:sz w:val="22"/>
          <w:szCs w:val="22"/>
        </w:rPr>
      </w:pPr>
      <w:r w:rsidRPr="002416D6">
        <w:rPr>
          <w:sz w:val="22"/>
          <w:szCs w:val="22"/>
        </w:rPr>
        <w:t>PROJET D’ORDRE DU JOUR</w:t>
      </w:r>
    </w:p>
    <w:p w14:paraId="2D21F668" w14:textId="77777777" w:rsidR="00297B1F" w:rsidRPr="002416D6" w:rsidRDefault="00297B1F" w:rsidP="008911C8">
      <w:pPr>
        <w:jc w:val="both"/>
        <w:rPr>
          <w:sz w:val="22"/>
          <w:szCs w:val="22"/>
        </w:rPr>
      </w:pPr>
    </w:p>
    <w:p w14:paraId="1BAD29A0" w14:textId="358B1836" w:rsidR="00F30F7E" w:rsidRPr="002416D6" w:rsidRDefault="00FD3864" w:rsidP="00F32181">
      <w:pPr>
        <w:jc w:val="center"/>
        <w:rPr>
          <w:rFonts w:eastAsia="Calibri"/>
          <w:sz w:val="22"/>
          <w:szCs w:val="22"/>
        </w:rPr>
      </w:pPr>
      <w:r w:rsidRPr="002416D6">
        <w:rPr>
          <w:sz w:val="22"/>
          <w:szCs w:val="22"/>
        </w:rPr>
        <w:t xml:space="preserve">DIXIÈME RÉUNION ORDINAIRE DE LA COMMISSION INTERAMÉRICAINE </w:t>
      </w:r>
    </w:p>
    <w:p w14:paraId="5F8F4348" w14:textId="2339D23C" w:rsidR="00B14717" w:rsidRPr="002416D6" w:rsidRDefault="00FD3864" w:rsidP="00F32181">
      <w:pPr>
        <w:jc w:val="center"/>
        <w:rPr>
          <w:rFonts w:eastAsia="Calibri"/>
          <w:sz w:val="22"/>
          <w:szCs w:val="22"/>
        </w:rPr>
      </w:pPr>
      <w:r w:rsidRPr="002416D6">
        <w:rPr>
          <w:sz w:val="22"/>
          <w:szCs w:val="22"/>
        </w:rPr>
        <w:t xml:space="preserve">DE LA SCIENCE ET DE LA TECHNOLOGIE </w:t>
      </w:r>
    </w:p>
    <w:p w14:paraId="3074BB61" w14:textId="77777777" w:rsidR="00297B1F" w:rsidRPr="002416D6" w:rsidRDefault="00297B1F" w:rsidP="008911C8">
      <w:pPr>
        <w:jc w:val="both"/>
        <w:rPr>
          <w:bCs/>
          <w:sz w:val="22"/>
          <w:szCs w:val="22"/>
        </w:rPr>
      </w:pPr>
    </w:p>
    <w:p w14:paraId="09453469" w14:textId="2998B6CE" w:rsidR="00297B1F" w:rsidRPr="00601307" w:rsidRDefault="00F32181" w:rsidP="00F32181">
      <w:pPr>
        <w:jc w:val="center"/>
        <w:rPr>
          <w:sz w:val="22"/>
          <w:szCs w:val="22"/>
        </w:rPr>
      </w:pPr>
      <w:r w:rsidRPr="00601307">
        <w:rPr>
          <w:sz w:val="22"/>
          <w:szCs w:val="22"/>
        </w:rPr>
        <w:t>5 mai 2023</w:t>
      </w:r>
    </w:p>
    <w:p w14:paraId="27A92784" w14:textId="7B7BA76F" w:rsidR="00F32181" w:rsidRPr="00601307" w:rsidRDefault="00F32181" w:rsidP="00F32181">
      <w:pPr>
        <w:jc w:val="center"/>
        <w:rPr>
          <w:sz w:val="22"/>
          <w:szCs w:val="22"/>
        </w:rPr>
      </w:pPr>
      <w:r w:rsidRPr="00601307">
        <w:rPr>
          <w:sz w:val="22"/>
          <w:szCs w:val="22"/>
        </w:rPr>
        <w:t xml:space="preserve">Washington, D.C. </w:t>
      </w:r>
    </w:p>
    <w:p w14:paraId="119EE1D1" w14:textId="43D105CF" w:rsidR="00562CD0" w:rsidRPr="00601307" w:rsidRDefault="00562CD0" w:rsidP="008911C8">
      <w:pPr>
        <w:jc w:val="both"/>
        <w:rPr>
          <w:sz w:val="22"/>
          <w:szCs w:val="22"/>
        </w:rPr>
      </w:pPr>
    </w:p>
    <w:p w14:paraId="2AAF6F6F" w14:textId="77777777" w:rsidR="005B7D88" w:rsidRPr="005B7D88" w:rsidRDefault="005B7D88" w:rsidP="008B6167">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rPr>
      </w:pPr>
      <w:r>
        <w:rPr>
          <w:color w:val="000000"/>
          <w:sz w:val="22"/>
          <w:szCs w:val="22"/>
        </w:rPr>
        <w:t>(Approuvé par le CIDI lors de la réunion ordinaire tenue le 25 avril 2023)</w:t>
      </w:r>
    </w:p>
    <w:p w14:paraId="3C19743D" w14:textId="77777777" w:rsidR="005B7D88" w:rsidRPr="005B7D88" w:rsidRDefault="005B7D88" w:rsidP="005B7D88">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rPr>
      </w:pPr>
    </w:p>
    <w:p w14:paraId="699719A6" w14:textId="77777777" w:rsidR="00FD3864" w:rsidRPr="005B7D88" w:rsidRDefault="00FD3864" w:rsidP="008911C8">
      <w:pPr>
        <w:jc w:val="both"/>
        <w:rPr>
          <w:sz w:val="22"/>
          <w:szCs w:val="22"/>
        </w:rPr>
      </w:pPr>
    </w:p>
    <w:p w14:paraId="61D5AE56" w14:textId="4FDF7832" w:rsidR="00FD3864" w:rsidRPr="002416D6" w:rsidRDefault="00FD3864" w:rsidP="00F32181">
      <w:pPr>
        <w:numPr>
          <w:ilvl w:val="0"/>
          <w:numId w:val="16"/>
        </w:numPr>
        <w:ind w:hanging="720"/>
        <w:jc w:val="both"/>
        <w:rPr>
          <w:bCs/>
          <w:sz w:val="22"/>
          <w:szCs w:val="22"/>
        </w:rPr>
      </w:pPr>
      <w:r w:rsidRPr="002416D6">
        <w:rPr>
          <w:sz w:val="22"/>
          <w:szCs w:val="22"/>
        </w:rPr>
        <w:t>Approbation du projet d’ordre du jour et du projet de calendrier de la réunion</w:t>
      </w:r>
    </w:p>
    <w:p w14:paraId="5D8DF6FA" w14:textId="77777777" w:rsidR="00FD3864" w:rsidRPr="002416D6" w:rsidRDefault="00FD3864" w:rsidP="00F32181">
      <w:pPr>
        <w:jc w:val="both"/>
        <w:rPr>
          <w:bCs/>
          <w:sz w:val="22"/>
          <w:szCs w:val="22"/>
        </w:rPr>
      </w:pPr>
    </w:p>
    <w:p w14:paraId="2A48B794" w14:textId="77777777" w:rsidR="00FD3864" w:rsidRPr="002416D6" w:rsidRDefault="00FD3864" w:rsidP="00F32181">
      <w:pPr>
        <w:numPr>
          <w:ilvl w:val="0"/>
          <w:numId w:val="16"/>
        </w:numPr>
        <w:ind w:hanging="720"/>
        <w:jc w:val="both"/>
        <w:rPr>
          <w:bCs/>
          <w:sz w:val="22"/>
          <w:szCs w:val="22"/>
        </w:rPr>
      </w:pPr>
      <w:r w:rsidRPr="002416D6">
        <w:rPr>
          <w:sz w:val="22"/>
          <w:szCs w:val="22"/>
        </w:rPr>
        <w:t>Durée de la réunion</w:t>
      </w:r>
    </w:p>
    <w:p w14:paraId="42B76BAD" w14:textId="77777777" w:rsidR="00FD3864" w:rsidRPr="002416D6" w:rsidRDefault="00FD3864" w:rsidP="00F32181">
      <w:pPr>
        <w:jc w:val="both"/>
        <w:rPr>
          <w:bCs/>
          <w:sz w:val="22"/>
          <w:szCs w:val="22"/>
        </w:rPr>
      </w:pPr>
    </w:p>
    <w:p w14:paraId="11AAAD8F" w14:textId="526A377C" w:rsidR="00FD3864" w:rsidRPr="002416D6" w:rsidRDefault="00FD3864" w:rsidP="00F32181">
      <w:pPr>
        <w:numPr>
          <w:ilvl w:val="0"/>
          <w:numId w:val="16"/>
        </w:numPr>
        <w:ind w:hanging="720"/>
        <w:jc w:val="both"/>
        <w:rPr>
          <w:bCs/>
          <w:sz w:val="22"/>
          <w:szCs w:val="22"/>
        </w:rPr>
      </w:pPr>
      <w:r w:rsidRPr="002416D6">
        <w:rPr>
          <w:sz w:val="22"/>
          <w:szCs w:val="22"/>
        </w:rPr>
        <w:t>Rapport d'étape sur la mise en œuvre des mandats et des engagements de la Déclaration de la Jamaïque et du plan de travail 2022-2024 de la COMCYT</w:t>
      </w:r>
    </w:p>
    <w:p w14:paraId="5BD0F507" w14:textId="77777777" w:rsidR="00FD3864" w:rsidRPr="002416D6" w:rsidRDefault="00FD3864" w:rsidP="00F32181">
      <w:pPr>
        <w:jc w:val="both"/>
        <w:rPr>
          <w:bCs/>
          <w:sz w:val="22"/>
          <w:szCs w:val="22"/>
        </w:rPr>
      </w:pPr>
    </w:p>
    <w:p w14:paraId="7A550294" w14:textId="185D67F7" w:rsidR="00FD3864" w:rsidRPr="002416D6" w:rsidRDefault="00FD3864" w:rsidP="00F32181">
      <w:pPr>
        <w:tabs>
          <w:tab w:val="left" w:pos="2070"/>
        </w:tabs>
        <w:ind w:left="1350" w:hanging="630"/>
        <w:jc w:val="both"/>
        <w:rPr>
          <w:bCs/>
          <w:sz w:val="22"/>
          <w:szCs w:val="22"/>
        </w:rPr>
      </w:pPr>
      <w:r w:rsidRPr="002416D6">
        <w:rPr>
          <w:sz w:val="22"/>
          <w:szCs w:val="22"/>
        </w:rPr>
        <w:t>3.1</w:t>
      </w:r>
      <w:r w:rsidRPr="002416D6">
        <w:rPr>
          <w:sz w:val="22"/>
          <w:szCs w:val="22"/>
        </w:rPr>
        <w:tab/>
        <w:t>Rapport du Secrétariat technique de la COMCYT</w:t>
      </w:r>
    </w:p>
    <w:p w14:paraId="2A50DD54" w14:textId="77777777" w:rsidR="00FD3864" w:rsidRPr="002416D6" w:rsidRDefault="00FD3864" w:rsidP="008911C8">
      <w:pPr>
        <w:jc w:val="both"/>
        <w:rPr>
          <w:sz w:val="22"/>
          <w:szCs w:val="22"/>
        </w:rPr>
      </w:pPr>
    </w:p>
    <w:p w14:paraId="7B47B934" w14:textId="77777777" w:rsidR="00FD3864" w:rsidRPr="002416D6" w:rsidRDefault="00FD3864" w:rsidP="00F32181">
      <w:pPr>
        <w:numPr>
          <w:ilvl w:val="0"/>
          <w:numId w:val="16"/>
        </w:numPr>
        <w:ind w:right="-40" w:hanging="720"/>
        <w:jc w:val="both"/>
        <w:rPr>
          <w:bCs/>
          <w:sz w:val="22"/>
          <w:szCs w:val="22"/>
        </w:rPr>
      </w:pPr>
      <w:r w:rsidRPr="002416D6">
        <w:rPr>
          <w:sz w:val="22"/>
          <w:szCs w:val="22"/>
        </w:rPr>
        <w:t>Échange de connaissances et de bonnes pratiques sur des sujets d'intérêt et des priorités identifiés par les États membres et reflétés dans la Déclaration de la Jamaïque et dans le plan de travail 2022-2024 de la COMCYT</w:t>
      </w:r>
    </w:p>
    <w:p w14:paraId="0998E9FE" w14:textId="77777777" w:rsidR="00FD3864" w:rsidRPr="002416D6" w:rsidRDefault="00FD3864" w:rsidP="008911C8">
      <w:pPr>
        <w:jc w:val="both"/>
        <w:rPr>
          <w:bCs/>
          <w:sz w:val="22"/>
          <w:szCs w:val="22"/>
        </w:rPr>
      </w:pPr>
    </w:p>
    <w:p w14:paraId="4A55708B" w14:textId="77777777" w:rsidR="00FD3864" w:rsidRPr="002416D6" w:rsidRDefault="00FD3864" w:rsidP="00F32181">
      <w:pPr>
        <w:numPr>
          <w:ilvl w:val="1"/>
          <w:numId w:val="17"/>
        </w:numPr>
        <w:tabs>
          <w:tab w:val="left" w:pos="1440"/>
        </w:tabs>
        <w:ind w:right="-40" w:hanging="720"/>
        <w:jc w:val="both"/>
        <w:rPr>
          <w:bCs/>
          <w:sz w:val="22"/>
          <w:szCs w:val="22"/>
        </w:rPr>
      </w:pPr>
      <w:bookmarkStart w:id="0" w:name="_Hlk130382086"/>
      <w:bookmarkStart w:id="1" w:name="_Hlk130379018"/>
      <w:r w:rsidRPr="002416D6">
        <w:rPr>
          <w:sz w:val="22"/>
          <w:szCs w:val="22"/>
        </w:rPr>
        <w:t>Histoire des sciences et diplomatie : Renforcer la coopération régionale en matière de R&amp;D par des approches multidisciplinaires et plurilingues</w:t>
      </w:r>
      <w:bookmarkEnd w:id="0"/>
    </w:p>
    <w:p w14:paraId="4ACB51F9" w14:textId="77777777" w:rsidR="00FD3864" w:rsidRPr="002416D6" w:rsidRDefault="00FD3864" w:rsidP="008911C8">
      <w:pPr>
        <w:jc w:val="both"/>
        <w:rPr>
          <w:bCs/>
          <w:sz w:val="22"/>
          <w:szCs w:val="22"/>
        </w:rPr>
      </w:pPr>
    </w:p>
    <w:p w14:paraId="75149040" w14:textId="77777777" w:rsidR="00FD3864" w:rsidRPr="002416D6" w:rsidRDefault="00FD3864" w:rsidP="00F32181">
      <w:pPr>
        <w:numPr>
          <w:ilvl w:val="1"/>
          <w:numId w:val="17"/>
        </w:numPr>
        <w:tabs>
          <w:tab w:val="left" w:pos="1440"/>
          <w:tab w:val="left" w:pos="1530"/>
        </w:tabs>
        <w:ind w:right="-40" w:hanging="720"/>
        <w:jc w:val="both"/>
        <w:rPr>
          <w:bCs/>
          <w:sz w:val="22"/>
          <w:szCs w:val="22"/>
        </w:rPr>
      </w:pPr>
      <w:r w:rsidRPr="002416D6">
        <w:rPr>
          <w:sz w:val="22"/>
          <w:szCs w:val="22"/>
        </w:rPr>
        <w:t>Les jeunes : Améliorer les compétences et la préparation à l'industrie 4.0 (Académie de la jeunesse de l'OEA sur les technologies transformatrices)</w:t>
      </w:r>
      <w:bookmarkStart w:id="2" w:name="_Hlk130379356"/>
      <w:bookmarkEnd w:id="1"/>
    </w:p>
    <w:p w14:paraId="30EEDC70" w14:textId="77777777" w:rsidR="00FD3864" w:rsidRPr="002416D6" w:rsidRDefault="00FD3864" w:rsidP="008911C8">
      <w:pPr>
        <w:jc w:val="both"/>
        <w:rPr>
          <w:bCs/>
          <w:sz w:val="22"/>
          <w:szCs w:val="22"/>
        </w:rPr>
      </w:pPr>
    </w:p>
    <w:p w14:paraId="568B91D3" w14:textId="77777777" w:rsidR="00FD3864" w:rsidRPr="008911C8" w:rsidRDefault="00FD3864" w:rsidP="00F32181">
      <w:pPr>
        <w:numPr>
          <w:ilvl w:val="1"/>
          <w:numId w:val="17"/>
        </w:numPr>
        <w:tabs>
          <w:tab w:val="left" w:pos="1440"/>
          <w:tab w:val="left" w:pos="1530"/>
        </w:tabs>
        <w:ind w:right="-40" w:hanging="720"/>
        <w:jc w:val="both"/>
        <w:rPr>
          <w:sz w:val="22"/>
          <w:szCs w:val="22"/>
        </w:rPr>
      </w:pPr>
      <w:r w:rsidRPr="002416D6">
        <w:rPr>
          <w:sz w:val="22"/>
          <w:szCs w:val="22"/>
        </w:rPr>
        <w:t>La prospective technologique en tant que contribution aux décisions de politique publique (Prospecta Americas et les Centres d'excellence de l'OEA sur les technologies transformatrices)</w:t>
      </w:r>
      <w:bookmarkEnd w:id="2"/>
    </w:p>
    <w:p w14:paraId="43661D06" w14:textId="77777777" w:rsidR="00FD3864" w:rsidRPr="002416D6" w:rsidRDefault="00FD3864" w:rsidP="008911C8">
      <w:pPr>
        <w:jc w:val="both"/>
        <w:rPr>
          <w:bCs/>
          <w:sz w:val="22"/>
          <w:szCs w:val="22"/>
        </w:rPr>
      </w:pPr>
    </w:p>
    <w:p w14:paraId="3F74530F" w14:textId="77777777" w:rsidR="00FD3864" w:rsidRPr="002416D6" w:rsidRDefault="00FD3864" w:rsidP="00F32181">
      <w:pPr>
        <w:numPr>
          <w:ilvl w:val="1"/>
          <w:numId w:val="17"/>
        </w:numPr>
        <w:tabs>
          <w:tab w:val="left" w:pos="1440"/>
          <w:tab w:val="left" w:pos="1530"/>
        </w:tabs>
        <w:ind w:right="-40" w:hanging="720"/>
        <w:jc w:val="both"/>
        <w:rPr>
          <w:bCs/>
          <w:sz w:val="22"/>
          <w:szCs w:val="22"/>
        </w:rPr>
      </w:pPr>
      <w:r w:rsidRPr="002416D6">
        <w:rPr>
          <w:sz w:val="22"/>
          <w:szCs w:val="22"/>
        </w:rPr>
        <w:t>Cas d'utilisation des technologies transformatrices pour le développement durable des Amériques</w:t>
      </w:r>
    </w:p>
    <w:p w14:paraId="6CA34528" w14:textId="77777777" w:rsidR="00FD3864" w:rsidRPr="002416D6" w:rsidRDefault="00FD3864" w:rsidP="008911C8">
      <w:pPr>
        <w:jc w:val="both"/>
        <w:rPr>
          <w:bCs/>
          <w:sz w:val="22"/>
          <w:szCs w:val="22"/>
        </w:rPr>
      </w:pPr>
    </w:p>
    <w:p w14:paraId="4EA10026" w14:textId="77777777" w:rsidR="00FD3864" w:rsidRPr="002416D6" w:rsidRDefault="00FD3864" w:rsidP="00F32181">
      <w:pPr>
        <w:numPr>
          <w:ilvl w:val="1"/>
          <w:numId w:val="17"/>
        </w:numPr>
        <w:tabs>
          <w:tab w:val="left" w:pos="1440"/>
          <w:tab w:val="left" w:pos="1530"/>
        </w:tabs>
        <w:ind w:right="-40" w:hanging="720"/>
        <w:jc w:val="both"/>
        <w:rPr>
          <w:bCs/>
          <w:sz w:val="22"/>
          <w:szCs w:val="22"/>
        </w:rPr>
      </w:pPr>
      <w:r w:rsidRPr="002416D6">
        <w:rPr>
          <w:sz w:val="22"/>
          <w:szCs w:val="22"/>
        </w:rPr>
        <w:t xml:space="preserve">Infrastructures de qualité et technologies transformatrices </w:t>
      </w:r>
    </w:p>
    <w:p w14:paraId="118F8BF2" w14:textId="77777777" w:rsidR="00FD3864" w:rsidRPr="002416D6" w:rsidRDefault="00FD3864" w:rsidP="008911C8">
      <w:pPr>
        <w:jc w:val="both"/>
        <w:rPr>
          <w:bCs/>
          <w:sz w:val="22"/>
          <w:szCs w:val="22"/>
        </w:rPr>
      </w:pPr>
    </w:p>
    <w:p w14:paraId="4AF88A18" w14:textId="4B13026F" w:rsidR="00FD3864" w:rsidRPr="002416D6" w:rsidRDefault="00FD3864" w:rsidP="00F32181">
      <w:pPr>
        <w:numPr>
          <w:ilvl w:val="1"/>
          <w:numId w:val="17"/>
        </w:numPr>
        <w:tabs>
          <w:tab w:val="left" w:pos="1440"/>
          <w:tab w:val="left" w:pos="1530"/>
        </w:tabs>
        <w:ind w:right="-40" w:hanging="720"/>
        <w:jc w:val="both"/>
        <w:rPr>
          <w:bCs/>
          <w:sz w:val="22"/>
          <w:szCs w:val="22"/>
        </w:rPr>
      </w:pPr>
      <w:r w:rsidRPr="002416D6">
        <w:rPr>
          <w:sz w:val="22"/>
          <w:szCs w:val="22"/>
        </w:rPr>
        <w:lastRenderedPageBreak/>
        <w:t>Technologies et solutions innovantes pour une croissance résiliente, durable et inclusive</w:t>
      </w:r>
      <w:r w:rsidR="008D52BD">
        <w:rPr>
          <w:sz w:val="22"/>
          <w:szCs w:val="22"/>
        </w:rPr>
        <w:t>.</w:t>
      </w:r>
      <w:r w:rsidRPr="002416D6">
        <w:rPr>
          <w:sz w:val="22"/>
          <w:szCs w:val="22"/>
        </w:rPr>
        <w:t xml:space="preserve"> Actions novatrices menées en collaboration par les pouvoirs publics, le monde universitaire et le secteur privé</w:t>
      </w:r>
    </w:p>
    <w:p w14:paraId="3BD6A9FD" w14:textId="77777777" w:rsidR="00FD3864" w:rsidRPr="002416D6" w:rsidRDefault="00FD3864" w:rsidP="008911C8">
      <w:pPr>
        <w:jc w:val="both"/>
        <w:rPr>
          <w:bCs/>
          <w:sz w:val="22"/>
          <w:szCs w:val="22"/>
        </w:rPr>
      </w:pPr>
    </w:p>
    <w:p w14:paraId="35441EA3" w14:textId="77777777" w:rsidR="00FD3864" w:rsidRPr="002416D6" w:rsidRDefault="00FD3864" w:rsidP="00F32181">
      <w:pPr>
        <w:numPr>
          <w:ilvl w:val="1"/>
          <w:numId w:val="17"/>
        </w:numPr>
        <w:tabs>
          <w:tab w:val="left" w:pos="1440"/>
          <w:tab w:val="left" w:pos="1530"/>
        </w:tabs>
        <w:ind w:right="-40" w:hanging="720"/>
        <w:jc w:val="both"/>
        <w:rPr>
          <w:bCs/>
          <w:sz w:val="22"/>
          <w:szCs w:val="22"/>
        </w:rPr>
      </w:pPr>
      <w:r w:rsidRPr="002416D6">
        <w:rPr>
          <w:sz w:val="22"/>
          <w:szCs w:val="22"/>
        </w:rPr>
        <w:t>Initiatives de connectivité et d’ingénierie dans les Amériques</w:t>
      </w:r>
    </w:p>
    <w:p w14:paraId="7A8C7462" w14:textId="77777777" w:rsidR="00FD3864" w:rsidRPr="002416D6" w:rsidRDefault="00FD3864" w:rsidP="00F32181">
      <w:pPr>
        <w:jc w:val="both"/>
        <w:rPr>
          <w:bCs/>
          <w:sz w:val="22"/>
          <w:szCs w:val="22"/>
        </w:rPr>
      </w:pPr>
    </w:p>
    <w:p w14:paraId="7959BBF9" w14:textId="77777777" w:rsidR="00FD3864" w:rsidRPr="002416D6" w:rsidRDefault="00FD3864" w:rsidP="00F32181">
      <w:pPr>
        <w:numPr>
          <w:ilvl w:val="0"/>
          <w:numId w:val="16"/>
        </w:numPr>
        <w:ind w:hanging="720"/>
        <w:jc w:val="both"/>
        <w:rPr>
          <w:bCs/>
          <w:sz w:val="22"/>
          <w:szCs w:val="22"/>
        </w:rPr>
      </w:pPr>
      <w:bookmarkStart w:id="3" w:name="_Hlk130382321"/>
      <w:r w:rsidRPr="002416D6">
        <w:rPr>
          <w:sz w:val="22"/>
          <w:szCs w:val="22"/>
        </w:rPr>
        <w:t xml:space="preserve">Résumé des contributions et des lignes directrices à l'intention du Secrétariat pour la rédaction d'un livre blanc destiné à éclairer le thème et l'ordre du jour de la prochaine réunion ministérielle </w:t>
      </w:r>
    </w:p>
    <w:bookmarkEnd w:id="3"/>
    <w:p w14:paraId="028D40B6" w14:textId="77777777" w:rsidR="00FD3864" w:rsidRPr="002416D6" w:rsidRDefault="00FD3864" w:rsidP="00F32181">
      <w:pPr>
        <w:pStyle w:val="ListParagraph"/>
        <w:tabs>
          <w:tab w:val="num" w:pos="720"/>
        </w:tabs>
        <w:ind w:left="0"/>
        <w:rPr>
          <w:bCs/>
          <w:sz w:val="22"/>
          <w:szCs w:val="22"/>
        </w:rPr>
      </w:pPr>
    </w:p>
    <w:p w14:paraId="7FF84654" w14:textId="77777777" w:rsidR="00FD3864" w:rsidRPr="002416D6" w:rsidRDefault="00FD3864" w:rsidP="00F32181">
      <w:pPr>
        <w:numPr>
          <w:ilvl w:val="0"/>
          <w:numId w:val="16"/>
        </w:numPr>
        <w:ind w:hanging="720"/>
        <w:jc w:val="both"/>
        <w:rPr>
          <w:bCs/>
          <w:sz w:val="22"/>
          <w:szCs w:val="22"/>
        </w:rPr>
      </w:pPr>
      <w:r w:rsidRPr="002416D6">
        <w:rPr>
          <w:sz w:val="22"/>
          <w:szCs w:val="22"/>
        </w:rPr>
        <w:t>Autres questions</w:t>
      </w:r>
    </w:p>
    <w:p w14:paraId="4D0FDA8D" w14:textId="56203D50" w:rsidR="00297B1F" w:rsidRPr="002416D6" w:rsidRDefault="00601307" w:rsidP="00F32181">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2DDCF6FD" wp14:editId="6B0F740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0530E62" w14:textId="4665438F" w:rsidR="00601307" w:rsidRPr="00601307" w:rsidRDefault="00601307">
                            <w:pPr>
                              <w:rPr>
                                <w:sz w:val="18"/>
                              </w:rPr>
                            </w:pPr>
                            <w:r>
                              <w:rPr>
                                <w:sz w:val="18"/>
                              </w:rPr>
                              <w:fldChar w:fldCharType="begin"/>
                            </w:r>
                            <w:r>
                              <w:rPr>
                                <w:sz w:val="18"/>
                              </w:rPr>
                              <w:instrText xml:space="preserve"> FILENAME  \* MERGEFORMAT </w:instrText>
                            </w:r>
                            <w:r>
                              <w:rPr>
                                <w:sz w:val="18"/>
                              </w:rPr>
                              <w:fldChar w:fldCharType="separate"/>
                            </w:r>
                            <w:r>
                              <w:rPr>
                                <w:noProof/>
                                <w:sz w:val="18"/>
                              </w:rPr>
                              <w:t>CIDCT00144F01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DCF6FD"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0530E62" w14:textId="4665438F" w:rsidR="00601307" w:rsidRPr="00601307" w:rsidRDefault="00601307">
                      <w:pPr>
                        <w:rPr>
                          <w:sz w:val="18"/>
                        </w:rPr>
                      </w:pPr>
                      <w:r>
                        <w:rPr>
                          <w:sz w:val="18"/>
                        </w:rPr>
                        <w:fldChar w:fldCharType="begin"/>
                      </w:r>
                      <w:r>
                        <w:rPr>
                          <w:sz w:val="18"/>
                        </w:rPr>
                        <w:instrText xml:space="preserve"> FILENAME  \* MERGEFORMAT </w:instrText>
                      </w:r>
                      <w:r>
                        <w:rPr>
                          <w:sz w:val="18"/>
                        </w:rPr>
                        <w:fldChar w:fldCharType="separate"/>
                      </w:r>
                      <w:r>
                        <w:rPr>
                          <w:noProof/>
                          <w:sz w:val="18"/>
                        </w:rPr>
                        <w:t>CIDCT00144F01</w:t>
                      </w:r>
                      <w:r>
                        <w:rPr>
                          <w:sz w:val="18"/>
                        </w:rPr>
                        <w:fldChar w:fldCharType="end"/>
                      </w:r>
                    </w:p>
                  </w:txbxContent>
                </v:textbox>
                <w10:wrap anchory="page"/>
                <w10:anchorlock/>
              </v:shape>
            </w:pict>
          </mc:Fallback>
        </mc:AlternateContent>
      </w:r>
    </w:p>
    <w:sectPr w:rsidR="00297B1F" w:rsidRPr="002416D6" w:rsidSect="008911C8">
      <w:headerReference w:type="even" r:id="rId11"/>
      <w:headerReference w:type="default" r:id="rId12"/>
      <w:headerReference w:type="first" r:id="rId13"/>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04F4" w14:textId="77777777" w:rsidR="007050EB" w:rsidRDefault="007050EB" w:rsidP="00DE3AB3">
      <w:r>
        <w:separator/>
      </w:r>
    </w:p>
  </w:endnote>
  <w:endnote w:type="continuationSeparator" w:id="0">
    <w:p w14:paraId="560E5203" w14:textId="77777777" w:rsidR="007050EB" w:rsidRDefault="007050EB"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DC03" w14:textId="77777777" w:rsidR="007050EB" w:rsidRDefault="007050EB" w:rsidP="00DE3AB3">
      <w:r>
        <w:separator/>
      </w:r>
    </w:p>
  </w:footnote>
  <w:footnote w:type="continuationSeparator" w:id="0">
    <w:p w14:paraId="06C894DB" w14:textId="77777777" w:rsidR="007050EB" w:rsidRDefault="007050EB"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37F"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97022D5" w14:textId="77777777" w:rsidR="00800745" w:rsidRDefault="00601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6020" w14:textId="77777777" w:rsidR="00800745" w:rsidRPr="008D52BD" w:rsidRDefault="00D618A2">
    <w:pPr>
      <w:pStyle w:val="Header"/>
      <w:framePr w:wrap="around" w:vAnchor="text" w:hAnchor="margin" w:xAlign="center" w:y="1"/>
      <w:rPr>
        <w:rStyle w:val="PageNumber"/>
        <w:sz w:val="22"/>
        <w:szCs w:val="22"/>
      </w:rPr>
    </w:pPr>
    <w:r w:rsidRPr="008D52BD">
      <w:rPr>
        <w:rStyle w:val="PageNumber"/>
        <w:sz w:val="22"/>
        <w:szCs w:val="22"/>
      </w:rPr>
      <w:t xml:space="preserve">- </w:t>
    </w:r>
    <w:r w:rsidRPr="008D52BD">
      <w:rPr>
        <w:rStyle w:val="PageNumber"/>
        <w:sz w:val="22"/>
        <w:szCs w:val="22"/>
      </w:rPr>
      <w:fldChar w:fldCharType="begin"/>
    </w:r>
    <w:r w:rsidRPr="008D52BD">
      <w:rPr>
        <w:rStyle w:val="PageNumber"/>
        <w:sz w:val="22"/>
        <w:szCs w:val="22"/>
      </w:rPr>
      <w:instrText xml:space="preserve">PAGE  </w:instrText>
    </w:r>
    <w:r w:rsidRPr="008D52BD">
      <w:rPr>
        <w:rStyle w:val="PageNumber"/>
        <w:sz w:val="22"/>
        <w:szCs w:val="22"/>
      </w:rPr>
      <w:fldChar w:fldCharType="separate"/>
    </w:r>
    <w:r w:rsidR="00B94A5A" w:rsidRPr="008D52BD">
      <w:rPr>
        <w:rStyle w:val="PageNumber"/>
        <w:sz w:val="22"/>
        <w:szCs w:val="22"/>
      </w:rPr>
      <w:t>2</w:t>
    </w:r>
    <w:r w:rsidRPr="008D52BD">
      <w:rPr>
        <w:rStyle w:val="PageNumber"/>
        <w:sz w:val="22"/>
        <w:szCs w:val="22"/>
      </w:rPr>
      <w:fldChar w:fldCharType="end"/>
    </w:r>
    <w:r w:rsidRPr="008D52BD">
      <w:rPr>
        <w:rStyle w:val="PageNumber"/>
        <w:sz w:val="22"/>
        <w:szCs w:val="22"/>
      </w:rPr>
      <w:t xml:space="preserve"> -</w:t>
    </w:r>
  </w:p>
  <w:p w14:paraId="04FDA7DC" w14:textId="77777777" w:rsidR="00800745" w:rsidRPr="008D52BD" w:rsidRDefault="00601307">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0E20" w14:textId="77777777" w:rsidR="00800745" w:rsidRDefault="002E2FBC">
    <w:pPr>
      <w:pStyle w:val="Header"/>
    </w:pPr>
    <w:r>
      <w:rPr>
        <w:rFonts w:ascii="News Gothic MT" w:hAnsi="News Gothic MT"/>
        <w:noProof/>
        <w:color w:val="000000"/>
      </w:rPr>
      <w:drawing>
        <wp:anchor distT="0" distB="0" distL="114300" distR="114300" simplePos="0" relativeHeight="251661312" behindDoc="0" locked="0" layoutInCell="1" allowOverlap="1" wp14:anchorId="674FDE60" wp14:editId="7E130780">
          <wp:simplePos x="0" y="0"/>
          <wp:positionH relativeFrom="column">
            <wp:posOffset>5071110</wp:posOffset>
          </wp:positionH>
          <wp:positionV relativeFrom="paragraph">
            <wp:posOffset>-209550</wp:posOffset>
          </wp:positionV>
          <wp:extent cx="1104900" cy="771525"/>
          <wp:effectExtent l="0" t="0" r="0" b="9525"/>
          <wp:wrapNone/>
          <wp:docPr id="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13B8A7" wp14:editId="7E9FC1F2">
              <wp:simplePos x="0" y="0"/>
              <wp:positionH relativeFrom="column">
                <wp:posOffset>749300</wp:posOffset>
              </wp:positionH>
              <wp:positionV relativeFrom="paragraph">
                <wp:posOffset>-41910</wp:posOffset>
              </wp:positionV>
              <wp:extent cx="4178300" cy="661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7D22" w14:textId="77777777" w:rsidR="002E2FBC" w:rsidRPr="00074448" w:rsidRDefault="002E2FBC" w:rsidP="002E2FBC">
                          <w:pPr>
                            <w:pStyle w:val="Header"/>
                            <w:tabs>
                              <w:tab w:val="left" w:pos="900"/>
                            </w:tabs>
                            <w:jc w:val="center"/>
                            <w:rPr>
                              <w:rFonts w:ascii="Garamond" w:hAnsi="Garamond"/>
                              <w:b/>
                              <w:sz w:val="28"/>
                              <w:szCs w:val="28"/>
                            </w:rPr>
                          </w:pPr>
                          <w:r>
                            <w:rPr>
                              <w:rFonts w:ascii="Garamond" w:hAnsi="Garamond"/>
                              <w:b/>
                              <w:sz w:val="28"/>
                            </w:rPr>
                            <w:t>ORGANISATION DES ÉTATS AMÉRICAINS</w:t>
                          </w:r>
                        </w:p>
                        <w:p w14:paraId="7DCC617B"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Conseil interaméricain pour le développement intégré</w:t>
                          </w:r>
                        </w:p>
                        <w:p w14:paraId="24C4AD9C"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B8A7" id="_x0000_t202" coordsize="21600,21600" o:spt="202" path="m,l,21600r21600,l21600,xe">
              <v:stroke joinstyle="miter"/>
              <v:path gradientshapeok="t" o:connecttype="rect"/>
            </v:shapetype>
            <v:shape id="Text Box 6" o:spid="_x0000_s1027" type="#_x0000_t202" style="position:absolute;margin-left:59pt;margin-top:-3.3pt;width:329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" stroked="f">
              <v:textbox>
                <w:txbxContent>
                  <w:p w14:paraId="320B7D22" w14:textId="77777777" w:rsidR="002E2FBC" w:rsidRPr="00074448" w:rsidRDefault="002E2FBC" w:rsidP="002E2FBC">
                    <w:pPr>
                      <w:pStyle w:val="Header"/>
                      <w:tabs>
                        <w:tab w:val="left" w:pos="900"/>
                      </w:tabs>
                      <w:jc w:val="center"/>
                      <w:rPr>
                        <w:rFonts w:ascii="Garamond" w:hAnsi="Garamond"/>
                        <w:b/>
                        <w:sz w:val="28"/>
                        <w:szCs w:val="28"/>
                      </w:rPr>
                    </w:pPr>
                    <w:r>
                      <w:rPr>
                        <w:rFonts w:ascii="Garamond" w:hAnsi="Garamond"/>
                        <w:b/>
                        <w:sz w:val="28"/>
                      </w:rPr>
                      <w:t>ORGANISATION DES ÉTATS AMÉRICAINS</w:t>
                    </w:r>
                  </w:p>
                  <w:p w14:paraId="7DCC617B"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Conseil interaméricain pour le développement intégré</w:t>
                    </w:r>
                  </w:p>
                  <w:p w14:paraId="24C4AD9C"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(CIDI)</w:t>
                    </w:r>
                  </w:p>
                </w:txbxContent>
              </v:textbox>
            </v:shape>
          </w:pict>
        </mc:Fallback>
      </mc:AlternateContent>
    </w:r>
    <w:r>
      <w:rPr>
        <w:noProof/>
      </w:rPr>
      <w:drawing>
        <wp:anchor distT="0" distB="0" distL="114300" distR="114300" simplePos="0" relativeHeight="251660288" behindDoc="0" locked="0" layoutInCell="1" allowOverlap="1" wp14:anchorId="51E0549A" wp14:editId="261A832B">
          <wp:simplePos x="0" y="0"/>
          <wp:positionH relativeFrom="column">
            <wp:posOffset>-510540</wp:posOffset>
          </wp:positionH>
          <wp:positionV relativeFrom="paragraph">
            <wp:posOffset>-213360</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226DFB0" wp14:editId="08603F54">
              <wp:simplePos x="0" y="0"/>
              <wp:positionH relativeFrom="column">
                <wp:posOffset>6240145</wp:posOffset>
              </wp:positionH>
              <wp:positionV relativeFrom="paragraph">
                <wp:posOffset>290830</wp:posOffset>
              </wp:positionV>
              <wp:extent cx="1287780" cy="860425"/>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C5C54" w14:textId="77777777" w:rsidR="002E2FBC" w:rsidRDefault="002E2FBC" w:rsidP="002E2FBC">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6DFB0" id="Text Box 5" o:spid="_x0000_s1028" type="#_x0000_t202" style="position:absolute;margin-left:491.35pt;margin-top:22.9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" stroked="f">
              <v:textbox style="mso-fit-shape-to-text:t">
                <w:txbxContent>
                  <w:p w14:paraId="7CDC5C54" w14:textId="77777777" w:rsidR="002E2FBC" w:rsidRDefault="002E2FBC" w:rsidP="002E2FBC">
                    <w:pPr>
                      <w:ind w:right="-13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0F5D245D"/>
    <w:multiLevelType w:val="hybridMultilevel"/>
    <w:tmpl w:val="C4DA880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lang w:val="es-MX"/>
      </w:rPr>
    </w:lvl>
    <w:lvl w:ilvl="2" w:tplc="FFFFFFFF">
      <w:start w:val="3"/>
      <w:numFmt w:val="lowerLetter"/>
      <w:lvlText w:val="%3."/>
      <w:lvlJc w:val="left"/>
      <w:pPr>
        <w:tabs>
          <w:tab w:val="num" w:pos="2700"/>
        </w:tabs>
        <w:ind w:left="2700" w:hanging="720"/>
      </w:pPr>
    </w:lvl>
    <w:lvl w:ilvl="3" w:tplc="BAB2AD4A">
      <w:start w:val="1"/>
      <w:numFmt w:val="decimal"/>
      <w:lvlText w:val="-"/>
      <w:lvlJc w:val="left"/>
      <w:pPr>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3"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9A87D92"/>
    <w:multiLevelType w:val="multilevel"/>
    <w:tmpl w:val="AC76C85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8"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2"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rPr>
    </w:lvl>
    <w:lvl w:ilvl="1" w:tplc="04090003" w:tentative="1">
      <w:start w:val="1"/>
      <w:numFmt w:val="bullet"/>
      <w:lvlText w:val="o"/>
      <w:lvlJc w:val="left"/>
      <w:pPr>
        <w:tabs>
          <w:tab w:val="num" w:pos="4272"/>
        </w:tabs>
        <w:ind w:left="4272" w:hanging="360"/>
      </w:pPr>
      <w:rPr>
        <w:rFonts w:ascii="Courier New" w:hAnsi="Courier New" w:hint="default"/>
      </w:rPr>
    </w:lvl>
    <w:lvl w:ilvl="2" w:tplc="04090005" w:tentative="1">
      <w:start w:val="1"/>
      <w:numFmt w:val="bullet"/>
      <w:lvlText w:val=""/>
      <w:lvlJc w:val="left"/>
      <w:pPr>
        <w:tabs>
          <w:tab w:val="num" w:pos="4992"/>
        </w:tabs>
        <w:ind w:left="4992" w:hanging="360"/>
      </w:pPr>
      <w:rPr>
        <w:rFonts w:ascii="Wingdings" w:hAnsi="Wingdings" w:hint="default"/>
      </w:rPr>
    </w:lvl>
    <w:lvl w:ilvl="3" w:tplc="04090001" w:tentative="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tentative="1">
      <w:start w:val="1"/>
      <w:numFmt w:val="bullet"/>
      <w:lvlText w:val=""/>
      <w:lvlJc w:val="left"/>
      <w:pPr>
        <w:tabs>
          <w:tab w:val="num" w:pos="7152"/>
        </w:tabs>
        <w:ind w:left="7152" w:hanging="360"/>
      </w:pPr>
      <w:rPr>
        <w:rFonts w:ascii="Wingdings" w:hAnsi="Wingdings" w:hint="default"/>
      </w:rPr>
    </w:lvl>
    <w:lvl w:ilvl="6" w:tplc="04090001" w:tentative="1">
      <w:start w:val="1"/>
      <w:numFmt w:val="bullet"/>
      <w:lvlText w:val=""/>
      <w:lvlJc w:val="left"/>
      <w:pPr>
        <w:tabs>
          <w:tab w:val="num" w:pos="7872"/>
        </w:tabs>
        <w:ind w:left="7872" w:hanging="360"/>
      </w:pPr>
      <w:rPr>
        <w:rFonts w:ascii="Symbol" w:hAnsi="Symbol" w:hint="default"/>
      </w:rPr>
    </w:lvl>
    <w:lvl w:ilvl="7" w:tplc="04090003" w:tentative="1">
      <w:start w:val="1"/>
      <w:numFmt w:val="bullet"/>
      <w:lvlText w:val="o"/>
      <w:lvlJc w:val="left"/>
      <w:pPr>
        <w:tabs>
          <w:tab w:val="num" w:pos="8592"/>
        </w:tabs>
        <w:ind w:left="8592" w:hanging="360"/>
      </w:pPr>
      <w:rPr>
        <w:rFonts w:ascii="Courier New" w:hAnsi="Courier New" w:hint="default"/>
      </w:rPr>
    </w:lvl>
    <w:lvl w:ilvl="8" w:tplc="04090005" w:tentative="1">
      <w:start w:val="1"/>
      <w:numFmt w:val="bullet"/>
      <w:lvlText w:val=""/>
      <w:lvlJc w:val="left"/>
      <w:pPr>
        <w:tabs>
          <w:tab w:val="num" w:pos="9312"/>
        </w:tabs>
        <w:ind w:left="9312" w:hanging="360"/>
      </w:pPr>
      <w:rPr>
        <w:rFonts w:ascii="Wingdings" w:hAnsi="Wingdings" w:hint="default"/>
      </w:rPr>
    </w:lvl>
  </w:abstractNum>
  <w:num w:numId="1" w16cid:durableId="1669167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735661">
    <w:abstractNumId w:val="4"/>
  </w:num>
  <w:num w:numId="3" w16cid:durableId="666707597">
    <w:abstractNumId w:val="5"/>
  </w:num>
  <w:num w:numId="4" w16cid:durableId="194120075">
    <w:abstractNumId w:val="13"/>
  </w:num>
  <w:num w:numId="5" w16cid:durableId="1322658036">
    <w:abstractNumId w:val="14"/>
  </w:num>
  <w:num w:numId="6" w16cid:durableId="1121728658">
    <w:abstractNumId w:val="6"/>
  </w:num>
  <w:num w:numId="7" w16cid:durableId="2035426096">
    <w:abstractNumId w:val="8"/>
  </w:num>
  <w:num w:numId="8" w16cid:durableId="160049880">
    <w:abstractNumId w:val="10"/>
  </w:num>
  <w:num w:numId="9" w16cid:durableId="233393866">
    <w:abstractNumId w:val="2"/>
  </w:num>
  <w:num w:numId="10" w16cid:durableId="199325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129031">
    <w:abstractNumId w:val="11"/>
  </w:num>
  <w:num w:numId="12" w16cid:durableId="1493566695">
    <w:abstractNumId w:val="9"/>
  </w:num>
  <w:num w:numId="13" w16cid:durableId="1773934249">
    <w:abstractNumId w:val="0"/>
  </w:num>
  <w:num w:numId="14" w16cid:durableId="123695018">
    <w:abstractNumId w:val="3"/>
  </w:num>
  <w:num w:numId="15" w16cid:durableId="870387019">
    <w:abstractNumId w:val="15"/>
  </w:num>
  <w:num w:numId="16" w16cid:durableId="1484665810">
    <w:abstractNumId w:val="1"/>
  </w:num>
  <w:num w:numId="17" w16cid:durableId="124388066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141"/>
    <w:rsid w:val="00074448"/>
    <w:rsid w:val="000B4275"/>
    <w:rsid w:val="000E1B72"/>
    <w:rsid w:val="00103CEE"/>
    <w:rsid w:val="00125BA4"/>
    <w:rsid w:val="001439E5"/>
    <w:rsid w:val="00191978"/>
    <w:rsid w:val="001A6C71"/>
    <w:rsid w:val="0023595A"/>
    <w:rsid w:val="002416D6"/>
    <w:rsid w:val="00265254"/>
    <w:rsid w:val="00297B1F"/>
    <w:rsid w:val="002E2FBC"/>
    <w:rsid w:val="002F6B4E"/>
    <w:rsid w:val="003619DC"/>
    <w:rsid w:val="00391A8F"/>
    <w:rsid w:val="004472C3"/>
    <w:rsid w:val="004A7469"/>
    <w:rsid w:val="004E0CBC"/>
    <w:rsid w:val="004F26A0"/>
    <w:rsid w:val="00562CD0"/>
    <w:rsid w:val="005B7D88"/>
    <w:rsid w:val="005D543C"/>
    <w:rsid w:val="005F7172"/>
    <w:rsid w:val="00601307"/>
    <w:rsid w:val="00667E3C"/>
    <w:rsid w:val="006D560D"/>
    <w:rsid w:val="007050EB"/>
    <w:rsid w:val="00731DE9"/>
    <w:rsid w:val="00746DD1"/>
    <w:rsid w:val="0077093D"/>
    <w:rsid w:val="007803AB"/>
    <w:rsid w:val="00792991"/>
    <w:rsid w:val="007A2D5F"/>
    <w:rsid w:val="00856C31"/>
    <w:rsid w:val="008911C8"/>
    <w:rsid w:val="00894676"/>
    <w:rsid w:val="008C3D86"/>
    <w:rsid w:val="008D1406"/>
    <w:rsid w:val="008D52BD"/>
    <w:rsid w:val="008E097D"/>
    <w:rsid w:val="008E1780"/>
    <w:rsid w:val="009137E3"/>
    <w:rsid w:val="00914C13"/>
    <w:rsid w:val="00914C8A"/>
    <w:rsid w:val="00923228"/>
    <w:rsid w:val="00923C1E"/>
    <w:rsid w:val="00953DC3"/>
    <w:rsid w:val="009B08B6"/>
    <w:rsid w:val="009C4286"/>
    <w:rsid w:val="00A32946"/>
    <w:rsid w:val="00AA7D96"/>
    <w:rsid w:val="00AB4A53"/>
    <w:rsid w:val="00AD52BB"/>
    <w:rsid w:val="00B14717"/>
    <w:rsid w:val="00B36841"/>
    <w:rsid w:val="00B41D3E"/>
    <w:rsid w:val="00B83C41"/>
    <w:rsid w:val="00B92562"/>
    <w:rsid w:val="00B94A5A"/>
    <w:rsid w:val="00B96F6D"/>
    <w:rsid w:val="00BB195F"/>
    <w:rsid w:val="00BE46E1"/>
    <w:rsid w:val="00BF3AD6"/>
    <w:rsid w:val="00C05BBC"/>
    <w:rsid w:val="00D253DA"/>
    <w:rsid w:val="00D55C64"/>
    <w:rsid w:val="00D618A2"/>
    <w:rsid w:val="00DE3AB3"/>
    <w:rsid w:val="00ED55C1"/>
    <w:rsid w:val="00F00DF9"/>
    <w:rsid w:val="00F17A07"/>
    <w:rsid w:val="00F30F7E"/>
    <w:rsid w:val="00F32181"/>
    <w:rsid w:val="00F51D4A"/>
    <w:rsid w:val="00FD3864"/>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F74AB"/>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DE3AB3"/>
    <w:pPr>
      <w:tabs>
        <w:tab w:val="center" w:pos="4680"/>
        <w:tab w:val="right" w:pos="9360"/>
      </w:tabs>
    </w:pPr>
  </w:style>
  <w:style w:type="character" w:customStyle="1" w:styleId="HeaderChar">
    <w:name w:val="Header Char"/>
    <w:aliases w:val="encabezado Char"/>
    <w:basedOn w:val="DefaultParagraphFont"/>
    <w:link w:val="Header"/>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uiPriority w:val="99"/>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customStyle="1" w:styleId="paragraph">
    <w:name w:val="paragraph"/>
    <w:basedOn w:val="Normal"/>
    <w:rsid w:val="00297B1F"/>
    <w:pPr>
      <w:spacing w:before="100" w:beforeAutospacing="1" w:after="100" w:afterAutospacing="1"/>
    </w:pPr>
  </w:style>
  <w:style w:type="character" w:customStyle="1" w:styleId="normaltextrun">
    <w:name w:val="normaltextrun"/>
    <w:basedOn w:val="DefaultParagraphFont"/>
    <w:rsid w:val="00297B1F"/>
  </w:style>
  <w:style w:type="character" w:customStyle="1" w:styleId="eop">
    <w:name w:val="eop"/>
    <w:basedOn w:val="DefaultParagraphFont"/>
    <w:rsid w:val="00297B1F"/>
  </w:style>
  <w:style w:type="paragraph" w:styleId="BodyText">
    <w:name w:val="Body Text"/>
    <w:basedOn w:val="Normal"/>
    <w:link w:val="BodyTextChar"/>
    <w:unhideWhenUsed/>
    <w:rsid w:val="00FD3864"/>
    <w:pPr>
      <w:jc w:val="center"/>
    </w:pPr>
    <w:rPr>
      <w:rFonts w:ascii="Arial" w:hAnsi="Arial"/>
      <w:b/>
      <w:bCs/>
      <w:sz w:val="22"/>
      <w:szCs w:val="20"/>
    </w:rPr>
  </w:style>
  <w:style w:type="character" w:customStyle="1" w:styleId="BodyTextChar">
    <w:name w:val="Body Text Char"/>
    <w:basedOn w:val="DefaultParagraphFont"/>
    <w:link w:val="BodyText"/>
    <w:rsid w:val="00FD3864"/>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 w:id="1934167967">
      <w:bodyDiv w:val="1"/>
      <w:marLeft w:val="0"/>
      <w:marRight w:val="0"/>
      <w:marTop w:val="0"/>
      <w:marBottom w:val="0"/>
      <w:divBdr>
        <w:top w:val="none" w:sz="0" w:space="0" w:color="auto"/>
        <w:left w:val="none" w:sz="0" w:space="0" w:color="auto"/>
        <w:bottom w:val="none" w:sz="0" w:space="0" w:color="auto"/>
        <w:right w:val="none" w:sz="0" w:space="0" w:color="auto"/>
      </w:divBdr>
    </w:div>
    <w:div w:id="19425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B7149-70AD-4259-AA56-DB7A0BB72B32}">
  <ds:schemaRefs>
    <ds:schemaRef ds:uri="http://schemas.openxmlformats.org/officeDocument/2006/bibliography"/>
  </ds:schemaRefs>
</ds:datastoreItem>
</file>

<file path=customXml/itemProps2.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FF19A36C-1F6F-470E-A897-7FE0749B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FEFE1-19C3-4D43-8D6B-A8D2E9FB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2023-03-21T15:32:00Z</cp:lastPrinted>
  <dcterms:created xsi:type="dcterms:W3CDTF">2023-04-28T19:51:00Z</dcterms:created>
  <dcterms:modified xsi:type="dcterms:W3CDTF">2023-04-28T19:52:00Z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ies>
</file>