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B14717" w:rsidRDefault="00DE3AB3" w:rsidP="00F32181">
      <w:pPr>
        <w:tabs>
          <w:tab w:val="left" w:pos="6840"/>
        </w:tabs>
        <w:ind w:right="-749"/>
        <w:rPr>
          <w:sz w:val="22"/>
          <w:szCs w:val="22"/>
        </w:rPr>
      </w:pPr>
      <w:r>
        <w:rPr>
          <w:b/>
          <w:sz w:val="22"/>
        </w:rPr>
        <w:tab/>
      </w:r>
      <w:r>
        <w:rPr>
          <w:snapToGrid w:val="0"/>
          <w:sz w:val="22"/>
        </w:rPr>
        <w:t>OEA/Ser.W</w:t>
      </w:r>
    </w:p>
    <w:p w14:paraId="7BC6BFD4" w14:textId="2FA8BE6A" w:rsidR="00DE3AB3" w:rsidRPr="00074448" w:rsidRDefault="00DE3AB3" w:rsidP="00F32181">
      <w:pPr>
        <w:tabs>
          <w:tab w:val="left" w:pos="6840"/>
        </w:tabs>
        <w:ind w:right="-929"/>
        <w:rPr>
          <w:bCs/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CIDI/doc.</w:t>
      </w:r>
      <w:r w:rsidR="009A6471">
        <w:rPr>
          <w:sz w:val="22"/>
        </w:rPr>
        <w:t xml:space="preserve"> </w:t>
      </w:r>
      <w:r>
        <w:rPr>
          <w:sz w:val="22"/>
        </w:rPr>
        <w:t>384/23</w:t>
      </w:r>
      <w:r w:rsidR="00505CA6">
        <w:rPr>
          <w:sz w:val="22"/>
        </w:rPr>
        <w:t xml:space="preserve"> rev.1</w:t>
      </w:r>
    </w:p>
    <w:p w14:paraId="12BA1CE8" w14:textId="157AA264" w:rsidR="00DE3AB3" w:rsidRPr="00B14717" w:rsidRDefault="00DE3AB3" w:rsidP="00F32181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>
        <w:rPr>
          <w:sz w:val="22"/>
        </w:rPr>
        <w:tab/>
        <w:t>2</w:t>
      </w:r>
      <w:r w:rsidR="00505CA6">
        <w:rPr>
          <w:sz w:val="22"/>
        </w:rPr>
        <w:t>7</w:t>
      </w:r>
      <w:r>
        <w:rPr>
          <w:sz w:val="22"/>
        </w:rPr>
        <w:t xml:space="preserve"> abril 2023</w:t>
      </w:r>
    </w:p>
    <w:p w14:paraId="08F3B18C" w14:textId="3B240148" w:rsidR="00DE3AB3" w:rsidRPr="00B14717" w:rsidRDefault="00DE3AB3" w:rsidP="00F32181">
      <w:pPr>
        <w:tabs>
          <w:tab w:val="left" w:pos="6840"/>
        </w:tabs>
        <w:ind w:right="-749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07EF035B" w14:textId="77777777" w:rsidR="00DE3AB3" w:rsidRPr="00B14717" w:rsidRDefault="00DE3AB3" w:rsidP="00F32181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7B1E6A" w:rsidRDefault="00DE3AB3" w:rsidP="007B1E6A">
      <w:pPr>
        <w:jc w:val="both"/>
        <w:rPr>
          <w:sz w:val="22"/>
          <w:szCs w:val="22"/>
        </w:rPr>
      </w:pPr>
    </w:p>
    <w:p w14:paraId="4A9EA3B3" w14:textId="77777777" w:rsidR="00894676" w:rsidRPr="007B1E6A" w:rsidRDefault="00894676" w:rsidP="007B1E6A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14:paraId="5B0F1A26" w14:textId="779DC1BF" w:rsidR="00923228" w:rsidRPr="00B14717" w:rsidRDefault="009B08B6" w:rsidP="00F3218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</w:rPr>
        <w:t>PROJETO DE AGENDA</w:t>
      </w:r>
    </w:p>
    <w:p w14:paraId="2D21F668" w14:textId="77777777" w:rsidR="00297B1F" w:rsidRPr="00B14717" w:rsidRDefault="00297B1F" w:rsidP="007B1E6A">
      <w:pPr>
        <w:jc w:val="both"/>
        <w:rPr>
          <w:sz w:val="22"/>
          <w:szCs w:val="22"/>
        </w:rPr>
      </w:pPr>
    </w:p>
    <w:p w14:paraId="5F8F4348" w14:textId="7F035AA2" w:rsidR="00B14717" w:rsidRPr="00B14717" w:rsidRDefault="00FD3864" w:rsidP="00F32181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 xml:space="preserve">DÉCIMA REUNIÃO ORDINÁRIA DA COMISSÃO INTERAMERICANA </w:t>
      </w:r>
      <w:r w:rsidR="007B1E6A">
        <w:rPr>
          <w:sz w:val="22"/>
        </w:rPr>
        <w:br/>
      </w:r>
      <w:r>
        <w:rPr>
          <w:sz w:val="22"/>
        </w:rPr>
        <w:t xml:space="preserve">DE CIÊNCIA E TECNOLOGIA </w:t>
      </w:r>
    </w:p>
    <w:p w14:paraId="3074BB61" w14:textId="77777777" w:rsidR="00297B1F" w:rsidRPr="00B14717" w:rsidRDefault="00297B1F" w:rsidP="007B1E6A">
      <w:pPr>
        <w:jc w:val="both"/>
        <w:rPr>
          <w:bCs/>
          <w:sz w:val="22"/>
          <w:szCs w:val="22"/>
        </w:rPr>
      </w:pPr>
    </w:p>
    <w:p w14:paraId="09453469" w14:textId="2998B6CE" w:rsidR="00297B1F" w:rsidRDefault="00F32181" w:rsidP="00F32181">
      <w:pPr>
        <w:jc w:val="center"/>
        <w:rPr>
          <w:sz w:val="22"/>
          <w:szCs w:val="22"/>
        </w:rPr>
      </w:pPr>
      <w:r>
        <w:rPr>
          <w:sz w:val="22"/>
        </w:rPr>
        <w:t>5 de maio de 2023</w:t>
      </w:r>
    </w:p>
    <w:p w14:paraId="27A92784" w14:textId="7B7BA76F" w:rsidR="00F32181" w:rsidRDefault="00F32181" w:rsidP="00F32181">
      <w:pPr>
        <w:jc w:val="center"/>
        <w:rPr>
          <w:sz w:val="22"/>
          <w:szCs w:val="22"/>
        </w:rPr>
      </w:pPr>
      <w:r>
        <w:rPr>
          <w:sz w:val="22"/>
        </w:rPr>
        <w:t xml:space="preserve">Washington, D.C. </w:t>
      </w:r>
    </w:p>
    <w:p w14:paraId="7D56BE26" w14:textId="77777777" w:rsidR="00FD3864" w:rsidRDefault="00FD3864" w:rsidP="007B1E6A">
      <w:pPr>
        <w:jc w:val="both"/>
        <w:rPr>
          <w:sz w:val="22"/>
          <w:szCs w:val="22"/>
        </w:rPr>
      </w:pPr>
    </w:p>
    <w:p w14:paraId="4404A661" w14:textId="77777777" w:rsidR="00505CA6" w:rsidRPr="00505CA6" w:rsidRDefault="00505CA6" w:rsidP="00165B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t"/>
        </w:rPr>
        <w:t>(Acordado pelo CIDI na reunião ordinária realizada em 25 de abril de 2023)</w:t>
      </w:r>
    </w:p>
    <w:p w14:paraId="71D92CCF" w14:textId="77777777" w:rsidR="00505CA6" w:rsidRPr="00505CA6" w:rsidRDefault="00505CA6" w:rsidP="00505C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</w:p>
    <w:p w14:paraId="699719A6" w14:textId="77777777" w:rsidR="00FD3864" w:rsidRDefault="00FD3864" w:rsidP="007B1E6A">
      <w:pPr>
        <w:jc w:val="both"/>
        <w:rPr>
          <w:sz w:val="22"/>
          <w:szCs w:val="22"/>
        </w:rPr>
      </w:pPr>
    </w:p>
    <w:p w14:paraId="53FDC22E" w14:textId="77777777" w:rsidR="00505CA6" w:rsidRPr="00505CA6" w:rsidRDefault="00505CA6" w:rsidP="007B1E6A">
      <w:pPr>
        <w:jc w:val="both"/>
        <w:rPr>
          <w:sz w:val="22"/>
          <w:szCs w:val="22"/>
        </w:rPr>
      </w:pPr>
    </w:p>
    <w:p w14:paraId="61D5AE56" w14:textId="6D4BAE0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r>
        <w:rPr>
          <w:sz w:val="22"/>
        </w:rPr>
        <w:t xml:space="preserve">Aprovação do projeto de agenda e do projeto de calendário da reunião </w:t>
      </w:r>
    </w:p>
    <w:p w14:paraId="5D8DF6FA" w14:textId="77777777" w:rsidR="00FD3864" w:rsidRDefault="00FD3864" w:rsidP="00F32181">
      <w:pPr>
        <w:jc w:val="both"/>
        <w:rPr>
          <w:bCs/>
          <w:sz w:val="22"/>
          <w:szCs w:val="22"/>
        </w:rPr>
      </w:pPr>
    </w:p>
    <w:p w14:paraId="2A48B794" w14:textId="7777777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r>
        <w:rPr>
          <w:sz w:val="22"/>
        </w:rPr>
        <w:t>Duração da reunião</w:t>
      </w:r>
    </w:p>
    <w:p w14:paraId="42B76BAD" w14:textId="77777777" w:rsidR="00FD3864" w:rsidRDefault="00FD3864" w:rsidP="00F32181">
      <w:pPr>
        <w:jc w:val="both"/>
        <w:rPr>
          <w:bCs/>
          <w:sz w:val="22"/>
          <w:szCs w:val="22"/>
        </w:rPr>
      </w:pPr>
    </w:p>
    <w:p w14:paraId="11AAAD8F" w14:textId="579F3232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r>
        <w:rPr>
          <w:sz w:val="22"/>
        </w:rPr>
        <w:t>Relatório de progresso sobre a implementação dos mandatos e compromissos da Declaração da Jamaica e do Plano de Trabalho da COMCYT 2022-2024</w:t>
      </w:r>
    </w:p>
    <w:p w14:paraId="5BD0F507" w14:textId="77777777" w:rsidR="00FD3864" w:rsidRDefault="00FD3864" w:rsidP="00F32181">
      <w:pPr>
        <w:jc w:val="both"/>
        <w:rPr>
          <w:bCs/>
          <w:sz w:val="22"/>
          <w:szCs w:val="22"/>
        </w:rPr>
      </w:pPr>
    </w:p>
    <w:p w14:paraId="7A550294" w14:textId="54AB342C" w:rsidR="00FD3864" w:rsidRDefault="00FD3864" w:rsidP="00F32181">
      <w:pPr>
        <w:tabs>
          <w:tab w:val="left" w:pos="2070"/>
        </w:tabs>
        <w:ind w:left="1350" w:hanging="630"/>
        <w:jc w:val="both"/>
        <w:rPr>
          <w:bCs/>
          <w:sz w:val="22"/>
          <w:szCs w:val="22"/>
        </w:rPr>
      </w:pPr>
      <w:r>
        <w:rPr>
          <w:sz w:val="22"/>
        </w:rPr>
        <w:t>3.1</w:t>
      </w:r>
      <w:r>
        <w:rPr>
          <w:sz w:val="22"/>
        </w:rPr>
        <w:tab/>
        <w:t xml:space="preserve">Relatório da Secretaria Técnica da COMCyT </w:t>
      </w:r>
    </w:p>
    <w:p w14:paraId="2A50DD54" w14:textId="77777777" w:rsidR="00FD3864" w:rsidRDefault="00FD3864" w:rsidP="007B1E6A">
      <w:pPr>
        <w:jc w:val="both"/>
        <w:rPr>
          <w:sz w:val="22"/>
          <w:szCs w:val="22"/>
        </w:rPr>
      </w:pPr>
    </w:p>
    <w:p w14:paraId="7B47B934" w14:textId="77777777" w:rsidR="00FD3864" w:rsidRDefault="00FD3864" w:rsidP="00F32181">
      <w:pPr>
        <w:numPr>
          <w:ilvl w:val="0"/>
          <w:numId w:val="16"/>
        </w:numPr>
        <w:ind w:right="-40" w:hanging="720"/>
        <w:jc w:val="both"/>
        <w:rPr>
          <w:bCs/>
          <w:sz w:val="22"/>
          <w:szCs w:val="22"/>
        </w:rPr>
      </w:pPr>
      <w:r>
        <w:rPr>
          <w:sz w:val="22"/>
        </w:rPr>
        <w:t>Compartilhamento de conhecimentos e boas práticas em temas de interesse e prioridades identificados pelos Estados membros e refletidos na Declaração da Jamaica e no Plano de Trabalho da COMCYT 2022-2024.</w:t>
      </w:r>
    </w:p>
    <w:p w14:paraId="0998E9FE" w14:textId="77777777" w:rsidR="00FD3864" w:rsidRDefault="00FD3864" w:rsidP="007B1E6A">
      <w:pPr>
        <w:jc w:val="both"/>
        <w:rPr>
          <w:bCs/>
          <w:sz w:val="22"/>
          <w:szCs w:val="22"/>
        </w:rPr>
      </w:pPr>
    </w:p>
    <w:p w14:paraId="4A55708B" w14:textId="77777777" w:rsidR="00FD3864" w:rsidRDefault="00FD3864" w:rsidP="00F32181">
      <w:pPr>
        <w:numPr>
          <w:ilvl w:val="1"/>
          <w:numId w:val="17"/>
        </w:numPr>
        <w:tabs>
          <w:tab w:val="left" w:pos="1440"/>
        </w:tabs>
        <w:ind w:right="-40" w:hanging="720"/>
        <w:jc w:val="both"/>
        <w:rPr>
          <w:bCs/>
          <w:sz w:val="22"/>
          <w:szCs w:val="22"/>
        </w:rPr>
      </w:pPr>
      <w:bookmarkStart w:id="0" w:name="_Hlk130382086"/>
      <w:bookmarkStart w:id="1" w:name="_Hlk130379018"/>
      <w:r>
        <w:rPr>
          <w:sz w:val="22"/>
        </w:rPr>
        <w:t>História da Ciência e Diplomacia: Fortalecimento da cooperação regional em P&amp;D por meio de enfoques multidisciplinares e plurilíngues</w:t>
      </w:r>
      <w:bookmarkEnd w:id="0"/>
    </w:p>
    <w:p w14:paraId="4ACB51F9" w14:textId="77777777" w:rsidR="00FD3864" w:rsidRDefault="00FD3864" w:rsidP="007B1E6A">
      <w:pPr>
        <w:jc w:val="both"/>
        <w:rPr>
          <w:bCs/>
          <w:sz w:val="22"/>
          <w:szCs w:val="22"/>
        </w:rPr>
      </w:pPr>
    </w:p>
    <w:p w14:paraId="75149040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sz w:val="22"/>
        </w:rPr>
        <w:t>Jovens: Aprimoramento de habilidades e prontidão para a indústria 4.0 (Academia da OEA sobre Tecnologias Transformadoras para Jovens)</w:t>
      </w:r>
      <w:bookmarkStart w:id="2" w:name="_Hlk130379356"/>
      <w:bookmarkEnd w:id="1"/>
    </w:p>
    <w:p w14:paraId="30EEDC70" w14:textId="77777777" w:rsidR="00FD3864" w:rsidRDefault="00FD3864" w:rsidP="007B1E6A">
      <w:pPr>
        <w:jc w:val="both"/>
        <w:rPr>
          <w:bCs/>
          <w:sz w:val="22"/>
          <w:szCs w:val="22"/>
        </w:rPr>
      </w:pPr>
    </w:p>
    <w:p w14:paraId="568B91D3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sz w:val="22"/>
        </w:rPr>
        <w:t>A visão tecnológica como subsídio para as decisões de políticas públicas (Prospecta Américas e os Centros de Excelência em Tecnologias Transformadoras da OEA)</w:t>
      </w:r>
      <w:bookmarkStart w:id="3" w:name="_Hlk130380260"/>
      <w:bookmarkEnd w:id="2"/>
    </w:p>
    <w:p w14:paraId="43661D06" w14:textId="77777777" w:rsidR="00FD3864" w:rsidRDefault="00FD3864" w:rsidP="007B1E6A">
      <w:pPr>
        <w:jc w:val="both"/>
        <w:rPr>
          <w:bCs/>
          <w:sz w:val="22"/>
          <w:szCs w:val="22"/>
        </w:rPr>
      </w:pPr>
    </w:p>
    <w:p w14:paraId="3F74530F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sz w:val="22"/>
        </w:rPr>
        <w:t>Casos de uso de tecnologias transformadoras para o desenvolvimento sustentável da América</w:t>
      </w:r>
      <w:bookmarkStart w:id="4" w:name="_Hlk130381861"/>
      <w:r>
        <w:rPr>
          <w:sz w:val="22"/>
        </w:rPr>
        <w:t>s</w:t>
      </w:r>
    </w:p>
    <w:p w14:paraId="6CA34528" w14:textId="77777777" w:rsidR="00FD3864" w:rsidRDefault="00FD3864" w:rsidP="007B1E6A">
      <w:pPr>
        <w:jc w:val="both"/>
        <w:rPr>
          <w:bCs/>
          <w:sz w:val="22"/>
          <w:szCs w:val="22"/>
        </w:rPr>
      </w:pPr>
    </w:p>
    <w:p w14:paraId="4EA10026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sz w:val="22"/>
        </w:rPr>
        <w:t>Infraestrutura de qualidade e tecnologias transformadoras</w:t>
      </w:r>
      <w:bookmarkEnd w:id="4"/>
      <w:r>
        <w:rPr>
          <w:sz w:val="22"/>
        </w:rPr>
        <w:t xml:space="preserve"> </w:t>
      </w:r>
    </w:p>
    <w:p w14:paraId="118F8BF2" w14:textId="77777777" w:rsidR="00FD3864" w:rsidRDefault="00FD3864" w:rsidP="007B1E6A">
      <w:pPr>
        <w:jc w:val="both"/>
        <w:rPr>
          <w:bCs/>
          <w:sz w:val="22"/>
          <w:szCs w:val="22"/>
        </w:rPr>
      </w:pPr>
    </w:p>
    <w:p w14:paraId="4AF88A18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sz w:val="22"/>
        </w:rPr>
        <w:t>Tecnologias e soluções inovadoras para um crescimento resiliente, sustentável e inclusivo. Ações inovadoras de colaboração entre governo, setor acadêmico e setor privado</w:t>
      </w:r>
    </w:p>
    <w:p w14:paraId="3BD6A9FD" w14:textId="77777777" w:rsidR="00FD3864" w:rsidRDefault="00FD3864" w:rsidP="007B1E6A">
      <w:pPr>
        <w:jc w:val="both"/>
        <w:rPr>
          <w:bCs/>
          <w:sz w:val="22"/>
          <w:szCs w:val="22"/>
        </w:rPr>
      </w:pPr>
    </w:p>
    <w:p w14:paraId="35441EA3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t>Iniciativas de c</w:t>
      </w:r>
      <w:r>
        <w:rPr>
          <w:sz w:val="22"/>
        </w:rPr>
        <w:t xml:space="preserve">onectividade </w:t>
      </w:r>
      <w:bookmarkStart w:id="5" w:name="_Hlk130381688"/>
      <w:bookmarkEnd w:id="3"/>
      <w:r>
        <w:rPr>
          <w:sz w:val="22"/>
        </w:rPr>
        <w:t>e engenharia nas Américas</w:t>
      </w:r>
    </w:p>
    <w:bookmarkEnd w:id="5"/>
    <w:p w14:paraId="7A8C7462" w14:textId="77777777" w:rsidR="00FD3864" w:rsidRDefault="00FD3864" w:rsidP="00F32181">
      <w:pPr>
        <w:jc w:val="both"/>
        <w:rPr>
          <w:bCs/>
          <w:sz w:val="22"/>
          <w:szCs w:val="22"/>
        </w:rPr>
      </w:pPr>
    </w:p>
    <w:p w14:paraId="7959BBF9" w14:textId="7777777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bookmarkStart w:id="6" w:name="_Hlk130382321"/>
      <w:r>
        <w:rPr>
          <w:sz w:val="22"/>
        </w:rPr>
        <w:t xml:space="preserve">Resumo das contribuições e diretrizes para que a Secretaria redija um livro branco para informar o tema e a agenda da próxima reunião ministerial. </w:t>
      </w:r>
    </w:p>
    <w:bookmarkEnd w:id="6"/>
    <w:p w14:paraId="028D40B6" w14:textId="77777777" w:rsidR="00FD3864" w:rsidRDefault="00FD3864" w:rsidP="00F32181">
      <w:pPr>
        <w:pStyle w:val="ListParagraph"/>
        <w:tabs>
          <w:tab w:val="num" w:pos="720"/>
        </w:tabs>
        <w:ind w:left="0"/>
        <w:rPr>
          <w:bCs/>
          <w:sz w:val="22"/>
          <w:szCs w:val="22"/>
        </w:rPr>
      </w:pPr>
    </w:p>
    <w:p w14:paraId="7FF84654" w14:textId="7777777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r>
        <w:rPr>
          <w:sz w:val="22"/>
        </w:rPr>
        <w:t>Outros assuntos</w:t>
      </w:r>
    </w:p>
    <w:p w14:paraId="4D0FDA8D" w14:textId="19DCCBCF" w:rsidR="00297B1F" w:rsidRPr="00B14717" w:rsidRDefault="00FA3ACA" w:rsidP="00F3218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838A2F" wp14:editId="71A2C13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1F6A15" w14:textId="5056650A" w:rsidR="00FA3ACA" w:rsidRPr="00FA3ACA" w:rsidRDefault="00FA3A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CIDCT00144P01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8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01F6A15" w14:textId="5056650A" w:rsidR="00FA3ACA" w:rsidRPr="00FA3ACA" w:rsidRDefault="00FA3AC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CIDCT00144P01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7B1F" w:rsidRPr="00B1471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04F4" w14:textId="77777777" w:rsidR="007050EB" w:rsidRDefault="007050EB" w:rsidP="00DE3AB3">
      <w:r>
        <w:separator/>
      </w:r>
    </w:p>
  </w:endnote>
  <w:endnote w:type="continuationSeparator" w:id="0">
    <w:p w14:paraId="560E5203" w14:textId="77777777" w:rsidR="007050EB" w:rsidRDefault="007050EB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C03" w14:textId="77777777" w:rsidR="007050EB" w:rsidRDefault="007050EB" w:rsidP="00DE3AB3">
      <w:r>
        <w:separator/>
      </w:r>
    </w:p>
  </w:footnote>
  <w:footnote w:type="continuationSeparator" w:id="0">
    <w:p w14:paraId="06C894DB" w14:textId="77777777" w:rsidR="007050EB" w:rsidRDefault="007050EB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97022D5" w14:textId="77777777" w:rsidR="00800745" w:rsidRDefault="00FA3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FA3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CC617B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Conselho Interamericano de Desenvolvimento Integral</w:t>
                          </w:r>
                        </w:p>
                        <w:p w14:paraId="24C4AD9C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CC617B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Conselho Interamericano de Desenvolvimento Integral</w:t>
                    </w:r>
                  </w:p>
                  <w:p w14:paraId="24C4AD9C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F5D245D"/>
    <w:multiLevelType w:val="hybridMultilevel"/>
    <w:tmpl w:val="C4DA8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</w:lvl>
    <w:lvl w:ilvl="3" w:tplc="BAB2AD4A">
      <w:start w:val="1"/>
      <w:numFmt w:val="decimal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8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4"/>
  </w:num>
  <w:num w:numId="3" w16cid:durableId="666707597">
    <w:abstractNumId w:val="5"/>
  </w:num>
  <w:num w:numId="4" w16cid:durableId="194120075">
    <w:abstractNumId w:val="13"/>
  </w:num>
  <w:num w:numId="5" w16cid:durableId="1322658036">
    <w:abstractNumId w:val="14"/>
  </w:num>
  <w:num w:numId="6" w16cid:durableId="1121728658">
    <w:abstractNumId w:val="6"/>
  </w:num>
  <w:num w:numId="7" w16cid:durableId="2035426096">
    <w:abstractNumId w:val="8"/>
  </w:num>
  <w:num w:numId="8" w16cid:durableId="160049880">
    <w:abstractNumId w:val="10"/>
  </w:num>
  <w:num w:numId="9" w16cid:durableId="233393866">
    <w:abstractNumId w:val="2"/>
  </w:num>
  <w:num w:numId="10" w16cid:durableId="199325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11"/>
  </w:num>
  <w:num w:numId="12" w16cid:durableId="1493566695">
    <w:abstractNumId w:val="9"/>
  </w:num>
  <w:num w:numId="13" w16cid:durableId="1773934249">
    <w:abstractNumId w:val="0"/>
  </w:num>
  <w:num w:numId="14" w16cid:durableId="123695018">
    <w:abstractNumId w:val="3"/>
  </w:num>
  <w:num w:numId="15" w16cid:durableId="870387019">
    <w:abstractNumId w:val="15"/>
  </w:num>
  <w:num w:numId="16" w16cid:durableId="1484665810">
    <w:abstractNumId w:val="1"/>
  </w:num>
  <w:num w:numId="17" w16cid:durableId="124388066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74448"/>
    <w:rsid w:val="000B4275"/>
    <w:rsid w:val="00103CEE"/>
    <w:rsid w:val="00125BA4"/>
    <w:rsid w:val="001439E5"/>
    <w:rsid w:val="00191978"/>
    <w:rsid w:val="001A6C71"/>
    <w:rsid w:val="001A6D37"/>
    <w:rsid w:val="0023595A"/>
    <w:rsid w:val="00265254"/>
    <w:rsid w:val="00297B1F"/>
    <w:rsid w:val="002E2FBC"/>
    <w:rsid w:val="002F6B4E"/>
    <w:rsid w:val="003619DC"/>
    <w:rsid w:val="00391A8F"/>
    <w:rsid w:val="004472C3"/>
    <w:rsid w:val="004A7469"/>
    <w:rsid w:val="004E0CBC"/>
    <w:rsid w:val="004F26A0"/>
    <w:rsid w:val="00505CA6"/>
    <w:rsid w:val="00562CD0"/>
    <w:rsid w:val="005D543C"/>
    <w:rsid w:val="005F7172"/>
    <w:rsid w:val="00667E3C"/>
    <w:rsid w:val="006D560D"/>
    <w:rsid w:val="007050EB"/>
    <w:rsid w:val="00731DE9"/>
    <w:rsid w:val="00746DD1"/>
    <w:rsid w:val="0077093D"/>
    <w:rsid w:val="007803AB"/>
    <w:rsid w:val="00792991"/>
    <w:rsid w:val="007A2D5F"/>
    <w:rsid w:val="007B1E6A"/>
    <w:rsid w:val="00856C31"/>
    <w:rsid w:val="00894676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3DC3"/>
    <w:rsid w:val="009A6471"/>
    <w:rsid w:val="009B08B6"/>
    <w:rsid w:val="009C4286"/>
    <w:rsid w:val="00A32946"/>
    <w:rsid w:val="00AA7D96"/>
    <w:rsid w:val="00AB4A53"/>
    <w:rsid w:val="00AD52BB"/>
    <w:rsid w:val="00AF3098"/>
    <w:rsid w:val="00B14717"/>
    <w:rsid w:val="00B36841"/>
    <w:rsid w:val="00B41D3E"/>
    <w:rsid w:val="00B83C41"/>
    <w:rsid w:val="00B92562"/>
    <w:rsid w:val="00B94A5A"/>
    <w:rsid w:val="00B96F6D"/>
    <w:rsid w:val="00BB195F"/>
    <w:rsid w:val="00BE46E1"/>
    <w:rsid w:val="00BF3AD6"/>
    <w:rsid w:val="00C05BBC"/>
    <w:rsid w:val="00D253DA"/>
    <w:rsid w:val="00D55C64"/>
    <w:rsid w:val="00D618A2"/>
    <w:rsid w:val="00DE3AB3"/>
    <w:rsid w:val="00ED55C1"/>
    <w:rsid w:val="00F00DF9"/>
    <w:rsid w:val="00F17A07"/>
    <w:rsid w:val="00F30F7E"/>
    <w:rsid w:val="00F32181"/>
    <w:rsid w:val="00F51D4A"/>
    <w:rsid w:val="00FA3ACA"/>
    <w:rsid w:val="00FD38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unhideWhenUsed/>
    <w:rsid w:val="00FD3864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D3864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0f74aa-8393-4aa5-b2f8-3c7aae566a68"/>
    <ds:schemaRef ds:uri="5c0ed026-2af2-4bd4-84a6-7e6cd39ea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cp:lastPrinted>2023-03-21T15:32:00Z</cp:lastPrinted>
  <dcterms:created xsi:type="dcterms:W3CDTF">2023-04-28T19:50:00Z</dcterms:created>
  <dcterms:modified xsi:type="dcterms:W3CDTF">2023-04-28T19:52:00Z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