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DAE1" w14:textId="77777777" w:rsidR="00DE3AB3" w:rsidRPr="00961A64" w:rsidRDefault="00DE3AB3" w:rsidP="00D2033C">
      <w:pPr>
        <w:tabs>
          <w:tab w:val="left" w:pos="6840"/>
        </w:tabs>
        <w:ind w:right="-749"/>
        <w:rPr>
          <w:sz w:val="22"/>
          <w:szCs w:val="22"/>
          <w:lang w:val="pt-BR"/>
        </w:rPr>
      </w:pPr>
      <w:r w:rsidRPr="000F34C4">
        <w:rPr>
          <w:b/>
          <w:bCs/>
          <w:sz w:val="22"/>
          <w:szCs w:val="22"/>
          <w:lang w:val="fr-CA"/>
        </w:rPr>
        <w:tab/>
      </w:r>
      <w:r w:rsidRPr="00961A64">
        <w:rPr>
          <w:snapToGrid w:val="0"/>
          <w:sz w:val="22"/>
          <w:szCs w:val="22"/>
          <w:lang w:val="pt-BR"/>
        </w:rPr>
        <w:t>OEA/Ser.W</w:t>
      </w:r>
    </w:p>
    <w:p w14:paraId="7BC6BFD4" w14:textId="0C26D664" w:rsidR="00DE3AB3" w:rsidRPr="00961A64" w:rsidRDefault="00DE3AB3" w:rsidP="00D2033C">
      <w:pPr>
        <w:tabs>
          <w:tab w:val="left" w:pos="6840"/>
        </w:tabs>
        <w:ind w:right="-929"/>
        <w:rPr>
          <w:bCs/>
          <w:sz w:val="22"/>
          <w:szCs w:val="22"/>
          <w:lang w:val="pt-BR"/>
        </w:rPr>
      </w:pPr>
      <w:r w:rsidRPr="00961A64">
        <w:rPr>
          <w:b/>
          <w:bCs/>
          <w:sz w:val="22"/>
          <w:szCs w:val="22"/>
          <w:lang w:val="pt-BR"/>
        </w:rPr>
        <w:tab/>
      </w:r>
      <w:r w:rsidRPr="00961A64">
        <w:rPr>
          <w:bCs/>
          <w:sz w:val="22"/>
          <w:szCs w:val="22"/>
          <w:lang w:val="pt-BR"/>
        </w:rPr>
        <w:t>CIDI/doc.</w:t>
      </w:r>
      <w:r w:rsidR="009825FB">
        <w:rPr>
          <w:bCs/>
          <w:sz w:val="22"/>
          <w:szCs w:val="22"/>
          <w:lang w:val="pt-BR"/>
        </w:rPr>
        <w:t xml:space="preserve"> </w:t>
      </w:r>
      <w:r w:rsidR="00B53281" w:rsidRPr="00961A64">
        <w:rPr>
          <w:bCs/>
          <w:sz w:val="22"/>
          <w:szCs w:val="22"/>
          <w:lang w:val="pt-BR"/>
        </w:rPr>
        <w:t>388</w:t>
      </w:r>
      <w:r w:rsidR="00BE46E1" w:rsidRPr="00961A64">
        <w:rPr>
          <w:bCs/>
          <w:sz w:val="22"/>
          <w:szCs w:val="22"/>
          <w:lang w:val="pt-BR"/>
        </w:rPr>
        <w:t>/2</w:t>
      </w:r>
      <w:r w:rsidR="00F30F7E" w:rsidRPr="00961A64">
        <w:rPr>
          <w:bCs/>
          <w:sz w:val="22"/>
          <w:szCs w:val="22"/>
          <w:lang w:val="pt-BR"/>
        </w:rPr>
        <w:t>3</w:t>
      </w:r>
      <w:r w:rsidR="009825FB">
        <w:rPr>
          <w:bCs/>
          <w:sz w:val="22"/>
          <w:szCs w:val="22"/>
          <w:lang w:val="pt-BR"/>
        </w:rPr>
        <w:t xml:space="preserve"> rev.1</w:t>
      </w:r>
    </w:p>
    <w:p w14:paraId="12BA1CE8" w14:textId="63A5AF5F" w:rsidR="00DE3AB3" w:rsidRPr="000F34C4" w:rsidRDefault="00DE3AB3" w:rsidP="00D2033C">
      <w:pPr>
        <w:tabs>
          <w:tab w:val="left" w:pos="6840"/>
        </w:tabs>
        <w:ind w:right="-929"/>
        <w:rPr>
          <w:snapToGrid w:val="0"/>
          <w:sz w:val="22"/>
          <w:szCs w:val="22"/>
          <w:lang w:val="fr-CA"/>
        </w:rPr>
      </w:pPr>
      <w:r w:rsidRPr="00961A64">
        <w:rPr>
          <w:sz w:val="22"/>
          <w:szCs w:val="22"/>
          <w:lang w:val="pt-BR"/>
        </w:rPr>
        <w:tab/>
      </w:r>
      <w:r w:rsidR="009825FB" w:rsidRPr="000D20DB">
        <w:rPr>
          <w:sz w:val="22"/>
          <w:szCs w:val="22"/>
          <w:lang w:val="fr-CA"/>
        </w:rPr>
        <w:t>13 juin</w:t>
      </w:r>
      <w:r w:rsidR="00481BF7" w:rsidRPr="000F34C4">
        <w:rPr>
          <w:sz w:val="22"/>
          <w:szCs w:val="22"/>
          <w:lang w:val="fr-CA"/>
        </w:rPr>
        <w:t xml:space="preserve"> </w:t>
      </w:r>
      <w:r w:rsidRPr="000F34C4">
        <w:rPr>
          <w:sz w:val="22"/>
          <w:szCs w:val="22"/>
          <w:lang w:val="fr-CA"/>
        </w:rPr>
        <w:t>202</w:t>
      </w:r>
      <w:r w:rsidR="00F30F7E" w:rsidRPr="000F34C4">
        <w:rPr>
          <w:sz w:val="22"/>
          <w:szCs w:val="22"/>
          <w:lang w:val="fr-CA"/>
        </w:rPr>
        <w:t>3</w:t>
      </w:r>
    </w:p>
    <w:p w14:paraId="08F3B18C" w14:textId="4A74BEFD" w:rsidR="00DE3AB3" w:rsidRPr="000F34C4" w:rsidRDefault="00DE3AB3" w:rsidP="00D2033C">
      <w:pPr>
        <w:tabs>
          <w:tab w:val="left" w:pos="6840"/>
        </w:tabs>
        <w:ind w:right="-749"/>
        <w:rPr>
          <w:sz w:val="22"/>
          <w:szCs w:val="22"/>
          <w:lang w:val="fr-CA"/>
        </w:rPr>
      </w:pPr>
      <w:r w:rsidRPr="000F34C4">
        <w:rPr>
          <w:sz w:val="22"/>
          <w:szCs w:val="22"/>
          <w:lang w:val="fr-CA"/>
        </w:rPr>
        <w:tab/>
        <w:t xml:space="preserve">Original: </w:t>
      </w:r>
      <w:r w:rsidR="000F34C4">
        <w:rPr>
          <w:sz w:val="22"/>
          <w:szCs w:val="22"/>
          <w:lang w:val="fr-CA"/>
        </w:rPr>
        <w:t>anglais</w:t>
      </w:r>
    </w:p>
    <w:p w14:paraId="07EF035B" w14:textId="77777777" w:rsidR="00DE3AB3" w:rsidRPr="000F34C4" w:rsidRDefault="00DE3AB3" w:rsidP="00D2033C">
      <w:pPr>
        <w:pBdr>
          <w:bottom w:val="single" w:sz="12" w:space="1" w:color="auto"/>
        </w:pBdr>
        <w:tabs>
          <w:tab w:val="left" w:pos="6030"/>
          <w:tab w:val="left" w:pos="6210"/>
        </w:tabs>
        <w:rPr>
          <w:sz w:val="22"/>
          <w:szCs w:val="22"/>
          <w:lang w:val="fr-CA"/>
        </w:rPr>
      </w:pPr>
    </w:p>
    <w:p w14:paraId="77607613" w14:textId="10CB8BEA" w:rsidR="00DE3AB3" w:rsidRPr="000F34C4" w:rsidRDefault="00DE3AB3" w:rsidP="00D2033C">
      <w:pPr>
        <w:jc w:val="center"/>
        <w:rPr>
          <w:b/>
          <w:bCs/>
          <w:sz w:val="22"/>
          <w:szCs w:val="22"/>
          <w:lang w:val="fr-CA"/>
        </w:rPr>
      </w:pPr>
    </w:p>
    <w:p w14:paraId="6BC3535E" w14:textId="77777777" w:rsidR="0088039A" w:rsidRPr="000F34C4" w:rsidRDefault="0088039A" w:rsidP="00D2033C">
      <w:pPr>
        <w:jc w:val="center"/>
        <w:rPr>
          <w:b/>
          <w:bCs/>
          <w:sz w:val="22"/>
          <w:szCs w:val="22"/>
          <w:lang w:val="fr-CA"/>
        </w:rPr>
      </w:pPr>
    </w:p>
    <w:p w14:paraId="2027770D" w14:textId="57BD94A3" w:rsidR="00D2033C" w:rsidRPr="000F34C4" w:rsidRDefault="009825FB" w:rsidP="000F34C4">
      <w:pPr>
        <w:pStyle w:val="BodyText"/>
        <w:tabs>
          <w:tab w:val="left" w:pos="0"/>
        </w:tabs>
        <w:rPr>
          <w:szCs w:val="22"/>
          <w:lang w:val="fr-CA"/>
        </w:rPr>
      </w:pPr>
      <w:r>
        <w:rPr>
          <w:rFonts w:ascii="Times New Roman" w:hAnsi="Times New Roman"/>
          <w:bCs w:val="0"/>
          <w:szCs w:val="22"/>
          <w:lang w:val="fr-CA"/>
        </w:rPr>
        <w:t>O</w:t>
      </w:r>
      <w:r w:rsidR="000F34C4">
        <w:rPr>
          <w:rFonts w:ascii="Times New Roman" w:hAnsi="Times New Roman"/>
          <w:bCs w:val="0"/>
          <w:szCs w:val="22"/>
          <w:lang w:val="fr-CA"/>
        </w:rPr>
        <w:t xml:space="preserve">RDRE DU JOUR ANNOTÉ POUR LA TROISIÈME RÉUNION ORDINAIRE DE LA COMMISSION INTERAMÉRICAINE DU TOURISME </w:t>
      </w:r>
    </w:p>
    <w:p w14:paraId="0EFCFF63" w14:textId="77777777" w:rsidR="00D2033C" w:rsidRPr="000F34C4" w:rsidRDefault="00D2033C" w:rsidP="00D2033C">
      <w:pPr>
        <w:pStyle w:val="BodyText"/>
        <w:tabs>
          <w:tab w:val="left" w:pos="0"/>
        </w:tabs>
        <w:rPr>
          <w:rFonts w:ascii="Times New Roman" w:hAnsi="Times New Roman"/>
          <w:szCs w:val="22"/>
          <w:lang w:val="fr-CA"/>
        </w:rPr>
      </w:pPr>
    </w:p>
    <w:p w14:paraId="013B3A7A" w14:textId="27AD53AB" w:rsidR="00D2033C" w:rsidRPr="000F34C4" w:rsidRDefault="000F34C4" w:rsidP="00D2033C">
      <w:pPr>
        <w:pStyle w:val="BodyText"/>
        <w:tabs>
          <w:tab w:val="left" w:pos="0"/>
        </w:tabs>
        <w:rPr>
          <w:rFonts w:ascii="Times New Roman" w:hAnsi="Times New Roman"/>
          <w:b w:val="0"/>
          <w:szCs w:val="22"/>
          <w:lang w:val="fr-CA"/>
        </w:rPr>
      </w:pPr>
      <w:r>
        <w:rPr>
          <w:rFonts w:ascii="Times New Roman" w:hAnsi="Times New Roman"/>
          <w:szCs w:val="22"/>
          <w:lang w:val="fr-CA"/>
        </w:rPr>
        <w:t>RÉUNION VIRTUELLE</w:t>
      </w:r>
      <w:r w:rsidR="00D2033C" w:rsidRPr="000F34C4">
        <w:rPr>
          <w:rFonts w:ascii="Times New Roman" w:hAnsi="Times New Roman"/>
          <w:szCs w:val="22"/>
          <w:lang w:val="fr-CA"/>
        </w:rPr>
        <w:t xml:space="preserve">, </w:t>
      </w:r>
      <w:r>
        <w:rPr>
          <w:rFonts w:ascii="Times New Roman" w:hAnsi="Times New Roman"/>
          <w:szCs w:val="22"/>
          <w:lang w:val="fr-CA"/>
        </w:rPr>
        <w:t>28 juillet</w:t>
      </w:r>
      <w:r w:rsidR="00D2033C" w:rsidRPr="000F34C4">
        <w:rPr>
          <w:rFonts w:ascii="Times New Roman" w:hAnsi="Times New Roman"/>
          <w:szCs w:val="22"/>
          <w:lang w:val="fr-CA"/>
        </w:rPr>
        <w:t xml:space="preserve"> 2023</w:t>
      </w:r>
    </w:p>
    <w:p w14:paraId="0859E1C2" w14:textId="77777777" w:rsidR="00D2033C" w:rsidRPr="000F34C4" w:rsidRDefault="00D2033C" w:rsidP="00961A64">
      <w:pPr>
        <w:pStyle w:val="BodyText"/>
        <w:tabs>
          <w:tab w:val="left" w:pos="0"/>
        </w:tabs>
        <w:jc w:val="both"/>
        <w:rPr>
          <w:rFonts w:ascii="Times New Roman" w:hAnsi="Times New Roman"/>
          <w:b w:val="0"/>
          <w:szCs w:val="22"/>
          <w:lang w:val="fr-CA"/>
        </w:rPr>
      </w:pPr>
    </w:p>
    <w:p w14:paraId="031250C6" w14:textId="109EBD91" w:rsidR="009825FB" w:rsidRPr="00C52EEB" w:rsidRDefault="009825FB" w:rsidP="009825FB">
      <w:pPr>
        <w:widowControl w:val="0"/>
        <w:tabs>
          <w:tab w:val="left" w:pos="720"/>
          <w:tab w:val="left" w:pos="1440"/>
          <w:tab w:val="left" w:pos="2160"/>
          <w:tab w:val="left" w:pos="2880"/>
          <w:tab w:val="left" w:pos="3600"/>
          <w:tab w:val="left" w:pos="4320"/>
          <w:tab w:val="left" w:pos="5760"/>
          <w:tab w:val="left" w:pos="6480"/>
          <w:tab w:val="left" w:pos="7200"/>
          <w:tab w:val="left" w:pos="7920"/>
        </w:tabs>
        <w:jc w:val="center"/>
        <w:rPr>
          <w:color w:val="000000"/>
          <w:sz w:val="22"/>
          <w:szCs w:val="22"/>
          <w:lang w:val="fr-CA"/>
        </w:rPr>
      </w:pPr>
      <w:r w:rsidRPr="00C52EEB">
        <w:rPr>
          <w:color w:val="000000"/>
          <w:sz w:val="22"/>
          <w:szCs w:val="22"/>
          <w:lang w:val="fr-CA"/>
        </w:rPr>
        <w:t xml:space="preserve">(Approuvé par le CIDI lors de la réunion ordinaire tenue le </w:t>
      </w:r>
      <w:r>
        <w:rPr>
          <w:color w:val="000000"/>
          <w:sz w:val="22"/>
          <w:szCs w:val="22"/>
          <w:lang w:val="fr-CA"/>
        </w:rPr>
        <w:t>13 juin</w:t>
      </w:r>
      <w:r w:rsidRPr="00C52EEB">
        <w:rPr>
          <w:color w:val="000000"/>
          <w:sz w:val="22"/>
          <w:szCs w:val="22"/>
          <w:lang w:val="fr-CA"/>
        </w:rPr>
        <w:t xml:space="preserve"> 2023)</w:t>
      </w:r>
    </w:p>
    <w:p w14:paraId="0C1D6C7F" w14:textId="77777777" w:rsidR="00C3386B" w:rsidRDefault="00C3386B" w:rsidP="00961A64">
      <w:pPr>
        <w:pStyle w:val="BodyText"/>
        <w:tabs>
          <w:tab w:val="left" w:pos="0"/>
        </w:tabs>
        <w:jc w:val="both"/>
        <w:rPr>
          <w:rFonts w:ascii="Times New Roman" w:hAnsi="Times New Roman"/>
          <w:b w:val="0"/>
          <w:szCs w:val="22"/>
          <w:lang w:val="fr-CA"/>
        </w:rPr>
      </w:pPr>
    </w:p>
    <w:p w14:paraId="45B41018" w14:textId="77777777" w:rsidR="009825FB" w:rsidRDefault="009825FB" w:rsidP="00961A64">
      <w:pPr>
        <w:pStyle w:val="BodyText"/>
        <w:tabs>
          <w:tab w:val="left" w:pos="0"/>
        </w:tabs>
        <w:jc w:val="both"/>
        <w:rPr>
          <w:rFonts w:ascii="Times New Roman" w:hAnsi="Times New Roman"/>
          <w:b w:val="0"/>
          <w:szCs w:val="22"/>
          <w:lang w:val="fr-CA"/>
        </w:rPr>
      </w:pPr>
    </w:p>
    <w:p w14:paraId="7CAB08EF" w14:textId="77777777" w:rsidR="009825FB" w:rsidRPr="000F34C4" w:rsidRDefault="009825FB" w:rsidP="00961A64">
      <w:pPr>
        <w:pStyle w:val="BodyText"/>
        <w:tabs>
          <w:tab w:val="left" w:pos="0"/>
        </w:tabs>
        <w:jc w:val="both"/>
        <w:rPr>
          <w:rFonts w:ascii="Times New Roman" w:hAnsi="Times New Roman"/>
          <w:b w:val="0"/>
          <w:szCs w:val="22"/>
          <w:lang w:val="fr-CA"/>
        </w:rPr>
      </w:pPr>
    </w:p>
    <w:p w14:paraId="4E256C07" w14:textId="7A72523F" w:rsidR="00D2033C" w:rsidRPr="000F34C4" w:rsidRDefault="000F34C4" w:rsidP="00D2033C">
      <w:pPr>
        <w:pStyle w:val="ListParagraph"/>
        <w:numPr>
          <w:ilvl w:val="0"/>
          <w:numId w:val="18"/>
        </w:numPr>
        <w:ind w:hanging="720"/>
        <w:jc w:val="both"/>
        <w:rPr>
          <w:b/>
          <w:sz w:val="22"/>
          <w:szCs w:val="22"/>
          <w:lang w:val="fr-CA"/>
        </w:rPr>
      </w:pPr>
      <w:r>
        <w:rPr>
          <w:b/>
          <w:sz w:val="22"/>
          <w:szCs w:val="22"/>
          <w:lang w:val="fr-CA"/>
        </w:rPr>
        <w:t>Renseignements généraux</w:t>
      </w:r>
      <w:r w:rsidR="00D2033C" w:rsidRPr="000F34C4">
        <w:rPr>
          <w:b/>
          <w:sz w:val="22"/>
          <w:szCs w:val="22"/>
          <w:lang w:val="fr-CA"/>
        </w:rPr>
        <w:t xml:space="preserve"> </w:t>
      </w:r>
    </w:p>
    <w:p w14:paraId="0CAE1BA4" w14:textId="77777777" w:rsidR="00D2033C" w:rsidRPr="000F34C4" w:rsidRDefault="00D2033C" w:rsidP="00D2033C">
      <w:pPr>
        <w:jc w:val="both"/>
        <w:rPr>
          <w:bCs/>
          <w:sz w:val="22"/>
          <w:szCs w:val="22"/>
          <w:lang w:val="fr-CA"/>
        </w:rPr>
      </w:pPr>
    </w:p>
    <w:p w14:paraId="0E6726EB" w14:textId="46451E86" w:rsidR="00D2033C" w:rsidRPr="000F34C4" w:rsidRDefault="000F34C4" w:rsidP="00D2033C">
      <w:pPr>
        <w:ind w:firstLine="720"/>
        <w:jc w:val="both"/>
        <w:rPr>
          <w:sz w:val="22"/>
          <w:szCs w:val="22"/>
          <w:lang w:val="fr-CA"/>
        </w:rPr>
      </w:pPr>
      <w:r>
        <w:rPr>
          <w:bCs/>
          <w:sz w:val="22"/>
          <w:szCs w:val="22"/>
          <w:lang w:val="fr-CA"/>
        </w:rPr>
        <w:t xml:space="preserve">En vertu du Règlement des commissions interaméricaines du Conseil interaméricain pour le développement intégré </w:t>
      </w:r>
      <w:r w:rsidR="00D2033C" w:rsidRPr="000F34C4">
        <w:rPr>
          <w:bCs/>
          <w:sz w:val="22"/>
          <w:szCs w:val="22"/>
          <w:lang w:val="fr-CA"/>
        </w:rPr>
        <w:t>(CIDI),</w:t>
      </w:r>
      <w:r>
        <w:rPr>
          <w:bCs/>
          <w:sz w:val="22"/>
          <w:szCs w:val="22"/>
          <w:lang w:val="fr-CA"/>
        </w:rPr>
        <w:t xml:space="preserve"> les commissions interaméricaines du CIDI ont pour objectif de coordonner la mise en œuvre </w:t>
      </w:r>
      <w:r w:rsidR="0060657E">
        <w:rPr>
          <w:bCs/>
          <w:sz w:val="22"/>
          <w:szCs w:val="22"/>
          <w:lang w:val="fr-CA"/>
        </w:rPr>
        <w:t>du dialogue ministériel interaméricain dans leur domaine de compétence respectif en assurant le suivi des accords conclus lors des réunions des ministres et/ou hauts fonctionnaires de haut niveau de leur secteur, de cerner des initiatives multilatérales pertinentes et de contribuer à l’exécution de politiques de l’Organisation des États Américains (OEA) dans le domaine du partenariat pour le développement en accord avec le Plan stratégique global de l’Organisation</w:t>
      </w:r>
      <w:r w:rsidR="00D2033C" w:rsidRPr="000F34C4">
        <w:rPr>
          <w:sz w:val="22"/>
          <w:szCs w:val="22"/>
          <w:lang w:val="fr-CA"/>
        </w:rPr>
        <w:t>.</w:t>
      </w:r>
    </w:p>
    <w:p w14:paraId="264CABA9" w14:textId="77777777" w:rsidR="00D2033C" w:rsidRPr="000F34C4" w:rsidRDefault="00D2033C" w:rsidP="00D2033C">
      <w:pPr>
        <w:jc w:val="both"/>
        <w:rPr>
          <w:bCs/>
          <w:sz w:val="22"/>
          <w:szCs w:val="22"/>
          <w:lang w:val="fr-CA"/>
        </w:rPr>
      </w:pPr>
    </w:p>
    <w:p w14:paraId="66624543" w14:textId="3CB46B1D" w:rsidR="00D2033C" w:rsidRPr="000F34C4" w:rsidRDefault="0060657E" w:rsidP="00D2033C">
      <w:pPr>
        <w:ind w:firstLine="720"/>
        <w:jc w:val="both"/>
        <w:rPr>
          <w:sz w:val="22"/>
          <w:szCs w:val="22"/>
          <w:lang w:val="fr-CA"/>
        </w:rPr>
      </w:pPr>
      <w:r>
        <w:rPr>
          <w:sz w:val="22"/>
          <w:szCs w:val="22"/>
          <w:lang w:val="fr-CA"/>
        </w:rPr>
        <w:t>Les lignes directrices générales qui régissent les processus ministériels sectoriels dans le cadre du CIDI</w:t>
      </w:r>
      <w:r w:rsidR="00E5764D">
        <w:rPr>
          <w:sz w:val="22"/>
          <w:szCs w:val="22"/>
          <w:lang w:val="fr-CA"/>
        </w:rPr>
        <w:t xml:space="preserve"> indiquent que l’objectif des réunions des </w:t>
      </w:r>
      <w:r w:rsidR="00E5764D" w:rsidRPr="00C85261">
        <w:rPr>
          <w:sz w:val="22"/>
          <w:szCs w:val="22"/>
          <w:lang w:val="fr-CA"/>
        </w:rPr>
        <w:t>commissions interaméricaines consiste à</w:t>
      </w:r>
      <w:r w:rsidRPr="00C85261">
        <w:rPr>
          <w:sz w:val="22"/>
          <w:szCs w:val="22"/>
          <w:lang w:val="fr-CA"/>
        </w:rPr>
        <w:t xml:space="preserve"> </w:t>
      </w:r>
      <w:r w:rsidR="00D2033C" w:rsidRPr="00C85261">
        <w:rPr>
          <w:sz w:val="22"/>
          <w:szCs w:val="22"/>
          <w:lang w:val="fr-CA"/>
        </w:rPr>
        <w:t xml:space="preserve">“(i) </w:t>
      </w:r>
      <w:r w:rsidR="00C16A42">
        <w:rPr>
          <w:sz w:val="22"/>
          <w:szCs w:val="22"/>
          <w:lang w:val="fr-CA"/>
        </w:rPr>
        <w:t>évaluer les progrès réalisés dans la mise en œuvre des mandats ministériels</w:t>
      </w:r>
      <w:r w:rsidR="00D2033C" w:rsidRPr="00C85261">
        <w:rPr>
          <w:sz w:val="22"/>
          <w:szCs w:val="22"/>
          <w:lang w:val="fr-CA"/>
        </w:rPr>
        <w:t xml:space="preserve"> (</w:t>
      </w:r>
      <w:r w:rsidR="00C16A42">
        <w:rPr>
          <w:sz w:val="22"/>
          <w:szCs w:val="22"/>
          <w:lang w:val="fr-CA"/>
        </w:rPr>
        <w:t>mise en œuvre du Plan d’action et du Plan de travail</w:t>
      </w:r>
      <w:r w:rsidR="00D2033C" w:rsidRPr="00C85261">
        <w:rPr>
          <w:sz w:val="22"/>
          <w:szCs w:val="22"/>
          <w:lang w:val="fr-CA"/>
        </w:rPr>
        <w:t>); (ii) analy</w:t>
      </w:r>
      <w:r w:rsidR="00C16A42">
        <w:rPr>
          <w:sz w:val="22"/>
          <w:szCs w:val="22"/>
          <w:lang w:val="fr-CA"/>
        </w:rPr>
        <w:t>ser les tendances régionales et mondiales en la matière et évaluer la pertinence du travail de l’OEA dans les domaines en question</w:t>
      </w:r>
      <w:r w:rsidR="00D2033C" w:rsidRPr="00C85261">
        <w:rPr>
          <w:sz w:val="22"/>
          <w:szCs w:val="22"/>
          <w:lang w:val="fr-CA"/>
        </w:rPr>
        <w:t xml:space="preserve">;  (iii) </w:t>
      </w:r>
      <w:r w:rsidR="00C16A42">
        <w:rPr>
          <w:sz w:val="22"/>
          <w:szCs w:val="22"/>
          <w:lang w:val="fr-CA"/>
        </w:rPr>
        <w:t>s’entendre sur le ou les sujets de la réunion ministérielle suivante et fournir au Secrétariat des lignes directrices pour la rédaction de l’avant-projet d’ordre du jour annoté</w:t>
      </w:r>
      <w:r w:rsidR="00D2033C" w:rsidRPr="00C85261">
        <w:rPr>
          <w:sz w:val="22"/>
          <w:szCs w:val="22"/>
          <w:lang w:val="fr-CA"/>
        </w:rPr>
        <w:t xml:space="preserve">; </w:t>
      </w:r>
      <w:r w:rsidR="00C16A42">
        <w:rPr>
          <w:sz w:val="22"/>
          <w:szCs w:val="22"/>
          <w:lang w:val="fr-CA"/>
        </w:rPr>
        <w:t>enfin,</w:t>
      </w:r>
      <w:r w:rsidR="00D2033C" w:rsidRPr="00C85261">
        <w:rPr>
          <w:sz w:val="22"/>
          <w:szCs w:val="22"/>
          <w:lang w:val="fr-CA"/>
        </w:rPr>
        <w:t xml:space="preserve"> (iv) rece</w:t>
      </w:r>
      <w:r w:rsidR="00C16A42">
        <w:rPr>
          <w:sz w:val="22"/>
          <w:szCs w:val="22"/>
          <w:lang w:val="fr-CA"/>
        </w:rPr>
        <w:t>voir des annonces officielles d’accueil de la réunion ministérielle suivante</w:t>
      </w:r>
      <w:r w:rsidR="00C16A42" w:rsidRPr="00C85261">
        <w:rPr>
          <w:sz w:val="22"/>
          <w:szCs w:val="22"/>
          <w:lang w:val="fr-CA"/>
        </w:rPr>
        <w:t xml:space="preserve"> </w:t>
      </w:r>
      <w:r w:rsidR="00D2033C" w:rsidRPr="00C85261">
        <w:rPr>
          <w:sz w:val="22"/>
          <w:szCs w:val="22"/>
          <w:lang w:val="fr-CA"/>
        </w:rPr>
        <w:t>…”</w:t>
      </w:r>
    </w:p>
    <w:p w14:paraId="487A3C27" w14:textId="77777777" w:rsidR="00D2033C" w:rsidRPr="000F34C4" w:rsidRDefault="00D2033C" w:rsidP="00D2033C">
      <w:pPr>
        <w:jc w:val="both"/>
        <w:rPr>
          <w:bCs/>
          <w:sz w:val="22"/>
          <w:szCs w:val="22"/>
          <w:lang w:val="fr-CA"/>
        </w:rPr>
      </w:pPr>
    </w:p>
    <w:p w14:paraId="146275EB" w14:textId="0BB8F8B6" w:rsidR="00D2033C" w:rsidRPr="000F34C4" w:rsidRDefault="00E5764D" w:rsidP="00D2033C">
      <w:pPr>
        <w:pStyle w:val="ListParagraph"/>
        <w:numPr>
          <w:ilvl w:val="0"/>
          <w:numId w:val="18"/>
        </w:numPr>
        <w:ind w:hanging="720"/>
        <w:jc w:val="both"/>
        <w:rPr>
          <w:b/>
          <w:sz w:val="22"/>
          <w:szCs w:val="22"/>
          <w:lang w:val="fr-CA"/>
        </w:rPr>
      </w:pPr>
      <w:r>
        <w:rPr>
          <w:b/>
          <w:sz w:val="22"/>
          <w:szCs w:val="22"/>
          <w:lang w:val="fr-CA"/>
        </w:rPr>
        <w:t>Objectif de la réunion</w:t>
      </w:r>
    </w:p>
    <w:p w14:paraId="2052725E" w14:textId="77777777" w:rsidR="00D2033C" w:rsidRPr="000F34C4" w:rsidRDefault="00D2033C" w:rsidP="00D2033C">
      <w:pPr>
        <w:jc w:val="both"/>
        <w:rPr>
          <w:b/>
          <w:sz w:val="22"/>
          <w:szCs w:val="22"/>
          <w:lang w:val="fr-CA"/>
        </w:rPr>
      </w:pPr>
    </w:p>
    <w:p w14:paraId="15FA4A41" w14:textId="1AC9F592" w:rsidR="00D2033C" w:rsidRPr="000F34C4" w:rsidRDefault="00E5764D" w:rsidP="00D2033C">
      <w:pPr>
        <w:ind w:firstLine="720"/>
        <w:jc w:val="both"/>
        <w:rPr>
          <w:bCs/>
          <w:sz w:val="22"/>
          <w:szCs w:val="22"/>
          <w:lang w:val="fr-CA"/>
        </w:rPr>
      </w:pPr>
      <w:r>
        <w:rPr>
          <w:bCs/>
          <w:sz w:val="22"/>
          <w:szCs w:val="22"/>
          <w:lang w:val="fr-CA"/>
        </w:rPr>
        <w:t xml:space="preserve">La Troisième Réunion ordinaire de la Commission interaméricaine du tourisme </w:t>
      </w:r>
      <w:r w:rsidR="00D2033C" w:rsidRPr="000F34C4">
        <w:rPr>
          <w:bCs/>
          <w:sz w:val="22"/>
          <w:szCs w:val="22"/>
          <w:lang w:val="fr-CA"/>
        </w:rPr>
        <w:t>(</w:t>
      </w:r>
      <w:r w:rsidR="00FB4262" w:rsidRPr="000F34C4">
        <w:rPr>
          <w:bCs/>
          <w:sz w:val="22"/>
          <w:szCs w:val="22"/>
          <w:lang w:val="fr-CA"/>
        </w:rPr>
        <w:t>CITUR</w:t>
      </w:r>
      <w:r w:rsidR="00D2033C" w:rsidRPr="000F34C4">
        <w:rPr>
          <w:bCs/>
          <w:sz w:val="22"/>
          <w:szCs w:val="22"/>
          <w:lang w:val="fr-CA"/>
        </w:rPr>
        <w:t>)</w:t>
      </w:r>
      <w:r>
        <w:rPr>
          <w:bCs/>
          <w:sz w:val="22"/>
          <w:szCs w:val="22"/>
          <w:lang w:val="fr-CA"/>
        </w:rPr>
        <w:t xml:space="preserve"> vise les objectifs suivants </w:t>
      </w:r>
      <w:r w:rsidR="00D2033C" w:rsidRPr="000F34C4">
        <w:rPr>
          <w:bCs/>
          <w:sz w:val="22"/>
          <w:szCs w:val="22"/>
          <w:lang w:val="fr-CA"/>
        </w:rPr>
        <w:t>: (i)</w:t>
      </w:r>
      <w:r>
        <w:rPr>
          <w:bCs/>
          <w:sz w:val="22"/>
          <w:szCs w:val="22"/>
          <w:lang w:val="fr-CA"/>
        </w:rPr>
        <w:t xml:space="preserve"> évoluer les progrès réalisés ainsi que la mise en œuvre des mandats ministériels qui lui ont été confiés dans la Déclaration du</w:t>
      </w:r>
      <w:r w:rsidR="00D2033C" w:rsidRPr="000F34C4">
        <w:rPr>
          <w:bCs/>
          <w:sz w:val="22"/>
          <w:szCs w:val="22"/>
          <w:lang w:val="fr-CA"/>
        </w:rPr>
        <w:t xml:space="preserve"> </w:t>
      </w:r>
      <w:r w:rsidR="00FB4262" w:rsidRPr="000F34C4">
        <w:rPr>
          <w:bCs/>
          <w:sz w:val="22"/>
          <w:szCs w:val="22"/>
          <w:lang w:val="fr-CA"/>
        </w:rPr>
        <w:t xml:space="preserve">Paraguay </w:t>
      </w:r>
      <w:r w:rsidR="00D2033C" w:rsidRPr="000F34C4">
        <w:rPr>
          <w:bCs/>
          <w:sz w:val="22"/>
          <w:szCs w:val="22"/>
          <w:lang w:val="fr-CA"/>
        </w:rPr>
        <w:t>(2021)</w:t>
      </w:r>
      <w:r>
        <w:rPr>
          <w:bCs/>
          <w:sz w:val="22"/>
          <w:szCs w:val="22"/>
          <w:lang w:val="fr-CA"/>
        </w:rPr>
        <w:t xml:space="preserve"> et dans le Plan de travail de la</w:t>
      </w:r>
      <w:r w:rsidR="00D2033C" w:rsidRPr="000F34C4">
        <w:rPr>
          <w:bCs/>
          <w:sz w:val="22"/>
          <w:szCs w:val="22"/>
          <w:lang w:val="fr-CA"/>
        </w:rPr>
        <w:t xml:space="preserve"> C</w:t>
      </w:r>
      <w:r w:rsidR="00FB4262" w:rsidRPr="000F34C4">
        <w:rPr>
          <w:bCs/>
          <w:sz w:val="22"/>
          <w:szCs w:val="22"/>
          <w:lang w:val="fr-CA"/>
        </w:rPr>
        <w:t xml:space="preserve">ITUR </w:t>
      </w:r>
      <w:r>
        <w:rPr>
          <w:bCs/>
          <w:sz w:val="22"/>
          <w:szCs w:val="22"/>
          <w:lang w:val="fr-CA"/>
        </w:rPr>
        <w:t>pour</w:t>
      </w:r>
      <w:r w:rsidR="00D2033C" w:rsidRPr="000F34C4">
        <w:rPr>
          <w:bCs/>
          <w:sz w:val="22"/>
          <w:szCs w:val="22"/>
          <w:lang w:val="fr-CA"/>
        </w:rPr>
        <w:t xml:space="preserve"> 2022-2024; (ii)</w:t>
      </w:r>
      <w:r>
        <w:rPr>
          <w:bCs/>
          <w:sz w:val="22"/>
          <w:szCs w:val="22"/>
          <w:lang w:val="fr-CA"/>
        </w:rPr>
        <w:t xml:space="preserve"> rassembler des données des États membres, d’organisations internationales ayant des mandats similaires</w:t>
      </w:r>
      <w:r w:rsidR="00C306B3">
        <w:rPr>
          <w:bCs/>
          <w:sz w:val="22"/>
          <w:szCs w:val="22"/>
          <w:lang w:val="fr-CA"/>
        </w:rPr>
        <w:t>, du monde universitaire ainsi que de partenaires pertinents du secteur privé pour analyser les tendances régionales et mondiales en matière de développement du tourisme durable et évaluer la pertinence du travail de l’OEA dans les domaines analysés</w:t>
      </w:r>
      <w:r w:rsidR="00D2033C" w:rsidRPr="000F34C4">
        <w:rPr>
          <w:bCs/>
          <w:sz w:val="22"/>
          <w:szCs w:val="22"/>
          <w:lang w:val="fr-CA"/>
        </w:rPr>
        <w:t>; (iii)</w:t>
      </w:r>
      <w:r w:rsidR="00C306B3">
        <w:rPr>
          <w:bCs/>
          <w:sz w:val="22"/>
          <w:szCs w:val="22"/>
          <w:lang w:val="fr-CA"/>
        </w:rPr>
        <w:t xml:space="preserve"> fournir au Secrétariat des données et des lignes directrices en vue de la rédaction d’un livre blanc, d’un document d’information découlant des données reçues ainsi que des consultations menées, lequel, à son tour, </w:t>
      </w:r>
      <w:r w:rsidR="00C84271">
        <w:rPr>
          <w:bCs/>
          <w:sz w:val="22"/>
          <w:szCs w:val="22"/>
          <w:lang w:val="fr-CA"/>
        </w:rPr>
        <w:t>déterminera en partie le thème et l’ordre du jour de la prochaine réunion ministérielle</w:t>
      </w:r>
      <w:r w:rsidR="00D2033C" w:rsidRPr="000F34C4">
        <w:rPr>
          <w:bCs/>
          <w:sz w:val="22"/>
          <w:szCs w:val="22"/>
          <w:lang w:val="fr-CA"/>
        </w:rPr>
        <w:t>; iv)</w:t>
      </w:r>
      <w:r w:rsidR="00C84271">
        <w:rPr>
          <w:bCs/>
          <w:sz w:val="22"/>
          <w:szCs w:val="22"/>
          <w:lang w:val="fr-CA"/>
        </w:rPr>
        <w:t xml:space="preserve"> recevoir des indications et des recommandations des États membres en vue d’ajuster le Plan de travail 2022-2024 de la CITUR, le cas échéant</w:t>
      </w:r>
      <w:r w:rsidR="00D2033C" w:rsidRPr="000F34C4">
        <w:rPr>
          <w:bCs/>
          <w:sz w:val="22"/>
          <w:szCs w:val="22"/>
          <w:lang w:val="fr-CA"/>
        </w:rPr>
        <w:t xml:space="preserve">; </w:t>
      </w:r>
      <w:r w:rsidR="00C84271">
        <w:rPr>
          <w:bCs/>
          <w:sz w:val="22"/>
          <w:szCs w:val="22"/>
          <w:lang w:val="fr-CA"/>
        </w:rPr>
        <w:t>enfin</w:t>
      </w:r>
      <w:r w:rsidR="00D2033C" w:rsidRPr="000F34C4">
        <w:rPr>
          <w:bCs/>
          <w:sz w:val="22"/>
          <w:szCs w:val="22"/>
          <w:lang w:val="fr-CA"/>
        </w:rPr>
        <w:t xml:space="preserve">, v) </w:t>
      </w:r>
      <w:r w:rsidR="00C84271">
        <w:rPr>
          <w:bCs/>
          <w:sz w:val="22"/>
          <w:szCs w:val="22"/>
          <w:lang w:val="fr-CA"/>
        </w:rPr>
        <w:t>recevoir toute annonce officielle d’accueil de la prochaine réunion ministérielle</w:t>
      </w:r>
      <w:r w:rsidR="00D2033C" w:rsidRPr="000F34C4">
        <w:rPr>
          <w:bCs/>
          <w:sz w:val="22"/>
          <w:szCs w:val="22"/>
          <w:lang w:val="fr-CA"/>
        </w:rPr>
        <w:t>.</w:t>
      </w:r>
    </w:p>
    <w:p w14:paraId="2D4BDAF6" w14:textId="7BAAF6E4" w:rsidR="00D2033C" w:rsidRPr="000F34C4" w:rsidRDefault="00C84271" w:rsidP="00D2033C">
      <w:pPr>
        <w:pStyle w:val="ListParagraph"/>
        <w:numPr>
          <w:ilvl w:val="0"/>
          <w:numId w:val="18"/>
        </w:numPr>
        <w:ind w:hanging="720"/>
        <w:jc w:val="both"/>
        <w:rPr>
          <w:b/>
          <w:sz w:val="22"/>
          <w:szCs w:val="22"/>
          <w:lang w:val="fr-CA"/>
        </w:rPr>
      </w:pPr>
      <w:r>
        <w:rPr>
          <w:b/>
          <w:sz w:val="22"/>
          <w:szCs w:val="22"/>
          <w:lang w:val="fr-CA"/>
        </w:rPr>
        <w:lastRenderedPageBreak/>
        <w:t>SUJETS PROPOSÉS</w:t>
      </w:r>
    </w:p>
    <w:p w14:paraId="521BE5C2" w14:textId="77777777" w:rsidR="00D2033C" w:rsidRPr="000F34C4" w:rsidRDefault="00D2033C" w:rsidP="00D2033C">
      <w:pPr>
        <w:jc w:val="both"/>
        <w:rPr>
          <w:bCs/>
          <w:sz w:val="22"/>
          <w:szCs w:val="22"/>
          <w:lang w:val="fr-CA"/>
        </w:rPr>
      </w:pPr>
    </w:p>
    <w:p w14:paraId="134A2DE1" w14:textId="0855DEDF" w:rsidR="00D2033C" w:rsidRPr="000F34C4" w:rsidRDefault="00C84271" w:rsidP="00D2033C">
      <w:pPr>
        <w:ind w:firstLine="720"/>
        <w:jc w:val="both"/>
        <w:rPr>
          <w:bCs/>
          <w:sz w:val="22"/>
          <w:szCs w:val="22"/>
          <w:lang w:val="fr-CA"/>
        </w:rPr>
      </w:pPr>
      <w:r>
        <w:rPr>
          <w:bCs/>
          <w:sz w:val="22"/>
          <w:szCs w:val="22"/>
          <w:lang w:val="fr-CA"/>
        </w:rPr>
        <w:t xml:space="preserve">Les sujets proposés pour le projet d’ordre du jour de la Troisième Réunion ordinaire de la CITUR sont les suivants : </w:t>
      </w:r>
    </w:p>
    <w:p w14:paraId="1FCEC185" w14:textId="77777777" w:rsidR="00D2033C" w:rsidRPr="000F34C4" w:rsidRDefault="00D2033C" w:rsidP="00D2033C">
      <w:pPr>
        <w:jc w:val="both"/>
        <w:rPr>
          <w:bCs/>
          <w:sz w:val="22"/>
          <w:szCs w:val="22"/>
          <w:lang w:val="fr-CA"/>
        </w:rPr>
      </w:pPr>
    </w:p>
    <w:p w14:paraId="551BC160" w14:textId="516BEF0E" w:rsidR="00D2033C" w:rsidRPr="000F34C4" w:rsidRDefault="00D2033C" w:rsidP="003F2850">
      <w:pPr>
        <w:numPr>
          <w:ilvl w:val="0"/>
          <w:numId w:val="16"/>
        </w:numPr>
        <w:tabs>
          <w:tab w:val="clear" w:pos="720"/>
        </w:tabs>
        <w:ind w:left="1440" w:hanging="720"/>
        <w:jc w:val="both"/>
        <w:rPr>
          <w:bCs/>
          <w:sz w:val="22"/>
          <w:szCs w:val="22"/>
          <w:lang w:val="fr-CA"/>
        </w:rPr>
      </w:pPr>
      <w:r w:rsidRPr="000F34C4">
        <w:rPr>
          <w:b/>
          <w:bCs/>
          <w:sz w:val="22"/>
          <w:szCs w:val="22"/>
          <w:lang w:val="fr-CA"/>
        </w:rPr>
        <w:t>Adoption</w:t>
      </w:r>
      <w:r w:rsidR="00CC17AA">
        <w:rPr>
          <w:b/>
          <w:bCs/>
          <w:sz w:val="22"/>
          <w:szCs w:val="22"/>
          <w:lang w:val="fr-CA"/>
        </w:rPr>
        <w:t xml:space="preserve"> du projet d’ordre du jour de la réunion et du projet de calendrier</w:t>
      </w:r>
      <w:r w:rsidRPr="000F34C4">
        <w:rPr>
          <w:sz w:val="22"/>
          <w:szCs w:val="22"/>
          <w:lang w:val="fr-CA"/>
        </w:rPr>
        <w:t xml:space="preserve">. </w:t>
      </w:r>
      <w:r w:rsidR="00CC17AA">
        <w:rPr>
          <w:sz w:val="22"/>
          <w:szCs w:val="22"/>
          <w:lang w:val="fr-CA"/>
        </w:rPr>
        <w:t>En vertu de l’article 24 du Règlement des commissions interaméricaines du CIDI, un projet d’ordre du jour et un projet de calendrier pour organiser les réunions et les délibérations relatives à la réunion seront examinés en vue de leur approbation</w:t>
      </w:r>
      <w:r w:rsidR="00800984" w:rsidRPr="000F34C4">
        <w:rPr>
          <w:sz w:val="22"/>
          <w:szCs w:val="22"/>
          <w:lang w:val="fr-CA"/>
        </w:rPr>
        <w:t>.</w:t>
      </w:r>
    </w:p>
    <w:p w14:paraId="24D65751" w14:textId="77777777" w:rsidR="00D2033C" w:rsidRPr="000F34C4" w:rsidRDefault="00D2033C" w:rsidP="00961A64">
      <w:pPr>
        <w:contextualSpacing/>
        <w:jc w:val="both"/>
        <w:rPr>
          <w:rFonts w:eastAsia="Malgun Gothic"/>
          <w:sz w:val="22"/>
          <w:szCs w:val="22"/>
          <w:lang w:val="fr-CA" w:eastAsia="ko-KR"/>
        </w:rPr>
      </w:pPr>
    </w:p>
    <w:p w14:paraId="4DE0974A" w14:textId="2A69B932" w:rsidR="00D2033C" w:rsidRPr="000F34C4" w:rsidRDefault="00800984" w:rsidP="00D2033C">
      <w:pPr>
        <w:tabs>
          <w:tab w:val="num" w:pos="1440"/>
        </w:tabs>
        <w:ind w:left="1440" w:hanging="720"/>
        <w:jc w:val="both"/>
        <w:rPr>
          <w:bCs/>
          <w:sz w:val="22"/>
          <w:szCs w:val="22"/>
          <w:lang w:val="fr-CA"/>
        </w:rPr>
      </w:pPr>
      <w:r w:rsidRPr="000F34C4">
        <w:rPr>
          <w:b/>
          <w:sz w:val="22"/>
          <w:szCs w:val="22"/>
          <w:lang w:val="fr-CA"/>
        </w:rPr>
        <w:t>2</w:t>
      </w:r>
      <w:r w:rsidR="00D2033C" w:rsidRPr="000F34C4">
        <w:rPr>
          <w:b/>
          <w:sz w:val="22"/>
          <w:szCs w:val="22"/>
          <w:lang w:val="fr-CA"/>
        </w:rPr>
        <w:t xml:space="preserve">. </w:t>
      </w:r>
      <w:r w:rsidR="00D2033C" w:rsidRPr="000F34C4">
        <w:rPr>
          <w:b/>
          <w:sz w:val="22"/>
          <w:szCs w:val="22"/>
          <w:lang w:val="fr-CA"/>
        </w:rPr>
        <w:tab/>
        <w:t>D</w:t>
      </w:r>
      <w:r w:rsidR="00CC17AA">
        <w:rPr>
          <w:b/>
          <w:sz w:val="22"/>
          <w:szCs w:val="22"/>
          <w:lang w:val="fr-CA"/>
        </w:rPr>
        <w:t>urée de la réunion</w:t>
      </w:r>
      <w:r w:rsidR="00D2033C" w:rsidRPr="000F34C4">
        <w:rPr>
          <w:b/>
          <w:sz w:val="22"/>
          <w:szCs w:val="22"/>
          <w:lang w:val="fr-CA"/>
        </w:rPr>
        <w:t xml:space="preserve">. </w:t>
      </w:r>
      <w:r w:rsidR="00CC17AA">
        <w:rPr>
          <w:bCs/>
          <w:sz w:val="22"/>
          <w:szCs w:val="22"/>
          <w:lang w:val="fr-CA"/>
        </w:rPr>
        <w:t>Les États membres examineront</w:t>
      </w:r>
      <w:r w:rsidR="00FC3AA8">
        <w:rPr>
          <w:bCs/>
          <w:sz w:val="22"/>
          <w:szCs w:val="22"/>
          <w:lang w:val="fr-CA"/>
        </w:rPr>
        <w:t xml:space="preserve"> les heures allouées à la réunion en vue de leur approbation</w:t>
      </w:r>
      <w:r w:rsidR="00D2033C" w:rsidRPr="000F34C4">
        <w:rPr>
          <w:bCs/>
          <w:sz w:val="22"/>
          <w:szCs w:val="22"/>
          <w:lang w:val="fr-CA"/>
        </w:rPr>
        <w:t xml:space="preserve">. </w:t>
      </w:r>
    </w:p>
    <w:p w14:paraId="3C18DC0F" w14:textId="77777777" w:rsidR="00D2033C" w:rsidRPr="000F34C4" w:rsidRDefault="00D2033C" w:rsidP="00961A64">
      <w:pPr>
        <w:contextualSpacing/>
        <w:jc w:val="both"/>
        <w:rPr>
          <w:bCs/>
          <w:sz w:val="22"/>
          <w:szCs w:val="22"/>
          <w:lang w:val="fr-CA"/>
        </w:rPr>
      </w:pPr>
    </w:p>
    <w:p w14:paraId="20BEEDB0" w14:textId="4438CDF1" w:rsidR="00D2033C" w:rsidRPr="000F34C4" w:rsidRDefault="00800984" w:rsidP="00D2033C">
      <w:pPr>
        <w:tabs>
          <w:tab w:val="num" w:pos="1440"/>
        </w:tabs>
        <w:ind w:left="1440" w:hanging="720"/>
        <w:jc w:val="both"/>
        <w:rPr>
          <w:bCs/>
          <w:sz w:val="22"/>
          <w:szCs w:val="22"/>
          <w:lang w:val="fr-CA"/>
        </w:rPr>
      </w:pPr>
      <w:r w:rsidRPr="000F34C4">
        <w:rPr>
          <w:b/>
          <w:sz w:val="22"/>
          <w:szCs w:val="22"/>
          <w:lang w:val="fr-CA"/>
        </w:rPr>
        <w:t>3</w:t>
      </w:r>
      <w:r w:rsidR="00D2033C" w:rsidRPr="000F34C4">
        <w:rPr>
          <w:bCs/>
          <w:sz w:val="22"/>
          <w:szCs w:val="22"/>
          <w:lang w:val="fr-CA"/>
        </w:rPr>
        <w:t xml:space="preserve">. </w:t>
      </w:r>
      <w:r w:rsidR="00D2033C" w:rsidRPr="000F34C4">
        <w:rPr>
          <w:bCs/>
          <w:sz w:val="22"/>
          <w:szCs w:val="22"/>
          <w:lang w:val="fr-CA"/>
        </w:rPr>
        <w:tab/>
      </w:r>
      <w:r w:rsidR="00FC3AA8">
        <w:rPr>
          <w:b/>
          <w:sz w:val="22"/>
          <w:szCs w:val="22"/>
          <w:lang w:val="fr-CA"/>
        </w:rPr>
        <w:t xml:space="preserve">Rapport d’étape sur la mise en œuvre des mandats et des engagements contenus dans la Déclaration du </w:t>
      </w:r>
      <w:r w:rsidR="00FB4262" w:rsidRPr="000F34C4">
        <w:rPr>
          <w:b/>
          <w:sz w:val="22"/>
          <w:szCs w:val="22"/>
          <w:lang w:val="fr-CA"/>
        </w:rPr>
        <w:t>Paraguay</w:t>
      </w:r>
      <w:r w:rsidR="00FC3AA8">
        <w:rPr>
          <w:b/>
          <w:sz w:val="22"/>
          <w:szCs w:val="22"/>
          <w:lang w:val="fr-CA"/>
        </w:rPr>
        <w:t xml:space="preserve"> et dans le Plan de travail de la</w:t>
      </w:r>
      <w:r w:rsidR="00D2033C" w:rsidRPr="000F34C4">
        <w:rPr>
          <w:b/>
          <w:sz w:val="22"/>
          <w:szCs w:val="22"/>
          <w:lang w:val="fr-CA"/>
        </w:rPr>
        <w:t xml:space="preserve"> C</w:t>
      </w:r>
      <w:r w:rsidR="00FB4262" w:rsidRPr="000F34C4">
        <w:rPr>
          <w:b/>
          <w:sz w:val="22"/>
          <w:szCs w:val="22"/>
          <w:lang w:val="fr-CA"/>
        </w:rPr>
        <w:t xml:space="preserve">ITUR </w:t>
      </w:r>
      <w:r w:rsidR="00FC3AA8">
        <w:rPr>
          <w:b/>
          <w:sz w:val="22"/>
          <w:szCs w:val="22"/>
          <w:lang w:val="fr-CA"/>
        </w:rPr>
        <w:t>pour</w:t>
      </w:r>
      <w:r w:rsidR="00D2033C" w:rsidRPr="000F34C4">
        <w:rPr>
          <w:b/>
          <w:sz w:val="22"/>
          <w:szCs w:val="22"/>
          <w:lang w:val="fr-CA"/>
        </w:rPr>
        <w:t xml:space="preserve"> 2022-2024</w:t>
      </w:r>
      <w:r w:rsidR="00D2033C" w:rsidRPr="000F34C4">
        <w:rPr>
          <w:bCs/>
          <w:sz w:val="22"/>
          <w:szCs w:val="22"/>
          <w:lang w:val="fr-CA"/>
        </w:rPr>
        <w:t>.</w:t>
      </w:r>
    </w:p>
    <w:p w14:paraId="46490A6B" w14:textId="77777777" w:rsidR="00D2033C" w:rsidRPr="000F34C4" w:rsidRDefault="00D2033C" w:rsidP="00D2033C">
      <w:pPr>
        <w:jc w:val="both"/>
        <w:rPr>
          <w:bCs/>
          <w:sz w:val="22"/>
          <w:szCs w:val="22"/>
          <w:lang w:val="fr-CA"/>
        </w:rPr>
      </w:pPr>
    </w:p>
    <w:p w14:paraId="7B21762C" w14:textId="602F4CBB" w:rsidR="00D2033C" w:rsidRPr="000F34C4" w:rsidRDefault="00FC3AA8" w:rsidP="00D2033C">
      <w:pPr>
        <w:tabs>
          <w:tab w:val="left" w:pos="1440"/>
          <w:tab w:val="left" w:pos="2160"/>
        </w:tabs>
        <w:ind w:left="1440"/>
        <w:contextualSpacing/>
        <w:jc w:val="both"/>
        <w:rPr>
          <w:rFonts w:eastAsia="Malgun Gothic"/>
          <w:sz w:val="22"/>
          <w:szCs w:val="22"/>
          <w:lang w:val="fr-CA"/>
        </w:rPr>
      </w:pPr>
      <w:r>
        <w:rPr>
          <w:rFonts w:eastAsia="Malgun Gothic"/>
          <w:sz w:val="22"/>
          <w:szCs w:val="22"/>
          <w:lang w:val="fr-CA"/>
        </w:rPr>
        <w:t>En vertu de l’article 9 du Règlement des commissions interaméricaines du</w:t>
      </w:r>
      <w:r w:rsidR="00D2033C" w:rsidRPr="000F34C4">
        <w:rPr>
          <w:bCs/>
          <w:sz w:val="22"/>
          <w:szCs w:val="22"/>
          <w:lang w:val="fr-CA"/>
        </w:rPr>
        <w:t xml:space="preserve"> CIDI</w:t>
      </w:r>
      <w:r w:rsidR="00D2033C" w:rsidRPr="000F34C4">
        <w:rPr>
          <w:rFonts w:eastAsia="Malgun Gothic"/>
          <w:sz w:val="22"/>
          <w:szCs w:val="22"/>
          <w:lang w:val="fr-CA"/>
        </w:rPr>
        <w:t>,</w:t>
      </w:r>
      <w:r w:rsidR="00F039C6">
        <w:rPr>
          <w:rFonts w:eastAsia="Malgun Gothic"/>
          <w:sz w:val="22"/>
          <w:szCs w:val="22"/>
          <w:lang w:val="fr-CA"/>
        </w:rPr>
        <w:t xml:space="preserve"> le Secrétariat général de l’OEA fournira un soutien à la CITUR sous la forme de Secrétariat technique</w:t>
      </w:r>
      <w:r w:rsidR="00D2033C" w:rsidRPr="000F34C4">
        <w:rPr>
          <w:rFonts w:eastAsia="Malgun Gothic"/>
          <w:sz w:val="22"/>
          <w:szCs w:val="22"/>
          <w:lang w:val="fr-CA"/>
        </w:rPr>
        <w:t xml:space="preserve">. </w:t>
      </w:r>
    </w:p>
    <w:p w14:paraId="4DBF64E1" w14:textId="77777777" w:rsidR="00D2033C" w:rsidRPr="000F34C4" w:rsidRDefault="00D2033C" w:rsidP="00961A64">
      <w:pPr>
        <w:contextualSpacing/>
        <w:jc w:val="both"/>
        <w:rPr>
          <w:rFonts w:eastAsia="Malgun Gothic"/>
          <w:sz w:val="22"/>
          <w:szCs w:val="22"/>
          <w:lang w:val="fr-CA"/>
        </w:rPr>
      </w:pPr>
    </w:p>
    <w:p w14:paraId="428DDEFC" w14:textId="3DE25A88" w:rsidR="00D2033C" w:rsidRPr="000F34C4" w:rsidRDefault="00F039C6" w:rsidP="00F462EC">
      <w:pPr>
        <w:spacing w:line="220" w:lineRule="exact"/>
        <w:ind w:left="1440"/>
        <w:jc w:val="both"/>
        <w:rPr>
          <w:bCs/>
          <w:sz w:val="22"/>
          <w:szCs w:val="22"/>
          <w:lang w:val="fr-CA"/>
        </w:rPr>
      </w:pPr>
      <w:r>
        <w:rPr>
          <w:rFonts w:eastAsia="Malgun Gothic"/>
          <w:sz w:val="22"/>
          <w:szCs w:val="22"/>
          <w:lang w:val="fr-CA"/>
        </w:rPr>
        <w:t xml:space="preserve">Le Secrétariat technique de la CITUR présentera un rapport sur les résultats de la mise en œuvre de la Déclaration du </w:t>
      </w:r>
      <w:r w:rsidR="00A97185" w:rsidRPr="000F34C4">
        <w:rPr>
          <w:rFonts w:eastAsia="Malgun Gothic"/>
          <w:sz w:val="22"/>
          <w:szCs w:val="22"/>
          <w:lang w:val="fr-CA"/>
        </w:rPr>
        <w:t>Paraguay</w:t>
      </w:r>
      <w:r w:rsidR="00D2033C" w:rsidRPr="000F34C4">
        <w:rPr>
          <w:rFonts w:eastAsia="Malgun Gothic"/>
          <w:sz w:val="22"/>
          <w:szCs w:val="22"/>
          <w:lang w:val="fr-CA"/>
        </w:rPr>
        <w:t xml:space="preserve"> </w:t>
      </w:r>
      <w:r w:rsidR="00D2033C" w:rsidRPr="000F34C4">
        <w:rPr>
          <w:bCs/>
          <w:sz w:val="22"/>
          <w:szCs w:val="22"/>
          <w:lang w:val="fr-CA"/>
        </w:rPr>
        <w:t>“</w:t>
      </w:r>
      <w:r w:rsidR="00A968B2">
        <w:rPr>
          <w:b/>
          <w:sz w:val="22"/>
          <w:szCs w:val="22"/>
          <w:lang w:val="fr-CA"/>
        </w:rPr>
        <w:t>Vers la reconstruction</w:t>
      </w:r>
      <w:r w:rsidR="001E12CC">
        <w:rPr>
          <w:b/>
          <w:sz w:val="22"/>
          <w:szCs w:val="22"/>
          <w:lang w:val="fr-CA"/>
        </w:rPr>
        <w:t xml:space="preserve"> et la régénération</w:t>
      </w:r>
      <w:r w:rsidR="00A968B2">
        <w:rPr>
          <w:b/>
          <w:sz w:val="22"/>
          <w:szCs w:val="22"/>
          <w:lang w:val="fr-CA"/>
        </w:rPr>
        <w:t xml:space="preserve"> </w:t>
      </w:r>
      <w:r w:rsidR="002B63C5">
        <w:rPr>
          <w:b/>
          <w:sz w:val="22"/>
          <w:szCs w:val="22"/>
          <w:lang w:val="fr-CA"/>
        </w:rPr>
        <w:t>du tourisme</w:t>
      </w:r>
      <w:r w:rsidR="001E12CC">
        <w:rPr>
          <w:b/>
          <w:sz w:val="22"/>
          <w:szCs w:val="22"/>
          <w:lang w:val="fr-CA"/>
        </w:rPr>
        <w:t xml:space="preserve"> suite à la pandémie de</w:t>
      </w:r>
      <w:r w:rsidR="00B85B57" w:rsidRPr="000F34C4">
        <w:rPr>
          <w:b/>
          <w:sz w:val="22"/>
          <w:szCs w:val="22"/>
          <w:lang w:val="fr-CA"/>
        </w:rPr>
        <w:t xml:space="preserve"> COVID-19</w:t>
      </w:r>
      <w:r w:rsidR="00D2033C" w:rsidRPr="000F34C4">
        <w:rPr>
          <w:b/>
          <w:sz w:val="22"/>
          <w:szCs w:val="22"/>
          <w:lang w:val="fr-CA"/>
        </w:rPr>
        <w:t>”</w:t>
      </w:r>
      <w:r w:rsidR="001E12CC">
        <w:rPr>
          <w:b/>
          <w:sz w:val="22"/>
          <w:szCs w:val="22"/>
          <w:lang w:val="fr-CA"/>
        </w:rPr>
        <w:t>,</w:t>
      </w:r>
      <w:r w:rsidR="00D2033C" w:rsidRPr="000F34C4">
        <w:rPr>
          <w:bCs/>
          <w:sz w:val="22"/>
          <w:szCs w:val="22"/>
          <w:lang w:val="fr-CA"/>
        </w:rPr>
        <w:t xml:space="preserve"> adopt</w:t>
      </w:r>
      <w:r>
        <w:rPr>
          <w:bCs/>
          <w:sz w:val="22"/>
          <w:szCs w:val="22"/>
          <w:lang w:val="fr-CA"/>
        </w:rPr>
        <w:t>ée lors du Vingt-cinquième Congrès interaméricain des ministres et hauts fonctionnaires chargés du tourisme</w:t>
      </w:r>
      <w:r w:rsidR="00A968B2">
        <w:rPr>
          <w:bCs/>
          <w:sz w:val="22"/>
          <w:szCs w:val="22"/>
          <w:lang w:val="fr-CA"/>
        </w:rPr>
        <w:t xml:space="preserve"> tenue le 6 octobre 2023 ainsi que du Plan de travail de la CITUR pour</w:t>
      </w:r>
      <w:r w:rsidR="00D2033C" w:rsidRPr="000F34C4">
        <w:rPr>
          <w:rFonts w:eastAsia="Malgun Gothic"/>
          <w:sz w:val="22"/>
          <w:szCs w:val="22"/>
          <w:lang w:val="fr-CA"/>
        </w:rPr>
        <w:t xml:space="preserve"> 2022-2024</w:t>
      </w:r>
      <w:r w:rsidR="00F462EC" w:rsidRPr="000F34C4">
        <w:rPr>
          <w:rFonts w:eastAsia="Malgun Gothic"/>
          <w:sz w:val="22"/>
          <w:szCs w:val="22"/>
          <w:lang w:val="fr-CA"/>
        </w:rPr>
        <w:t>,</w:t>
      </w:r>
      <w:r w:rsidR="00A968B2">
        <w:rPr>
          <w:rFonts w:eastAsia="Malgun Gothic"/>
          <w:sz w:val="22"/>
          <w:szCs w:val="22"/>
          <w:lang w:val="fr-CA"/>
        </w:rPr>
        <w:t xml:space="preserve"> adopté par la Commission des politiques en matière de partenariat pour le développement le 12 juillet 2022, ainsi que sur les progrès réalisée dans la mise en œuvre de ces deux documents</w:t>
      </w:r>
      <w:r w:rsidR="00D2033C" w:rsidRPr="000F34C4">
        <w:rPr>
          <w:rFonts w:eastAsia="Malgun Gothic"/>
          <w:sz w:val="22"/>
          <w:szCs w:val="22"/>
          <w:lang w:val="fr-CA"/>
        </w:rPr>
        <w:t xml:space="preserve">. </w:t>
      </w:r>
    </w:p>
    <w:p w14:paraId="57B03BD1" w14:textId="77777777" w:rsidR="00D2033C" w:rsidRPr="000F34C4" w:rsidRDefault="00D2033C" w:rsidP="00961A64">
      <w:pPr>
        <w:contextualSpacing/>
        <w:jc w:val="both"/>
        <w:rPr>
          <w:sz w:val="22"/>
          <w:szCs w:val="22"/>
          <w:lang w:val="fr-CA"/>
        </w:rPr>
      </w:pPr>
    </w:p>
    <w:p w14:paraId="050EC5A7" w14:textId="34BEDAFB" w:rsidR="00D2033C" w:rsidRPr="000F34C4" w:rsidRDefault="0050414A" w:rsidP="00D2033C">
      <w:pPr>
        <w:ind w:left="1440" w:right="-40" w:hanging="720"/>
        <w:jc w:val="both"/>
        <w:rPr>
          <w:bCs/>
          <w:sz w:val="22"/>
          <w:szCs w:val="22"/>
          <w:lang w:val="fr-CA"/>
        </w:rPr>
      </w:pPr>
      <w:r w:rsidRPr="000F34C4">
        <w:rPr>
          <w:b/>
          <w:sz w:val="22"/>
          <w:szCs w:val="22"/>
          <w:lang w:val="fr-CA"/>
        </w:rPr>
        <w:t>4</w:t>
      </w:r>
      <w:r w:rsidR="00D2033C" w:rsidRPr="000F34C4">
        <w:rPr>
          <w:b/>
          <w:sz w:val="22"/>
          <w:szCs w:val="22"/>
          <w:lang w:val="fr-CA"/>
        </w:rPr>
        <w:t>.</w:t>
      </w:r>
      <w:r w:rsidR="00D2033C" w:rsidRPr="000F34C4">
        <w:rPr>
          <w:b/>
          <w:sz w:val="22"/>
          <w:szCs w:val="22"/>
          <w:lang w:val="fr-CA"/>
        </w:rPr>
        <w:tab/>
      </w:r>
      <w:r w:rsidR="001E12CC">
        <w:rPr>
          <w:b/>
          <w:sz w:val="22"/>
          <w:szCs w:val="22"/>
          <w:lang w:val="fr-CA"/>
        </w:rPr>
        <w:t>Partage de connaissances et de bonnes pratiques sur des sujets qui présentent un intérêt ainsi que de priorités cernées par les États membres</w:t>
      </w:r>
      <w:r w:rsidR="00490F68">
        <w:rPr>
          <w:b/>
          <w:sz w:val="22"/>
          <w:szCs w:val="22"/>
          <w:lang w:val="fr-CA"/>
        </w:rPr>
        <w:t xml:space="preserve"> et reflétées dans la Déclaration du Paraguay et dans le Plan de travail de la CITUR pour</w:t>
      </w:r>
      <w:r w:rsidR="001E12CC">
        <w:rPr>
          <w:b/>
          <w:sz w:val="22"/>
          <w:szCs w:val="22"/>
          <w:lang w:val="fr-CA"/>
        </w:rPr>
        <w:t xml:space="preserve"> </w:t>
      </w:r>
      <w:r w:rsidR="00D2033C" w:rsidRPr="000F34C4">
        <w:rPr>
          <w:b/>
          <w:sz w:val="22"/>
          <w:szCs w:val="22"/>
          <w:lang w:val="fr-CA"/>
        </w:rPr>
        <w:t>2022-2024.</w:t>
      </w:r>
    </w:p>
    <w:p w14:paraId="22C1400E" w14:textId="77777777" w:rsidR="00D2033C" w:rsidRPr="000F34C4" w:rsidRDefault="00D2033C" w:rsidP="00D2033C">
      <w:pPr>
        <w:jc w:val="both"/>
        <w:rPr>
          <w:bCs/>
          <w:sz w:val="22"/>
          <w:szCs w:val="22"/>
          <w:lang w:val="fr-CA"/>
        </w:rPr>
      </w:pPr>
    </w:p>
    <w:p w14:paraId="6AC32F40" w14:textId="474DD12D" w:rsidR="00D2033C" w:rsidRPr="000F34C4" w:rsidRDefault="00490F68" w:rsidP="00D2033C">
      <w:pPr>
        <w:ind w:left="1440"/>
        <w:jc w:val="both"/>
        <w:rPr>
          <w:bCs/>
          <w:sz w:val="22"/>
          <w:szCs w:val="22"/>
          <w:lang w:val="fr-CA"/>
        </w:rPr>
      </w:pPr>
      <w:r>
        <w:rPr>
          <w:bCs/>
          <w:sz w:val="22"/>
          <w:szCs w:val="22"/>
          <w:lang w:val="fr-CA"/>
        </w:rPr>
        <w:t xml:space="preserve">Les États membres et les partenaires de la CITUR partageront des renseignements, de bonnes pratiques ainsi que des propositions entreprises dans le cadre de la mise en œuvre de la Déclaration du Paraguay et du Plan de travail de la CITUR pour </w:t>
      </w:r>
      <w:r w:rsidR="00D2033C" w:rsidRPr="000F34C4">
        <w:rPr>
          <w:bCs/>
          <w:sz w:val="22"/>
          <w:szCs w:val="22"/>
          <w:lang w:val="fr-CA"/>
        </w:rPr>
        <w:t xml:space="preserve">2022-2024. </w:t>
      </w:r>
      <w:r>
        <w:rPr>
          <w:bCs/>
          <w:sz w:val="22"/>
          <w:szCs w:val="22"/>
          <w:lang w:val="fr-CA"/>
        </w:rPr>
        <w:t>Les sujets traités incluent les suivants </w:t>
      </w:r>
      <w:r w:rsidR="00D2033C" w:rsidRPr="000F34C4">
        <w:rPr>
          <w:bCs/>
          <w:sz w:val="22"/>
          <w:szCs w:val="22"/>
          <w:lang w:val="fr-CA"/>
        </w:rPr>
        <w:t xml:space="preserve">: </w:t>
      </w:r>
    </w:p>
    <w:p w14:paraId="5CF8A61B" w14:textId="33A61E78" w:rsidR="00D2033C" w:rsidRPr="000F34C4" w:rsidRDefault="00D2033C" w:rsidP="00D2033C">
      <w:pPr>
        <w:contextualSpacing/>
        <w:jc w:val="both"/>
        <w:rPr>
          <w:bCs/>
          <w:sz w:val="22"/>
          <w:szCs w:val="22"/>
          <w:lang w:val="fr-CA"/>
        </w:rPr>
      </w:pPr>
    </w:p>
    <w:p w14:paraId="244B27A6" w14:textId="22FE28A9" w:rsidR="0050414A" w:rsidRPr="000F34C4" w:rsidRDefault="00490F68" w:rsidP="0050414A">
      <w:pPr>
        <w:numPr>
          <w:ilvl w:val="1"/>
          <w:numId w:val="19"/>
        </w:numPr>
        <w:tabs>
          <w:tab w:val="left" w:pos="1440"/>
          <w:tab w:val="left" w:pos="2070"/>
        </w:tabs>
        <w:ind w:left="2070" w:right="-40" w:hanging="630"/>
        <w:jc w:val="both"/>
        <w:rPr>
          <w:bCs/>
          <w:sz w:val="22"/>
          <w:szCs w:val="22"/>
          <w:lang w:val="fr-CA"/>
        </w:rPr>
      </w:pPr>
      <w:bookmarkStart w:id="0" w:name="_Hlk130382086"/>
      <w:bookmarkStart w:id="1" w:name="_Hlk130379018"/>
      <w:r>
        <w:rPr>
          <w:bCs/>
          <w:sz w:val="22"/>
          <w:szCs w:val="22"/>
          <w:lang w:val="fr-CA"/>
        </w:rPr>
        <w:t xml:space="preserve">Réduire le changement climatique et harnacher le tourisme durable pour le développement dans les Amériques </w:t>
      </w:r>
      <w:bookmarkEnd w:id="0"/>
    </w:p>
    <w:p w14:paraId="723CC4D9" w14:textId="77777777" w:rsidR="0050414A" w:rsidRPr="000F34C4" w:rsidRDefault="0050414A" w:rsidP="00961A64">
      <w:pPr>
        <w:contextualSpacing/>
        <w:jc w:val="both"/>
        <w:rPr>
          <w:bCs/>
          <w:sz w:val="22"/>
          <w:szCs w:val="22"/>
          <w:lang w:val="fr-CA"/>
        </w:rPr>
      </w:pPr>
    </w:p>
    <w:p w14:paraId="2058A5DB" w14:textId="6FDB283B" w:rsidR="0050414A" w:rsidRPr="000F34C4" w:rsidRDefault="005D3476" w:rsidP="0050414A">
      <w:pPr>
        <w:numPr>
          <w:ilvl w:val="1"/>
          <w:numId w:val="19"/>
        </w:numPr>
        <w:tabs>
          <w:tab w:val="left" w:pos="1530"/>
          <w:tab w:val="left" w:pos="2070"/>
        </w:tabs>
        <w:ind w:left="2070" w:right="-40" w:hanging="630"/>
        <w:jc w:val="both"/>
        <w:rPr>
          <w:bCs/>
          <w:sz w:val="22"/>
          <w:szCs w:val="22"/>
          <w:lang w:val="fr-CA"/>
        </w:rPr>
      </w:pPr>
      <w:r w:rsidRPr="000F34C4">
        <w:rPr>
          <w:bCs/>
          <w:sz w:val="22"/>
          <w:szCs w:val="22"/>
          <w:lang w:val="fr-CA"/>
        </w:rPr>
        <w:t>Promoti</w:t>
      </w:r>
      <w:r w:rsidR="00490F68">
        <w:rPr>
          <w:bCs/>
          <w:sz w:val="22"/>
          <w:szCs w:val="22"/>
          <w:lang w:val="fr-CA"/>
        </w:rPr>
        <w:t>on du tourisme régénérat</w:t>
      </w:r>
      <w:r w:rsidR="00DC3569">
        <w:rPr>
          <w:bCs/>
          <w:sz w:val="22"/>
          <w:szCs w:val="22"/>
          <w:lang w:val="fr-CA"/>
        </w:rPr>
        <w:t>eur</w:t>
      </w:r>
      <w:r w:rsidR="00490F68">
        <w:rPr>
          <w:bCs/>
          <w:sz w:val="22"/>
          <w:szCs w:val="22"/>
          <w:lang w:val="fr-CA"/>
        </w:rPr>
        <w:t xml:space="preserve"> et du tourisme résilient</w:t>
      </w:r>
      <w:r w:rsidR="00DC3569">
        <w:rPr>
          <w:bCs/>
          <w:sz w:val="22"/>
          <w:szCs w:val="22"/>
          <w:lang w:val="fr-CA"/>
        </w:rPr>
        <w:t xml:space="preserve"> dans les États membres de l’OEA en tant que catalyseur pour la reprise du tourisme dans des communautés locales des Amériques suite à la pandémie de COVID-19</w:t>
      </w:r>
      <w:bookmarkStart w:id="2" w:name="_Hlk130379356"/>
      <w:bookmarkEnd w:id="1"/>
    </w:p>
    <w:p w14:paraId="03DF8121" w14:textId="77777777" w:rsidR="0050414A" w:rsidRPr="000F34C4" w:rsidRDefault="0050414A" w:rsidP="00961A64">
      <w:pPr>
        <w:contextualSpacing/>
        <w:jc w:val="both"/>
        <w:rPr>
          <w:bCs/>
          <w:sz w:val="22"/>
          <w:szCs w:val="22"/>
          <w:lang w:val="fr-CA"/>
        </w:rPr>
      </w:pPr>
    </w:p>
    <w:p w14:paraId="306975CD" w14:textId="2C6A9AB6" w:rsidR="0050414A" w:rsidRPr="000F34C4" w:rsidRDefault="004C6BC2" w:rsidP="0050414A">
      <w:pPr>
        <w:numPr>
          <w:ilvl w:val="1"/>
          <w:numId w:val="19"/>
        </w:numPr>
        <w:tabs>
          <w:tab w:val="left" w:pos="1530"/>
          <w:tab w:val="left" w:pos="2070"/>
        </w:tabs>
        <w:ind w:left="2070" w:right="-40" w:hanging="630"/>
        <w:jc w:val="both"/>
        <w:rPr>
          <w:bCs/>
          <w:sz w:val="22"/>
          <w:szCs w:val="22"/>
          <w:lang w:val="fr-CA"/>
        </w:rPr>
      </w:pPr>
      <w:r w:rsidRPr="000F34C4">
        <w:rPr>
          <w:rFonts w:eastAsiaTheme="minorHAnsi"/>
          <w:kern w:val="2"/>
          <w:lang w:val="fr-CA"/>
          <w14:ligatures w14:val="standardContextual"/>
        </w:rPr>
        <w:t>A</w:t>
      </w:r>
      <w:r w:rsidRPr="000F34C4">
        <w:rPr>
          <w:bCs/>
          <w:sz w:val="22"/>
          <w:szCs w:val="22"/>
          <w:lang w:val="fr-CA"/>
        </w:rPr>
        <w:t>doption</w:t>
      </w:r>
      <w:r w:rsidR="00DC3569">
        <w:rPr>
          <w:bCs/>
          <w:sz w:val="22"/>
          <w:szCs w:val="22"/>
          <w:lang w:val="fr-CA"/>
        </w:rPr>
        <w:t xml:space="preserve"> et mise en application de technologies </w:t>
      </w:r>
      <w:r w:rsidR="004D4BA2">
        <w:rPr>
          <w:bCs/>
          <w:sz w:val="22"/>
          <w:szCs w:val="22"/>
          <w:lang w:val="fr-CA"/>
        </w:rPr>
        <w:t>dans le tourisme pour l’avenir dans les Amériques</w:t>
      </w:r>
      <w:r w:rsidRPr="000F34C4">
        <w:rPr>
          <w:bCs/>
          <w:sz w:val="22"/>
          <w:szCs w:val="22"/>
          <w:lang w:val="fr-CA"/>
        </w:rPr>
        <w:t xml:space="preserve"> </w:t>
      </w:r>
      <w:bookmarkStart w:id="3" w:name="_Hlk130380260"/>
      <w:bookmarkEnd w:id="2"/>
    </w:p>
    <w:p w14:paraId="58D916C2" w14:textId="77777777" w:rsidR="0050414A" w:rsidRPr="000F34C4" w:rsidRDefault="0050414A" w:rsidP="00961A64">
      <w:pPr>
        <w:contextualSpacing/>
        <w:jc w:val="both"/>
        <w:rPr>
          <w:bCs/>
          <w:sz w:val="22"/>
          <w:szCs w:val="22"/>
          <w:lang w:val="fr-CA"/>
        </w:rPr>
      </w:pPr>
    </w:p>
    <w:p w14:paraId="1B4AEFCA" w14:textId="6C55B04F" w:rsidR="0050414A" w:rsidRPr="000F34C4" w:rsidRDefault="004D4BA2" w:rsidP="0050414A">
      <w:pPr>
        <w:numPr>
          <w:ilvl w:val="1"/>
          <w:numId w:val="19"/>
        </w:numPr>
        <w:tabs>
          <w:tab w:val="left" w:pos="1530"/>
          <w:tab w:val="left" w:pos="2070"/>
        </w:tabs>
        <w:ind w:left="2070" w:right="-40" w:hanging="630"/>
        <w:jc w:val="both"/>
        <w:rPr>
          <w:bCs/>
          <w:sz w:val="22"/>
          <w:szCs w:val="22"/>
          <w:lang w:val="fr-CA"/>
        </w:rPr>
      </w:pPr>
      <w:r>
        <w:rPr>
          <w:bCs/>
          <w:sz w:val="22"/>
          <w:szCs w:val="22"/>
          <w:lang w:val="fr-CA"/>
        </w:rPr>
        <w:lastRenderedPageBreak/>
        <w:t>Accroissement de la capacité de petites ou moyennes entreprises (PME) touristiques en tant que pièces</w:t>
      </w:r>
      <w:r w:rsidR="009A1DF6">
        <w:rPr>
          <w:bCs/>
          <w:sz w:val="22"/>
          <w:szCs w:val="22"/>
          <w:lang w:val="fr-CA"/>
        </w:rPr>
        <w:t xml:space="preserve"> maîtresses</w:t>
      </w:r>
      <w:r>
        <w:rPr>
          <w:bCs/>
          <w:sz w:val="22"/>
          <w:szCs w:val="22"/>
          <w:lang w:val="fr-CA"/>
        </w:rPr>
        <w:t xml:space="preserve"> du développement touristique dans les Amériques </w:t>
      </w:r>
      <w:bookmarkStart w:id="4" w:name="_Hlk130381861"/>
    </w:p>
    <w:p w14:paraId="24DDCDA9" w14:textId="77777777" w:rsidR="0050414A" w:rsidRPr="000F34C4" w:rsidRDefault="0050414A" w:rsidP="00961A64">
      <w:pPr>
        <w:contextualSpacing/>
        <w:jc w:val="both"/>
        <w:rPr>
          <w:bCs/>
          <w:sz w:val="22"/>
          <w:szCs w:val="22"/>
          <w:lang w:val="fr-CA"/>
        </w:rPr>
      </w:pPr>
    </w:p>
    <w:p w14:paraId="6C27857D" w14:textId="5FE57A21" w:rsidR="0050414A" w:rsidRDefault="00B613A8" w:rsidP="0050414A">
      <w:pPr>
        <w:numPr>
          <w:ilvl w:val="1"/>
          <w:numId w:val="19"/>
        </w:numPr>
        <w:tabs>
          <w:tab w:val="left" w:pos="1530"/>
          <w:tab w:val="left" w:pos="2070"/>
        </w:tabs>
        <w:ind w:left="2070" w:right="-40" w:hanging="630"/>
        <w:jc w:val="both"/>
        <w:rPr>
          <w:bCs/>
          <w:sz w:val="22"/>
          <w:szCs w:val="22"/>
          <w:lang w:val="fr-CA"/>
        </w:rPr>
      </w:pPr>
      <w:r w:rsidRPr="000F34C4">
        <w:rPr>
          <w:bCs/>
          <w:sz w:val="22"/>
          <w:szCs w:val="22"/>
          <w:lang w:val="fr-CA"/>
        </w:rPr>
        <w:t>Promoti</w:t>
      </w:r>
      <w:r w:rsidR="009A1DF6">
        <w:rPr>
          <w:bCs/>
          <w:sz w:val="22"/>
          <w:szCs w:val="22"/>
          <w:lang w:val="fr-CA"/>
        </w:rPr>
        <w:t>on du tourisme autochtone durable pour améliorer le développement des communautés locales</w:t>
      </w:r>
      <w:r w:rsidRPr="000F34C4">
        <w:rPr>
          <w:bCs/>
          <w:sz w:val="22"/>
          <w:szCs w:val="22"/>
          <w:lang w:val="fr-CA"/>
        </w:rPr>
        <w:t xml:space="preserve"> </w:t>
      </w:r>
      <w:bookmarkEnd w:id="4"/>
    </w:p>
    <w:p w14:paraId="54375AD4" w14:textId="77777777" w:rsidR="009A1DF6" w:rsidRPr="000F34C4" w:rsidRDefault="009A1DF6" w:rsidP="009A1DF6">
      <w:pPr>
        <w:tabs>
          <w:tab w:val="left" w:pos="1530"/>
          <w:tab w:val="left" w:pos="2070"/>
        </w:tabs>
        <w:ind w:right="-40"/>
        <w:jc w:val="both"/>
        <w:rPr>
          <w:bCs/>
          <w:sz w:val="22"/>
          <w:szCs w:val="22"/>
          <w:lang w:val="fr-CA"/>
        </w:rPr>
      </w:pPr>
    </w:p>
    <w:p w14:paraId="3C006625" w14:textId="2462A6F3" w:rsidR="00D2033C" w:rsidRPr="000F34C4" w:rsidRDefault="0050414A" w:rsidP="00D2033C">
      <w:pPr>
        <w:ind w:left="1440" w:hanging="720"/>
        <w:jc w:val="both"/>
        <w:rPr>
          <w:b/>
          <w:sz w:val="22"/>
          <w:szCs w:val="22"/>
          <w:lang w:val="fr-CA"/>
        </w:rPr>
      </w:pPr>
      <w:bookmarkStart w:id="5" w:name="_Hlk130382321"/>
      <w:bookmarkEnd w:id="3"/>
      <w:r w:rsidRPr="000F34C4">
        <w:rPr>
          <w:b/>
          <w:sz w:val="22"/>
          <w:szCs w:val="22"/>
          <w:lang w:val="fr-CA"/>
        </w:rPr>
        <w:t>5</w:t>
      </w:r>
      <w:r w:rsidR="00D2033C" w:rsidRPr="000F34C4">
        <w:rPr>
          <w:b/>
          <w:sz w:val="22"/>
          <w:szCs w:val="22"/>
          <w:lang w:val="fr-CA"/>
        </w:rPr>
        <w:t>.</w:t>
      </w:r>
      <w:r w:rsidR="00D2033C" w:rsidRPr="000F34C4">
        <w:rPr>
          <w:b/>
          <w:sz w:val="22"/>
          <w:szCs w:val="22"/>
          <w:lang w:val="fr-CA"/>
        </w:rPr>
        <w:tab/>
      </w:r>
      <w:r w:rsidR="009A1DF6">
        <w:rPr>
          <w:b/>
          <w:sz w:val="22"/>
          <w:szCs w:val="22"/>
          <w:lang w:val="fr-CA"/>
        </w:rPr>
        <w:t xml:space="preserve">Résumé des contributions et des lignes directrices présenté au Secrétariat en vue de la rédaction d’un livre blanc qui aidera à déterminer le thème et l’ordre du jour de la prochaine réunion ministérielle </w:t>
      </w:r>
    </w:p>
    <w:p w14:paraId="765B5BFA" w14:textId="77777777" w:rsidR="00D2033C" w:rsidRPr="003F2850" w:rsidRDefault="00D2033C" w:rsidP="00961A64">
      <w:pPr>
        <w:contextualSpacing/>
        <w:jc w:val="both"/>
        <w:rPr>
          <w:bCs/>
          <w:sz w:val="22"/>
          <w:szCs w:val="22"/>
          <w:lang w:val="fr-CA"/>
        </w:rPr>
      </w:pPr>
    </w:p>
    <w:p w14:paraId="29E46B0D" w14:textId="3ADC225C" w:rsidR="00D2033C" w:rsidRPr="000F34C4" w:rsidRDefault="009A1DF6" w:rsidP="00D2033C">
      <w:pPr>
        <w:ind w:left="1440"/>
        <w:jc w:val="both"/>
        <w:rPr>
          <w:bCs/>
          <w:sz w:val="22"/>
          <w:szCs w:val="22"/>
          <w:lang w:val="fr-CA"/>
        </w:rPr>
      </w:pPr>
      <w:r>
        <w:rPr>
          <w:bCs/>
          <w:sz w:val="22"/>
          <w:szCs w:val="22"/>
          <w:lang w:val="fr-CA"/>
        </w:rPr>
        <w:t>Les États membres fourniront au Secrétariat des recommandations</w:t>
      </w:r>
      <w:r w:rsidR="00E0005A">
        <w:rPr>
          <w:bCs/>
          <w:sz w:val="22"/>
          <w:szCs w:val="22"/>
          <w:lang w:val="fr-CA"/>
        </w:rPr>
        <w:t xml:space="preserve"> en vue de la rédaction d’un livre blanc qui aidera à déterminer le thème et l’ordre du jour de la prochaine réunion ministérielle.</w:t>
      </w:r>
    </w:p>
    <w:p w14:paraId="1041C35D" w14:textId="77AB8DFE" w:rsidR="0088039A" w:rsidRPr="000F34C4" w:rsidRDefault="0088039A" w:rsidP="00961A64">
      <w:pPr>
        <w:contextualSpacing/>
        <w:jc w:val="both"/>
        <w:rPr>
          <w:bCs/>
          <w:sz w:val="22"/>
          <w:szCs w:val="22"/>
          <w:lang w:val="fr-CA"/>
        </w:rPr>
      </w:pPr>
      <w:bookmarkStart w:id="6" w:name="_Hlk130382473"/>
      <w:bookmarkEnd w:id="5"/>
    </w:p>
    <w:bookmarkEnd w:id="6"/>
    <w:p w14:paraId="51E8A2B1" w14:textId="45A34A35" w:rsidR="0088039A" w:rsidRPr="000F34C4" w:rsidRDefault="0050414A" w:rsidP="00D2033C">
      <w:pPr>
        <w:ind w:left="1440" w:hanging="720"/>
        <w:jc w:val="both"/>
        <w:rPr>
          <w:b/>
          <w:sz w:val="22"/>
          <w:szCs w:val="22"/>
          <w:lang w:val="fr-CA"/>
        </w:rPr>
      </w:pPr>
      <w:r w:rsidRPr="000F34C4">
        <w:rPr>
          <w:b/>
          <w:sz w:val="22"/>
          <w:szCs w:val="22"/>
          <w:lang w:val="fr-CA"/>
        </w:rPr>
        <w:t>6</w:t>
      </w:r>
      <w:r w:rsidR="00D2033C" w:rsidRPr="000F34C4">
        <w:rPr>
          <w:b/>
          <w:sz w:val="22"/>
          <w:szCs w:val="22"/>
          <w:lang w:val="fr-CA"/>
        </w:rPr>
        <w:t>.</w:t>
      </w:r>
      <w:r w:rsidR="00D2033C" w:rsidRPr="000F34C4">
        <w:rPr>
          <w:b/>
          <w:sz w:val="22"/>
          <w:szCs w:val="22"/>
          <w:lang w:val="fr-CA"/>
        </w:rPr>
        <w:tab/>
      </w:r>
      <w:r w:rsidR="00E0005A">
        <w:rPr>
          <w:b/>
          <w:sz w:val="22"/>
          <w:szCs w:val="22"/>
          <w:lang w:val="fr-CA"/>
        </w:rPr>
        <w:t>Autres questions</w:t>
      </w:r>
    </w:p>
    <w:p w14:paraId="3FB8B38A" w14:textId="77777777" w:rsidR="0088039A" w:rsidRPr="003F2850" w:rsidRDefault="0088039A" w:rsidP="00961A64">
      <w:pPr>
        <w:contextualSpacing/>
        <w:jc w:val="both"/>
        <w:rPr>
          <w:bCs/>
          <w:sz w:val="22"/>
          <w:szCs w:val="22"/>
          <w:lang w:val="fr-CA"/>
        </w:rPr>
      </w:pPr>
    </w:p>
    <w:p w14:paraId="4AAF9709" w14:textId="10096701" w:rsidR="00D2033C" w:rsidRPr="000F34C4" w:rsidRDefault="00E0005A" w:rsidP="0088039A">
      <w:pPr>
        <w:ind w:left="1440"/>
        <w:jc w:val="both"/>
        <w:rPr>
          <w:bCs/>
          <w:sz w:val="22"/>
          <w:szCs w:val="22"/>
          <w:lang w:val="fr-CA"/>
        </w:rPr>
      </w:pPr>
      <w:r>
        <w:rPr>
          <w:bCs/>
          <w:sz w:val="22"/>
          <w:szCs w:val="22"/>
          <w:lang w:val="fr-CA"/>
        </w:rPr>
        <w:t>Les délégations peuvent soulever toute autre question pour qu’elle soit examinée par la réunion ou communiquer des renseignements le cas échéant</w:t>
      </w:r>
      <w:r w:rsidR="00D2033C" w:rsidRPr="000F34C4">
        <w:rPr>
          <w:bCs/>
          <w:sz w:val="22"/>
          <w:szCs w:val="22"/>
          <w:lang w:val="fr-CA"/>
        </w:rPr>
        <w:t>.</w:t>
      </w:r>
    </w:p>
    <w:p w14:paraId="4D42117B" w14:textId="77777777" w:rsidR="00D2033C" w:rsidRPr="000F34C4" w:rsidRDefault="00D2033C" w:rsidP="003F2850">
      <w:pPr>
        <w:contextualSpacing/>
        <w:jc w:val="both"/>
        <w:rPr>
          <w:bCs/>
          <w:sz w:val="22"/>
          <w:szCs w:val="22"/>
          <w:lang w:val="fr-CA"/>
        </w:rPr>
      </w:pPr>
    </w:p>
    <w:p w14:paraId="3860E9F0" w14:textId="33BEED40" w:rsidR="00D2033C" w:rsidRPr="000F34C4" w:rsidRDefault="00E0005A" w:rsidP="00D2033C">
      <w:pPr>
        <w:pStyle w:val="ListParagraph"/>
        <w:numPr>
          <w:ilvl w:val="0"/>
          <w:numId w:val="18"/>
        </w:numPr>
        <w:tabs>
          <w:tab w:val="left" w:pos="1440"/>
          <w:tab w:val="left" w:pos="2160"/>
        </w:tabs>
        <w:ind w:hanging="720"/>
        <w:jc w:val="both"/>
        <w:rPr>
          <w:b/>
          <w:sz w:val="22"/>
          <w:szCs w:val="22"/>
          <w:lang w:val="fr-CA"/>
        </w:rPr>
      </w:pPr>
      <w:r>
        <w:rPr>
          <w:b/>
          <w:sz w:val="22"/>
          <w:szCs w:val="22"/>
          <w:lang w:val="fr-CA"/>
        </w:rPr>
        <w:t>RÉSULTATS ATTENDUS</w:t>
      </w:r>
    </w:p>
    <w:p w14:paraId="583BA5A6" w14:textId="77777777" w:rsidR="0088039A" w:rsidRPr="000F34C4" w:rsidRDefault="0088039A" w:rsidP="003F2850">
      <w:pPr>
        <w:contextualSpacing/>
        <w:jc w:val="both"/>
        <w:rPr>
          <w:bCs/>
          <w:sz w:val="22"/>
          <w:szCs w:val="22"/>
          <w:lang w:val="fr-CA"/>
        </w:rPr>
      </w:pPr>
    </w:p>
    <w:p w14:paraId="78FB7B6B" w14:textId="46712F1F" w:rsidR="00D2033C" w:rsidRPr="000F34C4" w:rsidRDefault="00E0005A" w:rsidP="0088039A">
      <w:pPr>
        <w:ind w:firstLine="720"/>
        <w:jc w:val="both"/>
        <w:rPr>
          <w:bCs/>
          <w:sz w:val="22"/>
          <w:szCs w:val="22"/>
          <w:lang w:val="fr-CA"/>
        </w:rPr>
      </w:pPr>
      <w:r>
        <w:rPr>
          <w:bCs/>
          <w:sz w:val="22"/>
          <w:szCs w:val="22"/>
          <w:lang w:val="fr-CA"/>
        </w:rPr>
        <w:t>La Troisième Réunion ordinaire de la CITUR devrait offrir un espace où collecter des renseignements</w:t>
      </w:r>
      <w:r w:rsidR="00C82979">
        <w:rPr>
          <w:bCs/>
          <w:sz w:val="22"/>
          <w:szCs w:val="22"/>
          <w:lang w:val="fr-CA"/>
        </w:rPr>
        <w:t xml:space="preserve"> sur les tendances régionales et mondiales en matière de tourisme durable, cerner les défis, les lacunes et les opportunités sur lesquels les ministres devraient se pencher. Spécifiquement </w:t>
      </w:r>
      <w:r w:rsidR="00D2033C" w:rsidRPr="000F34C4">
        <w:rPr>
          <w:bCs/>
          <w:sz w:val="22"/>
          <w:szCs w:val="22"/>
          <w:lang w:val="fr-CA"/>
        </w:rPr>
        <w:t>: (i)</w:t>
      </w:r>
      <w:r w:rsidR="003F2850">
        <w:rPr>
          <w:bCs/>
          <w:sz w:val="22"/>
          <w:szCs w:val="22"/>
          <w:lang w:val="fr-CA"/>
        </w:rPr>
        <w:t> </w:t>
      </w:r>
      <w:r w:rsidR="00C82979">
        <w:rPr>
          <w:bCs/>
          <w:sz w:val="22"/>
          <w:szCs w:val="22"/>
          <w:lang w:val="fr-CA"/>
        </w:rPr>
        <w:t>des sujets à discuter lors de la prochaine réunion ministérielle et des lignes directrices qui aideront le Secrétariat à rédiger le livre blanc</w:t>
      </w:r>
      <w:r w:rsidR="00D2033C" w:rsidRPr="000F34C4">
        <w:rPr>
          <w:bCs/>
          <w:sz w:val="22"/>
          <w:szCs w:val="22"/>
          <w:lang w:val="fr-CA"/>
        </w:rPr>
        <w:t>; (ii)</w:t>
      </w:r>
      <w:r w:rsidR="00C82979">
        <w:rPr>
          <w:bCs/>
          <w:sz w:val="22"/>
          <w:szCs w:val="22"/>
          <w:lang w:val="fr-CA"/>
        </w:rPr>
        <w:t xml:space="preserve"> l’analyse des progrès réalisés dans la mise en œuvre des mandats et recommandations découlant des réunions ministérielles</w:t>
      </w:r>
      <w:r w:rsidR="00CA6573">
        <w:rPr>
          <w:bCs/>
          <w:sz w:val="22"/>
          <w:szCs w:val="22"/>
          <w:lang w:val="fr-CA"/>
        </w:rPr>
        <w:t xml:space="preserve"> pour en tenir compte dans le Plan de travail</w:t>
      </w:r>
      <w:r w:rsidR="00DF4569" w:rsidRPr="000F34C4">
        <w:rPr>
          <w:bCs/>
          <w:sz w:val="22"/>
          <w:szCs w:val="22"/>
          <w:lang w:val="fr-CA"/>
        </w:rPr>
        <w:t>.</w:t>
      </w:r>
    </w:p>
    <w:p w14:paraId="62BAB2E7" w14:textId="77777777" w:rsidR="00D2033C" w:rsidRPr="003F2850" w:rsidRDefault="00D2033C" w:rsidP="00D2033C">
      <w:pPr>
        <w:pStyle w:val="ListParagraph"/>
        <w:tabs>
          <w:tab w:val="left" w:pos="1440"/>
          <w:tab w:val="left" w:pos="2160"/>
        </w:tabs>
        <w:ind w:left="0"/>
        <w:jc w:val="both"/>
        <w:rPr>
          <w:bCs/>
          <w:sz w:val="22"/>
          <w:szCs w:val="22"/>
          <w:lang w:val="fr-CA"/>
        </w:rPr>
      </w:pPr>
    </w:p>
    <w:p w14:paraId="2F6E2BA6" w14:textId="3ABDDDBE" w:rsidR="00D2033C" w:rsidRPr="000F34C4" w:rsidRDefault="00D2033C" w:rsidP="00D2033C">
      <w:pPr>
        <w:tabs>
          <w:tab w:val="left" w:pos="720"/>
          <w:tab w:val="left" w:pos="2160"/>
        </w:tabs>
        <w:contextualSpacing/>
        <w:rPr>
          <w:b/>
          <w:sz w:val="22"/>
          <w:szCs w:val="22"/>
          <w:lang w:val="fr-CA"/>
        </w:rPr>
      </w:pPr>
      <w:r w:rsidRPr="000F34C4">
        <w:rPr>
          <w:b/>
          <w:sz w:val="22"/>
          <w:szCs w:val="22"/>
          <w:lang w:val="fr-CA"/>
        </w:rPr>
        <w:t>E.</w:t>
      </w:r>
      <w:r w:rsidR="0088039A" w:rsidRPr="000F34C4">
        <w:rPr>
          <w:b/>
          <w:sz w:val="22"/>
          <w:szCs w:val="22"/>
          <w:lang w:val="fr-CA"/>
        </w:rPr>
        <w:tab/>
      </w:r>
      <w:r w:rsidRPr="000F34C4">
        <w:rPr>
          <w:b/>
          <w:sz w:val="22"/>
          <w:szCs w:val="22"/>
          <w:lang w:val="fr-CA"/>
        </w:rPr>
        <w:t>STRUCTURE</w:t>
      </w:r>
      <w:r w:rsidR="00E0005A">
        <w:rPr>
          <w:b/>
          <w:sz w:val="22"/>
          <w:szCs w:val="22"/>
          <w:lang w:val="fr-CA"/>
        </w:rPr>
        <w:t xml:space="preserve"> DE LA RÉUNION</w:t>
      </w:r>
      <w:r w:rsidRPr="000F34C4">
        <w:rPr>
          <w:b/>
          <w:sz w:val="22"/>
          <w:szCs w:val="22"/>
          <w:lang w:val="fr-CA"/>
        </w:rPr>
        <w:t xml:space="preserve"> </w:t>
      </w:r>
    </w:p>
    <w:p w14:paraId="308D5014" w14:textId="7F2983B6" w:rsidR="00D2033C" w:rsidRPr="003F2850" w:rsidRDefault="00D2033C" w:rsidP="00D2033C">
      <w:pPr>
        <w:pStyle w:val="ListParagraph"/>
        <w:tabs>
          <w:tab w:val="left" w:pos="1440"/>
          <w:tab w:val="left" w:pos="2160"/>
        </w:tabs>
        <w:ind w:left="0"/>
        <w:jc w:val="both"/>
        <w:rPr>
          <w:bCs/>
          <w:sz w:val="22"/>
          <w:szCs w:val="22"/>
          <w:lang w:val="fr-CA"/>
        </w:rPr>
      </w:pPr>
    </w:p>
    <w:p w14:paraId="3845E1C3" w14:textId="20F08AC8" w:rsidR="00D2033C" w:rsidRPr="000F34C4" w:rsidRDefault="0088039A" w:rsidP="0088039A">
      <w:pPr>
        <w:pStyle w:val="ListParagraph"/>
        <w:tabs>
          <w:tab w:val="left" w:pos="720"/>
          <w:tab w:val="left" w:pos="1440"/>
          <w:tab w:val="left" w:pos="2160"/>
        </w:tabs>
        <w:ind w:left="0"/>
        <w:jc w:val="both"/>
        <w:rPr>
          <w:bCs/>
          <w:sz w:val="22"/>
          <w:szCs w:val="22"/>
          <w:lang w:val="fr-CA"/>
        </w:rPr>
      </w:pPr>
      <w:r w:rsidRPr="000F34C4">
        <w:rPr>
          <w:bCs/>
          <w:sz w:val="22"/>
          <w:szCs w:val="22"/>
          <w:lang w:val="fr-CA"/>
        </w:rPr>
        <w:tab/>
      </w:r>
      <w:r w:rsidR="00CA6573">
        <w:rPr>
          <w:bCs/>
          <w:sz w:val="22"/>
          <w:szCs w:val="22"/>
          <w:lang w:val="fr-CA"/>
        </w:rPr>
        <w:t>La Troisième Réunion ordinaire de la CITUR réunira les autorités sectorielles dans le domaine du tourisme représentées au niveau technique et/ou par les missions permanentes auprès de l’OEA. D’autres organisations et d’autres parties prenantes de la CITUR pertinentes seront invitées à apporter des contributions en vertu du Règlement des commissions interaméricaines du CIDI. La réunion prendra la forme d’une séance plénière</w:t>
      </w:r>
      <w:r w:rsidR="00C85261">
        <w:rPr>
          <w:bCs/>
          <w:sz w:val="22"/>
          <w:szCs w:val="22"/>
          <w:lang w:val="fr-CA"/>
        </w:rPr>
        <w:t xml:space="preserve"> à laquelle participeront des délégations de tous les États membres de l’OEA.</w:t>
      </w:r>
    </w:p>
    <w:p w14:paraId="4A9EA3B3" w14:textId="2DE4E1C8" w:rsidR="00894676" w:rsidRPr="000F34C4" w:rsidRDefault="000D20DB" w:rsidP="0088039A">
      <w:pPr>
        <w:tabs>
          <w:tab w:val="left" w:pos="720"/>
          <w:tab w:val="center" w:pos="4320"/>
          <w:tab w:val="right" w:pos="8640"/>
        </w:tabs>
        <w:rPr>
          <w:sz w:val="22"/>
          <w:szCs w:val="22"/>
          <w:lang w:val="fr-CA"/>
        </w:rPr>
      </w:pPr>
      <w:r>
        <w:rPr>
          <w:noProof/>
          <w:sz w:val="22"/>
          <w:szCs w:val="22"/>
          <w:lang w:val="fr-CA"/>
        </w:rPr>
        <mc:AlternateContent>
          <mc:Choice Requires="wps">
            <w:drawing>
              <wp:anchor distT="0" distB="0" distL="114300" distR="114300" simplePos="0" relativeHeight="251659264" behindDoc="0" locked="1" layoutInCell="1" allowOverlap="1" wp14:anchorId="40B684A2" wp14:editId="0BB51A17">
                <wp:simplePos x="0" y="0"/>
                <wp:positionH relativeFrom="column">
                  <wp:posOffset>-91440</wp:posOffset>
                </wp:positionH>
                <wp:positionV relativeFrom="page">
                  <wp:posOffset>9144000</wp:posOffset>
                </wp:positionV>
                <wp:extent cx="3383280" cy="228600"/>
                <wp:effectExtent l="0" t="0" r="0" b="0"/>
                <wp:wrapNone/>
                <wp:docPr id="10833869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1FB0072" w14:textId="5E3D2E1E" w:rsidR="000D20DB" w:rsidRPr="000D20DB" w:rsidRDefault="000D20DB">
                            <w:pPr>
                              <w:rPr>
                                <w:sz w:val="18"/>
                              </w:rPr>
                            </w:pPr>
                            <w:r>
                              <w:rPr>
                                <w:sz w:val="18"/>
                              </w:rPr>
                              <w:fldChar w:fldCharType="begin"/>
                            </w:r>
                            <w:r>
                              <w:rPr>
                                <w:sz w:val="18"/>
                              </w:rPr>
                              <w:instrText xml:space="preserve"> FILENAME  \* MERGEFORMAT </w:instrText>
                            </w:r>
                            <w:r>
                              <w:rPr>
                                <w:sz w:val="18"/>
                              </w:rPr>
                              <w:fldChar w:fldCharType="separate"/>
                            </w:r>
                            <w:r>
                              <w:rPr>
                                <w:noProof/>
                                <w:sz w:val="18"/>
                              </w:rPr>
                              <w:t>CIDRP03928F01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B684A2" id="_x0000_t202" coordsize="21600,21600" o:spt="202" path="m,l,21600r21600,l21600,xe">
                <v:stroke joinstyle="miter"/>
                <v:path gradientshapeok="t" o:connecttype="rect"/>
              </v:shapetype>
              <v:shape id="Text Box 1"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01FB0072" w14:textId="5E3D2E1E" w:rsidR="000D20DB" w:rsidRPr="000D20DB" w:rsidRDefault="000D20DB">
                      <w:pPr>
                        <w:rPr>
                          <w:sz w:val="18"/>
                        </w:rPr>
                      </w:pPr>
                      <w:r>
                        <w:rPr>
                          <w:sz w:val="18"/>
                        </w:rPr>
                        <w:fldChar w:fldCharType="begin"/>
                      </w:r>
                      <w:r>
                        <w:rPr>
                          <w:sz w:val="18"/>
                        </w:rPr>
                        <w:instrText xml:space="preserve"> FILENAME  \* MERGEFORMAT </w:instrText>
                      </w:r>
                      <w:r>
                        <w:rPr>
                          <w:sz w:val="18"/>
                        </w:rPr>
                        <w:fldChar w:fldCharType="separate"/>
                      </w:r>
                      <w:r>
                        <w:rPr>
                          <w:noProof/>
                          <w:sz w:val="18"/>
                        </w:rPr>
                        <w:t>CIDRP03928F01</w:t>
                      </w:r>
                      <w:r>
                        <w:rPr>
                          <w:sz w:val="18"/>
                        </w:rPr>
                        <w:fldChar w:fldCharType="end"/>
                      </w:r>
                    </w:p>
                  </w:txbxContent>
                </v:textbox>
                <w10:wrap anchory="page"/>
                <w10:anchorlock/>
              </v:shape>
            </w:pict>
          </mc:Fallback>
        </mc:AlternateContent>
      </w:r>
    </w:p>
    <w:sectPr w:rsidR="00894676" w:rsidRPr="000F34C4" w:rsidSect="00DE3AB3">
      <w:headerReference w:type="even" r:id="rId11"/>
      <w:headerReference w:type="default" r:id="rId12"/>
      <w:headerReference w:type="first" r:id="rId13"/>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A505D" w14:textId="77777777" w:rsidR="00B97125" w:rsidRDefault="00B97125" w:rsidP="00DE3AB3">
      <w:r>
        <w:separator/>
      </w:r>
    </w:p>
  </w:endnote>
  <w:endnote w:type="continuationSeparator" w:id="0">
    <w:p w14:paraId="3E6298B5" w14:textId="77777777" w:rsidR="00B97125" w:rsidRDefault="00B97125"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News Gothic MT">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C951" w14:textId="77777777" w:rsidR="00B97125" w:rsidRDefault="00B97125" w:rsidP="00DE3AB3">
      <w:r>
        <w:separator/>
      </w:r>
    </w:p>
  </w:footnote>
  <w:footnote w:type="continuationSeparator" w:id="0">
    <w:p w14:paraId="6C4A21FD" w14:textId="77777777" w:rsidR="00B97125" w:rsidRDefault="00B97125" w:rsidP="00DE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F37F"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97022D5" w14:textId="77777777" w:rsidR="00800745" w:rsidRDefault="000D2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D6020" w14:textId="77777777"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94A5A">
      <w:rPr>
        <w:rStyle w:val="PageNumber"/>
        <w:noProof/>
      </w:rPr>
      <w:t>2</w:t>
    </w:r>
    <w:r>
      <w:rPr>
        <w:rStyle w:val="PageNumber"/>
      </w:rPr>
      <w:fldChar w:fldCharType="end"/>
    </w:r>
    <w:r>
      <w:rPr>
        <w:rStyle w:val="PageNumber"/>
      </w:rPr>
      <w:t xml:space="preserve"> -</w:t>
    </w:r>
  </w:p>
  <w:p w14:paraId="04FDA7DC" w14:textId="77777777" w:rsidR="00800745" w:rsidRDefault="000D2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0E20" w14:textId="77777777" w:rsidR="00800745" w:rsidRDefault="002E2FBC">
    <w:pPr>
      <w:pStyle w:val="Header"/>
    </w:pPr>
    <w:r w:rsidRPr="00A565AC">
      <w:rPr>
        <w:rFonts w:ascii="News Gothic MT" w:hAnsi="News Gothic MT"/>
        <w:noProof/>
        <w:color w:val="000000"/>
      </w:rPr>
      <w:drawing>
        <wp:anchor distT="0" distB="0" distL="114300" distR="114300" simplePos="0" relativeHeight="251661312" behindDoc="0" locked="0" layoutInCell="1" allowOverlap="1" wp14:anchorId="674FDE60" wp14:editId="7E130780">
          <wp:simplePos x="0" y="0"/>
          <wp:positionH relativeFrom="column">
            <wp:posOffset>5071110</wp:posOffset>
          </wp:positionH>
          <wp:positionV relativeFrom="paragraph">
            <wp:posOffset>-209550</wp:posOffset>
          </wp:positionV>
          <wp:extent cx="1104900" cy="771525"/>
          <wp:effectExtent l="0" t="0" r="0" b="9525"/>
          <wp:wrapNone/>
          <wp:docPr id="1"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B13B8A7" wp14:editId="7E9FC1F2">
              <wp:simplePos x="0" y="0"/>
              <wp:positionH relativeFrom="column">
                <wp:posOffset>749300</wp:posOffset>
              </wp:positionH>
              <wp:positionV relativeFrom="paragraph">
                <wp:posOffset>-41910</wp:posOffset>
              </wp:positionV>
              <wp:extent cx="4178300" cy="6610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661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B7D22" w14:textId="351289DF" w:rsidR="002E2FBC" w:rsidRPr="000F34C4" w:rsidRDefault="002E2FBC" w:rsidP="002E2FBC">
                          <w:pPr>
                            <w:pStyle w:val="Header"/>
                            <w:tabs>
                              <w:tab w:val="left" w:pos="900"/>
                            </w:tabs>
                            <w:jc w:val="center"/>
                            <w:rPr>
                              <w:rFonts w:ascii="Garamond" w:hAnsi="Garamond"/>
                              <w:b/>
                              <w:sz w:val="28"/>
                              <w:szCs w:val="28"/>
                              <w:lang w:val="fr-CA"/>
                            </w:rPr>
                          </w:pPr>
                          <w:r w:rsidRPr="000F34C4">
                            <w:rPr>
                              <w:rFonts w:ascii="Garamond" w:hAnsi="Garamond"/>
                              <w:b/>
                              <w:sz w:val="28"/>
                              <w:szCs w:val="28"/>
                              <w:lang w:val="fr-CA"/>
                            </w:rPr>
                            <w:t>ORGANI</w:t>
                          </w:r>
                          <w:r w:rsidR="000F34C4">
                            <w:rPr>
                              <w:rFonts w:ascii="Garamond" w:hAnsi="Garamond"/>
                              <w:b/>
                              <w:sz w:val="28"/>
                              <w:szCs w:val="28"/>
                              <w:lang w:val="fr-CA"/>
                            </w:rPr>
                            <w:t>S</w:t>
                          </w:r>
                          <w:r w:rsidRPr="000F34C4">
                            <w:rPr>
                              <w:rFonts w:ascii="Garamond" w:hAnsi="Garamond"/>
                              <w:b/>
                              <w:sz w:val="28"/>
                              <w:szCs w:val="28"/>
                              <w:lang w:val="fr-CA"/>
                            </w:rPr>
                            <w:t>ATION</w:t>
                          </w:r>
                          <w:r w:rsidR="000F34C4">
                            <w:rPr>
                              <w:rFonts w:ascii="Garamond" w:hAnsi="Garamond"/>
                              <w:b/>
                              <w:sz w:val="28"/>
                              <w:szCs w:val="28"/>
                              <w:lang w:val="fr-CA"/>
                            </w:rPr>
                            <w:t xml:space="preserve"> DES ÉTATS AMÉRICAINS</w:t>
                          </w:r>
                        </w:p>
                        <w:p w14:paraId="7DCC617B" w14:textId="43972E06" w:rsidR="002E2FBC" w:rsidRPr="000F34C4" w:rsidRDefault="000F34C4" w:rsidP="002E2FBC">
                          <w:pPr>
                            <w:pStyle w:val="Header"/>
                            <w:tabs>
                              <w:tab w:val="left" w:pos="900"/>
                            </w:tabs>
                            <w:jc w:val="center"/>
                            <w:rPr>
                              <w:rFonts w:ascii="Garamond" w:hAnsi="Garamond"/>
                              <w:sz w:val="28"/>
                              <w:szCs w:val="28"/>
                              <w:lang w:val="fr-CA"/>
                            </w:rPr>
                          </w:pPr>
                          <w:r>
                            <w:rPr>
                              <w:rFonts w:ascii="Garamond" w:hAnsi="Garamond"/>
                              <w:sz w:val="28"/>
                              <w:szCs w:val="28"/>
                              <w:lang w:val="fr-CA"/>
                            </w:rPr>
                            <w:t>Conseil interaméricain pour le développement intégré</w:t>
                          </w:r>
                        </w:p>
                        <w:p w14:paraId="24C4AD9C" w14:textId="77777777" w:rsidR="002E2FBC" w:rsidRPr="000F34C4" w:rsidRDefault="002E2FBC" w:rsidP="002E2FBC">
                          <w:pPr>
                            <w:pStyle w:val="Header"/>
                            <w:tabs>
                              <w:tab w:val="left" w:pos="900"/>
                            </w:tabs>
                            <w:jc w:val="center"/>
                            <w:rPr>
                              <w:rFonts w:ascii="Garamond" w:hAnsi="Garamond"/>
                              <w:sz w:val="28"/>
                              <w:szCs w:val="28"/>
                              <w:lang w:val="fr-CA"/>
                            </w:rPr>
                          </w:pPr>
                          <w:r w:rsidRPr="000F34C4">
                            <w:rPr>
                              <w:rFonts w:ascii="Garamond" w:hAnsi="Garamond"/>
                              <w:sz w:val="28"/>
                              <w:szCs w:val="28"/>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3B8A7" id="_x0000_t202" coordsize="21600,21600" o:spt="202" path="m,l,21600r21600,l21600,xe">
              <v:stroke joinstyle="miter"/>
              <v:path gradientshapeok="t" o:connecttype="rect"/>
            </v:shapetype>
            <v:shape id="Text Box 6" o:spid="_x0000_s1027" type="#_x0000_t202" style="position:absolute;margin-left:59pt;margin-top:-3.3pt;width:329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" stroked="f">
              <v:textbox>
                <w:txbxContent>
                  <w:p w14:paraId="320B7D22" w14:textId="351289DF" w:rsidR="002E2FBC" w:rsidRPr="000F34C4" w:rsidRDefault="002E2FBC" w:rsidP="002E2FBC">
                    <w:pPr>
                      <w:pStyle w:val="Header"/>
                      <w:tabs>
                        <w:tab w:val="left" w:pos="900"/>
                      </w:tabs>
                      <w:jc w:val="center"/>
                      <w:rPr>
                        <w:rFonts w:ascii="Garamond" w:hAnsi="Garamond"/>
                        <w:b/>
                        <w:sz w:val="28"/>
                        <w:szCs w:val="28"/>
                        <w:lang w:val="fr-CA"/>
                      </w:rPr>
                    </w:pPr>
                    <w:r w:rsidRPr="000F34C4">
                      <w:rPr>
                        <w:rFonts w:ascii="Garamond" w:hAnsi="Garamond"/>
                        <w:b/>
                        <w:sz w:val="28"/>
                        <w:szCs w:val="28"/>
                        <w:lang w:val="fr-CA"/>
                      </w:rPr>
                      <w:t>ORGANI</w:t>
                    </w:r>
                    <w:r w:rsidR="000F34C4">
                      <w:rPr>
                        <w:rFonts w:ascii="Garamond" w:hAnsi="Garamond"/>
                        <w:b/>
                        <w:sz w:val="28"/>
                        <w:szCs w:val="28"/>
                        <w:lang w:val="fr-CA"/>
                      </w:rPr>
                      <w:t>S</w:t>
                    </w:r>
                    <w:r w:rsidRPr="000F34C4">
                      <w:rPr>
                        <w:rFonts w:ascii="Garamond" w:hAnsi="Garamond"/>
                        <w:b/>
                        <w:sz w:val="28"/>
                        <w:szCs w:val="28"/>
                        <w:lang w:val="fr-CA"/>
                      </w:rPr>
                      <w:t>ATION</w:t>
                    </w:r>
                    <w:r w:rsidR="000F34C4">
                      <w:rPr>
                        <w:rFonts w:ascii="Garamond" w:hAnsi="Garamond"/>
                        <w:b/>
                        <w:sz w:val="28"/>
                        <w:szCs w:val="28"/>
                        <w:lang w:val="fr-CA"/>
                      </w:rPr>
                      <w:t xml:space="preserve"> DES ÉTATS AMÉRICAINS</w:t>
                    </w:r>
                  </w:p>
                  <w:p w14:paraId="7DCC617B" w14:textId="43972E06" w:rsidR="002E2FBC" w:rsidRPr="000F34C4" w:rsidRDefault="000F34C4" w:rsidP="002E2FBC">
                    <w:pPr>
                      <w:pStyle w:val="Header"/>
                      <w:tabs>
                        <w:tab w:val="left" w:pos="900"/>
                      </w:tabs>
                      <w:jc w:val="center"/>
                      <w:rPr>
                        <w:rFonts w:ascii="Garamond" w:hAnsi="Garamond"/>
                        <w:sz w:val="28"/>
                        <w:szCs w:val="28"/>
                        <w:lang w:val="fr-CA"/>
                      </w:rPr>
                    </w:pPr>
                    <w:r>
                      <w:rPr>
                        <w:rFonts w:ascii="Garamond" w:hAnsi="Garamond"/>
                        <w:sz w:val="28"/>
                        <w:szCs w:val="28"/>
                        <w:lang w:val="fr-CA"/>
                      </w:rPr>
                      <w:t>Conseil interaméricain pour le développement intégré</w:t>
                    </w:r>
                  </w:p>
                  <w:p w14:paraId="24C4AD9C" w14:textId="77777777" w:rsidR="002E2FBC" w:rsidRPr="000F34C4" w:rsidRDefault="002E2FBC" w:rsidP="002E2FBC">
                    <w:pPr>
                      <w:pStyle w:val="Header"/>
                      <w:tabs>
                        <w:tab w:val="left" w:pos="900"/>
                      </w:tabs>
                      <w:jc w:val="center"/>
                      <w:rPr>
                        <w:rFonts w:ascii="Garamond" w:hAnsi="Garamond"/>
                        <w:sz w:val="28"/>
                        <w:szCs w:val="28"/>
                        <w:lang w:val="fr-CA"/>
                      </w:rPr>
                    </w:pPr>
                    <w:r w:rsidRPr="000F34C4">
                      <w:rPr>
                        <w:rFonts w:ascii="Garamond" w:hAnsi="Garamond"/>
                        <w:sz w:val="28"/>
                        <w:szCs w:val="28"/>
                        <w:lang w:val="fr-CA"/>
                      </w:rPr>
                      <w:t>(CIDI)</w:t>
                    </w:r>
                  </w:p>
                </w:txbxContent>
              </v:textbox>
            </v:shape>
          </w:pict>
        </mc:Fallback>
      </mc:AlternateContent>
    </w:r>
    <w:r>
      <w:rPr>
        <w:noProof/>
      </w:rPr>
      <w:drawing>
        <wp:anchor distT="0" distB="0" distL="114300" distR="114300" simplePos="0" relativeHeight="251660288" behindDoc="0" locked="0" layoutInCell="1" allowOverlap="1" wp14:anchorId="51E0549A" wp14:editId="261A832B">
          <wp:simplePos x="0" y="0"/>
          <wp:positionH relativeFrom="column">
            <wp:posOffset>-510540</wp:posOffset>
          </wp:positionH>
          <wp:positionV relativeFrom="paragraph">
            <wp:posOffset>-213360</wp:posOffset>
          </wp:positionV>
          <wp:extent cx="822960" cy="824865"/>
          <wp:effectExtent l="0" t="0" r="0" b="0"/>
          <wp:wrapNone/>
          <wp:docPr id="7" name="Picture 7"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226DFB0" wp14:editId="08603F54">
              <wp:simplePos x="0" y="0"/>
              <wp:positionH relativeFrom="column">
                <wp:posOffset>6240145</wp:posOffset>
              </wp:positionH>
              <wp:positionV relativeFrom="paragraph">
                <wp:posOffset>290830</wp:posOffset>
              </wp:positionV>
              <wp:extent cx="1287780" cy="860425"/>
              <wp:effectExtent l="127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C5C54" w14:textId="77777777" w:rsidR="002E2FBC" w:rsidRDefault="002E2FBC" w:rsidP="002E2FBC">
                          <w:pPr>
                            <w:ind w:right="-13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26DFB0" id="Text Box 5" o:spid="_x0000_s1028" type="#_x0000_t202" style="position:absolute;margin-left:491.35pt;margin-top:22.9pt;width:101.4pt;height:67.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" stroked="f">
              <v:textbox style="mso-fit-shape-to-text:t">
                <w:txbxContent>
                  <w:p w14:paraId="7CDC5C54" w14:textId="77777777" w:rsidR="002E2FBC" w:rsidRDefault="002E2FBC" w:rsidP="002E2FBC">
                    <w:pPr>
                      <w:ind w:right="-13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1567559C"/>
    <w:multiLevelType w:val="hybridMultilevel"/>
    <w:tmpl w:val="C49AC388"/>
    <w:lvl w:ilvl="0" w:tplc="C7C45B3E">
      <w:start w:val="1"/>
      <w:numFmt w:val="decimal"/>
      <w:lvlText w:val="%1."/>
      <w:lvlJc w:val="left"/>
      <w:pPr>
        <w:tabs>
          <w:tab w:val="num" w:pos="720"/>
        </w:tabs>
        <w:ind w:left="720" w:hanging="360"/>
      </w:pPr>
      <w:rPr>
        <w:b/>
        <w:bCs w:val="0"/>
      </w:rPr>
    </w:lvl>
    <w:lvl w:ilvl="1" w:tplc="FFFFFFFF">
      <w:start w:val="1"/>
      <w:numFmt w:val="lowerLetter"/>
      <w:lvlText w:val="%2."/>
      <w:lvlJc w:val="left"/>
      <w:pPr>
        <w:tabs>
          <w:tab w:val="num" w:pos="1800"/>
        </w:tabs>
        <w:ind w:left="1800" w:hanging="720"/>
      </w:pPr>
      <w:rPr>
        <w:rFonts w:hint="default"/>
        <w:lang w:val="es-MX"/>
      </w:rPr>
    </w:lvl>
    <w:lvl w:ilvl="2" w:tplc="FFFFFFFF">
      <w:start w:val="3"/>
      <w:numFmt w:val="lowerLetter"/>
      <w:lvlText w:val="%3."/>
      <w:lvlJc w:val="left"/>
      <w:pPr>
        <w:tabs>
          <w:tab w:val="num" w:pos="2700"/>
        </w:tabs>
        <w:ind w:left="2700" w:hanging="720"/>
      </w:pPr>
      <w:rPr>
        <w:rFonts w:hint="default"/>
      </w:rPr>
    </w:lvl>
    <w:lvl w:ilvl="3" w:tplc="BAB2AD4A">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B829A5"/>
    <w:multiLevelType w:val="multilevel"/>
    <w:tmpl w:val="AC76C85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198821A5"/>
    <w:multiLevelType w:val="hybridMultilevel"/>
    <w:tmpl w:val="FD262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49A87D92"/>
    <w:multiLevelType w:val="multilevel"/>
    <w:tmpl w:val="AC76C85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0"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14"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rPr>
    </w:lvl>
    <w:lvl w:ilvl="1" w:tplc="04090003" w:tentative="1">
      <w:start w:val="1"/>
      <w:numFmt w:val="bullet"/>
      <w:lvlText w:val="o"/>
      <w:lvlJc w:val="left"/>
      <w:pPr>
        <w:tabs>
          <w:tab w:val="num" w:pos="4272"/>
        </w:tabs>
        <w:ind w:left="4272" w:hanging="360"/>
      </w:pPr>
      <w:rPr>
        <w:rFonts w:ascii="Courier New" w:hAnsi="Courier New" w:hint="default"/>
      </w:rPr>
    </w:lvl>
    <w:lvl w:ilvl="2" w:tplc="04090005" w:tentative="1">
      <w:start w:val="1"/>
      <w:numFmt w:val="bullet"/>
      <w:lvlText w:val=""/>
      <w:lvlJc w:val="left"/>
      <w:pPr>
        <w:tabs>
          <w:tab w:val="num" w:pos="4992"/>
        </w:tabs>
        <w:ind w:left="4992" w:hanging="360"/>
      </w:pPr>
      <w:rPr>
        <w:rFonts w:ascii="Wingdings" w:hAnsi="Wingdings" w:hint="default"/>
      </w:rPr>
    </w:lvl>
    <w:lvl w:ilvl="3" w:tplc="04090001" w:tentative="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tentative="1">
      <w:start w:val="1"/>
      <w:numFmt w:val="bullet"/>
      <w:lvlText w:val=""/>
      <w:lvlJc w:val="left"/>
      <w:pPr>
        <w:tabs>
          <w:tab w:val="num" w:pos="7152"/>
        </w:tabs>
        <w:ind w:left="7152" w:hanging="360"/>
      </w:pPr>
      <w:rPr>
        <w:rFonts w:ascii="Wingdings" w:hAnsi="Wingdings" w:hint="default"/>
      </w:rPr>
    </w:lvl>
    <w:lvl w:ilvl="6" w:tplc="04090001" w:tentative="1">
      <w:start w:val="1"/>
      <w:numFmt w:val="bullet"/>
      <w:lvlText w:val=""/>
      <w:lvlJc w:val="left"/>
      <w:pPr>
        <w:tabs>
          <w:tab w:val="num" w:pos="7872"/>
        </w:tabs>
        <w:ind w:left="7872" w:hanging="360"/>
      </w:pPr>
      <w:rPr>
        <w:rFonts w:ascii="Symbol" w:hAnsi="Symbol" w:hint="default"/>
      </w:rPr>
    </w:lvl>
    <w:lvl w:ilvl="7" w:tplc="04090003" w:tentative="1">
      <w:start w:val="1"/>
      <w:numFmt w:val="bullet"/>
      <w:lvlText w:val="o"/>
      <w:lvlJc w:val="left"/>
      <w:pPr>
        <w:tabs>
          <w:tab w:val="num" w:pos="8592"/>
        </w:tabs>
        <w:ind w:left="8592" w:hanging="360"/>
      </w:pPr>
      <w:rPr>
        <w:rFonts w:ascii="Courier New" w:hAnsi="Courier New" w:hint="default"/>
      </w:rPr>
    </w:lvl>
    <w:lvl w:ilvl="8" w:tplc="04090005" w:tentative="1">
      <w:start w:val="1"/>
      <w:numFmt w:val="bullet"/>
      <w:lvlText w:val=""/>
      <w:lvlJc w:val="left"/>
      <w:pPr>
        <w:tabs>
          <w:tab w:val="num" w:pos="9312"/>
        </w:tabs>
        <w:ind w:left="9312" w:hanging="360"/>
      </w:pPr>
      <w:rPr>
        <w:rFonts w:ascii="Wingdings" w:hAnsi="Wingdings" w:hint="default"/>
      </w:rPr>
    </w:lvl>
  </w:abstractNum>
  <w:num w:numId="1" w16cid:durableId="1669167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6735661">
    <w:abstractNumId w:val="6"/>
  </w:num>
  <w:num w:numId="3" w16cid:durableId="666707597">
    <w:abstractNumId w:val="7"/>
  </w:num>
  <w:num w:numId="4" w16cid:durableId="194120075">
    <w:abstractNumId w:val="15"/>
  </w:num>
  <w:num w:numId="5" w16cid:durableId="1322658036">
    <w:abstractNumId w:val="16"/>
  </w:num>
  <w:num w:numId="6" w16cid:durableId="1121728658">
    <w:abstractNumId w:val="8"/>
  </w:num>
  <w:num w:numId="7" w16cid:durableId="2035426096">
    <w:abstractNumId w:val="10"/>
  </w:num>
  <w:num w:numId="8" w16cid:durableId="160049880">
    <w:abstractNumId w:val="12"/>
  </w:num>
  <w:num w:numId="9" w16cid:durableId="233393866">
    <w:abstractNumId w:val="4"/>
  </w:num>
  <w:num w:numId="10" w16cid:durableId="199325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7129031">
    <w:abstractNumId w:val="13"/>
  </w:num>
  <w:num w:numId="12" w16cid:durableId="1493566695">
    <w:abstractNumId w:val="11"/>
  </w:num>
  <w:num w:numId="13" w16cid:durableId="1773934249">
    <w:abstractNumId w:val="0"/>
  </w:num>
  <w:num w:numId="14" w16cid:durableId="123695018">
    <w:abstractNumId w:val="5"/>
  </w:num>
  <w:num w:numId="15" w16cid:durableId="870387019">
    <w:abstractNumId w:val="17"/>
  </w:num>
  <w:num w:numId="16" w16cid:durableId="1418937588">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6332512">
    <w:abstractNumId w:val="2"/>
  </w:num>
  <w:num w:numId="18" w16cid:durableId="1460298407">
    <w:abstractNumId w:val="3"/>
  </w:num>
  <w:num w:numId="19" w16cid:durableId="980662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4141"/>
    <w:rsid w:val="00052DD5"/>
    <w:rsid w:val="00074448"/>
    <w:rsid w:val="000B4275"/>
    <w:rsid w:val="000C55E3"/>
    <w:rsid w:val="000D20DB"/>
    <w:rsid w:val="000F34C4"/>
    <w:rsid w:val="000F5B63"/>
    <w:rsid w:val="00103CEE"/>
    <w:rsid w:val="00125BA4"/>
    <w:rsid w:val="001439E5"/>
    <w:rsid w:val="00154A72"/>
    <w:rsid w:val="00191978"/>
    <w:rsid w:val="001A6C71"/>
    <w:rsid w:val="001E12CC"/>
    <w:rsid w:val="00216661"/>
    <w:rsid w:val="0023595A"/>
    <w:rsid w:val="00247217"/>
    <w:rsid w:val="00265254"/>
    <w:rsid w:val="002944D3"/>
    <w:rsid w:val="00297B1F"/>
    <w:rsid w:val="002B63C5"/>
    <w:rsid w:val="002E2FBC"/>
    <w:rsid w:val="002F6B4E"/>
    <w:rsid w:val="003619DC"/>
    <w:rsid w:val="00391A8F"/>
    <w:rsid w:val="003975AD"/>
    <w:rsid w:val="003A46EF"/>
    <w:rsid w:val="003F2850"/>
    <w:rsid w:val="00446B78"/>
    <w:rsid w:val="004472C3"/>
    <w:rsid w:val="00455AC7"/>
    <w:rsid w:val="00481BF7"/>
    <w:rsid w:val="00490F68"/>
    <w:rsid w:val="004A7469"/>
    <w:rsid w:val="004C6BC2"/>
    <w:rsid w:val="004D4BA2"/>
    <w:rsid w:val="004E0CBC"/>
    <w:rsid w:val="004F26A0"/>
    <w:rsid w:val="0050414A"/>
    <w:rsid w:val="00512946"/>
    <w:rsid w:val="0053039A"/>
    <w:rsid w:val="00557A14"/>
    <w:rsid w:val="00562CD0"/>
    <w:rsid w:val="005B5A9D"/>
    <w:rsid w:val="005D3476"/>
    <w:rsid w:val="005D543C"/>
    <w:rsid w:val="005F51AC"/>
    <w:rsid w:val="005F7172"/>
    <w:rsid w:val="0060657E"/>
    <w:rsid w:val="00663F8B"/>
    <w:rsid w:val="00667E3C"/>
    <w:rsid w:val="006D560D"/>
    <w:rsid w:val="006D5DDF"/>
    <w:rsid w:val="007050EB"/>
    <w:rsid w:val="00731DE9"/>
    <w:rsid w:val="00746DD1"/>
    <w:rsid w:val="00757F46"/>
    <w:rsid w:val="0077093D"/>
    <w:rsid w:val="007741FE"/>
    <w:rsid w:val="007803AB"/>
    <w:rsid w:val="00792991"/>
    <w:rsid w:val="007A2D5F"/>
    <w:rsid w:val="00800984"/>
    <w:rsid w:val="00856C31"/>
    <w:rsid w:val="0088039A"/>
    <w:rsid w:val="00894676"/>
    <w:rsid w:val="008C0621"/>
    <w:rsid w:val="008C3D86"/>
    <w:rsid w:val="008D1406"/>
    <w:rsid w:val="008E097D"/>
    <w:rsid w:val="008E1780"/>
    <w:rsid w:val="009137E3"/>
    <w:rsid w:val="00914C13"/>
    <w:rsid w:val="00914C8A"/>
    <w:rsid w:val="00923228"/>
    <w:rsid w:val="00923C1E"/>
    <w:rsid w:val="00953DC3"/>
    <w:rsid w:val="00961A64"/>
    <w:rsid w:val="009825FB"/>
    <w:rsid w:val="009A1DF6"/>
    <w:rsid w:val="009C4286"/>
    <w:rsid w:val="00A32946"/>
    <w:rsid w:val="00A5721C"/>
    <w:rsid w:val="00A70661"/>
    <w:rsid w:val="00A968B2"/>
    <w:rsid w:val="00A97185"/>
    <w:rsid w:val="00AA7D96"/>
    <w:rsid w:val="00AB4A53"/>
    <w:rsid w:val="00AD52BB"/>
    <w:rsid w:val="00B14717"/>
    <w:rsid w:val="00B36841"/>
    <w:rsid w:val="00B41D3E"/>
    <w:rsid w:val="00B53281"/>
    <w:rsid w:val="00B547DD"/>
    <w:rsid w:val="00B613A8"/>
    <w:rsid w:val="00B83C41"/>
    <w:rsid w:val="00B85B57"/>
    <w:rsid w:val="00B92562"/>
    <w:rsid w:val="00B94A5A"/>
    <w:rsid w:val="00B96F6D"/>
    <w:rsid w:val="00B97125"/>
    <w:rsid w:val="00BB195F"/>
    <w:rsid w:val="00BE46E1"/>
    <w:rsid w:val="00BF3AD6"/>
    <w:rsid w:val="00C05BBC"/>
    <w:rsid w:val="00C16A42"/>
    <w:rsid w:val="00C306B3"/>
    <w:rsid w:val="00C3386B"/>
    <w:rsid w:val="00C82979"/>
    <w:rsid w:val="00C84271"/>
    <w:rsid w:val="00C85261"/>
    <w:rsid w:val="00CA6573"/>
    <w:rsid w:val="00CC17AA"/>
    <w:rsid w:val="00D14C3C"/>
    <w:rsid w:val="00D2033C"/>
    <w:rsid w:val="00D253DA"/>
    <w:rsid w:val="00D618A2"/>
    <w:rsid w:val="00DC3569"/>
    <w:rsid w:val="00DD712C"/>
    <w:rsid w:val="00DE3AB3"/>
    <w:rsid w:val="00DF4569"/>
    <w:rsid w:val="00E0005A"/>
    <w:rsid w:val="00E5764D"/>
    <w:rsid w:val="00ED55C1"/>
    <w:rsid w:val="00EE1034"/>
    <w:rsid w:val="00F00DF9"/>
    <w:rsid w:val="00F039C6"/>
    <w:rsid w:val="00F17A07"/>
    <w:rsid w:val="00F30F7E"/>
    <w:rsid w:val="00F462EC"/>
    <w:rsid w:val="00F51D4A"/>
    <w:rsid w:val="00FB4262"/>
    <w:rsid w:val="00FC3AA8"/>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F74AB"/>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DE3AB3"/>
    <w:pPr>
      <w:tabs>
        <w:tab w:val="center" w:pos="4680"/>
        <w:tab w:val="right" w:pos="9360"/>
      </w:tabs>
    </w:pPr>
  </w:style>
  <w:style w:type="character" w:customStyle="1" w:styleId="HeaderChar">
    <w:name w:val="Header Char"/>
    <w:aliases w:val="encabezado Char"/>
    <w:basedOn w:val="DefaultParagraphFont"/>
    <w:link w:val="Header"/>
    <w:rsid w:val="00DE3AB3"/>
    <w:rPr>
      <w:sz w:val="24"/>
      <w:szCs w:val="24"/>
    </w:rPr>
  </w:style>
  <w:style w:type="character" w:styleId="PageNumber">
    <w:name w:val="page number"/>
    <w:rsid w:val="00DE3AB3"/>
    <w:rPr>
      <w:rFonts w:cs="Times New Roman"/>
    </w:rPr>
  </w:style>
  <w:style w:type="paragraph" w:styleId="ListParagraph">
    <w:name w:val="List Paragraph"/>
    <w:aliases w:val="Fundamentacion,Bulleted List,SubPárrafo de lista"/>
    <w:basedOn w:val="Normal"/>
    <w:link w:val="ListParagraphChar"/>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uiPriority w:val="99"/>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customStyle="1" w:styleId="paragraph">
    <w:name w:val="paragraph"/>
    <w:basedOn w:val="Normal"/>
    <w:rsid w:val="00297B1F"/>
    <w:pPr>
      <w:spacing w:before="100" w:beforeAutospacing="1" w:after="100" w:afterAutospacing="1"/>
    </w:pPr>
  </w:style>
  <w:style w:type="character" w:customStyle="1" w:styleId="normaltextrun">
    <w:name w:val="normaltextrun"/>
    <w:basedOn w:val="DefaultParagraphFont"/>
    <w:rsid w:val="00297B1F"/>
  </w:style>
  <w:style w:type="character" w:customStyle="1" w:styleId="eop">
    <w:name w:val="eop"/>
    <w:basedOn w:val="DefaultParagraphFont"/>
    <w:rsid w:val="00297B1F"/>
  </w:style>
  <w:style w:type="paragraph" w:styleId="BodyText">
    <w:name w:val="Body Text"/>
    <w:basedOn w:val="Normal"/>
    <w:link w:val="BodyTextChar"/>
    <w:rsid w:val="00D2033C"/>
    <w:pPr>
      <w:jc w:val="center"/>
    </w:pPr>
    <w:rPr>
      <w:rFonts w:ascii="Arial" w:hAnsi="Arial"/>
      <w:b/>
      <w:bCs/>
      <w:sz w:val="22"/>
      <w:szCs w:val="20"/>
    </w:rPr>
  </w:style>
  <w:style w:type="character" w:customStyle="1" w:styleId="BodyTextChar">
    <w:name w:val="Body Text Char"/>
    <w:basedOn w:val="DefaultParagraphFont"/>
    <w:link w:val="BodyText"/>
    <w:rsid w:val="00D2033C"/>
    <w:rPr>
      <w:rFonts w:ascii="Arial" w:hAnsi="Arial"/>
      <w:b/>
      <w:bCs/>
      <w:sz w:val="22"/>
    </w:rPr>
  </w:style>
  <w:style w:type="character" w:customStyle="1" w:styleId="ListParagraphChar">
    <w:name w:val="List Paragraph Char"/>
    <w:aliases w:val="Fundamentacion Char,Bulleted List Char,SubPárrafo de lista Char"/>
    <w:link w:val="ListParagraph"/>
    <w:uiPriority w:val="99"/>
    <w:locked/>
    <w:rsid w:val="00D20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54475">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 w:id="193416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39998c1f50583fa6acf19b4a7c154ec5">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2802694e416996a6c32fc6857504a555"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aaa9160-b524-482f-adb0-777b8ae6e65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8B7149-70AD-4259-AA56-DB7A0BB72B32}">
  <ds:schemaRefs>
    <ds:schemaRef ds:uri="http://schemas.openxmlformats.org/officeDocument/2006/bibliography"/>
  </ds:schemaRefs>
</ds:datastoreItem>
</file>

<file path=customXml/itemProps2.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3.xml><?xml version="1.0" encoding="utf-8"?>
<ds:datastoreItem xmlns:ds="http://schemas.openxmlformats.org/officeDocument/2006/customXml" ds:itemID="{FF19A36C-1F6F-470E-A897-7FE0749B9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6384</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cp:lastPrinted>2023-03-21T15:32:00Z</cp:lastPrinted>
  <dcterms:created xsi:type="dcterms:W3CDTF">2023-06-21T21:35:00Z</dcterms:created>
  <dcterms:modified xsi:type="dcterms:W3CDTF">2023-06-21T21:36:00Z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ies>
</file>