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9BF2" w14:textId="77777777" w:rsidR="002C4F93" w:rsidRPr="00DF0E6B" w:rsidRDefault="002C4F93" w:rsidP="002C4F93">
      <w:pPr>
        <w:tabs>
          <w:tab w:val="left" w:pos="7200"/>
        </w:tabs>
        <w:spacing w:after="0" w:line="240" w:lineRule="auto"/>
        <w:ind w:right="-1080"/>
        <w:rPr>
          <w:rFonts w:ascii="Times New Roman" w:eastAsia="Times New Roman" w:hAnsi="Times New Roman"/>
          <w:lang w:val="pt-BR"/>
        </w:rPr>
      </w:pPr>
      <w:bookmarkStart w:id="0" w:name="_top"/>
      <w:bookmarkEnd w:id="0"/>
      <w:r w:rsidRPr="00142424">
        <w:rPr>
          <w:rFonts w:ascii="Times New Roman" w:hAnsi="Times New Roman"/>
        </w:rPr>
        <w:tab/>
      </w:r>
      <w:r w:rsidRPr="00DF0E6B">
        <w:rPr>
          <w:rFonts w:ascii="Times New Roman" w:hAnsi="Times New Roman"/>
          <w:lang w:val="pt-BR"/>
        </w:rPr>
        <w:t>OEA/Ser.W</w:t>
      </w:r>
    </w:p>
    <w:p w14:paraId="6CEE3E12" w14:textId="060A6646" w:rsidR="002C4F93" w:rsidRPr="003D4660" w:rsidRDefault="002C4F93" w:rsidP="002C4F93">
      <w:pPr>
        <w:tabs>
          <w:tab w:val="left" w:pos="7200"/>
        </w:tabs>
        <w:spacing w:after="0" w:line="240" w:lineRule="auto"/>
        <w:ind w:right="-1080"/>
        <w:rPr>
          <w:rFonts w:ascii="Times New Roman" w:eastAsia="Times New Roman" w:hAnsi="Times New Roman"/>
          <w:lang w:val="pt-BR"/>
        </w:rPr>
      </w:pPr>
      <w:r w:rsidRPr="00DF0E6B">
        <w:rPr>
          <w:rFonts w:ascii="Times New Roman" w:hAnsi="Times New Roman"/>
          <w:lang w:val="pt-BR"/>
        </w:rPr>
        <w:tab/>
      </w:r>
      <w:r w:rsidRPr="003D4660">
        <w:rPr>
          <w:rFonts w:ascii="Times New Roman" w:eastAsia="Times New Roman" w:hAnsi="Times New Roman"/>
          <w:lang w:val="pt-BR"/>
        </w:rPr>
        <w:t>CIDI/doc.</w:t>
      </w:r>
      <w:r w:rsidR="003D4660">
        <w:rPr>
          <w:rFonts w:ascii="Times New Roman" w:eastAsia="Times New Roman" w:hAnsi="Times New Roman"/>
          <w:lang w:val="pt-BR"/>
        </w:rPr>
        <w:t xml:space="preserve"> 401</w:t>
      </w:r>
      <w:r w:rsidRPr="003D4660">
        <w:rPr>
          <w:rFonts w:ascii="Times New Roman" w:eastAsia="Times New Roman" w:hAnsi="Times New Roman"/>
          <w:lang w:val="pt-BR"/>
        </w:rPr>
        <w:t>/23</w:t>
      </w:r>
    </w:p>
    <w:p w14:paraId="0AD02A5C" w14:textId="466BA059" w:rsidR="002C4F93" w:rsidRPr="002C4F93" w:rsidRDefault="002C4F93" w:rsidP="002C4F93">
      <w:pPr>
        <w:tabs>
          <w:tab w:val="left" w:pos="7200"/>
        </w:tabs>
        <w:spacing w:after="0" w:line="240" w:lineRule="auto"/>
        <w:ind w:right="-1080"/>
        <w:rPr>
          <w:rFonts w:ascii="Times New Roman" w:eastAsia="Times New Roman" w:hAnsi="Times New Roman"/>
        </w:rPr>
      </w:pPr>
      <w:r w:rsidRPr="003D4660">
        <w:rPr>
          <w:rFonts w:ascii="Times New Roman" w:hAnsi="Times New Roman"/>
          <w:lang w:val="pt-BR"/>
        </w:rPr>
        <w:tab/>
      </w:r>
      <w:r w:rsidRPr="002C4F93">
        <w:rPr>
          <w:rFonts w:ascii="Times New Roman" w:hAnsi="Times New Roman"/>
        </w:rPr>
        <w:t>17 novem</w:t>
      </w:r>
      <w:r>
        <w:rPr>
          <w:rFonts w:ascii="Times New Roman" w:hAnsi="Times New Roman"/>
        </w:rPr>
        <w:t>bre</w:t>
      </w:r>
      <w:r w:rsidRPr="002C4F93">
        <w:rPr>
          <w:rFonts w:ascii="Times New Roman" w:hAnsi="Times New Roman"/>
        </w:rPr>
        <w:t xml:space="preserve"> 2023</w:t>
      </w:r>
    </w:p>
    <w:p w14:paraId="6EF5BB99" w14:textId="6282A65F" w:rsidR="002C4F93" w:rsidRPr="002C4F93" w:rsidRDefault="002C4F93" w:rsidP="002C4F93">
      <w:pPr>
        <w:pBdr>
          <w:bottom w:val="single" w:sz="12" w:space="1" w:color="auto"/>
        </w:pBdr>
        <w:tabs>
          <w:tab w:val="left" w:pos="7200"/>
        </w:tabs>
        <w:spacing w:after="0" w:line="240" w:lineRule="auto"/>
        <w:ind w:right="-389"/>
        <w:rPr>
          <w:rFonts w:ascii="Times New Roman" w:eastAsia="Times New Roman" w:hAnsi="Times New Roman"/>
        </w:rPr>
      </w:pPr>
      <w:r w:rsidRPr="002C4F93">
        <w:rPr>
          <w:rFonts w:ascii="Times New Roman" w:hAnsi="Times New Roman"/>
        </w:rPr>
        <w:tab/>
        <w:t>Original: espagnol</w:t>
      </w:r>
    </w:p>
    <w:p w14:paraId="642AD4EA" w14:textId="77777777" w:rsidR="002C4F93" w:rsidRPr="002C4F93" w:rsidRDefault="002C4F93" w:rsidP="002C4F93">
      <w:pPr>
        <w:pBdr>
          <w:bottom w:val="single" w:sz="12" w:space="1" w:color="auto"/>
        </w:pBdr>
        <w:tabs>
          <w:tab w:val="left" w:pos="7200"/>
        </w:tabs>
        <w:spacing w:after="0" w:line="240" w:lineRule="auto"/>
        <w:ind w:right="-389"/>
        <w:rPr>
          <w:rFonts w:ascii="Times New Roman" w:eastAsia="Times New Roman" w:hAnsi="Times New Roman"/>
        </w:rPr>
      </w:pPr>
    </w:p>
    <w:p w14:paraId="5A370A6B" w14:textId="77777777" w:rsidR="002C4F93" w:rsidRDefault="002C4F93" w:rsidP="002C4F93">
      <w:pPr>
        <w:tabs>
          <w:tab w:val="left" w:pos="7200"/>
        </w:tabs>
        <w:spacing w:after="0" w:line="240" w:lineRule="auto"/>
        <w:ind w:right="-1080"/>
        <w:rPr>
          <w:rFonts w:ascii="Times New Roman" w:eastAsia="Times New Roman" w:hAnsi="Times New Roman"/>
        </w:rPr>
      </w:pPr>
    </w:p>
    <w:p w14:paraId="28C6EC7C" w14:textId="77777777" w:rsidR="002C4F93" w:rsidRDefault="002C4F93" w:rsidP="002C4F93">
      <w:pPr>
        <w:tabs>
          <w:tab w:val="left" w:pos="7200"/>
        </w:tabs>
        <w:spacing w:after="0" w:line="240" w:lineRule="auto"/>
        <w:ind w:right="-1080"/>
        <w:rPr>
          <w:rFonts w:ascii="Times New Roman" w:eastAsia="Times New Roman" w:hAnsi="Times New Roman"/>
        </w:rPr>
      </w:pPr>
    </w:p>
    <w:p w14:paraId="36E596D9" w14:textId="77777777" w:rsidR="002C4F93" w:rsidRPr="002C4F93" w:rsidRDefault="002C4F93" w:rsidP="002C4F93">
      <w:pPr>
        <w:tabs>
          <w:tab w:val="center" w:pos="4320"/>
          <w:tab w:val="right" w:pos="8640"/>
        </w:tabs>
        <w:spacing w:after="0" w:line="240" w:lineRule="auto"/>
        <w:jc w:val="center"/>
        <w:rPr>
          <w:rFonts w:ascii="Times New Roman" w:eastAsia="Times New Roman" w:hAnsi="Times New Roman"/>
          <w:lang w:val="fr-FR"/>
        </w:rPr>
      </w:pPr>
      <w:r w:rsidRPr="002C4F93">
        <w:rPr>
          <w:rFonts w:ascii="Times New Roman" w:eastAsia="Times New Roman" w:hAnsi="Times New Roman"/>
          <w:lang w:val="fr-FR"/>
        </w:rPr>
        <w:t>PROJET DE RÉSOLUTION</w:t>
      </w:r>
    </w:p>
    <w:p w14:paraId="20D8DE52" w14:textId="77777777" w:rsidR="002C4F93" w:rsidRPr="002C4F93" w:rsidRDefault="002C4F93" w:rsidP="002C4F93">
      <w:pPr>
        <w:spacing w:after="0" w:line="240" w:lineRule="auto"/>
        <w:ind w:right="11"/>
        <w:jc w:val="both"/>
        <w:rPr>
          <w:rFonts w:ascii="Times New Roman" w:eastAsiaTheme="minorHAnsi" w:hAnsi="Times New Roman"/>
          <w:kern w:val="2"/>
          <w:lang w:val="fr-FR" w:bidi="en-US"/>
          <w14:ligatures w14:val="standardContextual"/>
        </w:rPr>
      </w:pPr>
    </w:p>
    <w:p w14:paraId="3AD5C150" w14:textId="77777777" w:rsidR="002C4F93" w:rsidRPr="002C4F93" w:rsidRDefault="002C4F93" w:rsidP="002C4F93">
      <w:pPr>
        <w:spacing w:after="0" w:line="240" w:lineRule="auto"/>
        <w:jc w:val="center"/>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 xml:space="preserve">CONVOCATION DE LA VINGT-DEUXIÈME CONFÉRENCE INTERAMÉRICAINE </w:t>
      </w:r>
    </w:p>
    <w:p w14:paraId="3565E584" w14:textId="77777777" w:rsidR="002C4F93" w:rsidRPr="002C4F93" w:rsidRDefault="002C4F93" w:rsidP="002C4F93">
      <w:pPr>
        <w:spacing w:after="0" w:line="240" w:lineRule="auto"/>
        <w:jc w:val="center"/>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DES MINISTRES DU TRAVAIL</w:t>
      </w:r>
    </w:p>
    <w:p w14:paraId="2122CF6C" w14:textId="77777777" w:rsidR="002C4F93" w:rsidRPr="002C4F93" w:rsidRDefault="002C4F93" w:rsidP="002C4F93">
      <w:pPr>
        <w:spacing w:after="0" w:line="240" w:lineRule="auto"/>
        <w:jc w:val="both"/>
        <w:rPr>
          <w:rFonts w:ascii="Times New Roman" w:eastAsiaTheme="minorHAnsi" w:hAnsi="Times New Roman"/>
          <w:kern w:val="2"/>
          <w:lang w:val="fr-FR"/>
          <w14:ligatures w14:val="standardContextual"/>
        </w:rPr>
      </w:pPr>
    </w:p>
    <w:p w14:paraId="4F7C2D3D" w14:textId="77777777" w:rsidR="002C4F93" w:rsidRPr="002C4F93" w:rsidRDefault="002C4F93" w:rsidP="002C4F93">
      <w:pPr>
        <w:spacing w:after="0" w:line="240" w:lineRule="auto"/>
        <w:jc w:val="center"/>
        <w:rPr>
          <w:rFonts w:ascii="Times New Roman" w:eastAsia="SimSun" w:hAnsi="Times New Roman"/>
          <w:kern w:val="2"/>
          <w:lang w:val="fr-FR"/>
          <w14:ligatures w14:val="standardContextual"/>
        </w:rPr>
      </w:pPr>
      <w:r w:rsidRPr="002C4F93">
        <w:rPr>
          <w:rFonts w:ascii="Times New Roman" w:eastAsiaTheme="minorHAnsi" w:hAnsi="Times New Roman"/>
          <w:kern w:val="2"/>
          <w:lang w:val="fr-FR"/>
          <w14:ligatures w14:val="standardContextual"/>
        </w:rPr>
        <w:t>(Déposé par la délégation de la Colombie)</w:t>
      </w:r>
    </w:p>
    <w:p w14:paraId="69E0502E" w14:textId="77777777" w:rsidR="002C4F93" w:rsidRPr="002C4F93" w:rsidRDefault="002C4F93" w:rsidP="002C4F93">
      <w:pPr>
        <w:spacing w:after="0" w:line="240" w:lineRule="auto"/>
        <w:jc w:val="both"/>
        <w:rPr>
          <w:rFonts w:ascii="Times New Roman" w:eastAsiaTheme="minorHAnsi" w:hAnsi="Times New Roman"/>
          <w:kern w:val="2"/>
          <w:lang w:val="fr-FR"/>
          <w14:ligatures w14:val="standardContextual"/>
        </w:rPr>
      </w:pPr>
    </w:p>
    <w:p w14:paraId="5D70D870" w14:textId="77777777" w:rsidR="002C4F93" w:rsidRPr="002C4F93" w:rsidRDefault="002C4F93" w:rsidP="002C4F93">
      <w:pPr>
        <w:spacing w:after="0" w:line="240" w:lineRule="auto"/>
        <w:jc w:val="both"/>
        <w:rPr>
          <w:rFonts w:ascii="Times New Roman" w:eastAsiaTheme="minorHAnsi" w:hAnsi="Times New Roman"/>
          <w:kern w:val="2"/>
          <w:lang w:val="fr-FR"/>
          <w14:ligatures w14:val="standardContextual"/>
        </w:rPr>
      </w:pPr>
    </w:p>
    <w:p w14:paraId="4D2C37D3" w14:textId="77777777" w:rsidR="002C4F93" w:rsidRPr="002C4F93" w:rsidRDefault="002C4F93" w:rsidP="002C4F93">
      <w:pPr>
        <w:spacing w:after="0" w:line="360" w:lineRule="auto"/>
        <w:ind w:firstLine="720"/>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LE CONSEIL INTERAMÉRICAIN POUR LE DÉVELOPPEMENT INTÉGRÉ,</w:t>
      </w:r>
    </w:p>
    <w:p w14:paraId="34666C26"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584FC71E" w14:textId="77777777" w:rsidR="002C4F93" w:rsidRPr="002C4F93" w:rsidRDefault="002C4F93" w:rsidP="002C4F93">
      <w:pPr>
        <w:spacing w:after="0" w:line="360" w:lineRule="auto"/>
        <w:ind w:firstLine="720"/>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 xml:space="preserve">AYANT VU la résolution AG/RES. 2967 (LI-O/21), « Encourager les initiatives continentales en matière de développement intégré : Promotion de la résilience », laquelle porte adoption du </w:t>
      </w:r>
      <w:r w:rsidRPr="002C4F93">
        <w:rPr>
          <w:rFonts w:ascii="Times New Roman" w:eastAsiaTheme="minorHAnsi" w:hAnsi="Times New Roman"/>
          <w:color w:val="000000" w:themeColor="text1"/>
          <w:kern w:val="2"/>
          <w:lang w:val="fr-FR"/>
          <w14:ligatures w14:val="standardContextual"/>
        </w:rPr>
        <w:t>calendrier des réunions des ministres et hauts responsables dans le cadre du CIDI</w:t>
      </w:r>
      <w:r w:rsidRPr="002C4F93">
        <w:rPr>
          <w:rFonts w:ascii="Times New Roman" w:eastAsiaTheme="minorHAnsi" w:hAnsi="Times New Roman"/>
          <w:kern w:val="2"/>
          <w:lang w:val="fr-FR"/>
          <w14:ligatures w14:val="standardContextual"/>
        </w:rPr>
        <w:t>, en tenant compte des</w:t>
      </w:r>
      <w:r w:rsidRPr="002C4F93">
        <w:rPr>
          <w:rFonts w:ascii="Times New Roman" w:eastAsiaTheme="minorHAnsi" w:hAnsi="Times New Roman"/>
          <w:color w:val="000000" w:themeColor="text1"/>
          <w:kern w:val="2"/>
          <w:lang w:val="fr-FR"/>
          <w14:ligatures w14:val="standardContextual"/>
        </w:rPr>
        <w:t xml:space="preserve"> difficultés liées au contexte de la pandémie de COVID-19</w:t>
      </w:r>
      <w:r w:rsidRPr="002C4F93">
        <w:rPr>
          <w:rFonts w:ascii="Times New Roman" w:eastAsiaTheme="minorHAnsi" w:hAnsi="Times New Roman"/>
          <w:kern w:val="2"/>
          <w:lang w:val="fr-FR"/>
          <w14:ligatures w14:val="standardContextual"/>
        </w:rPr>
        <w:t>,</w:t>
      </w:r>
    </w:p>
    <w:p w14:paraId="0796B786"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3C0B3931" w14:textId="77777777" w:rsidR="002C4F93" w:rsidRPr="002C4F93" w:rsidRDefault="002C4F93" w:rsidP="002C4F93">
      <w:pPr>
        <w:spacing w:after="0" w:line="360" w:lineRule="auto"/>
        <w:ind w:firstLine="720"/>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 xml:space="preserve">AYANT VU ÉGALEMENT la Déclaration de Buenos Aires 2021, « Construire un monde du travail plus résilient avec le développement durable, le travail décent, l’emploi productif et l’inclusion sociale » (CIDI/TRABAJO/DEC. 1/21), le Plan d'action de Buenos Aires 2021 (CIDI/TRABAJO/doc.5/21 </w:t>
      </w:r>
      <w:proofErr w:type="spellStart"/>
      <w:r w:rsidRPr="002C4F93">
        <w:rPr>
          <w:rFonts w:ascii="Times New Roman" w:eastAsiaTheme="minorHAnsi" w:hAnsi="Times New Roman"/>
          <w:kern w:val="2"/>
          <w:lang w:val="fr-FR"/>
          <w14:ligatures w14:val="standardContextual"/>
        </w:rPr>
        <w:t>rev</w:t>
      </w:r>
      <w:proofErr w:type="spellEnd"/>
      <w:r w:rsidRPr="002C4F93">
        <w:rPr>
          <w:rFonts w:ascii="Times New Roman" w:eastAsiaTheme="minorHAnsi" w:hAnsi="Times New Roman"/>
          <w:kern w:val="2"/>
          <w:lang w:val="fr-FR"/>
          <w14:ligatures w14:val="standardContextual"/>
        </w:rPr>
        <w:t>. 1) et le rapport final de la vingt-et-unième Conférence interaméricaine des ministres du travail (CIDI/TRABAJO/doc.20/21),</w:t>
      </w:r>
    </w:p>
    <w:p w14:paraId="159DD868"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6383CBD2"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CONSIDÉRANT :</w:t>
      </w:r>
    </w:p>
    <w:p w14:paraId="522F206A"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74FB5646"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ab/>
        <w:t>Que la Conférence interaméricaine des ministres du travail est une réunion spécialisée du Conseil interaméricain pour le développement intégré de l'Organisation des États Américains (OEA) ;</w:t>
      </w:r>
    </w:p>
    <w:p w14:paraId="6929BE7A"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017D42B0"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ab/>
        <w:t>Que les ministères du travail ont un rôle central à jouer pour relever les défis structurels et émergents en matière de travail et pour construire un monde du travail plus résilient, inclusif, durable et centré sur les personnes dans les Amériques,</w:t>
      </w:r>
    </w:p>
    <w:p w14:paraId="3D7410C9"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28B4C75D" w14:textId="77777777" w:rsidR="002C4F93" w:rsidRPr="002C4F93" w:rsidRDefault="002C4F93" w:rsidP="002C4F93">
      <w:pPr>
        <w:spacing w:after="0" w:line="360" w:lineRule="auto"/>
        <w:ind w:firstLine="720"/>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lastRenderedPageBreak/>
        <w:t xml:space="preserve">PRENANT EN CONSIDÉRATION la note de la mission permanente de la Colombie auprès de l'OEA réitérant l'offre du gouvernement de la Colombie d'accueillir la vingt-deuxième Conférence interaméricaine des ministres du travail et proposant qu'elle se tienne à Bogota (Colombie) les 23 et 24 octobre 2024 (CIDI/INF.573/23), </w:t>
      </w:r>
    </w:p>
    <w:p w14:paraId="3A50FFA5"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506C3402" w14:textId="77777777" w:rsidR="002C4F93" w:rsidRPr="002C4F93" w:rsidRDefault="002C4F93" w:rsidP="002C4F93">
      <w:pPr>
        <w:spacing w:after="0" w:line="360" w:lineRule="auto"/>
        <w:ind w:firstLine="720"/>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 xml:space="preserve">PRENANT EN CONSIDÉRATION ÉGALEMENT la résolution CP/RES. 982 (1797/11), « Actualisation des coûts des conférences et réunions financés par l’OEA », adoptée par le Conseil permanent, </w:t>
      </w:r>
    </w:p>
    <w:p w14:paraId="62140D1D"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3647E9F4"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DÉCIDE :</w:t>
      </w:r>
    </w:p>
    <w:p w14:paraId="7FE6F600"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5A785F53" w14:textId="77777777" w:rsidR="002C4F93" w:rsidRPr="002C4F93" w:rsidRDefault="002C4F93" w:rsidP="002C4F93">
      <w:pPr>
        <w:numPr>
          <w:ilvl w:val="0"/>
          <w:numId w:val="2"/>
        </w:numPr>
        <w:tabs>
          <w:tab w:val="clear" w:pos="1440"/>
          <w:tab w:val="left" w:pos="0"/>
        </w:tabs>
        <w:spacing w:after="0" w:line="360" w:lineRule="auto"/>
        <w:ind w:left="0" w:firstLine="720"/>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De convoquer pour les 23 et 24 octobre 2024 à Bogota (Colombie) la vingt-deuxième Conférence interaméricaine des ministres du travail.</w:t>
      </w:r>
    </w:p>
    <w:p w14:paraId="56EDE0C5" w14:textId="77777777" w:rsidR="002C4F93" w:rsidRPr="002C4F93" w:rsidRDefault="002C4F93" w:rsidP="002C4F93">
      <w:pPr>
        <w:tabs>
          <w:tab w:val="left" w:pos="0"/>
        </w:tabs>
        <w:spacing w:after="0" w:line="360" w:lineRule="auto"/>
        <w:ind w:firstLine="720"/>
        <w:jc w:val="both"/>
        <w:rPr>
          <w:rFonts w:ascii="Times New Roman" w:eastAsiaTheme="minorHAnsi" w:hAnsi="Times New Roman"/>
          <w:kern w:val="2"/>
          <w:lang w:val="fr-FR"/>
          <w14:ligatures w14:val="standardContextual"/>
        </w:rPr>
      </w:pPr>
    </w:p>
    <w:p w14:paraId="7ED4DBCD" w14:textId="77777777" w:rsidR="002C4F93" w:rsidRPr="002C4F93" w:rsidRDefault="002C4F93" w:rsidP="002C4F93">
      <w:pPr>
        <w:numPr>
          <w:ilvl w:val="0"/>
          <w:numId w:val="2"/>
        </w:numPr>
        <w:tabs>
          <w:tab w:val="clear" w:pos="1440"/>
          <w:tab w:val="left" w:pos="0"/>
        </w:tabs>
        <w:spacing w:after="0" w:line="360" w:lineRule="auto"/>
        <w:ind w:left="0" w:firstLine="720"/>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De remercier le gouvernement de la Colombie pour son offre généreuse d'accueillir la réunion ministérielle et d’appeler les ministres et les hauts fonctionnaires chargés du travail dans les États membres à y participer.</w:t>
      </w:r>
    </w:p>
    <w:p w14:paraId="47013970" w14:textId="77777777" w:rsidR="002C4F93" w:rsidRPr="002C4F93" w:rsidRDefault="002C4F93" w:rsidP="002C4F93">
      <w:pPr>
        <w:tabs>
          <w:tab w:val="left" w:pos="0"/>
        </w:tabs>
        <w:spacing w:after="0" w:line="360" w:lineRule="auto"/>
        <w:ind w:firstLine="720"/>
        <w:jc w:val="both"/>
        <w:rPr>
          <w:rFonts w:ascii="Times New Roman" w:eastAsiaTheme="minorHAnsi" w:hAnsi="Times New Roman"/>
          <w:kern w:val="2"/>
          <w:lang w:val="fr-FR"/>
          <w14:ligatures w14:val="standardContextual"/>
        </w:rPr>
      </w:pPr>
    </w:p>
    <w:p w14:paraId="1505622B" w14:textId="77777777" w:rsidR="002C4F93" w:rsidRPr="002C4F93" w:rsidRDefault="002C4F93" w:rsidP="002C4F93">
      <w:pPr>
        <w:numPr>
          <w:ilvl w:val="0"/>
          <w:numId w:val="2"/>
        </w:numPr>
        <w:tabs>
          <w:tab w:val="clear" w:pos="1440"/>
          <w:tab w:val="left" w:pos="0"/>
        </w:tabs>
        <w:spacing w:after="0" w:line="360" w:lineRule="auto"/>
        <w:ind w:left="0" w:firstLine="720"/>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D’allouer le montant maximal de ressources prévu au sous-programme 74F du chapitre 7 du programme-budget 2024 de l'Organisation, conformément aux lignes directrices établies dans la résolution CP/RES. 982 (1797/11), aux effets des préparatifs et de la tenue de la vingt-deuxième Conférence interaméricaine des ministres du travail.</w:t>
      </w:r>
    </w:p>
    <w:p w14:paraId="0A93D55B" w14:textId="77777777" w:rsidR="002C4F93" w:rsidRPr="002C4F93" w:rsidRDefault="002C4F93" w:rsidP="002C4F93">
      <w:pPr>
        <w:spacing w:after="0" w:line="360" w:lineRule="auto"/>
        <w:jc w:val="both"/>
        <w:rPr>
          <w:rFonts w:ascii="Times New Roman" w:eastAsiaTheme="minorHAnsi" w:hAnsi="Times New Roman"/>
          <w:kern w:val="2"/>
          <w:lang w:val="fr-FR"/>
          <w14:ligatures w14:val="standardContextual"/>
        </w:rPr>
      </w:pPr>
    </w:p>
    <w:p w14:paraId="646CAD58" w14:textId="77777777" w:rsidR="002C4F93" w:rsidRPr="002C4F93" w:rsidRDefault="002C4F93" w:rsidP="002C4F93">
      <w:pPr>
        <w:spacing w:after="0" w:line="360" w:lineRule="auto"/>
        <w:ind w:firstLine="720"/>
        <w:jc w:val="both"/>
        <w:rPr>
          <w:rFonts w:ascii="Times New Roman" w:eastAsiaTheme="minorHAnsi" w:hAnsi="Times New Roman"/>
          <w:kern w:val="2"/>
          <w:lang w:val="fr-FR"/>
          <w14:ligatures w14:val="standardContextual"/>
        </w:rPr>
      </w:pPr>
      <w:r w:rsidRPr="002C4F93">
        <w:rPr>
          <w:rFonts w:ascii="Times New Roman" w:eastAsiaTheme="minorHAnsi" w:hAnsi="Times New Roman"/>
          <w:kern w:val="2"/>
          <w:lang w:val="fr-FR"/>
          <w14:ligatures w14:val="standardContextual"/>
        </w:rPr>
        <w:t>4.</w:t>
      </w:r>
      <w:r w:rsidRPr="002C4F93">
        <w:rPr>
          <w:rFonts w:ascii="Times New Roman" w:eastAsiaTheme="minorHAnsi" w:hAnsi="Times New Roman"/>
          <w:kern w:val="2"/>
          <w:lang w:val="fr-FR"/>
          <w14:ligatures w14:val="standardContextual"/>
        </w:rPr>
        <w:tab/>
        <w:t>De charger le Secrétariat général d’épauler, par le truchement du Secrétariat exécutif au développement intégré, le travail constitué par les préparatifs et l’organisation de la vingt-deuxième Conférence interaméricaine des ministres du travail et de faire rapport au Conseil interaméricain pour le développement intégré sur les préparatifs et sur les résultats de ce travail.</w:t>
      </w:r>
    </w:p>
    <w:p w14:paraId="1FE15CAC" w14:textId="21742871" w:rsidR="002C4F93" w:rsidRPr="002C4F93" w:rsidRDefault="000F02D3">
      <w:pPr>
        <w:rPr>
          <w:lang w:val="fr-FR"/>
        </w:rPr>
      </w:pPr>
      <w:r>
        <w:rPr>
          <w:noProof/>
          <w:lang w:val="fr-FR"/>
          <w14:ligatures w14:val="standardContextual"/>
        </w:rPr>
        <mc:AlternateContent>
          <mc:Choice Requires="wps">
            <w:drawing>
              <wp:anchor distT="0" distB="0" distL="114300" distR="114300" simplePos="0" relativeHeight="251659264" behindDoc="0" locked="1" layoutInCell="1" allowOverlap="1" wp14:anchorId="00403F96" wp14:editId="69EA4761">
                <wp:simplePos x="0" y="0"/>
                <wp:positionH relativeFrom="column">
                  <wp:posOffset>-91440</wp:posOffset>
                </wp:positionH>
                <wp:positionV relativeFrom="page">
                  <wp:posOffset>9144000</wp:posOffset>
                </wp:positionV>
                <wp:extent cx="3383280" cy="228600"/>
                <wp:effectExtent l="0" t="0" r="0" b="0"/>
                <wp:wrapNone/>
                <wp:docPr id="3874254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E7A5C6" w14:textId="0B6674CF" w:rsidR="000F02D3" w:rsidRPr="000F02D3" w:rsidRDefault="000F02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CIDRP04016F01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403F96"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AE7A5C6" w14:textId="0B6674CF" w:rsidR="000F02D3" w:rsidRPr="000F02D3" w:rsidRDefault="000F02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CIDRP04016F01</w:t>
                      </w:r>
                      <w:r>
                        <w:rPr>
                          <w:rFonts w:ascii="Times New Roman" w:hAnsi="Times New Roman"/>
                          <w:sz w:val="18"/>
                        </w:rPr>
                        <w:fldChar w:fldCharType="end"/>
                      </w:r>
                    </w:p>
                  </w:txbxContent>
                </v:textbox>
                <w10:wrap anchory="page"/>
                <w10:anchorlock/>
              </v:shape>
            </w:pict>
          </mc:Fallback>
        </mc:AlternateContent>
      </w:r>
    </w:p>
    <w:sectPr w:rsidR="002C4F93" w:rsidRPr="002C4F93"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9CAA" w14:textId="77777777" w:rsidR="00C00B56" w:rsidRDefault="00C00B56">
      <w:pPr>
        <w:spacing w:after="0" w:line="240" w:lineRule="auto"/>
      </w:pPr>
      <w:r>
        <w:separator/>
      </w:r>
    </w:p>
  </w:endnote>
  <w:endnote w:type="continuationSeparator" w:id="0">
    <w:p w14:paraId="7F67E05E" w14:textId="77777777" w:rsidR="00C00B56" w:rsidRDefault="00C0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A95B" w14:textId="77777777" w:rsidR="00C00B56" w:rsidRDefault="00C00B56">
      <w:pPr>
        <w:spacing w:after="0" w:line="240" w:lineRule="auto"/>
      </w:pPr>
      <w:r>
        <w:separator/>
      </w:r>
    </w:p>
  </w:footnote>
  <w:footnote w:type="continuationSeparator" w:id="0">
    <w:p w14:paraId="02ED0B44" w14:textId="77777777" w:rsidR="00C00B56" w:rsidRDefault="00C0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EF95" w14:textId="77777777" w:rsidR="002C4F93" w:rsidRDefault="002C4F93">
    <w:pPr>
      <w:pStyle w:val="Header"/>
      <w:jc w:val="center"/>
    </w:pPr>
    <w:r>
      <w:fldChar w:fldCharType="begin"/>
    </w:r>
    <w:r>
      <w:instrText xml:space="preserve"> PAGE   \* MERGEFORMAT </w:instrText>
    </w:r>
    <w:r>
      <w:fldChar w:fldCharType="separate"/>
    </w:r>
    <w:r>
      <w:rPr>
        <w:noProof/>
      </w:rPr>
      <w:t>- 2 -</w:t>
    </w:r>
    <w:r>
      <w:fldChar w:fldCharType="end"/>
    </w:r>
  </w:p>
  <w:p w14:paraId="0DD4FD99" w14:textId="77777777" w:rsidR="002C4F93" w:rsidRDefault="002C4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CA84" w14:textId="77777777" w:rsidR="002C4F93" w:rsidRDefault="002C4F93">
    <w:pPr>
      <w:pStyle w:val="Header"/>
    </w:pPr>
    <w:r>
      <w:rPr>
        <w:noProof/>
        <w:lang w:val="en-US"/>
      </w:rPr>
      <mc:AlternateContent>
        <mc:Choice Requires="wps">
          <w:drawing>
            <wp:anchor distT="0" distB="0" distL="114300" distR="114300" simplePos="0" relativeHeight="251661312" behindDoc="0" locked="0" layoutInCell="1" allowOverlap="1" wp14:anchorId="7EDA37CE" wp14:editId="149BD984">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25D8A" w14:textId="77777777" w:rsidR="002C4F93" w:rsidRPr="00133A15" w:rsidRDefault="002C4F93"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11EB1AA7" w14:textId="77777777" w:rsidR="002C4F93" w:rsidRPr="00133A15" w:rsidRDefault="002C4F93"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036A2FE5" w14:textId="77777777" w:rsidR="002C4F93" w:rsidRPr="00EA7DE7" w:rsidRDefault="002C4F93"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A37CE" id="_x0000_t202" coordsize="21600,21600" o:spt="202" path="m,l,21600r21600,l21600,xe">
              <v:stroke joinstyle="miter"/>
              <v:path gradientshapeok="t" o:connecttype="rect"/>
            </v:shapetype>
            <v:shape id="_x0000_s1027" type="#_x0000_t202" style="position:absolute;margin-left:34.7pt;margin-top:-39.5pt;width:372.35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" stroked="f">
              <v:textbox>
                <w:txbxContent>
                  <w:p w14:paraId="0AA25D8A" w14:textId="77777777" w:rsidR="002C4F93" w:rsidRPr="00133A15" w:rsidRDefault="002C4F93"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11EB1AA7" w14:textId="77777777" w:rsidR="002C4F93" w:rsidRPr="00133A15" w:rsidRDefault="002C4F93"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036A2FE5" w14:textId="77777777" w:rsidR="002C4F93" w:rsidRPr="00EA7DE7" w:rsidRDefault="002C4F93"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39F46436" wp14:editId="6FB53B7D">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43576" w14:textId="77777777" w:rsidR="002C4F93" w:rsidRDefault="002C4F93" w:rsidP="003B1FC2">
                          <w:pPr>
                            <w:ind w:right="-130"/>
                          </w:pPr>
                          <w:r>
                            <w:rPr>
                              <w:rFonts w:ascii="News Gothic MT" w:hAnsi="News Gothic MT"/>
                              <w:noProof/>
                              <w:color w:val="000000"/>
                              <w:lang w:val="en-US"/>
                            </w:rPr>
                            <w:drawing>
                              <wp:inline distT="0" distB="0" distL="0" distR="0" wp14:anchorId="7C4F4C5A" wp14:editId="09311096">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6436" id="Text Box 2"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19243576" w14:textId="77777777" w:rsidR="002C4F93" w:rsidRDefault="002C4F93" w:rsidP="003B1FC2">
                    <w:pPr>
                      <w:ind w:right="-130"/>
                    </w:pPr>
                    <w:r>
                      <w:rPr>
                        <w:rFonts w:ascii="News Gothic MT" w:hAnsi="News Gothic MT"/>
                        <w:noProof/>
                        <w:color w:val="000000"/>
                        <w:lang w:val="en-US"/>
                      </w:rPr>
                      <w:drawing>
                        <wp:inline distT="0" distB="0" distL="0" distR="0" wp14:anchorId="7C4F4C5A" wp14:editId="09311096">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9264" behindDoc="0" locked="0" layoutInCell="1" allowOverlap="1" wp14:anchorId="16B81C61" wp14:editId="3025735B">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5E751" w14:textId="77777777" w:rsidR="002C4F93" w:rsidRDefault="002C4F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7673197">
    <w:abstractNumId w:val="0"/>
  </w:num>
  <w:num w:numId="2" w16cid:durableId="1714424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93"/>
    <w:rsid w:val="000F02D3"/>
    <w:rsid w:val="002C4F93"/>
    <w:rsid w:val="003D4660"/>
    <w:rsid w:val="00C0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CF8ED"/>
  <w15:chartTrackingRefBased/>
  <w15:docId w15:val="{C1AACBBA-7234-4DA8-8DCB-FC6F294E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93"/>
    <w:pPr>
      <w:spacing w:after="200" w:line="276" w:lineRule="auto"/>
    </w:pPr>
    <w:rPr>
      <w:rFonts w:ascii="Calibri" w:eastAsia="Calibri" w:hAnsi="Calibri" w:cs="Times New Roman"/>
      <w:kern w:val="0"/>
      <w:lang w:val="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F93"/>
    <w:pPr>
      <w:tabs>
        <w:tab w:val="center" w:pos="4680"/>
        <w:tab w:val="right" w:pos="9360"/>
      </w:tabs>
    </w:pPr>
  </w:style>
  <w:style w:type="character" w:customStyle="1" w:styleId="HeaderChar">
    <w:name w:val="Header Char"/>
    <w:basedOn w:val="DefaultParagraphFont"/>
    <w:link w:val="Header"/>
    <w:uiPriority w:val="99"/>
    <w:rsid w:val="002C4F93"/>
    <w:rPr>
      <w:rFonts w:ascii="Calibri" w:eastAsia="Calibri" w:hAnsi="Calibri" w:cs="Times New Roman"/>
      <w:kern w:val="0"/>
      <w:lang w:val="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2023-11-21T15:10:00Z</dcterms:created>
  <dcterms:modified xsi:type="dcterms:W3CDTF">2023-11-21T15:14:00Z</dcterms:modified>
</cp:coreProperties>
</file>