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3" w:rsidRPr="00AF0068" w:rsidRDefault="00FA607C" w:rsidP="000B6478">
      <w:pPr>
        <w:tabs>
          <w:tab w:val="left" w:pos="7200"/>
        </w:tabs>
        <w:ind w:right="-1080"/>
        <w:rPr>
          <w:sz w:val="22"/>
          <w:szCs w:val="22"/>
          <w:lang w:val="pt-BR"/>
        </w:rPr>
      </w:pPr>
      <w:bookmarkStart w:id="0" w:name="_top"/>
      <w:bookmarkEnd w:id="0"/>
      <w:r w:rsidRPr="002A225C">
        <w:rPr>
          <w:sz w:val="22"/>
          <w:szCs w:val="22"/>
          <w:lang w:val="fr-CA"/>
        </w:rPr>
        <w:tab/>
      </w:r>
      <w:r w:rsidRPr="00AF0068">
        <w:rPr>
          <w:sz w:val="22"/>
          <w:szCs w:val="22"/>
          <w:lang w:val="pt-BR"/>
        </w:rPr>
        <w:t>OEA/Ser.W</w:t>
      </w:r>
    </w:p>
    <w:p w:rsidR="00722693" w:rsidRPr="00AF0068" w:rsidRDefault="00FA607C" w:rsidP="000B6478">
      <w:pPr>
        <w:tabs>
          <w:tab w:val="left" w:pos="7200"/>
        </w:tabs>
        <w:ind w:right="-1080"/>
        <w:rPr>
          <w:sz w:val="22"/>
          <w:szCs w:val="22"/>
          <w:lang w:val="pt-BR"/>
        </w:rPr>
      </w:pPr>
      <w:r w:rsidRPr="00AF0068">
        <w:rPr>
          <w:sz w:val="22"/>
          <w:szCs w:val="22"/>
          <w:lang w:val="pt-BR"/>
        </w:rPr>
        <w:tab/>
        <w:t>CIDI/INF.</w:t>
      </w:r>
      <w:r w:rsidR="005D77D7" w:rsidRPr="00AF0068">
        <w:rPr>
          <w:sz w:val="22"/>
          <w:szCs w:val="22"/>
          <w:lang w:val="pt-BR"/>
        </w:rPr>
        <w:t>373</w:t>
      </w:r>
      <w:r w:rsidRPr="00AF0068">
        <w:rPr>
          <w:sz w:val="22"/>
          <w:szCs w:val="22"/>
          <w:lang w:val="pt-BR"/>
        </w:rPr>
        <w:t>/</w:t>
      </w:r>
      <w:r w:rsidR="000B6478" w:rsidRPr="00AF0068">
        <w:rPr>
          <w:sz w:val="22"/>
          <w:szCs w:val="22"/>
          <w:lang w:val="pt-BR"/>
        </w:rPr>
        <w:t>20</w:t>
      </w:r>
    </w:p>
    <w:p w:rsidR="00921E9E" w:rsidRPr="002A225C" w:rsidRDefault="00FA607C" w:rsidP="000B6478">
      <w:pPr>
        <w:tabs>
          <w:tab w:val="left" w:pos="7200"/>
        </w:tabs>
        <w:ind w:right="-1080"/>
        <w:rPr>
          <w:sz w:val="22"/>
          <w:szCs w:val="22"/>
          <w:lang w:val="fr-CA"/>
        </w:rPr>
      </w:pPr>
      <w:r w:rsidRPr="00AF0068">
        <w:rPr>
          <w:sz w:val="22"/>
          <w:szCs w:val="22"/>
          <w:lang w:val="pt-BR"/>
        </w:rPr>
        <w:tab/>
      </w:r>
      <w:r w:rsidR="00FB2A63" w:rsidRPr="002A225C">
        <w:rPr>
          <w:sz w:val="22"/>
          <w:szCs w:val="22"/>
          <w:lang w:val="fr-CA"/>
        </w:rPr>
        <w:t xml:space="preserve">16 </w:t>
      </w:r>
      <w:r w:rsidR="002A225C">
        <w:rPr>
          <w:sz w:val="22"/>
          <w:szCs w:val="22"/>
          <w:lang w:val="fr-CA"/>
        </w:rPr>
        <w:t xml:space="preserve">juillet </w:t>
      </w:r>
      <w:r w:rsidR="004A7C48" w:rsidRPr="002A225C">
        <w:rPr>
          <w:sz w:val="22"/>
          <w:szCs w:val="22"/>
          <w:lang w:val="fr-CA"/>
        </w:rPr>
        <w:t>20</w:t>
      </w:r>
      <w:r w:rsidR="000B6478" w:rsidRPr="002A225C">
        <w:rPr>
          <w:sz w:val="22"/>
          <w:szCs w:val="22"/>
          <w:lang w:val="fr-CA"/>
        </w:rPr>
        <w:t>20</w:t>
      </w:r>
    </w:p>
    <w:p w:rsidR="00921E9E" w:rsidRPr="002A225C" w:rsidRDefault="00FA607C" w:rsidP="000B6478">
      <w:pPr>
        <w:pBdr>
          <w:bottom w:val="single" w:sz="12" w:space="1" w:color="auto"/>
        </w:pBdr>
        <w:tabs>
          <w:tab w:val="left" w:pos="7200"/>
        </w:tabs>
        <w:ind w:right="-389"/>
        <w:rPr>
          <w:sz w:val="22"/>
          <w:szCs w:val="22"/>
          <w:lang w:val="fr-CA"/>
        </w:rPr>
      </w:pPr>
      <w:r w:rsidRPr="002A225C">
        <w:rPr>
          <w:sz w:val="22"/>
          <w:szCs w:val="22"/>
          <w:lang w:val="fr-CA"/>
        </w:rPr>
        <w:tab/>
        <w:t xml:space="preserve">Original: </w:t>
      </w:r>
      <w:r w:rsidR="002A225C">
        <w:rPr>
          <w:sz w:val="22"/>
          <w:szCs w:val="22"/>
          <w:lang w:val="fr-CA"/>
        </w:rPr>
        <w:t>anglais</w:t>
      </w:r>
    </w:p>
    <w:p w:rsidR="00921E9E" w:rsidRPr="002A225C" w:rsidRDefault="00921E9E" w:rsidP="000B6478">
      <w:pPr>
        <w:pBdr>
          <w:bottom w:val="single" w:sz="12" w:space="1" w:color="auto"/>
        </w:pBdr>
        <w:tabs>
          <w:tab w:val="left" w:pos="7200"/>
        </w:tabs>
        <w:ind w:right="-389"/>
        <w:rPr>
          <w:sz w:val="22"/>
          <w:szCs w:val="22"/>
          <w:lang w:val="fr-CA"/>
        </w:rPr>
      </w:pPr>
    </w:p>
    <w:p w:rsidR="00722693" w:rsidRPr="002A225C" w:rsidRDefault="00722693" w:rsidP="000B6478">
      <w:pPr>
        <w:tabs>
          <w:tab w:val="left" w:pos="7200"/>
        </w:tabs>
        <w:ind w:right="-1080"/>
        <w:rPr>
          <w:sz w:val="22"/>
          <w:szCs w:val="22"/>
          <w:lang w:val="fr-CA"/>
        </w:rPr>
      </w:pPr>
    </w:p>
    <w:p w:rsidR="00AB7175" w:rsidRPr="002A225C" w:rsidRDefault="00AB7175" w:rsidP="00FB2A63">
      <w:pPr>
        <w:jc w:val="both"/>
        <w:outlineLvl w:val="0"/>
        <w:rPr>
          <w:sz w:val="22"/>
          <w:szCs w:val="22"/>
          <w:lang w:val="fr-CA"/>
        </w:rPr>
      </w:pPr>
    </w:p>
    <w:p w:rsidR="00723DE2" w:rsidRPr="002A225C" w:rsidRDefault="00723DE2" w:rsidP="00FB2A63">
      <w:pPr>
        <w:rPr>
          <w:rFonts w:eastAsia="Calibri"/>
          <w:sz w:val="22"/>
          <w:szCs w:val="22"/>
          <w:lang w:val="fr-CA"/>
        </w:rPr>
      </w:pPr>
    </w:p>
    <w:p w:rsidR="00FB2A63" w:rsidRPr="002A225C" w:rsidRDefault="00FB2A63" w:rsidP="000A0B1B">
      <w:pPr>
        <w:pStyle w:val="Heading1"/>
        <w:ind w:right="962"/>
        <w:jc w:val="both"/>
        <w:rPr>
          <w:rFonts w:ascii="Times New Roman" w:hAnsi="Times New Roman"/>
          <w:szCs w:val="22"/>
          <w:lang w:val="fr-CA"/>
        </w:rPr>
      </w:pPr>
    </w:p>
    <w:p w:rsidR="00FB2A63" w:rsidRPr="002A225C" w:rsidRDefault="00FB2A63" w:rsidP="000A0B1B">
      <w:pPr>
        <w:pStyle w:val="Heading1"/>
        <w:ind w:right="962"/>
        <w:jc w:val="both"/>
        <w:rPr>
          <w:rFonts w:ascii="Times New Roman" w:hAnsi="Times New Roman"/>
          <w:szCs w:val="22"/>
          <w:lang w:val="fr-CA"/>
        </w:rPr>
      </w:pPr>
    </w:p>
    <w:p w:rsidR="00FB2A63" w:rsidRPr="002A225C" w:rsidRDefault="00FB2A63" w:rsidP="000A0B1B">
      <w:pPr>
        <w:pStyle w:val="Heading1"/>
        <w:ind w:right="962"/>
        <w:jc w:val="both"/>
        <w:rPr>
          <w:rFonts w:ascii="Times New Roman" w:hAnsi="Times New Roman"/>
          <w:szCs w:val="22"/>
          <w:lang w:val="fr-CA"/>
        </w:rPr>
      </w:pPr>
    </w:p>
    <w:p w:rsidR="00FB2A63" w:rsidRPr="002A225C" w:rsidRDefault="00FB2A63" w:rsidP="000A0B1B">
      <w:pPr>
        <w:pStyle w:val="Heading1"/>
        <w:ind w:right="962"/>
        <w:jc w:val="both"/>
        <w:rPr>
          <w:rFonts w:ascii="Times New Roman" w:hAnsi="Times New Roman"/>
          <w:szCs w:val="22"/>
          <w:lang w:val="fr-CA"/>
        </w:rPr>
      </w:pPr>
    </w:p>
    <w:p w:rsidR="00FB2A63" w:rsidRDefault="00FB2A63" w:rsidP="000A0B1B">
      <w:pPr>
        <w:pStyle w:val="Heading1"/>
        <w:ind w:right="962"/>
        <w:jc w:val="both"/>
        <w:rPr>
          <w:rFonts w:ascii="Times New Roman" w:hAnsi="Times New Roman"/>
          <w:szCs w:val="22"/>
          <w:lang w:val="fr-CA"/>
        </w:rPr>
      </w:pPr>
    </w:p>
    <w:p w:rsidR="000A0B1B" w:rsidRDefault="000A0B1B" w:rsidP="000A0B1B">
      <w:pPr>
        <w:rPr>
          <w:lang w:val="fr-CA"/>
        </w:rPr>
      </w:pPr>
    </w:p>
    <w:p w:rsidR="000A0B1B" w:rsidRDefault="000A0B1B" w:rsidP="000A0B1B">
      <w:pPr>
        <w:rPr>
          <w:lang w:val="fr-CA"/>
        </w:rPr>
      </w:pPr>
    </w:p>
    <w:p w:rsidR="000A0B1B" w:rsidRDefault="000A0B1B" w:rsidP="000A0B1B">
      <w:pPr>
        <w:rPr>
          <w:lang w:val="fr-CA"/>
        </w:rPr>
      </w:pPr>
    </w:p>
    <w:p w:rsidR="000A0B1B" w:rsidRDefault="000A0B1B" w:rsidP="000A0B1B">
      <w:pPr>
        <w:rPr>
          <w:lang w:val="fr-CA"/>
        </w:rPr>
      </w:pPr>
    </w:p>
    <w:p w:rsidR="000A0B1B" w:rsidRDefault="000A0B1B" w:rsidP="000A0B1B">
      <w:pPr>
        <w:rPr>
          <w:lang w:val="fr-CA"/>
        </w:rPr>
      </w:pPr>
    </w:p>
    <w:p w:rsidR="000A0B1B" w:rsidRDefault="000A0B1B" w:rsidP="000A0B1B">
      <w:pPr>
        <w:rPr>
          <w:lang w:val="fr-CA"/>
        </w:rPr>
      </w:pPr>
    </w:p>
    <w:p w:rsidR="000A0B1B" w:rsidRDefault="000A0B1B" w:rsidP="000A0B1B">
      <w:pPr>
        <w:rPr>
          <w:lang w:val="fr-CA"/>
        </w:rPr>
      </w:pPr>
    </w:p>
    <w:p w:rsidR="000A0B1B" w:rsidRDefault="000A0B1B" w:rsidP="000A0B1B">
      <w:pPr>
        <w:rPr>
          <w:lang w:val="fr-CA"/>
        </w:rPr>
      </w:pPr>
    </w:p>
    <w:p w:rsidR="000A0B1B" w:rsidRDefault="000A0B1B" w:rsidP="000A0B1B">
      <w:pPr>
        <w:rPr>
          <w:lang w:val="fr-CA"/>
        </w:rPr>
      </w:pPr>
    </w:p>
    <w:p w:rsidR="000A0B1B" w:rsidRPr="000A0B1B" w:rsidRDefault="000A0B1B" w:rsidP="000A0B1B">
      <w:pPr>
        <w:rPr>
          <w:lang w:val="fr-CA"/>
        </w:rPr>
      </w:pPr>
    </w:p>
    <w:p w:rsidR="00FB2A63" w:rsidRPr="002A225C" w:rsidRDefault="002A225C" w:rsidP="00FB2A63">
      <w:pPr>
        <w:pStyle w:val="Heading1"/>
        <w:ind w:left="1018" w:right="962"/>
        <w:jc w:val="center"/>
        <w:rPr>
          <w:rFonts w:ascii="Times New Roman" w:hAnsi="Times New Roman"/>
          <w:spacing w:val="-3"/>
          <w:szCs w:val="22"/>
          <w:lang w:val="fr-CA"/>
        </w:rPr>
      </w:pPr>
      <w:r>
        <w:rPr>
          <w:rFonts w:ascii="Times New Roman" w:hAnsi="Times New Roman"/>
          <w:szCs w:val="22"/>
          <w:lang w:val="fr-CA"/>
        </w:rPr>
        <w:t xml:space="preserve">Deuxième semestre du </w:t>
      </w:r>
      <w:r w:rsidR="00FB2A63" w:rsidRPr="002A225C">
        <w:rPr>
          <w:rFonts w:ascii="Times New Roman" w:hAnsi="Times New Roman"/>
          <w:spacing w:val="-3"/>
          <w:szCs w:val="22"/>
          <w:lang w:val="fr-CA"/>
        </w:rPr>
        <w:t xml:space="preserve"> </w:t>
      </w:r>
    </w:p>
    <w:p w:rsidR="00FB2A63" w:rsidRPr="002A225C" w:rsidRDefault="00FB2A63" w:rsidP="00FB2A63">
      <w:pPr>
        <w:rPr>
          <w:lang w:val="fr-CA"/>
        </w:rPr>
      </w:pPr>
    </w:p>
    <w:p w:rsidR="00FB2A63" w:rsidRPr="002A225C" w:rsidRDefault="002A225C" w:rsidP="00FB2A63">
      <w:pPr>
        <w:pStyle w:val="Heading1"/>
        <w:ind w:left="1018" w:right="962"/>
        <w:jc w:val="center"/>
        <w:rPr>
          <w:rFonts w:ascii="Times New Roman" w:hAnsi="Times New Roman"/>
          <w:spacing w:val="37"/>
          <w:szCs w:val="22"/>
          <w:lang w:val="fr-FR"/>
        </w:rPr>
      </w:pPr>
      <w:r w:rsidRPr="002A225C">
        <w:rPr>
          <w:rFonts w:ascii="Times New Roman" w:hAnsi="Times New Roman"/>
          <w:spacing w:val="-1"/>
          <w:szCs w:val="22"/>
          <w:lang w:val="fr-FR"/>
        </w:rPr>
        <w:t>Conseil interaméricain pour le développement int</w:t>
      </w:r>
      <w:r>
        <w:rPr>
          <w:rFonts w:ascii="Times New Roman" w:hAnsi="Times New Roman"/>
          <w:spacing w:val="-1"/>
          <w:szCs w:val="22"/>
          <w:lang w:val="fr-FR"/>
        </w:rPr>
        <w:t xml:space="preserve">égré </w:t>
      </w:r>
      <w:r w:rsidR="00FB2A63" w:rsidRPr="002A225C">
        <w:rPr>
          <w:rFonts w:ascii="Times New Roman" w:hAnsi="Times New Roman"/>
          <w:spacing w:val="-1"/>
          <w:szCs w:val="22"/>
          <w:lang w:val="fr-FR"/>
        </w:rPr>
        <w:t>(CIDI)</w:t>
      </w:r>
      <w:r w:rsidR="00FB2A63" w:rsidRPr="002A225C">
        <w:rPr>
          <w:rFonts w:ascii="Times New Roman" w:hAnsi="Times New Roman"/>
          <w:spacing w:val="37"/>
          <w:szCs w:val="22"/>
          <w:lang w:val="fr-FR"/>
        </w:rPr>
        <w:t xml:space="preserve"> </w:t>
      </w:r>
    </w:p>
    <w:p w:rsidR="00FB2A63" w:rsidRPr="002A225C" w:rsidRDefault="00FB2A63" w:rsidP="00FB2A63">
      <w:pPr>
        <w:pStyle w:val="Heading1"/>
        <w:ind w:left="1018" w:right="962"/>
        <w:jc w:val="center"/>
        <w:rPr>
          <w:rFonts w:ascii="Times New Roman" w:hAnsi="Times New Roman"/>
          <w:b w:val="0"/>
          <w:bCs w:val="0"/>
          <w:szCs w:val="22"/>
          <w:lang w:val="fr-CA"/>
        </w:rPr>
      </w:pPr>
      <w:r w:rsidRPr="002A225C">
        <w:rPr>
          <w:rFonts w:ascii="Times New Roman" w:hAnsi="Times New Roman"/>
          <w:szCs w:val="22"/>
          <w:lang w:val="fr-CA"/>
        </w:rPr>
        <w:t>Ju</w:t>
      </w:r>
      <w:r w:rsidR="002A225C">
        <w:rPr>
          <w:rFonts w:ascii="Times New Roman" w:hAnsi="Times New Roman"/>
          <w:szCs w:val="22"/>
          <w:lang w:val="fr-CA"/>
        </w:rPr>
        <w:t>illet</w:t>
      </w:r>
      <w:r w:rsidRPr="002A225C">
        <w:rPr>
          <w:rFonts w:ascii="Times New Roman" w:hAnsi="Times New Roman"/>
          <w:szCs w:val="22"/>
          <w:lang w:val="fr-CA"/>
        </w:rPr>
        <w:t>-</w:t>
      </w:r>
      <w:r w:rsidRPr="002A225C">
        <w:rPr>
          <w:rFonts w:ascii="Times New Roman" w:hAnsi="Times New Roman"/>
          <w:spacing w:val="1"/>
          <w:szCs w:val="22"/>
          <w:lang w:val="fr-CA"/>
        </w:rPr>
        <w:t xml:space="preserve"> </w:t>
      </w:r>
      <w:r w:rsidR="002A225C">
        <w:rPr>
          <w:rFonts w:ascii="Times New Roman" w:hAnsi="Times New Roman"/>
          <w:spacing w:val="1"/>
          <w:szCs w:val="22"/>
          <w:lang w:val="fr-CA"/>
        </w:rPr>
        <w:t xml:space="preserve">décembre </w:t>
      </w:r>
      <w:r w:rsidRPr="002A225C">
        <w:rPr>
          <w:rFonts w:ascii="Times New Roman" w:hAnsi="Times New Roman"/>
          <w:szCs w:val="22"/>
          <w:lang w:val="fr-CA"/>
        </w:rPr>
        <w:t>2020</w:t>
      </w:r>
    </w:p>
    <w:p w:rsidR="00FB2A63" w:rsidRPr="002A225C" w:rsidRDefault="00FB2A63" w:rsidP="00FB2A63">
      <w:pPr>
        <w:rPr>
          <w:b/>
          <w:bCs/>
          <w:sz w:val="22"/>
          <w:szCs w:val="22"/>
          <w:lang w:val="fr-CA"/>
        </w:rPr>
      </w:pPr>
    </w:p>
    <w:p w:rsidR="00FB2A63" w:rsidRPr="002A225C" w:rsidRDefault="00FB2A63" w:rsidP="00FB2A63">
      <w:pPr>
        <w:ind w:left="166"/>
        <w:jc w:val="center"/>
        <w:rPr>
          <w:sz w:val="22"/>
          <w:szCs w:val="22"/>
          <w:lang w:val="fr-CA"/>
        </w:rPr>
      </w:pPr>
      <w:r w:rsidRPr="002A225C">
        <w:rPr>
          <w:b/>
          <w:spacing w:val="-1"/>
          <w:sz w:val="22"/>
          <w:szCs w:val="22"/>
          <w:lang w:val="fr-CA"/>
        </w:rPr>
        <w:t>TH</w:t>
      </w:r>
      <w:r w:rsidR="002A225C">
        <w:rPr>
          <w:b/>
          <w:spacing w:val="-1"/>
          <w:sz w:val="22"/>
          <w:szCs w:val="22"/>
          <w:lang w:val="fr-CA"/>
        </w:rPr>
        <w:t>È</w:t>
      </w:r>
      <w:r w:rsidRPr="002A225C">
        <w:rPr>
          <w:b/>
          <w:spacing w:val="-1"/>
          <w:sz w:val="22"/>
          <w:szCs w:val="22"/>
          <w:lang w:val="fr-CA"/>
        </w:rPr>
        <w:t>ME:</w:t>
      </w:r>
      <w:r w:rsidRPr="002A225C">
        <w:rPr>
          <w:b/>
          <w:sz w:val="22"/>
          <w:szCs w:val="22"/>
          <w:lang w:val="fr-CA"/>
        </w:rPr>
        <w:t xml:space="preserve"> </w:t>
      </w:r>
      <w:r w:rsidR="002A225C">
        <w:rPr>
          <w:b/>
          <w:sz w:val="22"/>
          <w:szCs w:val="22"/>
          <w:lang w:val="fr-CA"/>
        </w:rPr>
        <w:t xml:space="preserve">VERS UNE </w:t>
      </w:r>
      <w:r w:rsidRPr="002A225C">
        <w:rPr>
          <w:b/>
          <w:spacing w:val="-1"/>
          <w:sz w:val="22"/>
          <w:szCs w:val="22"/>
          <w:lang w:val="fr-CA"/>
        </w:rPr>
        <w:t>COOP</w:t>
      </w:r>
      <w:r w:rsidR="002A225C">
        <w:rPr>
          <w:b/>
          <w:spacing w:val="-1"/>
          <w:sz w:val="22"/>
          <w:szCs w:val="22"/>
          <w:lang w:val="fr-CA"/>
        </w:rPr>
        <w:t>É</w:t>
      </w:r>
      <w:r w:rsidRPr="002A225C">
        <w:rPr>
          <w:b/>
          <w:spacing w:val="-1"/>
          <w:sz w:val="22"/>
          <w:szCs w:val="22"/>
          <w:lang w:val="fr-CA"/>
        </w:rPr>
        <w:t>RATION</w:t>
      </w:r>
      <w:r w:rsidRPr="002A225C">
        <w:rPr>
          <w:b/>
          <w:spacing w:val="-4"/>
          <w:sz w:val="22"/>
          <w:szCs w:val="22"/>
          <w:lang w:val="fr-CA"/>
        </w:rPr>
        <w:t xml:space="preserve"> </w:t>
      </w:r>
      <w:r w:rsidR="002A225C">
        <w:rPr>
          <w:b/>
          <w:spacing w:val="-4"/>
          <w:sz w:val="22"/>
          <w:szCs w:val="22"/>
          <w:lang w:val="fr-CA"/>
        </w:rPr>
        <w:t xml:space="preserve">VISANT À </w:t>
      </w:r>
      <w:r w:rsidR="00B30F6B">
        <w:rPr>
          <w:b/>
          <w:spacing w:val="-4"/>
          <w:sz w:val="22"/>
          <w:szCs w:val="22"/>
          <w:lang w:val="fr-CA"/>
        </w:rPr>
        <w:t>RENFORCER LA</w:t>
      </w:r>
      <w:r w:rsidR="002A225C">
        <w:rPr>
          <w:b/>
          <w:spacing w:val="-4"/>
          <w:sz w:val="22"/>
          <w:szCs w:val="22"/>
          <w:lang w:val="fr-CA"/>
        </w:rPr>
        <w:t xml:space="preserve"> RÉSILIENCE DANS LE CONTINENT AMÉRICAIN </w:t>
      </w:r>
    </w:p>
    <w:p w:rsidR="00FB2A63" w:rsidRPr="002A225C" w:rsidRDefault="00FB2A63" w:rsidP="000A0B1B">
      <w:pPr>
        <w:rPr>
          <w:b/>
          <w:bCs/>
          <w:sz w:val="22"/>
          <w:szCs w:val="22"/>
          <w:lang w:val="fr-CA"/>
        </w:rPr>
      </w:pPr>
    </w:p>
    <w:p w:rsidR="00FB2A63" w:rsidRDefault="002A225C" w:rsidP="00FB2A63">
      <w:pPr>
        <w:jc w:val="center"/>
        <w:rPr>
          <w:b/>
          <w:spacing w:val="-1"/>
          <w:sz w:val="22"/>
          <w:szCs w:val="22"/>
          <w:lang w:val="fr-CA"/>
        </w:rPr>
      </w:pPr>
      <w:r>
        <w:rPr>
          <w:b/>
          <w:spacing w:val="-1"/>
          <w:sz w:val="22"/>
          <w:szCs w:val="22"/>
          <w:lang w:val="fr-CA"/>
        </w:rPr>
        <w:t xml:space="preserve">Note conceptuelle </w:t>
      </w:r>
    </w:p>
    <w:p w:rsidR="00AF0068" w:rsidRDefault="00AF0068" w:rsidP="000A0B1B">
      <w:pPr>
        <w:rPr>
          <w:b/>
          <w:spacing w:val="-1"/>
          <w:sz w:val="22"/>
          <w:szCs w:val="22"/>
          <w:lang w:val="fr-CA"/>
        </w:rPr>
      </w:pPr>
    </w:p>
    <w:p w:rsidR="00AF0068" w:rsidRDefault="00AF0068" w:rsidP="000A0B1B">
      <w:pPr>
        <w:rPr>
          <w:b/>
          <w:spacing w:val="-1"/>
          <w:sz w:val="22"/>
          <w:szCs w:val="22"/>
          <w:lang w:val="fr-CA"/>
        </w:rPr>
      </w:pPr>
    </w:p>
    <w:p w:rsidR="00AF0068" w:rsidRDefault="00AF0068" w:rsidP="002A225C">
      <w:pPr>
        <w:pStyle w:val="Heading1"/>
        <w:ind w:left="1018" w:right="962"/>
        <w:jc w:val="center"/>
        <w:rPr>
          <w:rFonts w:ascii="Times New Roman" w:hAnsi="Times New Roman"/>
          <w:szCs w:val="22"/>
          <w:lang w:val="fr-CA"/>
        </w:rPr>
        <w:sectPr w:rsidR="00AF0068"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pPr>
    </w:p>
    <w:p w:rsidR="002A225C" w:rsidRPr="002A225C" w:rsidRDefault="002A225C" w:rsidP="002A225C">
      <w:pPr>
        <w:pStyle w:val="Heading1"/>
        <w:ind w:left="1018" w:right="962"/>
        <w:jc w:val="center"/>
        <w:rPr>
          <w:rFonts w:ascii="Times New Roman" w:hAnsi="Times New Roman"/>
          <w:spacing w:val="-3"/>
          <w:szCs w:val="22"/>
          <w:lang w:val="fr-CA"/>
        </w:rPr>
      </w:pPr>
      <w:r>
        <w:rPr>
          <w:rFonts w:ascii="Times New Roman" w:hAnsi="Times New Roman"/>
          <w:szCs w:val="22"/>
          <w:lang w:val="fr-CA"/>
        </w:rPr>
        <w:lastRenderedPageBreak/>
        <w:t xml:space="preserve">Deuxième semestre du </w:t>
      </w:r>
      <w:r w:rsidRPr="002A225C">
        <w:rPr>
          <w:rFonts w:ascii="Times New Roman" w:hAnsi="Times New Roman"/>
          <w:spacing w:val="-3"/>
          <w:szCs w:val="22"/>
          <w:lang w:val="fr-CA"/>
        </w:rPr>
        <w:t xml:space="preserve"> </w:t>
      </w:r>
    </w:p>
    <w:p w:rsidR="002A225C" w:rsidRPr="002A225C" w:rsidRDefault="002A225C" w:rsidP="002A225C">
      <w:pPr>
        <w:rPr>
          <w:lang w:val="fr-CA"/>
        </w:rPr>
      </w:pPr>
    </w:p>
    <w:p w:rsidR="002A225C" w:rsidRPr="002A225C" w:rsidRDefault="002A225C" w:rsidP="002A225C">
      <w:pPr>
        <w:pStyle w:val="Heading1"/>
        <w:ind w:left="1018" w:right="962"/>
        <w:jc w:val="center"/>
        <w:rPr>
          <w:rFonts w:ascii="Times New Roman" w:hAnsi="Times New Roman"/>
          <w:spacing w:val="37"/>
          <w:szCs w:val="22"/>
          <w:lang w:val="fr-FR"/>
        </w:rPr>
      </w:pPr>
      <w:r w:rsidRPr="002A225C">
        <w:rPr>
          <w:rFonts w:ascii="Times New Roman" w:hAnsi="Times New Roman"/>
          <w:spacing w:val="-1"/>
          <w:szCs w:val="22"/>
          <w:lang w:val="fr-FR"/>
        </w:rPr>
        <w:t>Conseil interaméricain pour le développement int</w:t>
      </w:r>
      <w:r>
        <w:rPr>
          <w:rFonts w:ascii="Times New Roman" w:hAnsi="Times New Roman"/>
          <w:spacing w:val="-1"/>
          <w:szCs w:val="22"/>
          <w:lang w:val="fr-FR"/>
        </w:rPr>
        <w:t xml:space="preserve">égré </w:t>
      </w:r>
      <w:r w:rsidRPr="002A225C">
        <w:rPr>
          <w:rFonts w:ascii="Times New Roman" w:hAnsi="Times New Roman"/>
          <w:spacing w:val="-1"/>
          <w:szCs w:val="22"/>
          <w:lang w:val="fr-FR"/>
        </w:rPr>
        <w:t>(CIDI)</w:t>
      </w:r>
      <w:r w:rsidRPr="002A225C">
        <w:rPr>
          <w:rFonts w:ascii="Times New Roman" w:hAnsi="Times New Roman"/>
          <w:spacing w:val="37"/>
          <w:szCs w:val="22"/>
          <w:lang w:val="fr-FR"/>
        </w:rPr>
        <w:t xml:space="preserve"> </w:t>
      </w:r>
    </w:p>
    <w:p w:rsidR="002A225C" w:rsidRPr="002A225C" w:rsidRDefault="002A225C" w:rsidP="002A225C">
      <w:pPr>
        <w:pStyle w:val="Heading1"/>
        <w:ind w:left="1018" w:right="962"/>
        <w:jc w:val="center"/>
        <w:rPr>
          <w:rFonts w:ascii="Times New Roman" w:hAnsi="Times New Roman"/>
          <w:b w:val="0"/>
          <w:bCs w:val="0"/>
          <w:szCs w:val="22"/>
          <w:lang w:val="fr-CA"/>
        </w:rPr>
      </w:pPr>
      <w:r w:rsidRPr="002A225C">
        <w:rPr>
          <w:rFonts w:ascii="Times New Roman" w:hAnsi="Times New Roman"/>
          <w:szCs w:val="22"/>
          <w:lang w:val="fr-CA"/>
        </w:rPr>
        <w:t>Ju</w:t>
      </w:r>
      <w:r>
        <w:rPr>
          <w:rFonts w:ascii="Times New Roman" w:hAnsi="Times New Roman"/>
          <w:szCs w:val="22"/>
          <w:lang w:val="fr-CA"/>
        </w:rPr>
        <w:t>illet</w:t>
      </w:r>
      <w:r w:rsidRPr="002A225C">
        <w:rPr>
          <w:rFonts w:ascii="Times New Roman" w:hAnsi="Times New Roman"/>
          <w:szCs w:val="22"/>
          <w:lang w:val="fr-CA"/>
        </w:rPr>
        <w:t>-</w:t>
      </w:r>
      <w:r w:rsidRPr="002A225C">
        <w:rPr>
          <w:rFonts w:ascii="Times New Roman" w:hAnsi="Times New Roman"/>
          <w:spacing w:val="1"/>
          <w:szCs w:val="22"/>
          <w:lang w:val="fr-CA"/>
        </w:rPr>
        <w:t xml:space="preserve"> </w:t>
      </w:r>
      <w:r>
        <w:rPr>
          <w:rFonts w:ascii="Times New Roman" w:hAnsi="Times New Roman"/>
          <w:spacing w:val="1"/>
          <w:szCs w:val="22"/>
          <w:lang w:val="fr-CA"/>
        </w:rPr>
        <w:t xml:space="preserve">décembre </w:t>
      </w:r>
      <w:r w:rsidRPr="002A225C">
        <w:rPr>
          <w:rFonts w:ascii="Times New Roman" w:hAnsi="Times New Roman"/>
          <w:szCs w:val="22"/>
          <w:lang w:val="fr-CA"/>
        </w:rPr>
        <w:t>2020</w:t>
      </w:r>
    </w:p>
    <w:p w:rsidR="002A225C" w:rsidRPr="002A225C" w:rsidRDefault="002A225C" w:rsidP="002A225C">
      <w:pPr>
        <w:rPr>
          <w:b/>
          <w:bCs/>
          <w:sz w:val="22"/>
          <w:szCs w:val="22"/>
          <w:lang w:val="fr-CA"/>
        </w:rPr>
      </w:pPr>
    </w:p>
    <w:p w:rsidR="002A225C" w:rsidRPr="002A225C" w:rsidRDefault="002A225C" w:rsidP="002A225C">
      <w:pPr>
        <w:ind w:left="166"/>
        <w:jc w:val="center"/>
        <w:rPr>
          <w:sz w:val="22"/>
          <w:szCs w:val="22"/>
          <w:lang w:val="fr-CA"/>
        </w:rPr>
      </w:pPr>
      <w:r w:rsidRPr="002A225C">
        <w:rPr>
          <w:b/>
          <w:spacing w:val="-1"/>
          <w:sz w:val="22"/>
          <w:szCs w:val="22"/>
          <w:lang w:val="fr-CA"/>
        </w:rPr>
        <w:t>TH</w:t>
      </w:r>
      <w:r>
        <w:rPr>
          <w:b/>
          <w:spacing w:val="-1"/>
          <w:sz w:val="22"/>
          <w:szCs w:val="22"/>
          <w:lang w:val="fr-CA"/>
        </w:rPr>
        <w:t>È</w:t>
      </w:r>
      <w:r w:rsidRPr="002A225C">
        <w:rPr>
          <w:b/>
          <w:spacing w:val="-1"/>
          <w:sz w:val="22"/>
          <w:szCs w:val="22"/>
          <w:lang w:val="fr-CA"/>
        </w:rPr>
        <w:t>ME:</w:t>
      </w:r>
      <w:r w:rsidRPr="002A225C">
        <w:rPr>
          <w:b/>
          <w:sz w:val="22"/>
          <w:szCs w:val="22"/>
          <w:lang w:val="fr-CA"/>
        </w:rPr>
        <w:t xml:space="preserve"> </w:t>
      </w:r>
      <w:r>
        <w:rPr>
          <w:b/>
          <w:sz w:val="22"/>
          <w:szCs w:val="22"/>
          <w:lang w:val="fr-CA"/>
        </w:rPr>
        <w:t xml:space="preserve">VERS UNE </w:t>
      </w:r>
      <w:r w:rsidRPr="002A225C">
        <w:rPr>
          <w:b/>
          <w:spacing w:val="-1"/>
          <w:sz w:val="22"/>
          <w:szCs w:val="22"/>
          <w:lang w:val="fr-CA"/>
        </w:rPr>
        <w:t>COOP</w:t>
      </w:r>
      <w:r>
        <w:rPr>
          <w:b/>
          <w:spacing w:val="-1"/>
          <w:sz w:val="22"/>
          <w:szCs w:val="22"/>
          <w:lang w:val="fr-CA"/>
        </w:rPr>
        <w:t>É</w:t>
      </w:r>
      <w:r w:rsidRPr="002A225C">
        <w:rPr>
          <w:b/>
          <w:spacing w:val="-1"/>
          <w:sz w:val="22"/>
          <w:szCs w:val="22"/>
          <w:lang w:val="fr-CA"/>
        </w:rPr>
        <w:t>RATION</w:t>
      </w:r>
      <w:r w:rsidRPr="002A225C">
        <w:rPr>
          <w:b/>
          <w:spacing w:val="-4"/>
          <w:sz w:val="22"/>
          <w:szCs w:val="22"/>
          <w:lang w:val="fr-CA"/>
        </w:rPr>
        <w:t xml:space="preserve"> </w:t>
      </w:r>
      <w:r>
        <w:rPr>
          <w:b/>
          <w:spacing w:val="-4"/>
          <w:sz w:val="22"/>
          <w:szCs w:val="22"/>
          <w:lang w:val="fr-CA"/>
        </w:rPr>
        <w:t xml:space="preserve">VISANT À </w:t>
      </w:r>
      <w:r w:rsidR="00B30F6B">
        <w:rPr>
          <w:b/>
          <w:spacing w:val="-4"/>
          <w:sz w:val="22"/>
          <w:szCs w:val="22"/>
          <w:lang w:val="fr-CA"/>
        </w:rPr>
        <w:t xml:space="preserve">RENFORCER LA </w:t>
      </w:r>
      <w:r>
        <w:rPr>
          <w:b/>
          <w:spacing w:val="-4"/>
          <w:sz w:val="22"/>
          <w:szCs w:val="22"/>
          <w:lang w:val="fr-CA"/>
        </w:rPr>
        <w:t xml:space="preserve">RÉSILIENCE DANS LE CONTINENT AMÉRICAIN </w:t>
      </w:r>
    </w:p>
    <w:p w:rsidR="002A225C" w:rsidRPr="002A225C" w:rsidRDefault="002A225C" w:rsidP="00AF0068">
      <w:pPr>
        <w:rPr>
          <w:b/>
          <w:bCs/>
          <w:sz w:val="22"/>
          <w:szCs w:val="22"/>
          <w:lang w:val="fr-CA"/>
        </w:rPr>
      </w:pPr>
    </w:p>
    <w:p w:rsidR="002A225C" w:rsidRPr="009C43F2" w:rsidRDefault="002A225C" w:rsidP="002A225C">
      <w:pPr>
        <w:jc w:val="center"/>
        <w:rPr>
          <w:b/>
          <w:spacing w:val="-2"/>
          <w:sz w:val="22"/>
          <w:szCs w:val="22"/>
          <w:lang w:val="fr-FR"/>
        </w:rPr>
      </w:pPr>
      <w:r w:rsidRPr="009C43F2">
        <w:rPr>
          <w:b/>
          <w:spacing w:val="-1"/>
          <w:sz w:val="22"/>
          <w:szCs w:val="22"/>
          <w:lang w:val="fr-FR"/>
        </w:rPr>
        <w:t xml:space="preserve">Note conceptuelle </w:t>
      </w:r>
    </w:p>
    <w:p w:rsidR="000B6478" w:rsidRPr="002A225C" w:rsidRDefault="000B6478" w:rsidP="00AF0068">
      <w:pPr>
        <w:rPr>
          <w:sz w:val="22"/>
          <w:szCs w:val="22"/>
          <w:lang w:val="fr-CA"/>
        </w:rPr>
      </w:pPr>
    </w:p>
    <w:p w:rsidR="00FB2A63" w:rsidRPr="002A225C" w:rsidRDefault="00FB2A63" w:rsidP="00AF0068">
      <w:pPr>
        <w:rPr>
          <w:sz w:val="22"/>
          <w:szCs w:val="22"/>
          <w:lang w:val="fr-CA"/>
        </w:rPr>
      </w:pPr>
    </w:p>
    <w:p w:rsidR="002A225C" w:rsidRDefault="002A225C" w:rsidP="002A225C">
      <w:pPr>
        <w:jc w:val="both"/>
        <w:rPr>
          <w:rFonts w:eastAsia="Calibri"/>
          <w:b/>
          <w:sz w:val="22"/>
          <w:szCs w:val="22"/>
          <w:lang w:val="fr-CA"/>
        </w:rPr>
      </w:pPr>
      <w:r w:rsidRPr="002A225C">
        <w:rPr>
          <w:rFonts w:eastAsia="Calibri"/>
          <w:b/>
          <w:sz w:val="22"/>
          <w:szCs w:val="22"/>
          <w:lang w:val="fr-CA"/>
        </w:rPr>
        <w:t>INTRODUCTION</w:t>
      </w:r>
    </w:p>
    <w:p w:rsidR="002A225C" w:rsidRDefault="002A225C" w:rsidP="002A225C">
      <w:pPr>
        <w:jc w:val="both"/>
        <w:rPr>
          <w:rFonts w:eastAsia="Calibri"/>
          <w:b/>
          <w:sz w:val="22"/>
          <w:szCs w:val="22"/>
          <w:lang w:val="fr-CA"/>
        </w:rPr>
      </w:pPr>
    </w:p>
    <w:p w:rsidR="00577AF9" w:rsidRDefault="002A225C" w:rsidP="002A225C">
      <w:pPr>
        <w:jc w:val="both"/>
        <w:rPr>
          <w:rFonts w:eastAsia="Calibri"/>
          <w:sz w:val="22"/>
          <w:szCs w:val="22"/>
          <w:lang w:val="fr-CA"/>
        </w:rPr>
      </w:pPr>
      <w:r>
        <w:rPr>
          <w:rFonts w:eastAsia="Calibri"/>
          <w:b/>
          <w:sz w:val="22"/>
          <w:szCs w:val="22"/>
          <w:lang w:val="fr-CA"/>
        </w:rPr>
        <w:tab/>
      </w:r>
      <w:r w:rsidRPr="002A225C">
        <w:rPr>
          <w:rFonts w:eastAsia="Calibri"/>
          <w:sz w:val="22"/>
          <w:szCs w:val="22"/>
          <w:lang w:val="fr-CA"/>
        </w:rPr>
        <w:t>Ces</w:t>
      </w:r>
      <w:r>
        <w:rPr>
          <w:rFonts w:eastAsia="Calibri"/>
          <w:sz w:val="22"/>
          <w:szCs w:val="22"/>
          <w:lang w:val="fr-CA"/>
        </w:rPr>
        <w:t xml:space="preserve"> dernières années, de nombreux États membres ont </w:t>
      </w:r>
      <w:r w:rsidR="003F2AD0">
        <w:rPr>
          <w:rFonts w:eastAsia="Calibri"/>
          <w:sz w:val="22"/>
          <w:szCs w:val="22"/>
          <w:lang w:val="fr-CA"/>
        </w:rPr>
        <w:t>été frappés par quelques-unes des pires catastrophes de leur histoire. Les défis que posent de telles catastrophes ont encore été exacerbés par la pandémie de C</w:t>
      </w:r>
      <w:r w:rsidR="00B30F6B">
        <w:rPr>
          <w:rFonts w:eastAsia="Calibri"/>
          <w:sz w:val="22"/>
          <w:szCs w:val="22"/>
          <w:lang w:val="fr-CA"/>
        </w:rPr>
        <w:t>OVID-</w:t>
      </w:r>
      <w:r w:rsidR="003F2AD0">
        <w:rPr>
          <w:rFonts w:eastAsia="Calibri"/>
          <w:sz w:val="22"/>
          <w:szCs w:val="22"/>
          <w:lang w:val="fr-CA"/>
        </w:rPr>
        <w:t xml:space="preserve">19 qui a causé d’accablantes régressions socio-économiques dans la région. Compte tenu de cette situation, des États membres de l’OEA ont décidé que l’Assemblée générale de l’OEA constituait un moment opportun pour attirer l’attention de la région sur la nécessité de mettre en place des systèmes économiques, sociaux et environnementaux résilients. </w:t>
      </w:r>
      <w:r w:rsidR="00541213">
        <w:rPr>
          <w:rFonts w:eastAsia="Calibri"/>
          <w:sz w:val="22"/>
          <w:szCs w:val="22"/>
          <w:lang w:val="fr-CA"/>
        </w:rPr>
        <w:t xml:space="preserve">Il est impératif que la communauté de l’OEA envisage de trouver des solutions communes afin de contrer l’impact des différents chocs internes et externes. </w:t>
      </w:r>
    </w:p>
    <w:p w:rsidR="00577AF9" w:rsidRDefault="00577AF9" w:rsidP="002A225C">
      <w:pPr>
        <w:jc w:val="both"/>
        <w:rPr>
          <w:rFonts w:eastAsia="Calibri"/>
          <w:sz w:val="22"/>
          <w:szCs w:val="22"/>
          <w:lang w:val="fr-CA"/>
        </w:rPr>
      </w:pPr>
    </w:p>
    <w:p w:rsidR="00577AF9" w:rsidRDefault="00577AF9" w:rsidP="002A225C">
      <w:pPr>
        <w:jc w:val="both"/>
        <w:rPr>
          <w:rFonts w:eastAsia="Calibri"/>
          <w:sz w:val="22"/>
          <w:szCs w:val="22"/>
          <w:lang w:val="fr-CA"/>
        </w:rPr>
      </w:pPr>
      <w:r>
        <w:rPr>
          <w:rFonts w:eastAsia="Calibri"/>
          <w:sz w:val="22"/>
          <w:szCs w:val="22"/>
          <w:lang w:val="fr-CA"/>
        </w:rPr>
        <w:tab/>
        <w:t xml:space="preserve">Afin de préparer les discussions sur la résilience qui se dérouleront dans le cadre de l’Assemblée générale, le CIDI propose </w:t>
      </w:r>
      <w:r w:rsidR="00D336A7">
        <w:rPr>
          <w:rFonts w:eastAsia="Calibri"/>
          <w:sz w:val="22"/>
          <w:szCs w:val="22"/>
          <w:lang w:val="fr-CA"/>
        </w:rPr>
        <w:t xml:space="preserve">de se concentrer, </w:t>
      </w:r>
      <w:r>
        <w:rPr>
          <w:rFonts w:eastAsia="Calibri"/>
          <w:sz w:val="22"/>
          <w:szCs w:val="22"/>
          <w:lang w:val="fr-CA"/>
        </w:rPr>
        <w:t xml:space="preserve">au cours du </w:t>
      </w:r>
      <w:r w:rsidR="00D336A7">
        <w:rPr>
          <w:rFonts w:eastAsia="Calibri"/>
          <w:sz w:val="22"/>
          <w:szCs w:val="22"/>
          <w:lang w:val="fr-CA"/>
        </w:rPr>
        <w:t xml:space="preserve">prochain </w:t>
      </w:r>
      <w:r>
        <w:rPr>
          <w:rFonts w:eastAsia="Calibri"/>
          <w:sz w:val="22"/>
          <w:szCs w:val="22"/>
          <w:lang w:val="fr-CA"/>
        </w:rPr>
        <w:t>semestre</w:t>
      </w:r>
      <w:r w:rsidR="00D336A7">
        <w:rPr>
          <w:rFonts w:eastAsia="Calibri"/>
          <w:sz w:val="22"/>
          <w:szCs w:val="22"/>
          <w:lang w:val="fr-CA"/>
        </w:rPr>
        <w:t xml:space="preserve">, </w:t>
      </w:r>
      <w:r>
        <w:rPr>
          <w:rFonts w:eastAsia="Calibri"/>
          <w:sz w:val="22"/>
          <w:szCs w:val="22"/>
          <w:lang w:val="fr-CA"/>
        </w:rPr>
        <w:t>sur l’obtention d’une meilleure compréhension d</w:t>
      </w:r>
      <w:r w:rsidR="00D336A7">
        <w:rPr>
          <w:rFonts w:eastAsia="Calibri"/>
          <w:sz w:val="22"/>
          <w:szCs w:val="22"/>
          <w:lang w:val="fr-CA"/>
        </w:rPr>
        <w:t xml:space="preserve">u renforcement </w:t>
      </w:r>
      <w:r>
        <w:rPr>
          <w:rFonts w:eastAsia="Calibri"/>
          <w:sz w:val="22"/>
          <w:szCs w:val="22"/>
          <w:lang w:val="fr-CA"/>
        </w:rPr>
        <w:t xml:space="preserve">de la résilience et concrètement </w:t>
      </w:r>
      <w:r w:rsidR="00D336A7">
        <w:rPr>
          <w:rFonts w:eastAsia="Calibri"/>
          <w:sz w:val="22"/>
          <w:szCs w:val="22"/>
          <w:lang w:val="fr-CA"/>
        </w:rPr>
        <w:t xml:space="preserve">de </w:t>
      </w:r>
      <w:r>
        <w:rPr>
          <w:rFonts w:eastAsia="Calibri"/>
          <w:sz w:val="22"/>
          <w:szCs w:val="22"/>
          <w:lang w:val="fr-CA"/>
        </w:rPr>
        <w:t>jete</w:t>
      </w:r>
      <w:r w:rsidR="00D336A7">
        <w:rPr>
          <w:rFonts w:eastAsia="Calibri"/>
          <w:sz w:val="22"/>
          <w:szCs w:val="22"/>
          <w:lang w:val="fr-CA"/>
        </w:rPr>
        <w:t>r</w:t>
      </w:r>
      <w:r>
        <w:rPr>
          <w:rFonts w:eastAsia="Calibri"/>
          <w:sz w:val="22"/>
          <w:szCs w:val="22"/>
          <w:lang w:val="fr-CA"/>
        </w:rPr>
        <w:t xml:space="preserve"> les bases pour l</w:t>
      </w:r>
      <w:r w:rsidR="00D336A7">
        <w:rPr>
          <w:rFonts w:eastAsia="Calibri"/>
          <w:sz w:val="22"/>
          <w:szCs w:val="22"/>
          <w:lang w:val="fr-CA"/>
        </w:rPr>
        <w:t xml:space="preserve">a mise en place </w:t>
      </w:r>
      <w:r>
        <w:rPr>
          <w:rFonts w:eastAsia="Calibri"/>
          <w:sz w:val="22"/>
          <w:szCs w:val="22"/>
          <w:lang w:val="fr-CA"/>
        </w:rPr>
        <w:t xml:space="preserve">d’une coopération et de partenariats visant à </w:t>
      </w:r>
      <w:r w:rsidR="00D336A7">
        <w:rPr>
          <w:rFonts w:eastAsia="Calibri"/>
          <w:sz w:val="22"/>
          <w:szCs w:val="22"/>
          <w:lang w:val="fr-CA"/>
        </w:rPr>
        <w:t xml:space="preserve">renforcer la </w:t>
      </w:r>
      <w:r>
        <w:rPr>
          <w:rFonts w:eastAsia="Calibri"/>
          <w:sz w:val="22"/>
          <w:szCs w:val="22"/>
          <w:lang w:val="fr-CA"/>
        </w:rPr>
        <w:t>résilience dans les États membres.</w:t>
      </w:r>
    </w:p>
    <w:p w:rsidR="00577AF9" w:rsidRDefault="00577AF9" w:rsidP="002A225C">
      <w:pPr>
        <w:jc w:val="both"/>
        <w:rPr>
          <w:rFonts w:eastAsia="Calibri"/>
          <w:sz w:val="22"/>
          <w:szCs w:val="22"/>
          <w:lang w:val="fr-CA"/>
        </w:rPr>
      </w:pPr>
    </w:p>
    <w:p w:rsidR="00577AF9" w:rsidRDefault="00577AF9" w:rsidP="002A225C">
      <w:pPr>
        <w:jc w:val="both"/>
        <w:rPr>
          <w:rFonts w:eastAsia="Calibri"/>
          <w:sz w:val="22"/>
          <w:szCs w:val="22"/>
          <w:lang w:val="fr-CA"/>
        </w:rPr>
      </w:pPr>
      <w:r>
        <w:rPr>
          <w:rFonts w:eastAsia="Calibri"/>
          <w:sz w:val="22"/>
          <w:szCs w:val="22"/>
          <w:lang w:val="fr-CA"/>
        </w:rPr>
        <w:tab/>
        <w:t>Dans le but de mieux appréhender l</w:t>
      </w:r>
      <w:r w:rsidR="00CA6058">
        <w:rPr>
          <w:rFonts w:eastAsia="Calibri"/>
          <w:sz w:val="22"/>
          <w:szCs w:val="22"/>
          <w:lang w:val="fr-CA"/>
        </w:rPr>
        <w:t xml:space="preserve">e thème </w:t>
      </w:r>
      <w:r>
        <w:rPr>
          <w:rFonts w:eastAsia="Calibri"/>
          <w:sz w:val="22"/>
          <w:szCs w:val="22"/>
          <w:lang w:val="fr-CA"/>
        </w:rPr>
        <w:t>d</w:t>
      </w:r>
      <w:r w:rsidR="00D336A7">
        <w:rPr>
          <w:rFonts w:eastAsia="Calibri"/>
          <w:sz w:val="22"/>
          <w:szCs w:val="22"/>
          <w:lang w:val="fr-CA"/>
        </w:rPr>
        <w:t xml:space="preserve">u renforcement </w:t>
      </w:r>
      <w:r>
        <w:rPr>
          <w:rFonts w:eastAsia="Calibri"/>
          <w:sz w:val="22"/>
          <w:szCs w:val="22"/>
          <w:lang w:val="fr-CA"/>
        </w:rPr>
        <w:t xml:space="preserve">de la résilience, il est important de comprendre </w:t>
      </w:r>
      <w:r w:rsidR="00CA6058">
        <w:rPr>
          <w:rFonts w:eastAsia="Calibri"/>
          <w:sz w:val="22"/>
          <w:szCs w:val="22"/>
          <w:lang w:val="fr-CA"/>
        </w:rPr>
        <w:t xml:space="preserve">son </w:t>
      </w:r>
      <w:r>
        <w:rPr>
          <w:rFonts w:eastAsia="Calibri"/>
          <w:sz w:val="22"/>
          <w:szCs w:val="22"/>
          <w:lang w:val="fr-CA"/>
        </w:rPr>
        <w:t>contexte</w:t>
      </w:r>
      <w:r w:rsidR="00CA6058">
        <w:rPr>
          <w:rFonts w:eastAsia="Calibri"/>
          <w:sz w:val="22"/>
          <w:szCs w:val="22"/>
          <w:lang w:val="fr-CA"/>
        </w:rPr>
        <w:t xml:space="preserve">. </w:t>
      </w:r>
      <w:r>
        <w:rPr>
          <w:rFonts w:eastAsia="Calibri"/>
          <w:sz w:val="22"/>
          <w:szCs w:val="22"/>
          <w:lang w:val="fr-CA"/>
        </w:rPr>
        <w:t xml:space="preserve"> </w:t>
      </w:r>
    </w:p>
    <w:p w:rsidR="00577AF9" w:rsidRDefault="00577AF9" w:rsidP="002A225C">
      <w:pPr>
        <w:jc w:val="both"/>
        <w:rPr>
          <w:rFonts w:eastAsia="Calibri"/>
          <w:sz w:val="22"/>
          <w:szCs w:val="22"/>
          <w:lang w:val="fr-CA"/>
        </w:rPr>
      </w:pPr>
    </w:p>
    <w:p w:rsidR="00A418A9" w:rsidRDefault="00577AF9" w:rsidP="002A225C">
      <w:pPr>
        <w:jc w:val="both"/>
        <w:rPr>
          <w:rFonts w:eastAsia="Calibri"/>
          <w:sz w:val="22"/>
          <w:szCs w:val="22"/>
          <w:lang w:val="fr-CA"/>
        </w:rPr>
      </w:pPr>
      <w:r>
        <w:rPr>
          <w:rFonts w:eastAsia="Calibri"/>
          <w:sz w:val="22"/>
          <w:szCs w:val="22"/>
          <w:lang w:val="fr-CA"/>
        </w:rPr>
        <w:tab/>
        <w:t xml:space="preserve">Le programme mondial en matière de résilience a son origine dans le programme visant à réduire la vulnérabilité, lequel a été lancé par la mise en circulation </w:t>
      </w:r>
      <w:r w:rsidR="00D336A7">
        <w:rPr>
          <w:rFonts w:eastAsia="Calibri"/>
          <w:sz w:val="22"/>
          <w:szCs w:val="22"/>
          <w:lang w:val="fr-CA"/>
        </w:rPr>
        <w:t xml:space="preserve">en 1985 </w:t>
      </w:r>
      <w:r>
        <w:rPr>
          <w:rFonts w:eastAsia="Calibri"/>
          <w:sz w:val="22"/>
          <w:szCs w:val="22"/>
          <w:lang w:val="fr-CA"/>
        </w:rPr>
        <w:t xml:space="preserve">d’une publication  intitulée </w:t>
      </w:r>
      <w:r w:rsidRPr="00577AF9">
        <w:rPr>
          <w:rFonts w:eastAsia="Calibri"/>
          <w:b/>
          <w:i/>
          <w:sz w:val="22"/>
          <w:szCs w:val="22"/>
          <w:lang w:val="fr-CA"/>
        </w:rPr>
        <w:t>Small</w:t>
      </w:r>
      <w:r w:rsidR="00A418A9">
        <w:rPr>
          <w:rFonts w:eastAsia="Calibri"/>
          <w:b/>
          <w:i/>
          <w:sz w:val="22"/>
          <w:szCs w:val="22"/>
          <w:lang w:val="fr-CA"/>
        </w:rPr>
        <w:t xml:space="preserve"> States in the Global Society : Report of a Commonwealth Consultative Group (CCG) on the Special Needs of Small States </w:t>
      </w:r>
      <w:r w:rsidR="00A418A9">
        <w:rPr>
          <w:rFonts w:eastAsia="Calibri"/>
          <w:sz w:val="22"/>
          <w:szCs w:val="22"/>
          <w:lang w:val="fr-CA"/>
        </w:rPr>
        <w:t xml:space="preserve">(Les États de petite taille dans la société mondialisée : Rapport d’un Groupe consultatif du Commonwealth sur les besoins particuliers des États de petite taille). Depuis lors, les notions relatives à la vulnérabilité ont acquis une pertinence universelle vu que les pays, petits et grands, ont subi l’impact négatif de chocs internes et externes, y compris des catastrophes, des crises financières mondiales ainsi que les chocs liés aux </w:t>
      </w:r>
      <w:r w:rsidR="00D336A7">
        <w:rPr>
          <w:rFonts w:eastAsia="Calibri"/>
          <w:sz w:val="22"/>
          <w:szCs w:val="22"/>
          <w:lang w:val="fr-CA"/>
        </w:rPr>
        <w:t xml:space="preserve">cours </w:t>
      </w:r>
      <w:r w:rsidR="00A418A9">
        <w:rPr>
          <w:rFonts w:eastAsia="Calibri"/>
          <w:sz w:val="22"/>
          <w:szCs w:val="22"/>
          <w:lang w:val="fr-CA"/>
        </w:rPr>
        <w:t xml:space="preserve">de l’énergie et des produits de base. </w:t>
      </w:r>
    </w:p>
    <w:p w:rsidR="00A418A9" w:rsidRDefault="00A418A9" w:rsidP="002A225C">
      <w:pPr>
        <w:jc w:val="both"/>
        <w:rPr>
          <w:rFonts w:eastAsia="Calibri"/>
          <w:sz w:val="22"/>
          <w:szCs w:val="22"/>
          <w:lang w:val="fr-CA"/>
        </w:rPr>
      </w:pPr>
    </w:p>
    <w:p w:rsidR="002A225C" w:rsidRDefault="00A418A9" w:rsidP="002A225C">
      <w:pPr>
        <w:jc w:val="both"/>
        <w:rPr>
          <w:rFonts w:eastAsia="Calibri"/>
          <w:b/>
          <w:sz w:val="22"/>
          <w:szCs w:val="22"/>
          <w:lang w:val="fr-CA"/>
        </w:rPr>
      </w:pPr>
      <w:r>
        <w:rPr>
          <w:rFonts w:eastAsia="Calibri"/>
          <w:sz w:val="22"/>
          <w:szCs w:val="22"/>
          <w:lang w:val="fr-CA"/>
        </w:rPr>
        <w:tab/>
      </w:r>
      <w:r w:rsidR="004F359C">
        <w:rPr>
          <w:rFonts w:eastAsia="Calibri"/>
          <w:sz w:val="22"/>
          <w:szCs w:val="22"/>
          <w:lang w:val="fr-CA"/>
        </w:rPr>
        <w:t xml:space="preserve">D’une manière générale, </w:t>
      </w:r>
      <w:r>
        <w:rPr>
          <w:rFonts w:eastAsia="Calibri"/>
          <w:sz w:val="22"/>
          <w:szCs w:val="22"/>
          <w:lang w:val="fr-CA"/>
        </w:rPr>
        <w:t xml:space="preserve">il existe trois types de vulnérabilité : la </w:t>
      </w:r>
      <w:r>
        <w:rPr>
          <w:rFonts w:eastAsia="Calibri"/>
          <w:i/>
          <w:sz w:val="22"/>
          <w:szCs w:val="22"/>
          <w:lang w:val="fr-CA"/>
        </w:rPr>
        <w:t xml:space="preserve">vulnérabilité économique, </w:t>
      </w:r>
      <w:r w:rsidRPr="00A418A9">
        <w:rPr>
          <w:rFonts w:eastAsia="Calibri"/>
          <w:sz w:val="22"/>
          <w:szCs w:val="22"/>
          <w:lang w:val="fr-CA"/>
        </w:rPr>
        <w:t>c’est</w:t>
      </w:r>
      <w:r>
        <w:rPr>
          <w:rFonts w:eastAsia="Calibri"/>
          <w:sz w:val="22"/>
          <w:szCs w:val="22"/>
          <w:lang w:val="fr-CA"/>
        </w:rPr>
        <w:t>-à-dire les risques qu’affrontent les économies à cause des chocs exogènes que subissent leurs systèmes de production, de distribution</w:t>
      </w:r>
      <w:r w:rsidR="005F6487">
        <w:rPr>
          <w:rFonts w:eastAsia="Calibri"/>
          <w:sz w:val="22"/>
          <w:szCs w:val="22"/>
          <w:lang w:val="fr-CA"/>
        </w:rPr>
        <w:t xml:space="preserve"> (y compris et </w:t>
      </w:r>
      <w:r w:rsidR="00D336A7">
        <w:rPr>
          <w:rFonts w:eastAsia="Calibri"/>
          <w:sz w:val="22"/>
          <w:szCs w:val="22"/>
          <w:lang w:val="fr-CA"/>
        </w:rPr>
        <w:t xml:space="preserve">spécialement </w:t>
      </w:r>
      <w:r w:rsidR="005F6487">
        <w:rPr>
          <w:rFonts w:eastAsia="Calibri"/>
          <w:sz w:val="22"/>
          <w:szCs w:val="22"/>
          <w:lang w:val="fr-CA"/>
        </w:rPr>
        <w:t xml:space="preserve">leurs marchés) ainsi que leurs systèmes de consommation, la </w:t>
      </w:r>
      <w:r w:rsidR="005F6487">
        <w:rPr>
          <w:rFonts w:eastAsia="Calibri"/>
          <w:i/>
          <w:sz w:val="22"/>
          <w:szCs w:val="22"/>
          <w:lang w:val="fr-CA"/>
        </w:rPr>
        <w:t xml:space="preserve">vulnérabilité environnementale </w:t>
      </w:r>
      <w:r w:rsidR="005F6487">
        <w:rPr>
          <w:rFonts w:eastAsia="Calibri"/>
          <w:sz w:val="22"/>
          <w:szCs w:val="22"/>
          <w:lang w:val="fr-CA"/>
        </w:rPr>
        <w:t xml:space="preserve">qui se rapporte principalement au risque de dégâts </w:t>
      </w:r>
      <w:r w:rsidR="00D336A7">
        <w:rPr>
          <w:rFonts w:eastAsia="Calibri"/>
          <w:sz w:val="22"/>
          <w:szCs w:val="22"/>
          <w:lang w:val="fr-CA"/>
        </w:rPr>
        <w:t xml:space="preserve">infligés </w:t>
      </w:r>
      <w:r w:rsidR="005F6487">
        <w:rPr>
          <w:rFonts w:eastAsia="Calibri"/>
          <w:sz w:val="22"/>
          <w:szCs w:val="22"/>
          <w:lang w:val="fr-CA"/>
        </w:rPr>
        <w:t xml:space="preserve">aux écosystèmes naturels du pays (par exemple les récifs coralliens, les zones humides, l’eau douce, les zones côtières et les ressources marines, les forêts et les sols) et la </w:t>
      </w:r>
      <w:r w:rsidR="005F6487">
        <w:rPr>
          <w:rFonts w:eastAsia="Calibri"/>
          <w:i/>
          <w:sz w:val="22"/>
          <w:szCs w:val="22"/>
          <w:lang w:val="fr-CA"/>
        </w:rPr>
        <w:t xml:space="preserve">vulnérabilité sociale </w:t>
      </w:r>
      <w:r w:rsidR="005F6487">
        <w:rPr>
          <w:rFonts w:eastAsia="Calibri"/>
          <w:sz w:val="22"/>
          <w:szCs w:val="22"/>
          <w:lang w:val="fr-CA"/>
        </w:rPr>
        <w:t>qui reflète le degré auquel les sociétés ou les groupes socio-économiques sont touchés de manière négative par les perturbations et les dangers</w:t>
      </w:r>
      <w:r w:rsidR="003901F5">
        <w:rPr>
          <w:rFonts w:eastAsia="Calibri"/>
          <w:sz w:val="22"/>
          <w:szCs w:val="22"/>
          <w:lang w:val="fr-CA"/>
        </w:rPr>
        <w:t>,</w:t>
      </w:r>
      <w:r w:rsidR="005F6487">
        <w:rPr>
          <w:rFonts w:eastAsia="Calibri"/>
          <w:sz w:val="22"/>
          <w:szCs w:val="22"/>
          <w:lang w:val="fr-CA"/>
        </w:rPr>
        <w:t xml:space="preserve"> que ceux-ci soient </w:t>
      </w:r>
      <w:r w:rsidR="00D336A7">
        <w:rPr>
          <w:rFonts w:eastAsia="Calibri"/>
          <w:sz w:val="22"/>
          <w:szCs w:val="22"/>
          <w:lang w:val="fr-CA"/>
        </w:rPr>
        <w:t xml:space="preserve">causés par des </w:t>
      </w:r>
      <w:r w:rsidR="005F6487">
        <w:rPr>
          <w:rFonts w:eastAsia="Calibri"/>
          <w:sz w:val="22"/>
          <w:szCs w:val="22"/>
          <w:lang w:val="fr-CA"/>
        </w:rPr>
        <w:lastRenderedPageBreak/>
        <w:t xml:space="preserve">forces extérieures ou </w:t>
      </w:r>
      <w:r w:rsidR="00D336A7">
        <w:rPr>
          <w:rFonts w:eastAsia="Calibri"/>
          <w:sz w:val="22"/>
          <w:szCs w:val="22"/>
          <w:lang w:val="fr-CA"/>
        </w:rPr>
        <w:t>par des</w:t>
      </w:r>
      <w:r w:rsidR="005F6487">
        <w:rPr>
          <w:rFonts w:eastAsia="Calibri"/>
          <w:sz w:val="22"/>
          <w:szCs w:val="22"/>
          <w:lang w:val="fr-CA"/>
        </w:rPr>
        <w:t xml:space="preserve"> facteurs intrinsèques – internes et externes – qui ont une incidence négative sur la cohésion sociale d’un pays </w:t>
      </w:r>
      <w:r w:rsidR="004F359C">
        <w:rPr>
          <w:rFonts w:eastAsia="Calibri"/>
          <w:sz w:val="22"/>
          <w:szCs w:val="22"/>
          <w:lang w:val="fr-CA"/>
        </w:rPr>
        <w:t xml:space="preserve">(PNUD, 2002). </w:t>
      </w:r>
      <w:r w:rsidR="00577AF9">
        <w:rPr>
          <w:rFonts w:eastAsia="Calibri"/>
          <w:sz w:val="22"/>
          <w:szCs w:val="22"/>
          <w:lang w:val="fr-CA"/>
        </w:rPr>
        <w:t xml:space="preserve"> </w:t>
      </w:r>
      <w:r w:rsidR="002A225C">
        <w:rPr>
          <w:rFonts w:eastAsia="Calibri"/>
          <w:b/>
          <w:sz w:val="22"/>
          <w:szCs w:val="22"/>
          <w:lang w:val="fr-CA"/>
        </w:rPr>
        <w:t xml:space="preserve"> </w:t>
      </w:r>
    </w:p>
    <w:p w:rsidR="004F359C" w:rsidRDefault="004F359C" w:rsidP="002A225C">
      <w:pPr>
        <w:jc w:val="both"/>
        <w:rPr>
          <w:rFonts w:eastAsia="Calibri"/>
          <w:b/>
          <w:sz w:val="22"/>
          <w:szCs w:val="22"/>
          <w:lang w:val="fr-CA"/>
        </w:rPr>
      </w:pPr>
    </w:p>
    <w:p w:rsidR="004F359C" w:rsidRDefault="004F359C" w:rsidP="002A225C">
      <w:pPr>
        <w:jc w:val="both"/>
        <w:rPr>
          <w:rFonts w:eastAsia="Calibri"/>
          <w:sz w:val="22"/>
          <w:szCs w:val="22"/>
          <w:lang w:val="fr-CA"/>
        </w:rPr>
      </w:pPr>
      <w:r>
        <w:rPr>
          <w:rFonts w:eastAsia="Calibri"/>
          <w:b/>
          <w:sz w:val="22"/>
          <w:szCs w:val="22"/>
          <w:lang w:val="fr-CA"/>
        </w:rPr>
        <w:tab/>
      </w:r>
      <w:r w:rsidRPr="004F359C">
        <w:rPr>
          <w:rFonts w:eastAsia="Calibri"/>
          <w:sz w:val="22"/>
          <w:szCs w:val="22"/>
          <w:lang w:val="fr-CA"/>
        </w:rPr>
        <w:t>Même</w:t>
      </w:r>
      <w:r>
        <w:rPr>
          <w:rFonts w:eastAsia="Calibri"/>
          <w:b/>
          <w:sz w:val="22"/>
          <w:szCs w:val="22"/>
          <w:lang w:val="fr-CA"/>
        </w:rPr>
        <w:t xml:space="preserve"> </w:t>
      </w:r>
      <w:r w:rsidRPr="004F359C">
        <w:rPr>
          <w:rFonts w:eastAsia="Calibri"/>
          <w:sz w:val="22"/>
          <w:szCs w:val="22"/>
          <w:lang w:val="fr-CA"/>
        </w:rPr>
        <w:t>si</w:t>
      </w:r>
      <w:r>
        <w:rPr>
          <w:rFonts w:eastAsia="Calibri"/>
          <w:b/>
          <w:sz w:val="22"/>
          <w:szCs w:val="22"/>
          <w:lang w:val="fr-CA"/>
        </w:rPr>
        <w:t xml:space="preserve"> </w:t>
      </w:r>
      <w:r>
        <w:rPr>
          <w:rFonts w:eastAsia="Calibri"/>
          <w:sz w:val="22"/>
          <w:szCs w:val="22"/>
          <w:lang w:val="fr-CA"/>
        </w:rPr>
        <w:t xml:space="preserve">la littérature établit une distinction entre ces trois types de vulnérabilité, en réalité, leurs caractéristiques interdépendantes signifient qu’une vulnérabilité dans un domaine peut affecter </w:t>
      </w:r>
      <w:r w:rsidR="00D336A7">
        <w:rPr>
          <w:rFonts w:eastAsia="Calibri"/>
          <w:sz w:val="22"/>
          <w:szCs w:val="22"/>
          <w:lang w:val="fr-CA"/>
        </w:rPr>
        <w:t xml:space="preserve">tous </w:t>
      </w:r>
      <w:r>
        <w:rPr>
          <w:rFonts w:eastAsia="Calibri"/>
          <w:sz w:val="22"/>
          <w:szCs w:val="22"/>
          <w:lang w:val="fr-CA"/>
        </w:rPr>
        <w:t xml:space="preserve">les autres. Un grand nombre de </w:t>
      </w:r>
      <w:r w:rsidR="00D336A7">
        <w:rPr>
          <w:rFonts w:eastAsia="Calibri"/>
          <w:sz w:val="22"/>
          <w:szCs w:val="22"/>
          <w:lang w:val="fr-CA"/>
        </w:rPr>
        <w:t xml:space="preserve">modalités </w:t>
      </w:r>
      <w:r>
        <w:rPr>
          <w:rFonts w:eastAsia="Calibri"/>
          <w:sz w:val="22"/>
          <w:szCs w:val="22"/>
          <w:lang w:val="fr-CA"/>
        </w:rPr>
        <w:t>de développement économique dégrade</w:t>
      </w:r>
      <w:r w:rsidR="00D336A7">
        <w:rPr>
          <w:rFonts w:eastAsia="Calibri"/>
          <w:sz w:val="22"/>
          <w:szCs w:val="22"/>
          <w:lang w:val="fr-CA"/>
        </w:rPr>
        <w:t>nt</w:t>
      </w:r>
      <w:r>
        <w:rPr>
          <w:rFonts w:eastAsia="Calibri"/>
          <w:sz w:val="22"/>
          <w:szCs w:val="22"/>
          <w:lang w:val="fr-CA"/>
        </w:rPr>
        <w:t xml:space="preserve"> les ressources </w:t>
      </w:r>
      <w:r w:rsidR="00D336A7">
        <w:rPr>
          <w:rFonts w:eastAsia="Calibri"/>
          <w:sz w:val="22"/>
          <w:szCs w:val="22"/>
          <w:lang w:val="fr-CA"/>
        </w:rPr>
        <w:t xml:space="preserve">environnementales </w:t>
      </w:r>
      <w:r>
        <w:rPr>
          <w:rFonts w:eastAsia="Calibri"/>
          <w:sz w:val="22"/>
          <w:szCs w:val="22"/>
          <w:lang w:val="fr-CA"/>
        </w:rPr>
        <w:t xml:space="preserve">sur lesquelles elles devraient se baser. La dégradation de l’environnement peut </w:t>
      </w:r>
      <w:r w:rsidR="00D336A7">
        <w:rPr>
          <w:rFonts w:eastAsia="Calibri"/>
          <w:sz w:val="22"/>
          <w:szCs w:val="22"/>
          <w:lang w:val="fr-CA"/>
        </w:rPr>
        <w:t xml:space="preserve">être </w:t>
      </w:r>
      <w:r>
        <w:rPr>
          <w:rFonts w:eastAsia="Calibri"/>
          <w:sz w:val="22"/>
          <w:szCs w:val="22"/>
          <w:lang w:val="fr-CA"/>
        </w:rPr>
        <w:t xml:space="preserve">source d’un conflit social, </w:t>
      </w:r>
      <w:r w:rsidR="003901F5">
        <w:rPr>
          <w:rFonts w:eastAsia="Calibri"/>
          <w:sz w:val="22"/>
          <w:szCs w:val="22"/>
          <w:lang w:val="fr-CA"/>
        </w:rPr>
        <w:t>lequel</w:t>
      </w:r>
      <w:r>
        <w:rPr>
          <w:rFonts w:eastAsia="Calibri"/>
          <w:sz w:val="22"/>
          <w:szCs w:val="22"/>
          <w:lang w:val="fr-CA"/>
        </w:rPr>
        <w:t>, à son tour, peut avoir une incidence sur la croissance économique et le développement durable. La pauvreté est une cause et une conséquence majeures des problèmes environnementaux mondiaux (</w:t>
      </w:r>
      <w:r w:rsidR="00B258B8">
        <w:rPr>
          <w:rFonts w:eastAsia="Calibri"/>
          <w:sz w:val="22"/>
          <w:szCs w:val="22"/>
          <w:lang w:val="fr-CA"/>
        </w:rPr>
        <w:t>CMED, 1987)</w:t>
      </w:r>
      <w:r w:rsidR="00B258B8">
        <w:rPr>
          <w:rStyle w:val="FootnoteReference"/>
          <w:rFonts w:eastAsia="Calibri"/>
          <w:sz w:val="22"/>
          <w:szCs w:val="22"/>
        </w:rPr>
        <w:footnoteReference w:id="1"/>
      </w:r>
      <w:r w:rsidR="00B258B8">
        <w:rPr>
          <w:rFonts w:eastAsia="Calibri"/>
          <w:sz w:val="22"/>
          <w:szCs w:val="22"/>
          <w:lang w:val="fr-CA"/>
        </w:rPr>
        <w:t>.</w:t>
      </w:r>
    </w:p>
    <w:p w:rsidR="00B258B8" w:rsidRDefault="00B258B8" w:rsidP="002A225C">
      <w:pPr>
        <w:jc w:val="both"/>
        <w:rPr>
          <w:rFonts w:eastAsia="Calibri"/>
          <w:sz w:val="22"/>
          <w:szCs w:val="22"/>
          <w:lang w:val="fr-CA"/>
        </w:rPr>
      </w:pPr>
    </w:p>
    <w:p w:rsidR="00B258B8" w:rsidRDefault="00B258B8" w:rsidP="002A225C">
      <w:pPr>
        <w:jc w:val="both"/>
        <w:rPr>
          <w:rFonts w:eastAsia="Calibri"/>
          <w:sz w:val="22"/>
          <w:szCs w:val="22"/>
          <w:lang w:val="fr-CA"/>
        </w:rPr>
      </w:pPr>
      <w:r>
        <w:rPr>
          <w:rFonts w:eastAsia="Calibri"/>
          <w:sz w:val="22"/>
          <w:szCs w:val="22"/>
          <w:lang w:val="fr-CA"/>
        </w:rPr>
        <w:tab/>
        <w:t xml:space="preserve">Les catastrophes sont généralement considérées comme étant </w:t>
      </w:r>
      <w:r w:rsidR="00653D9B">
        <w:rPr>
          <w:rFonts w:eastAsia="Calibri"/>
          <w:sz w:val="22"/>
          <w:szCs w:val="22"/>
          <w:lang w:val="fr-CA"/>
        </w:rPr>
        <w:t xml:space="preserve">à l’origine </w:t>
      </w:r>
      <w:r>
        <w:rPr>
          <w:rFonts w:eastAsia="Calibri"/>
          <w:sz w:val="22"/>
          <w:szCs w:val="22"/>
          <w:lang w:val="fr-CA"/>
        </w:rPr>
        <w:t xml:space="preserve">des menaces </w:t>
      </w:r>
      <w:r w:rsidR="00653D9B">
        <w:rPr>
          <w:rFonts w:eastAsia="Calibri"/>
          <w:sz w:val="22"/>
          <w:szCs w:val="22"/>
          <w:lang w:val="fr-CA"/>
        </w:rPr>
        <w:t xml:space="preserve">les plus graves </w:t>
      </w:r>
      <w:r>
        <w:rPr>
          <w:rFonts w:eastAsia="Calibri"/>
          <w:sz w:val="22"/>
          <w:szCs w:val="22"/>
          <w:lang w:val="fr-CA"/>
        </w:rPr>
        <w:t xml:space="preserve">à la résilience économique, sociale et environnementale en Amérique latine et dans les Caraïbes (ALC) – la deuxième région du monde la plus exposée aux catastrophes. Le Bureau des Nations Unies pour la coordination des affaires humanitaires estime qu’au cours de la dernière décennie (2000-2019), en Amérique latine, 152 millions de personnes ont été victimes de 1.205 catastrophes, dont 548 inondations, 330 tempêtes, 75 tremblements de terre, 74 sécheresses, 66 glissements de terrain, 24 </w:t>
      </w:r>
      <w:r w:rsidR="003901F5">
        <w:rPr>
          <w:rFonts w:eastAsia="Calibri"/>
          <w:sz w:val="22"/>
          <w:szCs w:val="22"/>
          <w:lang w:val="fr-CA"/>
        </w:rPr>
        <w:t xml:space="preserve">incendies </w:t>
      </w:r>
      <w:r>
        <w:rPr>
          <w:rFonts w:eastAsia="Calibri"/>
          <w:sz w:val="22"/>
          <w:szCs w:val="22"/>
          <w:lang w:val="fr-CA"/>
        </w:rPr>
        <w:t>de forêt, 50 é</w:t>
      </w:r>
      <w:r w:rsidR="008A63C3">
        <w:rPr>
          <w:rFonts w:eastAsia="Calibri"/>
          <w:sz w:val="22"/>
          <w:szCs w:val="22"/>
          <w:lang w:val="fr-CA"/>
        </w:rPr>
        <w:t xml:space="preserve">pisodes </w:t>
      </w:r>
      <w:r>
        <w:rPr>
          <w:rFonts w:eastAsia="Calibri"/>
          <w:sz w:val="22"/>
          <w:szCs w:val="22"/>
          <w:lang w:val="fr-CA"/>
        </w:rPr>
        <w:t xml:space="preserve">de températures extrêmes et 38 </w:t>
      </w:r>
      <w:r w:rsidR="008A63C3">
        <w:rPr>
          <w:rFonts w:eastAsia="Calibri"/>
          <w:sz w:val="22"/>
          <w:szCs w:val="22"/>
          <w:lang w:val="fr-CA"/>
        </w:rPr>
        <w:t>épisodes volcaniques</w:t>
      </w:r>
      <w:r w:rsidR="008A63C3">
        <w:rPr>
          <w:rStyle w:val="FootnoteReference"/>
          <w:rFonts w:eastAsia="Calibri"/>
          <w:sz w:val="22"/>
          <w:szCs w:val="22"/>
        </w:rPr>
        <w:footnoteReference w:id="2"/>
      </w:r>
      <w:r w:rsidR="008A63C3">
        <w:rPr>
          <w:rFonts w:eastAsia="Calibri"/>
          <w:sz w:val="22"/>
          <w:szCs w:val="22"/>
          <w:lang w:val="fr-CA"/>
        </w:rPr>
        <w:t xml:space="preserve">. Les impacts des catastrophes citées ci-dessus </w:t>
      </w:r>
      <w:r w:rsidR="00E04E67">
        <w:rPr>
          <w:rFonts w:eastAsia="Calibri"/>
          <w:sz w:val="22"/>
          <w:szCs w:val="22"/>
          <w:lang w:val="fr-CA"/>
        </w:rPr>
        <w:t xml:space="preserve">ont été intenses et d’une portée considérable. Ils incluent des interruptions de l’activité économique, </w:t>
      </w:r>
      <w:r w:rsidR="00653D9B">
        <w:rPr>
          <w:rFonts w:eastAsia="Calibri"/>
          <w:sz w:val="22"/>
          <w:szCs w:val="22"/>
          <w:lang w:val="fr-CA"/>
        </w:rPr>
        <w:t xml:space="preserve">des </w:t>
      </w:r>
      <w:r w:rsidR="00E04E67">
        <w:rPr>
          <w:rFonts w:eastAsia="Calibri"/>
          <w:sz w:val="22"/>
          <w:szCs w:val="22"/>
          <w:lang w:val="fr-CA"/>
        </w:rPr>
        <w:t>fermeture</w:t>
      </w:r>
      <w:r w:rsidR="00653D9B">
        <w:rPr>
          <w:rFonts w:eastAsia="Calibri"/>
          <w:sz w:val="22"/>
          <w:szCs w:val="22"/>
          <w:lang w:val="fr-CA"/>
        </w:rPr>
        <w:t>s</w:t>
      </w:r>
      <w:r w:rsidR="00E04E67">
        <w:rPr>
          <w:rFonts w:eastAsia="Calibri"/>
          <w:sz w:val="22"/>
          <w:szCs w:val="22"/>
          <w:lang w:val="fr-CA"/>
        </w:rPr>
        <w:t xml:space="preserve"> d’écoles, </w:t>
      </w:r>
      <w:r w:rsidR="00653D9B">
        <w:rPr>
          <w:rFonts w:eastAsia="Calibri"/>
          <w:sz w:val="22"/>
          <w:szCs w:val="22"/>
          <w:lang w:val="fr-CA"/>
        </w:rPr>
        <w:t>des</w:t>
      </w:r>
      <w:r w:rsidR="00E04E67">
        <w:rPr>
          <w:rFonts w:eastAsia="Calibri"/>
          <w:sz w:val="22"/>
          <w:szCs w:val="22"/>
          <w:lang w:val="fr-CA"/>
        </w:rPr>
        <w:t xml:space="preserve"> perte</w:t>
      </w:r>
      <w:r w:rsidR="00653D9B">
        <w:rPr>
          <w:rFonts w:eastAsia="Calibri"/>
          <w:sz w:val="22"/>
          <w:szCs w:val="22"/>
          <w:lang w:val="fr-CA"/>
        </w:rPr>
        <w:t>s</w:t>
      </w:r>
      <w:r w:rsidR="00E04E67">
        <w:rPr>
          <w:rFonts w:eastAsia="Calibri"/>
          <w:sz w:val="22"/>
          <w:szCs w:val="22"/>
          <w:lang w:val="fr-CA"/>
        </w:rPr>
        <w:t xml:space="preserve"> d’emplois, </w:t>
      </w:r>
      <w:r w:rsidR="00653D9B">
        <w:rPr>
          <w:rFonts w:eastAsia="Calibri"/>
          <w:sz w:val="22"/>
          <w:szCs w:val="22"/>
          <w:lang w:val="fr-CA"/>
        </w:rPr>
        <w:t xml:space="preserve">la </w:t>
      </w:r>
      <w:r w:rsidR="00E04E67">
        <w:rPr>
          <w:rFonts w:eastAsia="Calibri"/>
          <w:sz w:val="22"/>
          <w:szCs w:val="22"/>
          <w:lang w:val="fr-CA"/>
        </w:rPr>
        <w:t xml:space="preserve">diminution des échanges avec l’étranger et du revenu national pour le gouvernement, des impacts psychologiques et des déplacements à l’intérieur du pays à cause des dégâts occasionnés </w:t>
      </w:r>
      <w:r w:rsidR="003901F5">
        <w:rPr>
          <w:rFonts w:eastAsia="Calibri"/>
          <w:sz w:val="22"/>
          <w:szCs w:val="22"/>
          <w:lang w:val="fr-CA"/>
        </w:rPr>
        <w:t xml:space="preserve">aux logements </w:t>
      </w:r>
      <w:r w:rsidR="00E04E67">
        <w:rPr>
          <w:rFonts w:eastAsia="Calibri"/>
          <w:sz w:val="22"/>
          <w:szCs w:val="22"/>
          <w:lang w:val="fr-CA"/>
        </w:rPr>
        <w:t xml:space="preserve">et aux infrastructures sociales et économiques. </w:t>
      </w:r>
    </w:p>
    <w:p w:rsidR="00E04E67" w:rsidRDefault="00E04E67" w:rsidP="002A225C">
      <w:pPr>
        <w:jc w:val="both"/>
        <w:rPr>
          <w:rFonts w:eastAsia="Calibri"/>
          <w:sz w:val="22"/>
          <w:szCs w:val="22"/>
          <w:lang w:val="fr-CA"/>
        </w:rPr>
      </w:pPr>
    </w:p>
    <w:p w:rsidR="00E04E67" w:rsidRDefault="00E04E67" w:rsidP="002A225C">
      <w:pPr>
        <w:jc w:val="both"/>
        <w:rPr>
          <w:rFonts w:eastAsia="Calibri"/>
          <w:sz w:val="22"/>
          <w:szCs w:val="22"/>
          <w:lang w:val="fr-CA"/>
        </w:rPr>
      </w:pPr>
      <w:r>
        <w:rPr>
          <w:rFonts w:eastAsia="Calibri"/>
          <w:sz w:val="22"/>
          <w:szCs w:val="22"/>
          <w:lang w:val="fr-CA"/>
        </w:rPr>
        <w:tab/>
      </w:r>
      <w:r w:rsidR="009C0710">
        <w:rPr>
          <w:rFonts w:eastAsia="Calibri"/>
          <w:sz w:val="22"/>
          <w:szCs w:val="22"/>
          <w:lang w:val="fr-CA"/>
        </w:rPr>
        <w:t>Aujourd’hui, l</w:t>
      </w:r>
      <w:r>
        <w:rPr>
          <w:rFonts w:eastAsia="Calibri"/>
          <w:sz w:val="22"/>
          <w:szCs w:val="22"/>
          <w:lang w:val="fr-CA"/>
        </w:rPr>
        <w:t xml:space="preserve">es gouvernements </w:t>
      </w:r>
      <w:r w:rsidR="009C0710">
        <w:rPr>
          <w:rFonts w:eastAsia="Calibri"/>
          <w:sz w:val="22"/>
          <w:szCs w:val="22"/>
          <w:lang w:val="fr-CA"/>
        </w:rPr>
        <w:t>s’emploient à faire face aux vulnérabilités existantes et à celles révélées ou exacerbées par la pandémie de C</w:t>
      </w:r>
      <w:r w:rsidR="00653D9B">
        <w:rPr>
          <w:rFonts w:eastAsia="Calibri"/>
          <w:sz w:val="22"/>
          <w:szCs w:val="22"/>
          <w:lang w:val="fr-CA"/>
        </w:rPr>
        <w:t>OVID-19</w:t>
      </w:r>
      <w:r w:rsidR="009C0710">
        <w:rPr>
          <w:rFonts w:eastAsia="Calibri"/>
          <w:sz w:val="22"/>
          <w:szCs w:val="22"/>
          <w:lang w:val="fr-CA"/>
        </w:rPr>
        <w:t xml:space="preserve">. </w:t>
      </w:r>
      <w:r w:rsidR="00653D9B">
        <w:rPr>
          <w:rFonts w:eastAsia="Calibri"/>
          <w:sz w:val="22"/>
          <w:szCs w:val="22"/>
          <w:lang w:val="fr-CA"/>
        </w:rPr>
        <w:t>Il existe l</w:t>
      </w:r>
      <w:r w:rsidR="009C0710">
        <w:rPr>
          <w:rFonts w:eastAsia="Calibri"/>
          <w:sz w:val="22"/>
          <w:szCs w:val="22"/>
          <w:lang w:val="fr-CA"/>
        </w:rPr>
        <w:t xml:space="preserve">e consensus que les gouvernements et leurs partenaires </w:t>
      </w:r>
      <w:r w:rsidR="00653D9B">
        <w:rPr>
          <w:rFonts w:eastAsia="Calibri"/>
          <w:sz w:val="22"/>
          <w:szCs w:val="22"/>
          <w:lang w:val="fr-CA"/>
        </w:rPr>
        <w:t>pour le d</w:t>
      </w:r>
      <w:r w:rsidR="009C0710">
        <w:rPr>
          <w:rFonts w:eastAsia="Calibri"/>
          <w:sz w:val="22"/>
          <w:szCs w:val="22"/>
          <w:lang w:val="fr-CA"/>
        </w:rPr>
        <w:t>éveloppement ont là l’occasion de passer de la vulnérabilité à la résilience en re</w:t>
      </w:r>
      <w:r w:rsidR="00653D9B">
        <w:rPr>
          <w:rFonts w:eastAsia="Calibri"/>
          <w:sz w:val="22"/>
          <w:szCs w:val="22"/>
          <w:lang w:val="fr-CA"/>
        </w:rPr>
        <w:t xml:space="preserve">mettant à plat </w:t>
      </w:r>
      <w:r w:rsidR="009C0710">
        <w:rPr>
          <w:rFonts w:eastAsia="Calibri"/>
          <w:sz w:val="22"/>
          <w:szCs w:val="22"/>
          <w:lang w:val="fr-CA"/>
        </w:rPr>
        <w:t xml:space="preserve">la manière dont est planifié le développement de la région afin de rechercher un avenir plus durable et plus équitable. </w:t>
      </w:r>
    </w:p>
    <w:p w:rsidR="009C0710" w:rsidRDefault="009C0710" w:rsidP="002A225C">
      <w:pPr>
        <w:jc w:val="both"/>
        <w:rPr>
          <w:rFonts w:eastAsia="Calibri"/>
          <w:sz w:val="22"/>
          <w:szCs w:val="22"/>
          <w:lang w:val="fr-CA"/>
        </w:rPr>
      </w:pPr>
    </w:p>
    <w:p w:rsidR="009C0710" w:rsidRDefault="009C0710" w:rsidP="00AF0068">
      <w:pPr>
        <w:pStyle w:val="ListParagraph0"/>
        <w:numPr>
          <w:ilvl w:val="0"/>
          <w:numId w:val="14"/>
        </w:numPr>
        <w:ind w:hanging="720"/>
        <w:jc w:val="both"/>
        <w:rPr>
          <w:b/>
          <w:sz w:val="22"/>
          <w:szCs w:val="22"/>
          <w:lang w:val="fr-CA"/>
        </w:rPr>
      </w:pPr>
      <w:r>
        <w:rPr>
          <w:b/>
          <w:sz w:val="22"/>
          <w:szCs w:val="22"/>
          <w:lang w:val="fr-CA"/>
        </w:rPr>
        <w:t>PASSER DE LA VULNÉRABILITÉ À LA RÉSILIENCE</w:t>
      </w:r>
    </w:p>
    <w:p w:rsidR="009C0710" w:rsidRDefault="009C0710" w:rsidP="009C0710">
      <w:pPr>
        <w:jc w:val="both"/>
        <w:rPr>
          <w:b/>
          <w:sz w:val="22"/>
          <w:szCs w:val="22"/>
          <w:lang w:val="fr-CA"/>
        </w:rPr>
      </w:pPr>
    </w:p>
    <w:p w:rsidR="00D56894" w:rsidRDefault="00D56894" w:rsidP="00AF0068">
      <w:pPr>
        <w:ind w:firstLine="720"/>
        <w:jc w:val="both"/>
        <w:rPr>
          <w:sz w:val="22"/>
          <w:szCs w:val="22"/>
          <w:lang w:val="fr-CA"/>
        </w:rPr>
      </w:pPr>
      <w:r w:rsidRPr="00D56894">
        <w:rPr>
          <w:sz w:val="22"/>
          <w:szCs w:val="22"/>
          <w:lang w:val="fr-CA"/>
        </w:rPr>
        <w:t>L’Alli</w:t>
      </w:r>
      <w:r>
        <w:rPr>
          <w:sz w:val="22"/>
          <w:szCs w:val="22"/>
          <w:lang w:val="fr-CA"/>
        </w:rPr>
        <w:t>ance de la résilience définit la résilience, appliquée à des systèmes intégrés d’êtres humains,  d’économies et d</w:t>
      </w:r>
      <w:r w:rsidR="00653D9B">
        <w:rPr>
          <w:sz w:val="22"/>
          <w:szCs w:val="22"/>
          <w:lang w:val="fr-CA"/>
        </w:rPr>
        <w:t xml:space="preserve">’environnement, </w:t>
      </w:r>
      <w:r>
        <w:rPr>
          <w:sz w:val="22"/>
          <w:szCs w:val="22"/>
          <w:lang w:val="fr-CA"/>
        </w:rPr>
        <w:t xml:space="preserve">comme étant : </w:t>
      </w:r>
    </w:p>
    <w:p w:rsidR="00D56894" w:rsidRDefault="00D56894" w:rsidP="00AF0068">
      <w:pPr>
        <w:jc w:val="both"/>
        <w:rPr>
          <w:sz w:val="22"/>
          <w:szCs w:val="22"/>
          <w:lang w:val="fr-CA"/>
        </w:rPr>
      </w:pPr>
    </w:p>
    <w:p w:rsidR="00D56894" w:rsidRDefault="00D56894" w:rsidP="00AF0068">
      <w:pPr>
        <w:pStyle w:val="ListParagraph0"/>
        <w:numPr>
          <w:ilvl w:val="0"/>
          <w:numId w:val="15"/>
        </w:numPr>
        <w:ind w:left="1440" w:hanging="720"/>
        <w:jc w:val="both"/>
        <w:rPr>
          <w:sz w:val="22"/>
          <w:szCs w:val="22"/>
          <w:lang w:val="fr-CA"/>
        </w:rPr>
      </w:pPr>
      <w:r>
        <w:rPr>
          <w:sz w:val="22"/>
          <w:szCs w:val="22"/>
          <w:lang w:val="fr-CA"/>
        </w:rPr>
        <w:t xml:space="preserve">La quantité de perturbations qu’un système peut absorber et rester dans le même état ou </w:t>
      </w:r>
      <w:r w:rsidR="000015E0">
        <w:rPr>
          <w:sz w:val="22"/>
          <w:szCs w:val="22"/>
          <w:lang w:val="fr-CA"/>
        </w:rPr>
        <w:t>le même d</w:t>
      </w:r>
      <w:r>
        <w:rPr>
          <w:sz w:val="22"/>
          <w:szCs w:val="22"/>
          <w:lang w:val="fr-CA"/>
        </w:rPr>
        <w:t>omaine ou conserver la même attraction.</w:t>
      </w:r>
    </w:p>
    <w:p w:rsidR="00D56894" w:rsidRDefault="00D56894" w:rsidP="00AF0068">
      <w:pPr>
        <w:pStyle w:val="ListParagraph0"/>
        <w:numPr>
          <w:ilvl w:val="0"/>
          <w:numId w:val="15"/>
        </w:numPr>
        <w:ind w:left="1440" w:hanging="720"/>
        <w:jc w:val="both"/>
        <w:rPr>
          <w:sz w:val="22"/>
          <w:szCs w:val="22"/>
          <w:lang w:val="fr-CA"/>
        </w:rPr>
      </w:pPr>
      <w:r>
        <w:rPr>
          <w:sz w:val="22"/>
          <w:szCs w:val="22"/>
          <w:lang w:val="fr-CA"/>
        </w:rPr>
        <w:t xml:space="preserve">Le degré </w:t>
      </w:r>
      <w:r w:rsidR="00A9786A">
        <w:rPr>
          <w:sz w:val="22"/>
          <w:szCs w:val="22"/>
          <w:lang w:val="fr-CA"/>
        </w:rPr>
        <w:t xml:space="preserve">d’auto-organisation dont le </w:t>
      </w:r>
      <w:r>
        <w:rPr>
          <w:sz w:val="22"/>
          <w:szCs w:val="22"/>
          <w:lang w:val="fr-CA"/>
        </w:rPr>
        <w:t xml:space="preserve">système est capable (par opposition au manque d’organisation ou à l’organisation </w:t>
      </w:r>
      <w:r w:rsidR="000015E0">
        <w:rPr>
          <w:sz w:val="22"/>
          <w:szCs w:val="22"/>
          <w:lang w:val="fr-CA"/>
        </w:rPr>
        <w:t xml:space="preserve">imposée </w:t>
      </w:r>
      <w:r>
        <w:rPr>
          <w:sz w:val="22"/>
          <w:szCs w:val="22"/>
          <w:lang w:val="fr-CA"/>
        </w:rPr>
        <w:t>par des facteurs extérieurs).</w:t>
      </w:r>
    </w:p>
    <w:p w:rsidR="00F86F61" w:rsidRDefault="00D56894" w:rsidP="00AF0068">
      <w:pPr>
        <w:pStyle w:val="ListParagraph0"/>
        <w:numPr>
          <w:ilvl w:val="0"/>
          <w:numId w:val="15"/>
        </w:numPr>
        <w:ind w:left="1440" w:hanging="720"/>
        <w:jc w:val="both"/>
        <w:rPr>
          <w:sz w:val="22"/>
          <w:szCs w:val="22"/>
          <w:lang w:val="fr-CA"/>
        </w:rPr>
      </w:pPr>
      <w:r>
        <w:rPr>
          <w:sz w:val="22"/>
          <w:szCs w:val="22"/>
          <w:lang w:val="fr-CA"/>
        </w:rPr>
        <w:t xml:space="preserve">Le degré auquel le système peut </w:t>
      </w:r>
      <w:r w:rsidR="00A9786A">
        <w:rPr>
          <w:sz w:val="22"/>
          <w:szCs w:val="22"/>
          <w:lang w:val="fr-CA"/>
        </w:rPr>
        <w:t xml:space="preserve">renforcer </w:t>
      </w:r>
      <w:r>
        <w:rPr>
          <w:sz w:val="22"/>
          <w:szCs w:val="22"/>
          <w:lang w:val="fr-CA"/>
        </w:rPr>
        <w:t xml:space="preserve">et améliorer </w:t>
      </w:r>
      <w:r w:rsidR="00F86F61">
        <w:rPr>
          <w:sz w:val="22"/>
          <w:szCs w:val="22"/>
          <w:lang w:val="fr-CA"/>
        </w:rPr>
        <w:t>s</w:t>
      </w:r>
      <w:r>
        <w:rPr>
          <w:sz w:val="22"/>
          <w:szCs w:val="22"/>
          <w:lang w:val="fr-CA"/>
        </w:rPr>
        <w:t>a capacité à apprendre et à s’adapter (Carpenter, 2001)</w:t>
      </w:r>
      <w:r w:rsidR="00F86F61">
        <w:rPr>
          <w:sz w:val="22"/>
          <w:szCs w:val="22"/>
          <w:lang w:val="fr-CA"/>
        </w:rPr>
        <w:t>.</w:t>
      </w:r>
    </w:p>
    <w:p w:rsidR="00F86F61" w:rsidRDefault="00F86F61" w:rsidP="00F86F61">
      <w:pPr>
        <w:jc w:val="both"/>
        <w:rPr>
          <w:sz w:val="22"/>
          <w:szCs w:val="22"/>
          <w:lang w:val="fr-CA"/>
        </w:rPr>
      </w:pPr>
    </w:p>
    <w:p w:rsidR="00410ACA" w:rsidRDefault="00410ACA" w:rsidP="00F86F61">
      <w:pPr>
        <w:jc w:val="both"/>
        <w:rPr>
          <w:b/>
          <w:sz w:val="22"/>
          <w:szCs w:val="22"/>
          <w:lang w:val="fr-CA"/>
        </w:rPr>
      </w:pPr>
    </w:p>
    <w:p w:rsidR="00AF0068" w:rsidRDefault="00AF0068" w:rsidP="00F86F61">
      <w:pPr>
        <w:jc w:val="both"/>
        <w:rPr>
          <w:b/>
          <w:sz w:val="22"/>
          <w:szCs w:val="22"/>
          <w:lang w:val="fr-CA"/>
        </w:rPr>
      </w:pPr>
      <w:r>
        <w:rPr>
          <w:b/>
          <w:sz w:val="22"/>
          <w:szCs w:val="22"/>
          <w:lang w:val="fr-CA"/>
        </w:rPr>
        <w:br w:type="page"/>
      </w:r>
    </w:p>
    <w:p w:rsidR="00410ACA" w:rsidRDefault="00F86F61" w:rsidP="00F86F61">
      <w:pPr>
        <w:jc w:val="both"/>
        <w:rPr>
          <w:b/>
          <w:sz w:val="22"/>
          <w:szCs w:val="22"/>
          <w:lang w:val="fr-CA"/>
        </w:rPr>
      </w:pPr>
      <w:r>
        <w:rPr>
          <w:b/>
          <w:sz w:val="22"/>
          <w:szCs w:val="22"/>
          <w:lang w:val="fr-CA"/>
        </w:rPr>
        <w:lastRenderedPageBreak/>
        <w:t>Résilience économique</w:t>
      </w:r>
    </w:p>
    <w:p w:rsidR="00AF0068" w:rsidRDefault="00AF0068" w:rsidP="00F86F61">
      <w:pPr>
        <w:jc w:val="both"/>
        <w:rPr>
          <w:b/>
          <w:sz w:val="22"/>
          <w:szCs w:val="22"/>
          <w:lang w:val="fr-CA"/>
        </w:rPr>
      </w:pPr>
    </w:p>
    <w:p w:rsidR="00410ACA" w:rsidRDefault="00410ACA" w:rsidP="00F86F61">
      <w:pPr>
        <w:jc w:val="both"/>
        <w:rPr>
          <w:sz w:val="22"/>
          <w:szCs w:val="22"/>
          <w:lang w:val="fr-CA"/>
        </w:rPr>
      </w:pPr>
      <w:r>
        <w:rPr>
          <w:b/>
          <w:sz w:val="22"/>
          <w:szCs w:val="22"/>
          <w:lang w:val="fr-CA"/>
        </w:rPr>
        <w:tab/>
      </w:r>
      <w:r>
        <w:rPr>
          <w:sz w:val="22"/>
          <w:szCs w:val="22"/>
          <w:lang w:val="fr-CA"/>
        </w:rPr>
        <w:t xml:space="preserve">La résilience économique se réfère au degré auquel une économie </w:t>
      </w:r>
      <w:r w:rsidR="00A9786A">
        <w:rPr>
          <w:sz w:val="22"/>
          <w:szCs w:val="22"/>
          <w:lang w:val="fr-CA"/>
        </w:rPr>
        <w:t xml:space="preserve">est capable de </w:t>
      </w:r>
      <w:r>
        <w:rPr>
          <w:sz w:val="22"/>
          <w:szCs w:val="22"/>
          <w:lang w:val="fr-CA"/>
        </w:rPr>
        <w:t>résister aux effets négatifs de chocs ext</w:t>
      </w:r>
      <w:r w:rsidR="00A9786A">
        <w:rPr>
          <w:sz w:val="22"/>
          <w:szCs w:val="22"/>
          <w:lang w:val="fr-CA"/>
        </w:rPr>
        <w:t xml:space="preserve">ernes </w:t>
      </w:r>
      <w:r>
        <w:rPr>
          <w:sz w:val="22"/>
          <w:szCs w:val="22"/>
          <w:lang w:val="fr-CA"/>
        </w:rPr>
        <w:t xml:space="preserve">ou </w:t>
      </w:r>
      <w:r w:rsidR="00A9786A">
        <w:rPr>
          <w:sz w:val="22"/>
          <w:szCs w:val="22"/>
          <w:lang w:val="fr-CA"/>
        </w:rPr>
        <w:t xml:space="preserve">de </w:t>
      </w:r>
      <w:r w:rsidR="006E57EB">
        <w:rPr>
          <w:sz w:val="22"/>
          <w:szCs w:val="22"/>
          <w:lang w:val="fr-CA"/>
        </w:rPr>
        <w:t xml:space="preserve">rebondir. La capacité d’une économie à absorber les chocs extérieurs est liée à la souplesse de cette économie, telle que celle qui lui donne une position fiscale </w:t>
      </w:r>
      <w:r w:rsidR="00A9786A">
        <w:rPr>
          <w:sz w:val="22"/>
          <w:szCs w:val="22"/>
          <w:lang w:val="fr-CA"/>
        </w:rPr>
        <w:t xml:space="preserve">assez solide pour </w:t>
      </w:r>
      <w:r w:rsidR="006E57EB">
        <w:rPr>
          <w:sz w:val="22"/>
          <w:szCs w:val="22"/>
          <w:lang w:val="fr-CA"/>
        </w:rPr>
        <w:t>faire face à de</w:t>
      </w:r>
      <w:r w:rsidR="00A9786A">
        <w:rPr>
          <w:sz w:val="22"/>
          <w:szCs w:val="22"/>
          <w:lang w:val="fr-CA"/>
        </w:rPr>
        <w:t>s</w:t>
      </w:r>
      <w:r w:rsidR="006E57EB">
        <w:rPr>
          <w:sz w:val="22"/>
          <w:szCs w:val="22"/>
          <w:lang w:val="fr-CA"/>
        </w:rPr>
        <w:t xml:space="preserve"> dépenses ou de</w:t>
      </w:r>
      <w:r w:rsidR="00A9786A">
        <w:rPr>
          <w:sz w:val="22"/>
          <w:szCs w:val="22"/>
          <w:lang w:val="fr-CA"/>
        </w:rPr>
        <w:t>s</w:t>
      </w:r>
      <w:r w:rsidR="006E57EB">
        <w:rPr>
          <w:sz w:val="22"/>
          <w:szCs w:val="22"/>
          <w:lang w:val="fr-CA"/>
        </w:rPr>
        <w:t xml:space="preserve"> baisses d’impôts discrétionnaires afin de contrer les effets des chocs </w:t>
      </w:r>
      <w:r w:rsidR="00800144">
        <w:rPr>
          <w:sz w:val="22"/>
          <w:szCs w:val="22"/>
          <w:lang w:val="fr-CA"/>
        </w:rPr>
        <w:t xml:space="preserve">négatifs. </w:t>
      </w:r>
    </w:p>
    <w:p w:rsidR="00800144" w:rsidRDefault="00800144" w:rsidP="00F86F61">
      <w:pPr>
        <w:jc w:val="both"/>
        <w:rPr>
          <w:sz w:val="22"/>
          <w:szCs w:val="22"/>
          <w:lang w:val="fr-CA"/>
        </w:rPr>
      </w:pPr>
    </w:p>
    <w:p w:rsidR="00722C4E" w:rsidRDefault="00800144" w:rsidP="00F86F61">
      <w:pPr>
        <w:jc w:val="both"/>
        <w:rPr>
          <w:sz w:val="22"/>
          <w:szCs w:val="22"/>
          <w:lang w:val="fr-CA"/>
        </w:rPr>
      </w:pPr>
      <w:r>
        <w:rPr>
          <w:sz w:val="22"/>
          <w:szCs w:val="22"/>
          <w:lang w:val="fr-CA"/>
        </w:rPr>
        <w:tab/>
      </w:r>
      <w:r w:rsidR="003901F5">
        <w:rPr>
          <w:sz w:val="22"/>
          <w:szCs w:val="22"/>
          <w:lang w:val="fr-CA"/>
        </w:rPr>
        <w:t xml:space="preserve">Quand on veut </w:t>
      </w:r>
      <w:r w:rsidR="00A9786A">
        <w:rPr>
          <w:sz w:val="22"/>
          <w:szCs w:val="22"/>
          <w:lang w:val="fr-CA"/>
        </w:rPr>
        <w:t xml:space="preserve">renforcer </w:t>
      </w:r>
      <w:r>
        <w:rPr>
          <w:sz w:val="22"/>
          <w:szCs w:val="22"/>
          <w:lang w:val="fr-CA"/>
        </w:rPr>
        <w:t>la résilience économique, il s’avère essentiel de déterminer s</w:t>
      </w:r>
      <w:r w:rsidR="003901F5">
        <w:rPr>
          <w:sz w:val="22"/>
          <w:szCs w:val="22"/>
          <w:lang w:val="fr-CA"/>
        </w:rPr>
        <w:t>i un pays ou une région a des déficiences en matière d’</w:t>
      </w:r>
      <w:r>
        <w:rPr>
          <w:sz w:val="22"/>
          <w:szCs w:val="22"/>
          <w:lang w:val="fr-CA"/>
        </w:rPr>
        <w:t>« atout » spécifique</w:t>
      </w:r>
      <w:r w:rsidR="003901F5">
        <w:rPr>
          <w:sz w:val="22"/>
          <w:szCs w:val="22"/>
          <w:lang w:val="fr-CA"/>
        </w:rPr>
        <w:t xml:space="preserve">, </w:t>
      </w:r>
      <w:r>
        <w:rPr>
          <w:sz w:val="22"/>
          <w:szCs w:val="22"/>
          <w:lang w:val="fr-CA"/>
        </w:rPr>
        <w:t>tel</w:t>
      </w:r>
      <w:r w:rsidR="003901F5">
        <w:rPr>
          <w:sz w:val="22"/>
          <w:szCs w:val="22"/>
          <w:lang w:val="fr-CA"/>
        </w:rPr>
        <w:t>le</w:t>
      </w:r>
      <w:r>
        <w:rPr>
          <w:sz w:val="22"/>
          <w:szCs w:val="22"/>
          <w:lang w:val="fr-CA"/>
        </w:rPr>
        <w:t xml:space="preserve">s que, par exemple, l’inadéquation des compétences de </w:t>
      </w:r>
      <w:r w:rsidR="003901F5">
        <w:rPr>
          <w:sz w:val="22"/>
          <w:szCs w:val="22"/>
          <w:lang w:val="fr-CA"/>
        </w:rPr>
        <w:t>s</w:t>
      </w:r>
      <w:r>
        <w:rPr>
          <w:sz w:val="22"/>
          <w:szCs w:val="22"/>
          <w:lang w:val="fr-CA"/>
        </w:rPr>
        <w:t>a main</w:t>
      </w:r>
      <w:r w:rsidR="00A9786A">
        <w:rPr>
          <w:sz w:val="22"/>
          <w:szCs w:val="22"/>
          <w:lang w:val="fr-CA"/>
        </w:rPr>
        <w:t>-</w:t>
      </w:r>
      <w:r>
        <w:rPr>
          <w:sz w:val="22"/>
          <w:szCs w:val="22"/>
          <w:lang w:val="fr-CA"/>
        </w:rPr>
        <w:t>d’œuvre, la qualité médiocre de l’éducation, la faible productivité des petites entreprises et les obstacles qui s’opposent à leur aptitude à avoir accès au</w:t>
      </w:r>
      <w:r w:rsidR="009863C3">
        <w:rPr>
          <w:sz w:val="22"/>
          <w:szCs w:val="22"/>
          <w:lang w:val="fr-CA"/>
        </w:rPr>
        <w:t xml:space="preserve"> renforcement des </w:t>
      </w:r>
      <w:r>
        <w:rPr>
          <w:sz w:val="22"/>
          <w:szCs w:val="22"/>
          <w:lang w:val="fr-CA"/>
        </w:rPr>
        <w:t>capacités et aux ressources financières, le manque de bons services d’infrastructure, un faible taux en matière d’innovation et la dépendance de quelques produits d’exportation et de</w:t>
      </w:r>
      <w:r w:rsidR="00722C4E">
        <w:rPr>
          <w:sz w:val="22"/>
          <w:szCs w:val="22"/>
          <w:lang w:val="fr-CA"/>
        </w:rPr>
        <w:t xml:space="preserve"> quelques marchés, entre autres. </w:t>
      </w:r>
    </w:p>
    <w:p w:rsidR="00722C4E" w:rsidRDefault="00722C4E" w:rsidP="00F86F61">
      <w:pPr>
        <w:jc w:val="both"/>
        <w:rPr>
          <w:sz w:val="22"/>
          <w:szCs w:val="22"/>
          <w:lang w:val="fr-CA"/>
        </w:rPr>
      </w:pPr>
    </w:p>
    <w:p w:rsidR="0034082B" w:rsidRDefault="00722C4E" w:rsidP="00F86F61">
      <w:pPr>
        <w:jc w:val="both"/>
        <w:rPr>
          <w:sz w:val="22"/>
          <w:szCs w:val="22"/>
          <w:lang w:val="fr-CA"/>
        </w:rPr>
      </w:pPr>
      <w:r>
        <w:rPr>
          <w:sz w:val="22"/>
          <w:szCs w:val="22"/>
          <w:lang w:val="fr-CA"/>
        </w:rPr>
        <w:tab/>
        <w:t>Les stratégies de compétences axées sur l’emploi, par exemple, peuvent contribuer à la mise en place d’une main</w:t>
      </w:r>
      <w:r w:rsidR="009863C3">
        <w:rPr>
          <w:sz w:val="22"/>
          <w:szCs w:val="22"/>
          <w:lang w:val="fr-CA"/>
        </w:rPr>
        <w:t>-</w:t>
      </w:r>
      <w:r>
        <w:rPr>
          <w:sz w:val="22"/>
          <w:szCs w:val="22"/>
          <w:lang w:val="fr-CA"/>
        </w:rPr>
        <w:t>d’œuvre résiliente</w:t>
      </w:r>
      <w:r w:rsidR="009863C3">
        <w:rPr>
          <w:sz w:val="22"/>
          <w:szCs w:val="22"/>
          <w:lang w:val="fr-CA"/>
        </w:rPr>
        <w:t>,</w:t>
      </w:r>
      <w:r>
        <w:rPr>
          <w:sz w:val="22"/>
          <w:szCs w:val="22"/>
          <w:lang w:val="fr-CA"/>
        </w:rPr>
        <w:t xml:space="preserve"> mieux préparée à faire la transition vers les nouveaux emplois créés par l’économie numérique. Le développement de clusters ou d’industries s’appuyant sur les atouts </w:t>
      </w:r>
      <w:r w:rsidR="009863C3">
        <w:rPr>
          <w:sz w:val="22"/>
          <w:szCs w:val="22"/>
          <w:lang w:val="fr-CA"/>
        </w:rPr>
        <w:t xml:space="preserve">exceptionnels </w:t>
      </w:r>
      <w:r>
        <w:rPr>
          <w:sz w:val="22"/>
          <w:szCs w:val="22"/>
          <w:lang w:val="fr-CA"/>
        </w:rPr>
        <w:t xml:space="preserve">ou les forces concurrentielles d’un pays ou d’une région peut aider un pays </w:t>
      </w:r>
      <w:r w:rsidR="0034082B">
        <w:rPr>
          <w:sz w:val="22"/>
          <w:szCs w:val="22"/>
          <w:lang w:val="fr-CA"/>
        </w:rPr>
        <w:t xml:space="preserve">à favoriser l’innovation pour le développement économique local et </w:t>
      </w:r>
      <w:r w:rsidR="009863C3">
        <w:rPr>
          <w:sz w:val="22"/>
          <w:szCs w:val="22"/>
          <w:lang w:val="fr-CA"/>
        </w:rPr>
        <w:t xml:space="preserve">à </w:t>
      </w:r>
      <w:r w:rsidR="0034082B">
        <w:rPr>
          <w:sz w:val="22"/>
          <w:szCs w:val="22"/>
          <w:lang w:val="fr-CA"/>
        </w:rPr>
        <w:t xml:space="preserve">réduire sa dépendance de quelques produits </w:t>
      </w:r>
      <w:r w:rsidR="0082530E">
        <w:rPr>
          <w:sz w:val="22"/>
          <w:szCs w:val="22"/>
          <w:lang w:val="fr-CA"/>
        </w:rPr>
        <w:t xml:space="preserve">et </w:t>
      </w:r>
      <w:r w:rsidR="0034082B">
        <w:rPr>
          <w:sz w:val="22"/>
          <w:szCs w:val="22"/>
          <w:lang w:val="fr-CA"/>
        </w:rPr>
        <w:t>des programmes de</w:t>
      </w:r>
      <w:r w:rsidR="009863C3">
        <w:rPr>
          <w:sz w:val="22"/>
          <w:szCs w:val="22"/>
          <w:lang w:val="fr-CA"/>
        </w:rPr>
        <w:t xml:space="preserve"> renforcement des</w:t>
      </w:r>
      <w:r w:rsidR="0034082B">
        <w:rPr>
          <w:sz w:val="22"/>
          <w:szCs w:val="22"/>
          <w:lang w:val="fr-CA"/>
        </w:rPr>
        <w:t xml:space="preserve"> capacités, des services coordonnés de soutien aux entreprises et des cadres de politiques peuvent contribuer efficacement au développement des micros, petites et moyennes entreprises. </w:t>
      </w:r>
    </w:p>
    <w:p w:rsidR="0034082B" w:rsidRDefault="0034082B" w:rsidP="00F86F61">
      <w:pPr>
        <w:jc w:val="both"/>
        <w:rPr>
          <w:sz w:val="22"/>
          <w:szCs w:val="22"/>
          <w:lang w:val="fr-CA"/>
        </w:rPr>
      </w:pPr>
    </w:p>
    <w:p w:rsidR="00EF6F0E" w:rsidRDefault="0034082B" w:rsidP="00F86F61">
      <w:pPr>
        <w:jc w:val="both"/>
        <w:rPr>
          <w:sz w:val="22"/>
          <w:szCs w:val="22"/>
          <w:lang w:val="fr-CA"/>
        </w:rPr>
      </w:pPr>
      <w:r>
        <w:rPr>
          <w:sz w:val="22"/>
          <w:szCs w:val="22"/>
          <w:lang w:val="fr-CA"/>
        </w:rPr>
        <w:tab/>
        <w:t>Un système ou des outils « d’alerte rapide »</w:t>
      </w:r>
      <w:r w:rsidR="00F86F61">
        <w:rPr>
          <w:b/>
          <w:sz w:val="22"/>
          <w:szCs w:val="22"/>
          <w:lang w:val="fr-CA"/>
        </w:rPr>
        <w:t xml:space="preserve"> </w:t>
      </w:r>
      <w:r w:rsidRPr="0034082B">
        <w:rPr>
          <w:sz w:val="22"/>
          <w:szCs w:val="22"/>
          <w:lang w:val="fr-CA"/>
        </w:rPr>
        <w:t>peu</w:t>
      </w:r>
      <w:r>
        <w:rPr>
          <w:sz w:val="22"/>
          <w:szCs w:val="22"/>
          <w:lang w:val="fr-CA"/>
        </w:rPr>
        <w:t xml:space="preserve">vent fournir des évaluations régulières de la préparation de l’économie d’un pays en cas de chocs extérieurs. </w:t>
      </w:r>
      <w:r w:rsidR="002F4224">
        <w:rPr>
          <w:sz w:val="22"/>
          <w:szCs w:val="22"/>
          <w:lang w:val="fr-CA"/>
        </w:rPr>
        <w:t xml:space="preserve">Une planification de </w:t>
      </w:r>
      <w:r w:rsidR="009863C3">
        <w:rPr>
          <w:sz w:val="22"/>
          <w:szCs w:val="22"/>
          <w:lang w:val="fr-CA"/>
        </w:rPr>
        <w:t xml:space="preserve">la </w:t>
      </w:r>
      <w:r w:rsidR="002F4224">
        <w:rPr>
          <w:sz w:val="22"/>
          <w:szCs w:val="22"/>
          <w:lang w:val="fr-CA"/>
        </w:rPr>
        <w:t>relance élaborée avant la perturbation aide à définir les rôles, les responsabilités et les actions des principales parties prenantes aux niveaux local et national. En outre, l’établissement d’une procédure pour la communication et le suivi régulier du monde des affaires et des besoins des autres parties prenantes pendant et après la perturbation contribuera à une récupération plus rapide de ce pays. Un programme de continuité des activités commerciales et de préparation aux catastrophes, par exemple, aidera les petites entreprises et les autres acteurs du secteur privé à reprendre leurs activités après le choc extérieur. Des programmes sur mesure peuvent contribuer à la reconversion et au recyclage de la main</w:t>
      </w:r>
      <w:r w:rsidR="009863C3">
        <w:rPr>
          <w:sz w:val="22"/>
          <w:szCs w:val="22"/>
          <w:lang w:val="fr-CA"/>
        </w:rPr>
        <w:t>-</w:t>
      </w:r>
      <w:r w:rsidR="002F4224">
        <w:rPr>
          <w:sz w:val="22"/>
          <w:szCs w:val="22"/>
          <w:lang w:val="fr-CA"/>
        </w:rPr>
        <w:t xml:space="preserve">d’œuvre </w:t>
      </w:r>
      <w:r w:rsidR="009863C3">
        <w:rPr>
          <w:sz w:val="22"/>
          <w:szCs w:val="22"/>
          <w:lang w:val="fr-CA"/>
        </w:rPr>
        <w:t xml:space="preserve">du pays </w:t>
      </w:r>
      <w:r w:rsidR="00EF6F0E">
        <w:rPr>
          <w:sz w:val="22"/>
          <w:szCs w:val="22"/>
          <w:lang w:val="fr-CA"/>
        </w:rPr>
        <w:t xml:space="preserve">après la perturbation. </w:t>
      </w:r>
    </w:p>
    <w:p w:rsidR="00EF6F0E" w:rsidRDefault="00EF6F0E" w:rsidP="00F86F61">
      <w:pPr>
        <w:jc w:val="both"/>
        <w:rPr>
          <w:sz w:val="22"/>
          <w:szCs w:val="22"/>
          <w:lang w:val="fr-CA"/>
        </w:rPr>
      </w:pPr>
    </w:p>
    <w:p w:rsidR="00B05F11" w:rsidRDefault="00EF6F0E" w:rsidP="00F86F61">
      <w:pPr>
        <w:jc w:val="both"/>
        <w:rPr>
          <w:sz w:val="22"/>
          <w:szCs w:val="22"/>
          <w:lang w:val="fr-CA"/>
        </w:rPr>
      </w:pPr>
      <w:r>
        <w:rPr>
          <w:sz w:val="22"/>
          <w:szCs w:val="22"/>
          <w:lang w:val="fr-CA"/>
        </w:rPr>
        <w:tab/>
        <w:t>Par ailleurs, l’utilisation de la métrologie – la science de la mesure – l’établissement des normes et le respect de celles-ci ser</w:t>
      </w:r>
      <w:r w:rsidR="0082530E">
        <w:rPr>
          <w:sz w:val="22"/>
          <w:szCs w:val="22"/>
          <w:lang w:val="fr-CA"/>
        </w:rPr>
        <w:t>ont</w:t>
      </w:r>
      <w:r>
        <w:rPr>
          <w:sz w:val="22"/>
          <w:szCs w:val="22"/>
          <w:lang w:val="fr-CA"/>
        </w:rPr>
        <w:t xml:space="preserve"> mis en exergue dans le dialogue</w:t>
      </w:r>
      <w:r w:rsidR="0082530E">
        <w:rPr>
          <w:sz w:val="22"/>
          <w:szCs w:val="22"/>
          <w:lang w:val="fr-CA"/>
        </w:rPr>
        <w:t>,</w:t>
      </w:r>
      <w:r>
        <w:rPr>
          <w:sz w:val="22"/>
          <w:szCs w:val="22"/>
          <w:lang w:val="fr-CA"/>
        </w:rPr>
        <w:t xml:space="preserve"> compte tenu du rôle central qu’ils jouent dans </w:t>
      </w:r>
      <w:r w:rsidR="001D4EF3">
        <w:rPr>
          <w:sz w:val="22"/>
          <w:szCs w:val="22"/>
          <w:lang w:val="fr-CA"/>
        </w:rPr>
        <w:t xml:space="preserve">le soutien à </w:t>
      </w:r>
      <w:r>
        <w:rPr>
          <w:sz w:val="22"/>
          <w:szCs w:val="22"/>
          <w:lang w:val="fr-CA"/>
        </w:rPr>
        <w:t>la résilience économique, notamment dans un contexte où la coopération internationale est primordiale. En utilisant des mesures et des normes comparables, la métrologie encourage l’innovation, les technologies émergentes, la coopération scientifique, la production industrielle et le commerce international et</w:t>
      </w:r>
      <w:r w:rsidR="0082530E">
        <w:rPr>
          <w:sz w:val="22"/>
          <w:szCs w:val="22"/>
          <w:lang w:val="fr-CA"/>
        </w:rPr>
        <w:t>,</w:t>
      </w:r>
      <w:r>
        <w:rPr>
          <w:sz w:val="22"/>
          <w:szCs w:val="22"/>
          <w:lang w:val="fr-CA"/>
        </w:rPr>
        <w:t xml:space="preserve"> en garantissant la qualité, la sécurité et l’efficacité des matériaux et des composantes des produits, elle a </w:t>
      </w:r>
      <w:r w:rsidR="000A42E0">
        <w:rPr>
          <w:sz w:val="22"/>
          <w:szCs w:val="22"/>
          <w:lang w:val="fr-CA"/>
        </w:rPr>
        <w:t xml:space="preserve">un impact direct sur la qualité de vie de la population et la préservation de l’environnement. </w:t>
      </w:r>
    </w:p>
    <w:p w:rsidR="00B05F11" w:rsidRDefault="00B05F11" w:rsidP="00F86F61">
      <w:pPr>
        <w:jc w:val="both"/>
        <w:rPr>
          <w:sz w:val="22"/>
          <w:szCs w:val="22"/>
          <w:lang w:val="fr-CA"/>
        </w:rPr>
      </w:pPr>
    </w:p>
    <w:p w:rsidR="00B05F11" w:rsidRDefault="00B05F11" w:rsidP="00F86F61">
      <w:pPr>
        <w:jc w:val="both"/>
        <w:rPr>
          <w:sz w:val="22"/>
          <w:szCs w:val="22"/>
          <w:lang w:val="fr-CA"/>
        </w:rPr>
      </w:pPr>
      <w:r>
        <w:rPr>
          <w:sz w:val="22"/>
          <w:szCs w:val="22"/>
          <w:lang w:val="fr-CA"/>
        </w:rPr>
        <w:tab/>
        <w:t>Le Secrétariat général de l’OEA</w:t>
      </w:r>
      <w:r w:rsidR="00EF6F0E">
        <w:rPr>
          <w:sz w:val="22"/>
          <w:szCs w:val="22"/>
          <w:lang w:val="fr-CA"/>
        </w:rPr>
        <w:t xml:space="preserve"> </w:t>
      </w:r>
      <w:r>
        <w:rPr>
          <w:sz w:val="22"/>
          <w:szCs w:val="22"/>
          <w:lang w:val="fr-CA"/>
        </w:rPr>
        <w:t xml:space="preserve">apporte déjà une aide aux </w:t>
      </w:r>
      <w:r w:rsidR="001D4EF3">
        <w:rPr>
          <w:sz w:val="22"/>
          <w:szCs w:val="22"/>
          <w:lang w:val="fr-CA"/>
        </w:rPr>
        <w:t>É</w:t>
      </w:r>
      <w:r>
        <w:rPr>
          <w:sz w:val="22"/>
          <w:szCs w:val="22"/>
          <w:lang w:val="fr-CA"/>
        </w:rPr>
        <w:t xml:space="preserve">tats membres en favorisant la coopération horizontale pour l’adaptation des politiques et de programmes </w:t>
      </w:r>
      <w:r w:rsidR="0082530E">
        <w:rPr>
          <w:sz w:val="22"/>
          <w:szCs w:val="22"/>
          <w:lang w:val="fr-CA"/>
        </w:rPr>
        <w:t xml:space="preserve">visant </w:t>
      </w:r>
      <w:r>
        <w:rPr>
          <w:sz w:val="22"/>
          <w:szCs w:val="22"/>
          <w:lang w:val="fr-CA"/>
        </w:rPr>
        <w:t xml:space="preserve">à </w:t>
      </w:r>
      <w:r w:rsidR="001D4EF3">
        <w:rPr>
          <w:sz w:val="22"/>
          <w:szCs w:val="22"/>
          <w:lang w:val="fr-CA"/>
        </w:rPr>
        <w:t>renforcer la résilience</w:t>
      </w:r>
      <w:r w:rsidR="0082530E">
        <w:rPr>
          <w:sz w:val="22"/>
          <w:szCs w:val="22"/>
          <w:lang w:val="fr-CA"/>
        </w:rPr>
        <w:t xml:space="preserve"> qui ont été couronnés de succès</w:t>
      </w:r>
      <w:r w:rsidR="001D4EF3">
        <w:rPr>
          <w:sz w:val="22"/>
          <w:szCs w:val="22"/>
          <w:lang w:val="fr-CA"/>
        </w:rPr>
        <w:t xml:space="preserve">. </w:t>
      </w:r>
      <w:r w:rsidR="0082530E">
        <w:rPr>
          <w:sz w:val="22"/>
          <w:szCs w:val="22"/>
          <w:lang w:val="fr-CA"/>
        </w:rPr>
        <w:t>L</w:t>
      </w:r>
      <w:r>
        <w:rPr>
          <w:sz w:val="22"/>
          <w:szCs w:val="22"/>
          <w:lang w:val="fr-CA"/>
        </w:rPr>
        <w:t>es expériences de l’Americas Competitiveness Exchange</w:t>
      </w:r>
      <w:r w:rsidR="00EF6F0E">
        <w:rPr>
          <w:sz w:val="22"/>
          <w:szCs w:val="22"/>
          <w:lang w:val="fr-CA"/>
        </w:rPr>
        <w:t xml:space="preserve"> </w:t>
      </w:r>
      <w:r>
        <w:rPr>
          <w:sz w:val="22"/>
          <w:szCs w:val="22"/>
          <w:lang w:val="fr-CA"/>
        </w:rPr>
        <w:lastRenderedPageBreak/>
        <w:t xml:space="preserve">(ACE), du Réseau interaméricain pour l’administration du travail (RIAL) et </w:t>
      </w:r>
      <w:r w:rsidR="001D4EF3">
        <w:rPr>
          <w:sz w:val="22"/>
          <w:szCs w:val="22"/>
          <w:lang w:val="fr-CA"/>
        </w:rPr>
        <w:t xml:space="preserve">du </w:t>
      </w:r>
      <w:r>
        <w:rPr>
          <w:sz w:val="22"/>
          <w:szCs w:val="22"/>
          <w:lang w:val="fr-CA"/>
        </w:rPr>
        <w:t xml:space="preserve">programme du Centre caribéen de développement des petites entreprises en sont la preuve. </w:t>
      </w:r>
    </w:p>
    <w:p w:rsidR="00B05F11" w:rsidRDefault="00B05F11" w:rsidP="00F86F61">
      <w:pPr>
        <w:jc w:val="both"/>
        <w:rPr>
          <w:sz w:val="22"/>
          <w:szCs w:val="22"/>
          <w:lang w:val="fr-CA"/>
        </w:rPr>
      </w:pPr>
    </w:p>
    <w:p w:rsidR="0091440D" w:rsidRDefault="00376AA0" w:rsidP="00F86F61">
      <w:pPr>
        <w:jc w:val="both"/>
        <w:rPr>
          <w:b/>
          <w:sz w:val="22"/>
          <w:szCs w:val="22"/>
          <w:lang w:val="fr-CA"/>
        </w:rPr>
      </w:pPr>
      <w:r w:rsidRPr="00376AA0">
        <w:rPr>
          <w:b/>
          <w:sz w:val="22"/>
          <w:szCs w:val="22"/>
          <w:lang w:val="fr-CA"/>
        </w:rPr>
        <w:t>Ré</w:t>
      </w:r>
      <w:r>
        <w:rPr>
          <w:b/>
          <w:sz w:val="22"/>
          <w:szCs w:val="22"/>
          <w:lang w:val="fr-CA"/>
        </w:rPr>
        <w:t>silience environnementale</w:t>
      </w:r>
    </w:p>
    <w:p w:rsidR="00376AA0" w:rsidRDefault="00376AA0" w:rsidP="00F86F61">
      <w:pPr>
        <w:jc w:val="both"/>
        <w:rPr>
          <w:b/>
          <w:sz w:val="22"/>
          <w:szCs w:val="22"/>
          <w:lang w:val="fr-CA"/>
        </w:rPr>
      </w:pPr>
    </w:p>
    <w:p w:rsidR="00376AA0" w:rsidRDefault="00376AA0" w:rsidP="00F86F61">
      <w:pPr>
        <w:jc w:val="both"/>
        <w:rPr>
          <w:sz w:val="22"/>
          <w:szCs w:val="22"/>
          <w:lang w:val="fr-CA"/>
        </w:rPr>
      </w:pPr>
      <w:r>
        <w:rPr>
          <w:b/>
          <w:sz w:val="22"/>
          <w:szCs w:val="22"/>
          <w:lang w:val="fr-CA"/>
        </w:rPr>
        <w:tab/>
      </w:r>
      <w:r>
        <w:rPr>
          <w:sz w:val="22"/>
          <w:szCs w:val="22"/>
          <w:lang w:val="fr-CA"/>
        </w:rPr>
        <w:t>Même si la résilience environnementale englobe plusieurs dimensions, les questions les plus urgentes pour la région sont ce</w:t>
      </w:r>
      <w:r w:rsidR="001D4EF3">
        <w:rPr>
          <w:sz w:val="22"/>
          <w:szCs w:val="22"/>
          <w:lang w:val="fr-CA"/>
        </w:rPr>
        <w:t xml:space="preserve">lles </w:t>
      </w:r>
      <w:r>
        <w:rPr>
          <w:sz w:val="22"/>
          <w:szCs w:val="22"/>
          <w:lang w:val="fr-CA"/>
        </w:rPr>
        <w:t>lié</w:t>
      </w:r>
      <w:r w:rsidR="001D4EF3">
        <w:rPr>
          <w:sz w:val="22"/>
          <w:szCs w:val="22"/>
          <w:lang w:val="fr-CA"/>
        </w:rPr>
        <w:t>e</w:t>
      </w:r>
      <w:r>
        <w:rPr>
          <w:sz w:val="22"/>
          <w:szCs w:val="22"/>
          <w:lang w:val="fr-CA"/>
        </w:rPr>
        <w:t xml:space="preserve">s à l’énergie et aux catastrophes naturelles ainsi que la capacité des citoyens à se préparer aux différents types de catastrophes, à réagir à ceux-ci et à </w:t>
      </w:r>
      <w:r w:rsidR="001D4EF3">
        <w:rPr>
          <w:sz w:val="22"/>
          <w:szCs w:val="22"/>
          <w:lang w:val="fr-CA"/>
        </w:rPr>
        <w:t xml:space="preserve">se relever. </w:t>
      </w:r>
    </w:p>
    <w:p w:rsidR="00376AA0" w:rsidRPr="00376AA0" w:rsidRDefault="00376AA0" w:rsidP="00F86F61">
      <w:pPr>
        <w:jc w:val="both"/>
        <w:rPr>
          <w:sz w:val="22"/>
          <w:szCs w:val="22"/>
          <w:lang w:val="fr-CA"/>
        </w:rPr>
      </w:pPr>
      <w:r>
        <w:rPr>
          <w:sz w:val="22"/>
          <w:szCs w:val="22"/>
          <w:lang w:val="fr-CA"/>
        </w:rPr>
        <w:t xml:space="preserve"> </w:t>
      </w:r>
    </w:p>
    <w:p w:rsidR="0091440D" w:rsidRDefault="0091440D" w:rsidP="00F86F61">
      <w:pPr>
        <w:jc w:val="both"/>
        <w:rPr>
          <w:i/>
          <w:sz w:val="22"/>
          <w:szCs w:val="22"/>
          <w:lang w:val="fr-CA"/>
        </w:rPr>
      </w:pPr>
      <w:r>
        <w:rPr>
          <w:i/>
          <w:sz w:val="22"/>
          <w:szCs w:val="22"/>
          <w:lang w:val="fr-CA"/>
        </w:rPr>
        <w:t>Résilience énergétique</w:t>
      </w:r>
    </w:p>
    <w:p w:rsidR="0091440D" w:rsidRDefault="0091440D" w:rsidP="00F86F61">
      <w:pPr>
        <w:jc w:val="both"/>
        <w:rPr>
          <w:i/>
          <w:sz w:val="22"/>
          <w:szCs w:val="22"/>
          <w:lang w:val="fr-CA"/>
        </w:rPr>
      </w:pPr>
    </w:p>
    <w:p w:rsidR="009C0710" w:rsidRDefault="0091440D" w:rsidP="00F86F61">
      <w:pPr>
        <w:jc w:val="both"/>
        <w:rPr>
          <w:sz w:val="22"/>
          <w:szCs w:val="22"/>
          <w:lang w:val="fr-CA"/>
        </w:rPr>
      </w:pPr>
      <w:r>
        <w:rPr>
          <w:i/>
          <w:sz w:val="22"/>
          <w:szCs w:val="22"/>
          <w:lang w:val="fr-CA"/>
        </w:rPr>
        <w:tab/>
      </w:r>
      <w:r w:rsidR="00CB10DD">
        <w:rPr>
          <w:sz w:val="22"/>
          <w:szCs w:val="22"/>
          <w:lang w:val="fr-CA"/>
        </w:rPr>
        <w:t xml:space="preserve">Dans </w:t>
      </w:r>
      <w:r w:rsidR="001D4EF3">
        <w:rPr>
          <w:sz w:val="22"/>
          <w:szCs w:val="22"/>
          <w:lang w:val="fr-CA"/>
        </w:rPr>
        <w:t xml:space="preserve">une </w:t>
      </w:r>
      <w:r w:rsidR="00CB10DD">
        <w:rPr>
          <w:sz w:val="22"/>
          <w:szCs w:val="22"/>
          <w:lang w:val="fr-CA"/>
        </w:rPr>
        <w:t xml:space="preserve">perspective de </w:t>
      </w:r>
      <w:r w:rsidR="001D4EF3">
        <w:rPr>
          <w:sz w:val="22"/>
          <w:szCs w:val="22"/>
          <w:lang w:val="fr-CA"/>
        </w:rPr>
        <w:t xml:space="preserve">renforcement de </w:t>
      </w:r>
      <w:r w:rsidR="00CB10DD">
        <w:rPr>
          <w:sz w:val="22"/>
          <w:szCs w:val="22"/>
          <w:lang w:val="fr-CA"/>
        </w:rPr>
        <w:t>la compétitivité et de préserv</w:t>
      </w:r>
      <w:r w:rsidR="001D4EF3">
        <w:rPr>
          <w:sz w:val="22"/>
          <w:szCs w:val="22"/>
          <w:lang w:val="fr-CA"/>
        </w:rPr>
        <w:t xml:space="preserve">ation du </w:t>
      </w:r>
      <w:r w:rsidR="00CB10DD">
        <w:rPr>
          <w:sz w:val="22"/>
          <w:szCs w:val="22"/>
          <w:lang w:val="fr-CA"/>
        </w:rPr>
        <w:t xml:space="preserve">commerce international, les arguments pour passer à des infrastructures énergétiques résilientes sont persuasifs. Le défi, toutefois, consiste à s’assurer que cette transition s’effectue de telle manière qu’elle ne porte pas atteinte à la sécurité énergétique. Bien que les sources d’énergie renouvelable </w:t>
      </w:r>
      <w:r w:rsidR="001D4EF3">
        <w:rPr>
          <w:sz w:val="22"/>
          <w:szCs w:val="22"/>
          <w:lang w:val="fr-CA"/>
        </w:rPr>
        <w:t xml:space="preserve">soient susceptibles </w:t>
      </w:r>
      <w:r w:rsidR="00CB10DD">
        <w:rPr>
          <w:sz w:val="22"/>
          <w:szCs w:val="22"/>
          <w:lang w:val="fr-CA"/>
        </w:rPr>
        <w:t xml:space="preserve"> </w:t>
      </w:r>
      <w:r w:rsidR="001D4EF3">
        <w:rPr>
          <w:sz w:val="22"/>
          <w:szCs w:val="22"/>
          <w:lang w:val="fr-CA"/>
        </w:rPr>
        <w:t>d’</w:t>
      </w:r>
      <w:r w:rsidR="00CB10DD">
        <w:rPr>
          <w:sz w:val="22"/>
          <w:szCs w:val="22"/>
          <w:lang w:val="fr-CA"/>
        </w:rPr>
        <w:t xml:space="preserve">apporter </w:t>
      </w:r>
      <w:r w:rsidR="001D4EF3">
        <w:rPr>
          <w:sz w:val="22"/>
          <w:szCs w:val="22"/>
          <w:lang w:val="fr-CA"/>
        </w:rPr>
        <w:t xml:space="preserve">de la </w:t>
      </w:r>
      <w:r w:rsidR="00CB10DD">
        <w:rPr>
          <w:sz w:val="22"/>
          <w:szCs w:val="22"/>
          <w:lang w:val="fr-CA"/>
        </w:rPr>
        <w:t xml:space="preserve">redondance </w:t>
      </w:r>
      <w:r w:rsidR="001D4EF3">
        <w:rPr>
          <w:sz w:val="22"/>
          <w:szCs w:val="22"/>
          <w:lang w:val="fr-CA"/>
        </w:rPr>
        <w:t xml:space="preserve">aux </w:t>
      </w:r>
      <w:r w:rsidR="00CB10DD">
        <w:rPr>
          <w:sz w:val="22"/>
          <w:szCs w:val="22"/>
          <w:lang w:val="fr-CA"/>
        </w:rPr>
        <w:t xml:space="preserve">réseaux énergétiques et </w:t>
      </w:r>
      <w:r w:rsidR="001D4EF3">
        <w:rPr>
          <w:sz w:val="22"/>
          <w:szCs w:val="22"/>
          <w:lang w:val="fr-CA"/>
        </w:rPr>
        <w:t xml:space="preserve">aux </w:t>
      </w:r>
      <w:r w:rsidR="00CB10DD">
        <w:rPr>
          <w:sz w:val="22"/>
          <w:szCs w:val="22"/>
          <w:lang w:val="fr-CA"/>
        </w:rPr>
        <w:t xml:space="preserve">systèmes décentralisés, de nouveaux défis </w:t>
      </w:r>
      <w:r w:rsidR="001D4EF3">
        <w:rPr>
          <w:sz w:val="22"/>
          <w:szCs w:val="22"/>
          <w:lang w:val="fr-CA"/>
        </w:rPr>
        <w:t xml:space="preserve">se posent au renforcement </w:t>
      </w:r>
      <w:r w:rsidR="00CB10DD">
        <w:rPr>
          <w:sz w:val="22"/>
          <w:szCs w:val="22"/>
          <w:lang w:val="fr-CA"/>
        </w:rPr>
        <w:t>de la résilience des sources d’énergie, des lignes de transport et des systèmes de stockage de l’énergie</w:t>
      </w:r>
      <w:r w:rsidR="001D4EF3">
        <w:rPr>
          <w:sz w:val="22"/>
          <w:szCs w:val="22"/>
          <w:lang w:val="fr-CA"/>
        </w:rPr>
        <w:t xml:space="preserve">. </w:t>
      </w:r>
      <w:r w:rsidR="00A10D12">
        <w:rPr>
          <w:sz w:val="22"/>
          <w:szCs w:val="22"/>
          <w:lang w:val="fr-CA"/>
        </w:rPr>
        <w:t xml:space="preserve">La sécurité énergétique s’avère vitale au bon fonctionnement des sociétés et des économies modernes. Les technologies numériques, les communications, les transports, les infrastructures (y compris les infrastructures sanitaires) et les activités industrielles dépendent tous d’un approvisionnement fiable et efficient </w:t>
      </w:r>
      <w:r w:rsidR="00FE10AC">
        <w:rPr>
          <w:sz w:val="22"/>
          <w:szCs w:val="22"/>
          <w:lang w:val="fr-CA"/>
        </w:rPr>
        <w:t xml:space="preserve">en </w:t>
      </w:r>
      <w:r w:rsidR="00A10D12">
        <w:rPr>
          <w:sz w:val="22"/>
          <w:szCs w:val="22"/>
          <w:lang w:val="fr-CA"/>
        </w:rPr>
        <w:t xml:space="preserve">électricité. Au fur et à mesure que les systèmes énergétiques deviennent intelligents et de plus en plus interconnectés et que plusieurs pays s’orientent vers des sources d’électricité moins émettrices de carbone, la sécurité de ces systèmes devient cruciale. C’est pourquoi les systèmes énergétiques doivent être modernes et renouvelables et être capables </w:t>
      </w:r>
      <w:r w:rsidR="00A80BF1">
        <w:rPr>
          <w:sz w:val="22"/>
          <w:szCs w:val="22"/>
          <w:lang w:val="fr-CA"/>
        </w:rPr>
        <w:t xml:space="preserve">de résister à des chocs internes et externes d’une grande </w:t>
      </w:r>
      <w:r w:rsidR="00FE10AC">
        <w:rPr>
          <w:sz w:val="22"/>
          <w:szCs w:val="22"/>
          <w:lang w:val="fr-CA"/>
        </w:rPr>
        <w:t>ampleur</w:t>
      </w:r>
      <w:r w:rsidR="00A80BF1">
        <w:rPr>
          <w:sz w:val="22"/>
          <w:szCs w:val="22"/>
          <w:lang w:val="fr-CA"/>
        </w:rPr>
        <w:t xml:space="preserve">. Le Partenariat des Amériques pour l’énergie et le climat (ECPA) a fourni une assistance aux États membres afin de mettre en place des infrastructures énergétiques résilientes. </w:t>
      </w:r>
    </w:p>
    <w:p w:rsidR="00A80BF1" w:rsidRDefault="00A80BF1" w:rsidP="00F86F61">
      <w:pPr>
        <w:jc w:val="both"/>
        <w:rPr>
          <w:sz w:val="22"/>
          <w:szCs w:val="22"/>
          <w:lang w:val="fr-CA"/>
        </w:rPr>
      </w:pPr>
    </w:p>
    <w:p w:rsidR="00A80BF1" w:rsidRDefault="00A80BF1" w:rsidP="00F86F61">
      <w:pPr>
        <w:jc w:val="both"/>
        <w:rPr>
          <w:i/>
          <w:sz w:val="22"/>
          <w:szCs w:val="22"/>
          <w:lang w:val="fr-CA"/>
        </w:rPr>
      </w:pPr>
      <w:r>
        <w:rPr>
          <w:i/>
          <w:sz w:val="22"/>
          <w:szCs w:val="22"/>
          <w:lang w:val="fr-CA"/>
        </w:rPr>
        <w:t>Résilience aux catastrophes</w:t>
      </w:r>
    </w:p>
    <w:p w:rsidR="00A80BF1" w:rsidRDefault="00A80BF1" w:rsidP="00F86F61">
      <w:pPr>
        <w:jc w:val="both"/>
        <w:rPr>
          <w:i/>
          <w:sz w:val="22"/>
          <w:szCs w:val="22"/>
          <w:lang w:val="fr-CA"/>
        </w:rPr>
      </w:pPr>
    </w:p>
    <w:p w:rsidR="00A80BF1" w:rsidRDefault="00A80BF1" w:rsidP="00F86F61">
      <w:pPr>
        <w:jc w:val="both"/>
        <w:rPr>
          <w:sz w:val="22"/>
          <w:szCs w:val="22"/>
          <w:lang w:val="fr-CA"/>
        </w:rPr>
      </w:pPr>
      <w:r>
        <w:rPr>
          <w:i/>
          <w:sz w:val="22"/>
          <w:szCs w:val="22"/>
          <w:lang w:val="fr-CA"/>
        </w:rPr>
        <w:tab/>
      </w:r>
      <w:r>
        <w:rPr>
          <w:sz w:val="22"/>
          <w:szCs w:val="22"/>
          <w:lang w:val="fr-CA"/>
        </w:rPr>
        <w:t>Le Cadre de Sendai pour la réduction des risques de catastrophes (2015-2030)</w:t>
      </w:r>
      <w:r>
        <w:rPr>
          <w:rStyle w:val="FootnoteReference"/>
          <w:sz w:val="22"/>
          <w:szCs w:val="22"/>
        </w:rPr>
        <w:footnoteReference w:id="3"/>
      </w:r>
      <w:r w:rsidR="009D4276">
        <w:rPr>
          <w:sz w:val="22"/>
          <w:szCs w:val="22"/>
          <w:lang w:val="fr-CA"/>
        </w:rPr>
        <w:t xml:space="preserve"> reconnaît </w:t>
      </w:r>
      <w:r w:rsidR="00556797">
        <w:rPr>
          <w:sz w:val="22"/>
          <w:szCs w:val="22"/>
          <w:lang w:val="fr-CA"/>
        </w:rPr>
        <w:t xml:space="preserve">que les pratiques de réduction des risques de catastrophes doivent être </w:t>
      </w:r>
      <w:r w:rsidR="00556797" w:rsidRPr="00556797">
        <w:rPr>
          <w:b/>
          <w:sz w:val="22"/>
          <w:szCs w:val="22"/>
          <w:lang w:val="fr-CA"/>
        </w:rPr>
        <w:t>multirisques, multisectorielles, exhaustives et accessibles</w:t>
      </w:r>
      <w:r w:rsidR="0082530E">
        <w:rPr>
          <w:b/>
          <w:sz w:val="22"/>
          <w:szCs w:val="22"/>
          <w:lang w:val="fr-CA"/>
        </w:rPr>
        <w:t xml:space="preserve">. </w:t>
      </w:r>
      <w:r w:rsidR="00556797">
        <w:rPr>
          <w:sz w:val="22"/>
          <w:szCs w:val="22"/>
          <w:lang w:val="fr-CA"/>
        </w:rPr>
        <w:t xml:space="preserve">Ces pratiques s’avèrent nécessaires afin d’être efficaces et efficients et </w:t>
      </w:r>
      <w:r w:rsidR="0082530E">
        <w:rPr>
          <w:sz w:val="22"/>
          <w:szCs w:val="22"/>
          <w:lang w:val="fr-CA"/>
        </w:rPr>
        <w:t xml:space="preserve">doivent englober </w:t>
      </w:r>
      <w:r w:rsidR="00556797">
        <w:rPr>
          <w:sz w:val="22"/>
          <w:szCs w:val="22"/>
          <w:lang w:val="fr-CA"/>
        </w:rPr>
        <w:t xml:space="preserve">toutes les parties prenantes pertinentes – y compris les entreprises, les associations professionnelles et les institutions financières du secteur privé – afin de relever les défis existants et d’être préparés pour les nouveaux défis en ciblant plus particulièrement le suivi, l’évaluation et la compréhension des risques de catastrophe et en mutualisant ces informations </w:t>
      </w:r>
      <w:r w:rsidR="008F2636">
        <w:rPr>
          <w:sz w:val="22"/>
          <w:szCs w:val="22"/>
          <w:lang w:val="fr-CA"/>
        </w:rPr>
        <w:t xml:space="preserve">et la manière dont elles ont été élaborées. Il est </w:t>
      </w:r>
      <w:r w:rsidR="00FE10AC">
        <w:rPr>
          <w:sz w:val="22"/>
          <w:szCs w:val="22"/>
          <w:lang w:val="fr-CA"/>
        </w:rPr>
        <w:t xml:space="preserve">également </w:t>
      </w:r>
      <w:r w:rsidR="008F2636">
        <w:rPr>
          <w:sz w:val="22"/>
          <w:szCs w:val="22"/>
          <w:lang w:val="fr-CA"/>
        </w:rPr>
        <w:t>important de renforcer la g</w:t>
      </w:r>
      <w:r w:rsidR="00FE10AC">
        <w:rPr>
          <w:sz w:val="22"/>
          <w:szCs w:val="22"/>
          <w:lang w:val="fr-CA"/>
        </w:rPr>
        <w:t xml:space="preserve">estion </w:t>
      </w:r>
      <w:r w:rsidR="008F2636">
        <w:rPr>
          <w:sz w:val="22"/>
          <w:szCs w:val="22"/>
          <w:lang w:val="fr-CA"/>
        </w:rPr>
        <w:t xml:space="preserve">et la coordination des risques de catastrophes entre les institutions et les secteurs concernés et d’incorporer la gestion des risques de catastrophes, notamment la continuité des activités, dans des modèles et des pratiques entrepreneuriales au moyen d’investissements </w:t>
      </w:r>
      <w:r w:rsidR="00FE10AC">
        <w:rPr>
          <w:sz w:val="22"/>
          <w:szCs w:val="22"/>
          <w:lang w:val="fr-CA"/>
        </w:rPr>
        <w:t xml:space="preserve">reposant sur des informations fiables au sujet des </w:t>
      </w:r>
      <w:r w:rsidR="008F2636">
        <w:rPr>
          <w:sz w:val="22"/>
          <w:szCs w:val="22"/>
          <w:lang w:val="fr-CA"/>
        </w:rPr>
        <w:t>risques de catastrophes, spécialement dans les micros, petites et moyennes entreprises. La bonne gouvernance est liée à la sauvegarde d</w:t>
      </w:r>
      <w:r w:rsidR="00FE10AC">
        <w:rPr>
          <w:sz w:val="22"/>
          <w:szCs w:val="22"/>
          <w:lang w:val="fr-CA"/>
        </w:rPr>
        <w:t xml:space="preserve">e l’état de droit </w:t>
      </w:r>
      <w:r w:rsidR="008F2636">
        <w:rPr>
          <w:sz w:val="22"/>
          <w:szCs w:val="22"/>
          <w:lang w:val="fr-CA"/>
        </w:rPr>
        <w:t xml:space="preserve">et des droits de propriété, ainsi qu’à la prestation de services publics efficaces </w:t>
      </w:r>
      <w:r w:rsidR="00FE10AC">
        <w:rPr>
          <w:sz w:val="22"/>
          <w:szCs w:val="22"/>
          <w:lang w:val="fr-CA"/>
        </w:rPr>
        <w:t xml:space="preserve">par l’intermédiaire d’une </w:t>
      </w:r>
      <w:r w:rsidR="008F2636">
        <w:rPr>
          <w:sz w:val="22"/>
          <w:szCs w:val="22"/>
          <w:lang w:val="fr-CA"/>
        </w:rPr>
        <w:t>a</w:t>
      </w:r>
      <w:r w:rsidR="00FE10AC">
        <w:rPr>
          <w:sz w:val="22"/>
          <w:szCs w:val="22"/>
          <w:lang w:val="fr-CA"/>
        </w:rPr>
        <w:t>utorité utilisant des mécani</w:t>
      </w:r>
      <w:r w:rsidR="003947F6">
        <w:rPr>
          <w:sz w:val="22"/>
          <w:szCs w:val="22"/>
          <w:lang w:val="fr-CA"/>
        </w:rPr>
        <w:t>smes, des processus et des institutions pour gérer les affaires du pays.</w:t>
      </w:r>
      <w:r w:rsidR="003947F6">
        <w:rPr>
          <w:rStyle w:val="FootnoteReference"/>
          <w:sz w:val="22"/>
          <w:szCs w:val="22"/>
        </w:rPr>
        <w:footnoteReference w:id="4"/>
      </w:r>
      <w:r w:rsidR="003947F6">
        <w:rPr>
          <w:sz w:val="22"/>
          <w:szCs w:val="22"/>
          <w:lang w:val="fr-CA"/>
        </w:rPr>
        <w:t xml:space="preserve"> Sans une bonne gouvernance, il sera plus probable que les chocs négatifs entraînent le chaos et des troubles </w:t>
      </w:r>
      <w:r w:rsidR="00475EAC">
        <w:rPr>
          <w:sz w:val="22"/>
          <w:szCs w:val="22"/>
          <w:lang w:val="fr-CA"/>
        </w:rPr>
        <w:t>éc</w:t>
      </w:r>
      <w:r w:rsidR="003947F6">
        <w:rPr>
          <w:sz w:val="22"/>
          <w:szCs w:val="22"/>
          <w:lang w:val="fr-CA"/>
        </w:rPr>
        <w:t>onomique</w:t>
      </w:r>
      <w:r w:rsidR="00475EAC">
        <w:rPr>
          <w:sz w:val="22"/>
          <w:szCs w:val="22"/>
          <w:lang w:val="fr-CA"/>
        </w:rPr>
        <w:t>s</w:t>
      </w:r>
      <w:r w:rsidR="003947F6">
        <w:rPr>
          <w:sz w:val="22"/>
          <w:szCs w:val="22"/>
          <w:lang w:val="fr-CA"/>
        </w:rPr>
        <w:t xml:space="preserve"> et socia</w:t>
      </w:r>
      <w:r w:rsidR="00475EAC">
        <w:rPr>
          <w:sz w:val="22"/>
          <w:szCs w:val="22"/>
          <w:lang w:val="fr-CA"/>
        </w:rPr>
        <w:t>ux</w:t>
      </w:r>
      <w:r w:rsidR="003947F6">
        <w:rPr>
          <w:sz w:val="22"/>
          <w:szCs w:val="22"/>
          <w:lang w:val="fr-CA"/>
        </w:rPr>
        <w:t xml:space="preserve">, ce </w:t>
      </w:r>
      <w:r w:rsidR="003947F6">
        <w:rPr>
          <w:sz w:val="22"/>
          <w:szCs w:val="22"/>
          <w:lang w:val="fr-CA"/>
        </w:rPr>
        <w:lastRenderedPageBreak/>
        <w:t>qui</w:t>
      </w:r>
      <w:r w:rsidR="00475EAC">
        <w:rPr>
          <w:sz w:val="22"/>
          <w:szCs w:val="22"/>
          <w:lang w:val="fr-CA"/>
        </w:rPr>
        <w:t>, de ce fait,</w:t>
      </w:r>
      <w:r w:rsidR="003947F6">
        <w:rPr>
          <w:sz w:val="22"/>
          <w:szCs w:val="22"/>
          <w:lang w:val="fr-CA"/>
        </w:rPr>
        <w:t xml:space="preserve"> exacerbera les effets de la vulnérabilité économique. </w:t>
      </w:r>
      <w:r w:rsidR="0082530E">
        <w:rPr>
          <w:sz w:val="22"/>
          <w:szCs w:val="22"/>
          <w:lang w:val="fr-CA"/>
        </w:rPr>
        <w:t xml:space="preserve">À l’inverse, </w:t>
      </w:r>
      <w:r w:rsidR="003947F6">
        <w:rPr>
          <w:sz w:val="22"/>
          <w:szCs w:val="22"/>
          <w:lang w:val="fr-CA"/>
        </w:rPr>
        <w:t xml:space="preserve">la bonne gouvernance peut renforcer la résilience de l’économie étant donné que les chocs extérieurs seront mieux absorbés et </w:t>
      </w:r>
      <w:r w:rsidR="00475EAC">
        <w:rPr>
          <w:sz w:val="22"/>
          <w:szCs w:val="22"/>
          <w:lang w:val="fr-CA"/>
        </w:rPr>
        <w:t xml:space="preserve">mieux </w:t>
      </w:r>
      <w:r w:rsidR="003947F6">
        <w:rPr>
          <w:sz w:val="22"/>
          <w:szCs w:val="22"/>
          <w:lang w:val="fr-CA"/>
        </w:rPr>
        <w:t>contrés dans un climat de lois pré</w:t>
      </w:r>
      <w:r w:rsidR="00C11A80">
        <w:rPr>
          <w:sz w:val="22"/>
          <w:szCs w:val="22"/>
          <w:lang w:val="fr-CA"/>
        </w:rPr>
        <w:t>v</w:t>
      </w:r>
      <w:r w:rsidR="003947F6">
        <w:rPr>
          <w:sz w:val="22"/>
          <w:szCs w:val="22"/>
          <w:lang w:val="fr-CA"/>
        </w:rPr>
        <w:t>isibles</w:t>
      </w:r>
      <w:r w:rsidR="00C11A80">
        <w:rPr>
          <w:sz w:val="22"/>
          <w:szCs w:val="22"/>
          <w:lang w:val="fr-CA"/>
        </w:rPr>
        <w:t xml:space="preserve"> et de politiques fiables.</w:t>
      </w:r>
    </w:p>
    <w:p w:rsidR="009C43F2" w:rsidRDefault="009C43F2" w:rsidP="00F86F61">
      <w:pPr>
        <w:jc w:val="both"/>
        <w:rPr>
          <w:sz w:val="22"/>
          <w:szCs w:val="22"/>
          <w:lang w:val="fr-CA"/>
        </w:rPr>
      </w:pPr>
    </w:p>
    <w:p w:rsidR="00EF68C8" w:rsidRDefault="009C43F2" w:rsidP="00F86F61">
      <w:pPr>
        <w:jc w:val="both"/>
        <w:rPr>
          <w:sz w:val="22"/>
          <w:szCs w:val="22"/>
          <w:lang w:val="fr-CA"/>
        </w:rPr>
      </w:pPr>
      <w:r>
        <w:rPr>
          <w:sz w:val="22"/>
          <w:szCs w:val="22"/>
          <w:lang w:val="fr-CA"/>
        </w:rPr>
        <w:tab/>
        <w:t>Les faits ont montré que</w:t>
      </w:r>
      <w:r w:rsidR="0082530E">
        <w:rPr>
          <w:sz w:val="22"/>
          <w:szCs w:val="22"/>
          <w:lang w:val="fr-CA"/>
        </w:rPr>
        <w:t>, en matière de résilience,</w:t>
      </w:r>
      <w:r>
        <w:rPr>
          <w:sz w:val="22"/>
          <w:szCs w:val="22"/>
          <w:lang w:val="fr-CA"/>
        </w:rPr>
        <w:t xml:space="preserve"> les évaluations et les stratégies à grande échelle et </w:t>
      </w:r>
      <w:r w:rsidR="0082530E">
        <w:rPr>
          <w:sz w:val="22"/>
          <w:szCs w:val="22"/>
          <w:lang w:val="fr-CA"/>
        </w:rPr>
        <w:t xml:space="preserve">ayant une </w:t>
      </w:r>
      <w:r>
        <w:rPr>
          <w:sz w:val="22"/>
          <w:szCs w:val="22"/>
          <w:lang w:val="fr-CA"/>
        </w:rPr>
        <w:t>approche descendante sont désormais aussi efficace</w:t>
      </w:r>
      <w:r w:rsidR="00BC05A0">
        <w:rPr>
          <w:sz w:val="22"/>
          <w:szCs w:val="22"/>
          <w:lang w:val="fr-CA"/>
        </w:rPr>
        <w:t>s</w:t>
      </w:r>
      <w:r>
        <w:rPr>
          <w:sz w:val="22"/>
          <w:szCs w:val="22"/>
          <w:lang w:val="fr-CA"/>
        </w:rPr>
        <w:t xml:space="preserve"> que les approches participatives, basées sur les communautés et ascendantes. C’est pourquoi, l’OEA préconise l’adoption d’une approche </w:t>
      </w:r>
      <w:r w:rsidR="00BC05A0">
        <w:rPr>
          <w:sz w:val="22"/>
          <w:szCs w:val="22"/>
          <w:lang w:val="fr-CA"/>
        </w:rPr>
        <w:t xml:space="preserve">de la résilience </w:t>
      </w:r>
      <w:r>
        <w:rPr>
          <w:sz w:val="22"/>
          <w:szCs w:val="22"/>
          <w:lang w:val="fr-CA"/>
        </w:rPr>
        <w:t>englobant toute la communauté</w:t>
      </w:r>
      <w:r w:rsidR="00BC05A0">
        <w:rPr>
          <w:sz w:val="22"/>
          <w:szCs w:val="22"/>
          <w:lang w:val="fr-CA"/>
        </w:rPr>
        <w:t xml:space="preserve">, qui </w:t>
      </w:r>
      <w:r w:rsidR="00EF68C8">
        <w:rPr>
          <w:sz w:val="22"/>
          <w:szCs w:val="22"/>
          <w:lang w:val="fr-CA"/>
        </w:rPr>
        <w:t>fa</w:t>
      </w:r>
      <w:r w:rsidR="0082530E">
        <w:rPr>
          <w:sz w:val="22"/>
          <w:szCs w:val="22"/>
          <w:lang w:val="fr-CA"/>
        </w:rPr>
        <w:t>sse</w:t>
      </w:r>
      <w:r w:rsidR="00EF68C8">
        <w:rPr>
          <w:sz w:val="22"/>
          <w:szCs w:val="22"/>
          <w:lang w:val="fr-CA"/>
        </w:rPr>
        <w:t xml:space="preserve"> intervenir, entre autres, les gouvernements nationaux et territoriaux, le secteur privé, les milieux universitaires et les organisations communautaires.</w:t>
      </w:r>
    </w:p>
    <w:p w:rsidR="00EF68C8" w:rsidRDefault="00EF68C8" w:rsidP="00F86F61">
      <w:pPr>
        <w:jc w:val="both"/>
        <w:rPr>
          <w:sz w:val="22"/>
          <w:szCs w:val="22"/>
          <w:lang w:val="fr-CA"/>
        </w:rPr>
      </w:pPr>
    </w:p>
    <w:p w:rsidR="000F69DE" w:rsidRDefault="00EF68C8" w:rsidP="00F86F61">
      <w:pPr>
        <w:jc w:val="both"/>
        <w:rPr>
          <w:sz w:val="22"/>
          <w:szCs w:val="22"/>
          <w:lang w:val="fr-CA"/>
        </w:rPr>
      </w:pPr>
      <w:r>
        <w:rPr>
          <w:sz w:val="22"/>
          <w:szCs w:val="22"/>
          <w:lang w:val="fr-CA"/>
        </w:rPr>
        <w:tab/>
        <w:t xml:space="preserve">La résilience aux catastrophes est un impératif pour les États membres de l’OEA. Par exemple, étant donné le caractère compétitif du secteur touristique dont </w:t>
      </w:r>
      <w:r w:rsidR="00BC05A0">
        <w:rPr>
          <w:sz w:val="22"/>
          <w:szCs w:val="22"/>
          <w:lang w:val="fr-CA"/>
        </w:rPr>
        <w:t xml:space="preserve">tous les pays </w:t>
      </w:r>
      <w:r>
        <w:rPr>
          <w:sz w:val="22"/>
          <w:szCs w:val="22"/>
          <w:lang w:val="fr-CA"/>
        </w:rPr>
        <w:t xml:space="preserve">dépendent, il y a souvent un écart entre la vitesse de reconstruction des </w:t>
      </w:r>
      <w:r w:rsidR="00D270DF">
        <w:rPr>
          <w:sz w:val="22"/>
          <w:szCs w:val="22"/>
          <w:lang w:val="fr-CA"/>
        </w:rPr>
        <w:t xml:space="preserve">biens immobiliers </w:t>
      </w:r>
      <w:r>
        <w:rPr>
          <w:sz w:val="22"/>
          <w:szCs w:val="22"/>
          <w:lang w:val="fr-CA"/>
        </w:rPr>
        <w:t xml:space="preserve">endommagés </w:t>
      </w:r>
      <w:r w:rsidR="00D270DF">
        <w:rPr>
          <w:sz w:val="22"/>
          <w:szCs w:val="22"/>
          <w:lang w:val="fr-CA"/>
        </w:rPr>
        <w:t xml:space="preserve">et </w:t>
      </w:r>
      <w:r w:rsidR="00BC05A0">
        <w:rPr>
          <w:sz w:val="22"/>
          <w:szCs w:val="22"/>
          <w:lang w:val="fr-CA"/>
        </w:rPr>
        <w:t>d</w:t>
      </w:r>
      <w:r w:rsidR="00D270DF">
        <w:rPr>
          <w:sz w:val="22"/>
          <w:szCs w:val="22"/>
          <w:lang w:val="fr-CA"/>
        </w:rPr>
        <w:t>es infrastructures sociales et économique</w:t>
      </w:r>
      <w:r w:rsidR="00BC05A0">
        <w:rPr>
          <w:sz w:val="22"/>
          <w:szCs w:val="22"/>
          <w:lang w:val="fr-CA"/>
        </w:rPr>
        <w:t>s</w:t>
      </w:r>
      <w:r w:rsidR="00D270DF">
        <w:rPr>
          <w:sz w:val="22"/>
          <w:szCs w:val="22"/>
          <w:lang w:val="fr-CA"/>
        </w:rPr>
        <w:t xml:space="preserve"> et la vitesse de relance </w:t>
      </w:r>
      <w:r w:rsidR="00BC05A0">
        <w:rPr>
          <w:sz w:val="22"/>
          <w:szCs w:val="22"/>
          <w:lang w:val="fr-CA"/>
        </w:rPr>
        <w:t xml:space="preserve">après la catastrophe </w:t>
      </w:r>
      <w:r w:rsidR="000F69DE">
        <w:rPr>
          <w:sz w:val="22"/>
          <w:szCs w:val="22"/>
          <w:lang w:val="fr-CA"/>
        </w:rPr>
        <w:t xml:space="preserve">du secteur industriel car les entreprises ont tendance à </w:t>
      </w:r>
      <w:r w:rsidR="00C609E2">
        <w:rPr>
          <w:sz w:val="22"/>
          <w:szCs w:val="22"/>
          <w:lang w:val="fr-CA"/>
        </w:rPr>
        <w:t xml:space="preserve">aller </w:t>
      </w:r>
      <w:r w:rsidR="00BC05A0">
        <w:rPr>
          <w:sz w:val="22"/>
          <w:szCs w:val="22"/>
          <w:lang w:val="fr-CA"/>
        </w:rPr>
        <w:t xml:space="preserve">s’établir </w:t>
      </w:r>
      <w:r w:rsidR="000F69DE">
        <w:rPr>
          <w:sz w:val="22"/>
          <w:szCs w:val="22"/>
          <w:lang w:val="fr-CA"/>
        </w:rPr>
        <w:t xml:space="preserve">ailleurs. La récupération du marché des actions exige souvent que les biens immobiliers et les destinations </w:t>
      </w:r>
      <w:r w:rsidR="006D15CB">
        <w:rPr>
          <w:sz w:val="22"/>
          <w:szCs w:val="22"/>
          <w:lang w:val="fr-CA"/>
        </w:rPr>
        <w:t xml:space="preserve">sinistrées </w:t>
      </w:r>
      <w:r w:rsidR="000F69DE">
        <w:rPr>
          <w:sz w:val="22"/>
          <w:szCs w:val="22"/>
          <w:lang w:val="fr-CA"/>
        </w:rPr>
        <w:t>qui sont déjà à court d’argent investissent dans de coûteuses campagnes de marketing sur les marchés émetteurs. Invariablement, les biens immobiliers et les destinations qui n’ont pas été touchées par le passage d’un ouragan sont indirectement affectés par la perception</w:t>
      </w:r>
      <w:r w:rsidR="006D15CB">
        <w:rPr>
          <w:sz w:val="22"/>
          <w:szCs w:val="22"/>
          <w:lang w:val="fr-CA"/>
        </w:rPr>
        <w:t>,</w:t>
      </w:r>
      <w:r w:rsidR="000F69DE">
        <w:rPr>
          <w:sz w:val="22"/>
          <w:szCs w:val="22"/>
          <w:lang w:val="fr-CA"/>
        </w:rPr>
        <w:t xml:space="preserve"> sur les marchés émetteurs</w:t>
      </w:r>
      <w:r w:rsidR="006D15CB">
        <w:rPr>
          <w:sz w:val="22"/>
          <w:szCs w:val="22"/>
          <w:lang w:val="fr-CA"/>
        </w:rPr>
        <w:t>,</w:t>
      </w:r>
      <w:r w:rsidR="000F69DE">
        <w:rPr>
          <w:sz w:val="22"/>
          <w:szCs w:val="22"/>
          <w:lang w:val="fr-CA"/>
        </w:rPr>
        <w:t xml:space="preserve"> que la région toute entière n’est pas sûre. </w:t>
      </w:r>
    </w:p>
    <w:p w:rsidR="000F69DE" w:rsidRDefault="000F69DE" w:rsidP="00F86F61">
      <w:pPr>
        <w:jc w:val="both"/>
        <w:rPr>
          <w:sz w:val="22"/>
          <w:szCs w:val="22"/>
          <w:lang w:val="fr-CA"/>
        </w:rPr>
      </w:pPr>
    </w:p>
    <w:p w:rsidR="0058567B" w:rsidRDefault="000F69DE" w:rsidP="00F86F61">
      <w:pPr>
        <w:jc w:val="both"/>
        <w:rPr>
          <w:sz w:val="22"/>
          <w:szCs w:val="22"/>
          <w:lang w:val="fr-CA"/>
        </w:rPr>
      </w:pPr>
      <w:r>
        <w:rPr>
          <w:sz w:val="22"/>
          <w:szCs w:val="22"/>
          <w:lang w:val="fr-CA"/>
        </w:rPr>
        <w:tab/>
        <w:t>Enfin, les chocs sociaux, politiques, environnementaux ou économiques associés aux catastrophes</w:t>
      </w:r>
      <w:r w:rsidR="00C609E2">
        <w:rPr>
          <w:sz w:val="22"/>
          <w:szCs w:val="22"/>
          <w:lang w:val="fr-CA"/>
        </w:rPr>
        <w:t>,</w:t>
      </w:r>
      <w:r>
        <w:rPr>
          <w:sz w:val="22"/>
          <w:szCs w:val="22"/>
          <w:lang w:val="fr-CA"/>
        </w:rPr>
        <w:t xml:space="preserve"> qu</w:t>
      </w:r>
      <w:r w:rsidR="00C609E2">
        <w:rPr>
          <w:sz w:val="22"/>
          <w:szCs w:val="22"/>
          <w:lang w:val="fr-CA"/>
        </w:rPr>
        <w:t xml:space="preserve">e celles-ci </w:t>
      </w:r>
      <w:r>
        <w:rPr>
          <w:sz w:val="22"/>
          <w:szCs w:val="22"/>
          <w:lang w:val="fr-CA"/>
        </w:rPr>
        <w:t>soient à développement lent ou rapide</w:t>
      </w:r>
      <w:r w:rsidR="00C609E2">
        <w:rPr>
          <w:sz w:val="22"/>
          <w:szCs w:val="22"/>
          <w:lang w:val="fr-CA"/>
        </w:rPr>
        <w:t>,</w:t>
      </w:r>
      <w:r w:rsidR="0058567B">
        <w:rPr>
          <w:sz w:val="22"/>
          <w:szCs w:val="22"/>
          <w:lang w:val="fr-CA"/>
        </w:rPr>
        <w:t xml:space="preserve"> affectent négativement le bien-être des populations, notamment leur santé et leurs modes de vie et</w:t>
      </w:r>
      <w:r w:rsidR="006D15CB">
        <w:rPr>
          <w:sz w:val="22"/>
          <w:szCs w:val="22"/>
          <w:lang w:val="fr-CA"/>
        </w:rPr>
        <w:t>,</w:t>
      </w:r>
      <w:r w:rsidR="0058567B">
        <w:rPr>
          <w:sz w:val="22"/>
          <w:szCs w:val="22"/>
          <w:lang w:val="fr-CA"/>
        </w:rPr>
        <w:t xml:space="preserve"> d’une manière plus générale</w:t>
      </w:r>
      <w:r w:rsidR="006D15CB">
        <w:rPr>
          <w:sz w:val="22"/>
          <w:szCs w:val="22"/>
          <w:lang w:val="fr-CA"/>
        </w:rPr>
        <w:t>,</w:t>
      </w:r>
      <w:r w:rsidR="0058567B">
        <w:rPr>
          <w:sz w:val="22"/>
          <w:szCs w:val="22"/>
          <w:lang w:val="fr-CA"/>
        </w:rPr>
        <w:t xml:space="preserve"> leur capacité à </w:t>
      </w:r>
      <w:r w:rsidR="006D15CB">
        <w:rPr>
          <w:sz w:val="22"/>
          <w:szCs w:val="22"/>
          <w:lang w:val="fr-CA"/>
        </w:rPr>
        <w:t>r</w:t>
      </w:r>
      <w:r w:rsidR="0058567B">
        <w:rPr>
          <w:sz w:val="22"/>
          <w:szCs w:val="22"/>
          <w:lang w:val="fr-CA"/>
        </w:rPr>
        <w:t>éagir et à s’adapter.</w:t>
      </w:r>
    </w:p>
    <w:p w:rsidR="0058567B" w:rsidRDefault="0058567B" w:rsidP="00F86F61">
      <w:pPr>
        <w:jc w:val="both"/>
        <w:rPr>
          <w:sz w:val="22"/>
          <w:szCs w:val="22"/>
          <w:lang w:val="fr-CA"/>
        </w:rPr>
      </w:pPr>
    </w:p>
    <w:p w:rsidR="0058567B" w:rsidRDefault="0058567B" w:rsidP="00F86F61">
      <w:pPr>
        <w:jc w:val="both"/>
        <w:rPr>
          <w:sz w:val="22"/>
          <w:szCs w:val="22"/>
          <w:lang w:val="fr-CA"/>
        </w:rPr>
      </w:pPr>
      <w:r>
        <w:rPr>
          <w:sz w:val="22"/>
          <w:szCs w:val="22"/>
          <w:lang w:val="fr-CA"/>
        </w:rPr>
        <w:tab/>
        <w:t xml:space="preserve">Les technologies de l’information et de la communication qui se développent rapidement peuvent mettre les gouvernements et les citoyens en mesure de devenir plus résilients et </w:t>
      </w:r>
      <w:r w:rsidR="001418C3">
        <w:rPr>
          <w:sz w:val="22"/>
          <w:szCs w:val="22"/>
          <w:lang w:val="fr-CA"/>
        </w:rPr>
        <w:t>de</w:t>
      </w:r>
      <w:r>
        <w:rPr>
          <w:sz w:val="22"/>
          <w:szCs w:val="22"/>
          <w:lang w:val="fr-CA"/>
        </w:rPr>
        <w:t xml:space="preserve"> participer plus efficacement aux prises de décisions au</w:t>
      </w:r>
      <w:r w:rsidR="001418C3">
        <w:rPr>
          <w:sz w:val="22"/>
          <w:szCs w:val="22"/>
          <w:lang w:val="fr-CA"/>
        </w:rPr>
        <w:t>x</w:t>
      </w:r>
      <w:r>
        <w:rPr>
          <w:sz w:val="22"/>
          <w:szCs w:val="22"/>
          <w:lang w:val="fr-CA"/>
        </w:rPr>
        <w:t xml:space="preserve"> niveau</w:t>
      </w:r>
      <w:r w:rsidR="001418C3">
        <w:rPr>
          <w:sz w:val="22"/>
          <w:szCs w:val="22"/>
          <w:lang w:val="fr-CA"/>
        </w:rPr>
        <w:t>x</w:t>
      </w:r>
      <w:r>
        <w:rPr>
          <w:sz w:val="22"/>
          <w:szCs w:val="22"/>
          <w:lang w:val="fr-CA"/>
        </w:rPr>
        <w:t xml:space="preserve"> des </w:t>
      </w:r>
      <w:r w:rsidR="001418C3">
        <w:rPr>
          <w:sz w:val="22"/>
          <w:szCs w:val="22"/>
          <w:lang w:val="fr-CA"/>
        </w:rPr>
        <w:t xml:space="preserve">ménages et </w:t>
      </w:r>
      <w:r>
        <w:rPr>
          <w:sz w:val="22"/>
          <w:szCs w:val="22"/>
          <w:lang w:val="fr-CA"/>
        </w:rPr>
        <w:t xml:space="preserve">des communautés </w:t>
      </w:r>
      <w:r w:rsidR="001418C3">
        <w:rPr>
          <w:sz w:val="22"/>
          <w:szCs w:val="22"/>
          <w:lang w:val="fr-CA"/>
        </w:rPr>
        <w:t>ainsi qu’</w:t>
      </w:r>
      <w:r>
        <w:rPr>
          <w:sz w:val="22"/>
          <w:szCs w:val="22"/>
          <w:lang w:val="fr-CA"/>
        </w:rPr>
        <w:t xml:space="preserve">aux niveaux national et territorial </w:t>
      </w:r>
      <w:r w:rsidR="001418C3">
        <w:rPr>
          <w:sz w:val="22"/>
          <w:szCs w:val="22"/>
          <w:lang w:val="fr-CA"/>
        </w:rPr>
        <w:t xml:space="preserve">moyennant </w:t>
      </w:r>
      <w:r>
        <w:rPr>
          <w:sz w:val="22"/>
          <w:szCs w:val="22"/>
          <w:lang w:val="fr-CA"/>
        </w:rPr>
        <w:t>l’accès à de</w:t>
      </w:r>
      <w:r w:rsidR="001418C3">
        <w:rPr>
          <w:sz w:val="22"/>
          <w:szCs w:val="22"/>
          <w:lang w:val="fr-CA"/>
        </w:rPr>
        <w:t>s</w:t>
      </w:r>
      <w:r>
        <w:rPr>
          <w:sz w:val="22"/>
          <w:szCs w:val="22"/>
          <w:lang w:val="fr-CA"/>
        </w:rPr>
        <w:t xml:space="preserve"> informations </w:t>
      </w:r>
      <w:r w:rsidR="001418C3">
        <w:rPr>
          <w:sz w:val="22"/>
          <w:szCs w:val="22"/>
          <w:lang w:val="fr-CA"/>
        </w:rPr>
        <w:t xml:space="preserve">très complètes </w:t>
      </w:r>
      <w:r>
        <w:rPr>
          <w:sz w:val="22"/>
          <w:szCs w:val="22"/>
          <w:lang w:val="fr-CA"/>
        </w:rPr>
        <w:t xml:space="preserve">en temps réel pour la gestion des risques (et </w:t>
      </w:r>
      <w:r w:rsidR="001418C3">
        <w:rPr>
          <w:sz w:val="22"/>
          <w:szCs w:val="22"/>
          <w:lang w:val="fr-CA"/>
        </w:rPr>
        <w:t xml:space="preserve">elles </w:t>
      </w:r>
      <w:r>
        <w:rPr>
          <w:sz w:val="22"/>
          <w:szCs w:val="22"/>
          <w:lang w:val="fr-CA"/>
        </w:rPr>
        <w:t>améliorent également la diffusion de données dans les régions où celles-ci sont rares)</w:t>
      </w:r>
      <w:r>
        <w:rPr>
          <w:rStyle w:val="FootnoteReference"/>
          <w:sz w:val="22"/>
          <w:szCs w:val="22"/>
        </w:rPr>
        <w:footnoteReference w:id="5"/>
      </w:r>
      <w:r>
        <w:rPr>
          <w:sz w:val="22"/>
          <w:szCs w:val="22"/>
          <w:lang w:val="fr-CA"/>
        </w:rPr>
        <w:t>.</w:t>
      </w:r>
    </w:p>
    <w:p w:rsidR="0058567B" w:rsidRDefault="0058567B" w:rsidP="00F86F61">
      <w:pPr>
        <w:jc w:val="both"/>
        <w:rPr>
          <w:sz w:val="22"/>
          <w:szCs w:val="22"/>
          <w:lang w:val="fr-CA"/>
        </w:rPr>
      </w:pPr>
    </w:p>
    <w:p w:rsidR="00C82A01" w:rsidRDefault="0058567B" w:rsidP="0058567B">
      <w:pPr>
        <w:ind w:firstLine="720"/>
        <w:jc w:val="both"/>
        <w:rPr>
          <w:sz w:val="22"/>
          <w:szCs w:val="22"/>
          <w:lang w:val="fr-CA"/>
        </w:rPr>
      </w:pPr>
      <w:r>
        <w:rPr>
          <w:sz w:val="22"/>
          <w:szCs w:val="22"/>
          <w:lang w:val="fr-CA"/>
        </w:rPr>
        <w:t>Mais, comme la pandémie l’a montré, malgré la disponibilité croissante d’outils destinés à informer les décideurs « la surprise semble être la nouvelle normalité »</w:t>
      </w:r>
      <w:r w:rsidR="008443A4">
        <w:rPr>
          <w:sz w:val="22"/>
          <w:szCs w:val="22"/>
          <w:lang w:val="fr-CA"/>
        </w:rPr>
        <w:t>. Dans sa dernière publication phare, le GAR19</w:t>
      </w:r>
      <w:r w:rsidR="008443A4">
        <w:rPr>
          <w:rStyle w:val="FootnoteReference"/>
          <w:sz w:val="22"/>
          <w:szCs w:val="22"/>
        </w:rPr>
        <w:footnoteReference w:id="6"/>
      </w:r>
      <w:r w:rsidR="008443A4">
        <w:rPr>
          <w:sz w:val="22"/>
          <w:szCs w:val="22"/>
          <w:lang w:val="fr-CA"/>
        </w:rPr>
        <w:t xml:space="preserve">, le Bureau des Nations Unies pour la réduction des risques de catastrophes a été prémonitoire : </w:t>
      </w:r>
      <w:r w:rsidR="00C82A01">
        <w:rPr>
          <w:sz w:val="22"/>
          <w:szCs w:val="22"/>
          <w:lang w:val="fr-CA"/>
        </w:rPr>
        <w:t>Ironiquement, en cette ère des données, de l’information et de la connectivité, même si nous sommes capables de quantifier davantage ce qui auparavant était incertain, il est visible qu’il y a bien plus de choses que nous ne savons pas. De nouveaux risques et de nouvelles corrélations surgissent d’une manière que nous n’avions pas anticipée. Des menaces qui</w:t>
      </w:r>
      <w:r w:rsidR="00C609E2">
        <w:rPr>
          <w:sz w:val="22"/>
          <w:szCs w:val="22"/>
          <w:lang w:val="fr-CA"/>
        </w:rPr>
        <w:t>,</w:t>
      </w:r>
      <w:r w:rsidR="00C82A01">
        <w:rPr>
          <w:sz w:val="22"/>
          <w:szCs w:val="22"/>
          <w:lang w:val="fr-CA"/>
        </w:rPr>
        <w:t xml:space="preserve"> par le passé</w:t>
      </w:r>
      <w:r w:rsidR="00C609E2">
        <w:rPr>
          <w:sz w:val="22"/>
          <w:szCs w:val="22"/>
          <w:lang w:val="fr-CA"/>
        </w:rPr>
        <w:t>,</w:t>
      </w:r>
      <w:r w:rsidR="00C82A01">
        <w:rPr>
          <w:sz w:val="22"/>
          <w:szCs w:val="22"/>
          <w:lang w:val="fr-CA"/>
        </w:rPr>
        <w:t xml:space="preserve"> étaient considérées comme inconcevables, ne le sont plus.</w:t>
      </w:r>
    </w:p>
    <w:p w:rsidR="00C82A01" w:rsidRDefault="00C82A01" w:rsidP="0058567B">
      <w:pPr>
        <w:ind w:firstLine="720"/>
        <w:jc w:val="both"/>
        <w:rPr>
          <w:sz w:val="22"/>
          <w:szCs w:val="22"/>
          <w:lang w:val="fr-CA"/>
        </w:rPr>
      </w:pPr>
    </w:p>
    <w:p w:rsidR="008F24DC" w:rsidRDefault="00C609E2" w:rsidP="0058567B">
      <w:pPr>
        <w:ind w:firstLine="720"/>
        <w:jc w:val="both"/>
        <w:rPr>
          <w:sz w:val="22"/>
          <w:szCs w:val="22"/>
          <w:lang w:val="fr-CA"/>
        </w:rPr>
      </w:pPr>
      <w:r>
        <w:rPr>
          <w:sz w:val="22"/>
          <w:szCs w:val="22"/>
          <w:lang w:val="fr-CA"/>
        </w:rPr>
        <w:lastRenderedPageBreak/>
        <w:t>D</w:t>
      </w:r>
      <w:r w:rsidR="00C82A01">
        <w:rPr>
          <w:sz w:val="22"/>
          <w:szCs w:val="22"/>
          <w:lang w:val="fr-CA"/>
        </w:rPr>
        <w:t xml:space="preserve">ans ce contexte, les stratégies et les plans doivent pouvoir inclure des ajustements en temps réel qui anticipent et répondent aux changements </w:t>
      </w:r>
      <w:r w:rsidR="008F24DC">
        <w:rPr>
          <w:sz w:val="22"/>
          <w:szCs w:val="22"/>
          <w:lang w:val="fr-CA"/>
        </w:rPr>
        <w:t xml:space="preserve">lorsqu’on </w:t>
      </w:r>
      <w:r w:rsidR="00C82A01">
        <w:rPr>
          <w:sz w:val="22"/>
          <w:szCs w:val="22"/>
          <w:lang w:val="fr-CA"/>
        </w:rPr>
        <w:t xml:space="preserve">recherche </w:t>
      </w:r>
      <w:r w:rsidR="008F24DC">
        <w:rPr>
          <w:sz w:val="22"/>
          <w:szCs w:val="22"/>
          <w:lang w:val="fr-CA"/>
        </w:rPr>
        <w:t>avec adaptabilité et souplesse l’</w:t>
      </w:r>
      <w:r w:rsidR="00C82A01">
        <w:rPr>
          <w:sz w:val="22"/>
          <w:szCs w:val="22"/>
          <w:lang w:val="fr-CA"/>
        </w:rPr>
        <w:t>activité économique et le développement durable</w:t>
      </w:r>
      <w:r w:rsidR="008F24DC">
        <w:rPr>
          <w:sz w:val="22"/>
          <w:szCs w:val="22"/>
          <w:lang w:val="fr-CA"/>
        </w:rPr>
        <w:t xml:space="preserve">. Ceci signifie </w:t>
      </w:r>
      <w:r>
        <w:rPr>
          <w:sz w:val="22"/>
          <w:szCs w:val="22"/>
          <w:lang w:val="fr-CA"/>
        </w:rPr>
        <w:t xml:space="preserve">disposer </w:t>
      </w:r>
      <w:r w:rsidR="008F24DC">
        <w:rPr>
          <w:sz w:val="22"/>
          <w:szCs w:val="22"/>
          <w:lang w:val="fr-CA"/>
        </w:rPr>
        <w:t xml:space="preserve">de cadres de planification capables de s’adapter et d’anticiper qui s’efforcent d’identifier les facteurs de risques au sein des systèmes afin de prévenir les risques et d’en atténuer les effets et permettent aux exécutants de réagir rapidement.  </w:t>
      </w:r>
    </w:p>
    <w:p w:rsidR="008F24DC" w:rsidRDefault="008F24DC" w:rsidP="00AF0068">
      <w:pPr>
        <w:jc w:val="both"/>
        <w:rPr>
          <w:sz w:val="22"/>
          <w:szCs w:val="22"/>
          <w:lang w:val="fr-CA"/>
        </w:rPr>
      </w:pPr>
    </w:p>
    <w:p w:rsidR="008F24DC" w:rsidRDefault="008F24DC" w:rsidP="008F24DC">
      <w:pPr>
        <w:jc w:val="both"/>
        <w:rPr>
          <w:b/>
          <w:sz w:val="22"/>
          <w:szCs w:val="22"/>
          <w:lang w:val="fr-CA"/>
        </w:rPr>
      </w:pPr>
      <w:r>
        <w:rPr>
          <w:b/>
          <w:sz w:val="22"/>
          <w:szCs w:val="22"/>
          <w:lang w:val="fr-CA"/>
        </w:rPr>
        <w:t xml:space="preserve">Résilience sociale </w:t>
      </w:r>
    </w:p>
    <w:p w:rsidR="008F24DC" w:rsidRDefault="008F24DC" w:rsidP="008F24DC">
      <w:pPr>
        <w:jc w:val="both"/>
        <w:rPr>
          <w:b/>
          <w:sz w:val="22"/>
          <w:szCs w:val="22"/>
          <w:lang w:val="fr-CA"/>
        </w:rPr>
      </w:pPr>
    </w:p>
    <w:p w:rsidR="007412C2" w:rsidRDefault="008F24DC" w:rsidP="0058567B">
      <w:pPr>
        <w:ind w:firstLine="720"/>
        <w:jc w:val="both"/>
        <w:rPr>
          <w:sz w:val="22"/>
          <w:szCs w:val="22"/>
          <w:lang w:val="fr-CA"/>
        </w:rPr>
      </w:pPr>
      <w:r>
        <w:rPr>
          <w:sz w:val="22"/>
          <w:szCs w:val="22"/>
          <w:lang w:val="fr-CA"/>
        </w:rPr>
        <w:t xml:space="preserve">Le développement social de même que la cohésion sociale sont considérés comme des éléments fondamentaux de la résilience économique et environnementale. Ils indiquent le degré auquel : (i) </w:t>
      </w:r>
      <w:r w:rsidR="007412C2">
        <w:rPr>
          <w:sz w:val="22"/>
          <w:szCs w:val="22"/>
          <w:lang w:val="fr-CA"/>
        </w:rPr>
        <w:t xml:space="preserve">les relations au sein des sociétés sont établies correctement </w:t>
      </w:r>
      <w:r>
        <w:rPr>
          <w:sz w:val="22"/>
          <w:szCs w:val="22"/>
          <w:lang w:val="fr-CA"/>
        </w:rPr>
        <w:t>e</w:t>
      </w:r>
      <w:r w:rsidR="007412C2">
        <w:rPr>
          <w:sz w:val="22"/>
          <w:szCs w:val="22"/>
          <w:lang w:val="fr-CA"/>
        </w:rPr>
        <w:t>t peuvent permettre des économies et des sociétés résilientes sans troubles sociaux; et (ii) un dialogue social eff</w:t>
      </w:r>
      <w:r w:rsidR="00C609E2">
        <w:rPr>
          <w:sz w:val="22"/>
          <w:szCs w:val="22"/>
          <w:lang w:val="fr-CA"/>
        </w:rPr>
        <w:t xml:space="preserve">ectif </w:t>
      </w:r>
      <w:r w:rsidR="007412C2">
        <w:rPr>
          <w:sz w:val="22"/>
          <w:szCs w:val="22"/>
          <w:lang w:val="fr-CA"/>
        </w:rPr>
        <w:t xml:space="preserve">est engagé au sein d’une économie qui, à son tour, permettra d’adopter des approches de collaboration pour les mesures visant à </w:t>
      </w:r>
      <w:r w:rsidR="00831577">
        <w:rPr>
          <w:sz w:val="22"/>
          <w:szCs w:val="22"/>
          <w:lang w:val="fr-CA"/>
        </w:rPr>
        <w:t xml:space="preserve">renforcer </w:t>
      </w:r>
      <w:r w:rsidR="007412C2">
        <w:rPr>
          <w:sz w:val="22"/>
          <w:szCs w:val="22"/>
          <w:lang w:val="fr-CA"/>
        </w:rPr>
        <w:t>la résilience.</w:t>
      </w:r>
    </w:p>
    <w:p w:rsidR="007412C2" w:rsidRDefault="007412C2" w:rsidP="00AF0068">
      <w:pPr>
        <w:jc w:val="both"/>
        <w:rPr>
          <w:sz w:val="22"/>
          <w:szCs w:val="22"/>
          <w:lang w:val="fr-CA"/>
        </w:rPr>
      </w:pPr>
    </w:p>
    <w:p w:rsidR="007412C2" w:rsidRPr="007412C2" w:rsidRDefault="007412C2" w:rsidP="007412C2">
      <w:pPr>
        <w:jc w:val="both"/>
        <w:rPr>
          <w:b/>
          <w:i/>
          <w:sz w:val="22"/>
          <w:szCs w:val="22"/>
          <w:lang w:val="fr-CA"/>
        </w:rPr>
      </w:pPr>
      <w:r w:rsidRPr="007412C2">
        <w:rPr>
          <w:i/>
          <w:sz w:val="22"/>
          <w:szCs w:val="22"/>
          <w:lang w:val="fr-CA"/>
        </w:rPr>
        <w:t>Résilience</w:t>
      </w:r>
      <w:r>
        <w:rPr>
          <w:b/>
          <w:sz w:val="22"/>
          <w:szCs w:val="22"/>
          <w:lang w:val="fr-CA"/>
        </w:rPr>
        <w:t xml:space="preserve"> </w:t>
      </w:r>
      <w:r w:rsidRPr="007412C2">
        <w:rPr>
          <w:i/>
          <w:sz w:val="22"/>
          <w:szCs w:val="22"/>
          <w:lang w:val="fr-CA"/>
        </w:rPr>
        <w:t>de l’éducation</w:t>
      </w:r>
    </w:p>
    <w:p w:rsidR="007412C2" w:rsidRDefault="007412C2" w:rsidP="00AF0068">
      <w:pPr>
        <w:jc w:val="both"/>
        <w:rPr>
          <w:b/>
          <w:sz w:val="22"/>
          <w:szCs w:val="22"/>
          <w:lang w:val="fr-CA"/>
        </w:rPr>
      </w:pPr>
    </w:p>
    <w:p w:rsidR="008F24DC" w:rsidRDefault="007412C2" w:rsidP="0058567B">
      <w:pPr>
        <w:ind w:firstLine="720"/>
        <w:jc w:val="both"/>
        <w:rPr>
          <w:sz w:val="22"/>
          <w:szCs w:val="22"/>
          <w:lang w:val="fr-CA"/>
        </w:rPr>
      </w:pPr>
      <w:r>
        <w:rPr>
          <w:sz w:val="22"/>
          <w:szCs w:val="22"/>
          <w:lang w:val="fr-CA"/>
        </w:rPr>
        <w:t>Au cœur de la pandémie de C</w:t>
      </w:r>
      <w:r w:rsidR="00831577">
        <w:rPr>
          <w:sz w:val="22"/>
          <w:szCs w:val="22"/>
          <w:lang w:val="fr-CA"/>
        </w:rPr>
        <w:t>OVID-</w:t>
      </w:r>
      <w:r>
        <w:rPr>
          <w:sz w:val="22"/>
          <w:szCs w:val="22"/>
          <w:lang w:val="fr-CA"/>
        </w:rPr>
        <w:t xml:space="preserve">19, </w:t>
      </w:r>
      <w:r w:rsidR="00831577">
        <w:rPr>
          <w:sz w:val="22"/>
          <w:szCs w:val="22"/>
          <w:lang w:val="fr-CA"/>
        </w:rPr>
        <w:t xml:space="preserve">dans le monde entier, </w:t>
      </w:r>
      <w:r>
        <w:rPr>
          <w:sz w:val="22"/>
          <w:szCs w:val="22"/>
          <w:lang w:val="fr-CA"/>
        </w:rPr>
        <w:t xml:space="preserve">les systèmes d’éducation et d’enseignement ont </w:t>
      </w:r>
      <w:r w:rsidR="00831577">
        <w:rPr>
          <w:sz w:val="22"/>
          <w:szCs w:val="22"/>
          <w:lang w:val="fr-CA"/>
        </w:rPr>
        <w:t xml:space="preserve">subi </w:t>
      </w:r>
      <w:r>
        <w:rPr>
          <w:sz w:val="22"/>
          <w:szCs w:val="22"/>
          <w:lang w:val="fr-CA"/>
        </w:rPr>
        <w:t xml:space="preserve">des interruptions sans précédents </w:t>
      </w:r>
      <w:r w:rsidR="00F40E13">
        <w:rPr>
          <w:sz w:val="22"/>
          <w:szCs w:val="22"/>
          <w:lang w:val="fr-CA"/>
        </w:rPr>
        <w:t>et 1,5 milliard d’étudiants et 80 millions d’enseignants ont abandonné les salles de classe et les campus universitaires et sont passé</w:t>
      </w:r>
      <w:r w:rsidR="00831577">
        <w:rPr>
          <w:sz w:val="22"/>
          <w:szCs w:val="22"/>
          <w:lang w:val="fr-CA"/>
        </w:rPr>
        <w:t>s</w:t>
      </w:r>
      <w:r w:rsidR="00F40E13">
        <w:rPr>
          <w:sz w:val="22"/>
          <w:szCs w:val="22"/>
          <w:lang w:val="fr-CA"/>
        </w:rPr>
        <w:t xml:space="preserve"> brusquement à des modalités virtuelles, ce qui a aggravé les inégalités </w:t>
      </w:r>
      <w:r w:rsidR="00831577">
        <w:rPr>
          <w:sz w:val="22"/>
          <w:szCs w:val="22"/>
          <w:lang w:val="fr-CA"/>
        </w:rPr>
        <w:t>en matière d</w:t>
      </w:r>
      <w:r w:rsidR="00F40E13">
        <w:rPr>
          <w:sz w:val="22"/>
          <w:szCs w:val="22"/>
          <w:lang w:val="fr-CA"/>
        </w:rPr>
        <w:t xml:space="preserve">’accès à l’éducation et mis en évidence les lignes de clivage d’un système déjà en détresse. En Amérique latine et dans les Caraïbes, à de rares exceptions, les pays ne disposent pas d’un système </w:t>
      </w:r>
      <w:r w:rsidR="00831577">
        <w:rPr>
          <w:sz w:val="22"/>
          <w:szCs w:val="22"/>
          <w:lang w:val="fr-CA"/>
        </w:rPr>
        <w:t xml:space="preserve">exhaustif </w:t>
      </w:r>
      <w:r w:rsidR="00F40E13">
        <w:rPr>
          <w:sz w:val="22"/>
          <w:szCs w:val="22"/>
          <w:lang w:val="fr-CA"/>
        </w:rPr>
        <w:t xml:space="preserve">d’apprentissage </w:t>
      </w:r>
      <w:r w:rsidR="00C609E2">
        <w:rPr>
          <w:sz w:val="22"/>
          <w:szCs w:val="22"/>
          <w:lang w:val="fr-CA"/>
        </w:rPr>
        <w:t xml:space="preserve">par la voie virtuelle </w:t>
      </w:r>
      <w:r w:rsidR="00F40E13">
        <w:rPr>
          <w:sz w:val="22"/>
          <w:szCs w:val="22"/>
          <w:lang w:val="fr-CA"/>
        </w:rPr>
        <w:t xml:space="preserve">et les niveaux de connectivité restent faibles, en particulier dans les zones éloignées et les </w:t>
      </w:r>
      <w:r w:rsidR="00831577">
        <w:rPr>
          <w:sz w:val="22"/>
          <w:szCs w:val="22"/>
          <w:lang w:val="fr-CA"/>
        </w:rPr>
        <w:t>ménages défavorisés</w:t>
      </w:r>
      <w:r w:rsidR="00F40E13">
        <w:rPr>
          <w:sz w:val="22"/>
          <w:szCs w:val="22"/>
          <w:lang w:val="fr-CA"/>
        </w:rPr>
        <w:t xml:space="preserve">. </w:t>
      </w:r>
      <w:r w:rsidR="002F5BD8">
        <w:rPr>
          <w:sz w:val="22"/>
          <w:szCs w:val="22"/>
          <w:lang w:val="fr-CA"/>
        </w:rPr>
        <w:t xml:space="preserve">Des études récentes estiment qu’à peine 25% des étudiants de 15 ans qui fréquentent les écoles défavorisées </w:t>
      </w:r>
      <w:r w:rsidR="00831577">
        <w:rPr>
          <w:sz w:val="22"/>
          <w:szCs w:val="22"/>
          <w:lang w:val="fr-CA"/>
        </w:rPr>
        <w:t>ont la possibilité d’</w:t>
      </w:r>
      <w:r w:rsidR="002F5BD8">
        <w:rPr>
          <w:sz w:val="22"/>
          <w:szCs w:val="22"/>
          <w:lang w:val="fr-CA"/>
        </w:rPr>
        <w:t xml:space="preserve">accéder à une plateforme </w:t>
      </w:r>
      <w:r w:rsidR="00831577">
        <w:rPr>
          <w:sz w:val="22"/>
          <w:szCs w:val="22"/>
          <w:lang w:val="fr-CA"/>
        </w:rPr>
        <w:t xml:space="preserve">d’appui efficace </w:t>
      </w:r>
      <w:r w:rsidR="00C609E2">
        <w:rPr>
          <w:sz w:val="22"/>
          <w:szCs w:val="22"/>
          <w:lang w:val="fr-CA"/>
        </w:rPr>
        <w:t xml:space="preserve">à </w:t>
      </w:r>
      <w:r w:rsidR="002F5BD8">
        <w:rPr>
          <w:sz w:val="22"/>
          <w:szCs w:val="22"/>
          <w:lang w:val="fr-CA"/>
        </w:rPr>
        <w:t xml:space="preserve">l’enseignement en ligne, en comparaison avec 50% des étudiants qui fréquentent des écoles </w:t>
      </w:r>
      <w:r w:rsidR="00356D50">
        <w:rPr>
          <w:sz w:val="22"/>
          <w:szCs w:val="22"/>
          <w:lang w:val="fr-CA"/>
        </w:rPr>
        <w:t xml:space="preserve">favorisées. </w:t>
      </w:r>
    </w:p>
    <w:p w:rsidR="00356D50" w:rsidRDefault="00356D50" w:rsidP="00AF0068">
      <w:pPr>
        <w:jc w:val="both"/>
        <w:rPr>
          <w:sz w:val="22"/>
          <w:szCs w:val="22"/>
          <w:lang w:val="fr-CA"/>
        </w:rPr>
      </w:pPr>
    </w:p>
    <w:p w:rsidR="00223905" w:rsidRDefault="00356D50" w:rsidP="0058567B">
      <w:pPr>
        <w:ind w:firstLine="720"/>
        <w:jc w:val="both"/>
        <w:rPr>
          <w:sz w:val="22"/>
          <w:szCs w:val="22"/>
          <w:lang w:val="fr-CA"/>
        </w:rPr>
      </w:pPr>
      <w:r>
        <w:rPr>
          <w:sz w:val="22"/>
          <w:szCs w:val="22"/>
          <w:lang w:val="fr-CA"/>
        </w:rPr>
        <w:t>Mais il y a un côté positif</w:t>
      </w:r>
      <w:r w:rsidR="00831577">
        <w:rPr>
          <w:sz w:val="22"/>
          <w:szCs w:val="22"/>
          <w:lang w:val="fr-CA"/>
        </w:rPr>
        <w:t xml:space="preserve"> à cela</w:t>
      </w:r>
      <w:r>
        <w:rPr>
          <w:sz w:val="22"/>
          <w:szCs w:val="22"/>
          <w:lang w:val="fr-CA"/>
        </w:rPr>
        <w:t xml:space="preserve">. On entrevoit des possibilités prometteuses </w:t>
      </w:r>
      <w:r w:rsidR="00C609E2">
        <w:rPr>
          <w:sz w:val="22"/>
          <w:szCs w:val="22"/>
          <w:lang w:val="fr-CA"/>
        </w:rPr>
        <w:t xml:space="preserve">grâce aux </w:t>
      </w:r>
      <w:r>
        <w:rPr>
          <w:sz w:val="22"/>
          <w:szCs w:val="22"/>
          <w:lang w:val="fr-CA"/>
        </w:rPr>
        <w:t xml:space="preserve"> solutions novatrices </w:t>
      </w:r>
      <w:r w:rsidR="00FA3E72">
        <w:rPr>
          <w:sz w:val="22"/>
          <w:szCs w:val="22"/>
          <w:lang w:val="fr-CA"/>
        </w:rPr>
        <w:t xml:space="preserve">qu’offrent </w:t>
      </w:r>
      <w:r>
        <w:rPr>
          <w:sz w:val="22"/>
          <w:szCs w:val="22"/>
          <w:lang w:val="fr-CA"/>
        </w:rPr>
        <w:t xml:space="preserve">l’apprentissage numérique et l’éducation ouverte. </w:t>
      </w:r>
      <w:r w:rsidR="00223905">
        <w:rPr>
          <w:sz w:val="22"/>
          <w:szCs w:val="22"/>
          <w:lang w:val="fr-CA"/>
        </w:rPr>
        <w:t xml:space="preserve">En plus de répondre à l’urgence sanitaire, les technologies numériques pour l’apprentissage permettent aux enseignants, aux gouvernements et aux établissements d’enseignement de trouver de nouvelles réponses à </w:t>
      </w:r>
      <w:r w:rsidR="00FA3E72">
        <w:rPr>
          <w:sz w:val="22"/>
          <w:szCs w:val="22"/>
          <w:lang w:val="fr-CA"/>
        </w:rPr>
        <w:t xml:space="preserve">ce </w:t>
      </w:r>
      <w:r w:rsidR="00223905">
        <w:rPr>
          <w:sz w:val="22"/>
          <w:szCs w:val="22"/>
          <w:lang w:val="fr-CA"/>
        </w:rPr>
        <w:t>qu</w:t>
      </w:r>
      <w:r w:rsidR="00FA3E72">
        <w:rPr>
          <w:sz w:val="22"/>
          <w:szCs w:val="22"/>
          <w:lang w:val="fr-CA"/>
        </w:rPr>
        <w:t xml:space="preserve">e, </w:t>
      </w:r>
      <w:r w:rsidR="00223905">
        <w:rPr>
          <w:sz w:val="22"/>
          <w:szCs w:val="22"/>
          <w:lang w:val="fr-CA"/>
        </w:rPr>
        <w:t xml:space="preserve"> comment, où et quand les étudiants apprennent le mieux, ce qui peut transformer efficacement les systèmes éducatifs. </w:t>
      </w:r>
    </w:p>
    <w:p w:rsidR="00223905" w:rsidRDefault="00223905" w:rsidP="00AF0068">
      <w:pPr>
        <w:jc w:val="both"/>
        <w:rPr>
          <w:sz w:val="22"/>
          <w:szCs w:val="22"/>
          <w:lang w:val="fr-CA"/>
        </w:rPr>
      </w:pPr>
    </w:p>
    <w:p w:rsidR="00356D50" w:rsidRDefault="00223905" w:rsidP="0058567B">
      <w:pPr>
        <w:ind w:firstLine="720"/>
        <w:jc w:val="both"/>
        <w:rPr>
          <w:sz w:val="22"/>
          <w:szCs w:val="22"/>
          <w:lang w:val="fr-CA"/>
        </w:rPr>
      </w:pPr>
      <w:r>
        <w:rPr>
          <w:sz w:val="22"/>
          <w:szCs w:val="22"/>
          <w:lang w:val="fr-CA"/>
        </w:rPr>
        <w:t>Mais, comme toutes les écoles ne sont pas préparées ou équipées de la même manière, si l’on laisse simplement ces forces jouer librement cela ne va pas déboucher sur des résultats positifs et</w:t>
      </w:r>
      <w:r w:rsidR="00FA3E72">
        <w:rPr>
          <w:sz w:val="22"/>
          <w:szCs w:val="22"/>
          <w:lang w:val="fr-CA"/>
        </w:rPr>
        <w:t>,</w:t>
      </w:r>
      <w:r>
        <w:rPr>
          <w:sz w:val="22"/>
          <w:szCs w:val="22"/>
          <w:lang w:val="fr-CA"/>
        </w:rPr>
        <w:t xml:space="preserve"> bien au contraire</w:t>
      </w:r>
      <w:r w:rsidR="00FA3E72">
        <w:rPr>
          <w:sz w:val="22"/>
          <w:szCs w:val="22"/>
          <w:lang w:val="fr-CA"/>
        </w:rPr>
        <w:t>,</w:t>
      </w:r>
      <w:r>
        <w:rPr>
          <w:sz w:val="22"/>
          <w:szCs w:val="22"/>
          <w:lang w:val="fr-CA"/>
        </w:rPr>
        <w:t xml:space="preserve"> cela pourrait accroître encore davantage les </w:t>
      </w:r>
      <w:r w:rsidR="00FA3E72">
        <w:rPr>
          <w:sz w:val="22"/>
          <w:szCs w:val="22"/>
          <w:lang w:val="fr-CA"/>
        </w:rPr>
        <w:t xml:space="preserve">écarts </w:t>
      </w:r>
      <w:r>
        <w:rPr>
          <w:sz w:val="22"/>
          <w:szCs w:val="22"/>
          <w:lang w:val="fr-CA"/>
        </w:rPr>
        <w:t xml:space="preserve">existants en matière d’éducation. Pour réduire les inégalités, </w:t>
      </w:r>
      <w:r w:rsidR="00FA3E72">
        <w:rPr>
          <w:sz w:val="22"/>
          <w:szCs w:val="22"/>
          <w:lang w:val="fr-CA"/>
        </w:rPr>
        <w:t>il faut que t</w:t>
      </w:r>
      <w:r>
        <w:rPr>
          <w:sz w:val="22"/>
          <w:szCs w:val="22"/>
          <w:lang w:val="fr-CA"/>
        </w:rPr>
        <w:t xml:space="preserve">ous les étudiants </w:t>
      </w:r>
      <w:r w:rsidR="00FA3E72">
        <w:rPr>
          <w:sz w:val="22"/>
          <w:szCs w:val="22"/>
          <w:lang w:val="fr-CA"/>
        </w:rPr>
        <w:t xml:space="preserve">aient </w:t>
      </w:r>
      <w:r>
        <w:rPr>
          <w:sz w:val="22"/>
          <w:szCs w:val="22"/>
          <w:lang w:val="fr-CA"/>
        </w:rPr>
        <w:t xml:space="preserve">accès à des infrastructures numériques, à des installations, à du matériel et à des contenus. En outre, un soutien ciblé s’avère nécessaire pour les étudiants </w:t>
      </w:r>
      <w:r w:rsidR="00FA3E72">
        <w:rPr>
          <w:sz w:val="22"/>
          <w:szCs w:val="22"/>
          <w:lang w:val="fr-CA"/>
        </w:rPr>
        <w:t xml:space="preserve">les </w:t>
      </w:r>
      <w:r>
        <w:rPr>
          <w:sz w:val="22"/>
          <w:szCs w:val="22"/>
          <w:lang w:val="fr-CA"/>
        </w:rPr>
        <w:t>moins favorisés et leurs familles afin qu’ils bénéficient de la technologie en acquérant des compétences fondamentales, cognitives et numériques.</w:t>
      </w:r>
      <w:r w:rsidR="00881820">
        <w:rPr>
          <w:rStyle w:val="FootnoteReference"/>
          <w:sz w:val="22"/>
          <w:szCs w:val="22"/>
        </w:rPr>
        <w:footnoteReference w:id="7"/>
      </w:r>
      <w:r w:rsidR="00356D50">
        <w:rPr>
          <w:sz w:val="22"/>
          <w:szCs w:val="22"/>
          <w:lang w:val="fr-CA"/>
        </w:rPr>
        <w:t xml:space="preserve"> </w:t>
      </w:r>
    </w:p>
    <w:p w:rsidR="00DD270D" w:rsidRDefault="00DD270D" w:rsidP="0058567B">
      <w:pPr>
        <w:ind w:firstLine="720"/>
        <w:jc w:val="both"/>
        <w:rPr>
          <w:sz w:val="22"/>
          <w:szCs w:val="22"/>
          <w:lang w:val="fr-CA"/>
        </w:rPr>
      </w:pPr>
    </w:p>
    <w:p w:rsidR="00DD270D" w:rsidRDefault="00DD270D" w:rsidP="0058567B">
      <w:pPr>
        <w:ind w:firstLine="720"/>
        <w:jc w:val="both"/>
        <w:rPr>
          <w:sz w:val="22"/>
          <w:szCs w:val="22"/>
          <w:lang w:val="fr-CA"/>
        </w:rPr>
      </w:pPr>
      <w:r>
        <w:rPr>
          <w:sz w:val="22"/>
          <w:szCs w:val="22"/>
          <w:lang w:val="fr-CA"/>
        </w:rPr>
        <w:lastRenderedPageBreak/>
        <w:t>Le moment est venu d’envisager un nouvel avenir meilleur pour le</w:t>
      </w:r>
      <w:r w:rsidR="00FA3E72">
        <w:rPr>
          <w:sz w:val="22"/>
          <w:szCs w:val="22"/>
          <w:lang w:val="fr-CA"/>
        </w:rPr>
        <w:t>s</w:t>
      </w:r>
      <w:r>
        <w:rPr>
          <w:sz w:val="22"/>
          <w:szCs w:val="22"/>
          <w:lang w:val="fr-CA"/>
        </w:rPr>
        <w:t xml:space="preserve"> système</w:t>
      </w:r>
      <w:r w:rsidR="00FA3E72">
        <w:rPr>
          <w:sz w:val="22"/>
          <w:szCs w:val="22"/>
          <w:lang w:val="fr-CA"/>
        </w:rPr>
        <w:t>s</w:t>
      </w:r>
      <w:r>
        <w:rPr>
          <w:sz w:val="22"/>
          <w:szCs w:val="22"/>
          <w:lang w:val="fr-CA"/>
        </w:rPr>
        <w:t xml:space="preserve"> éducatif</w:t>
      </w:r>
      <w:r w:rsidR="00FA3E72">
        <w:rPr>
          <w:sz w:val="22"/>
          <w:szCs w:val="22"/>
          <w:lang w:val="fr-CA"/>
        </w:rPr>
        <w:t>s</w:t>
      </w:r>
      <w:r>
        <w:rPr>
          <w:sz w:val="22"/>
          <w:szCs w:val="22"/>
          <w:lang w:val="fr-CA"/>
        </w:rPr>
        <w:t xml:space="preserve"> de la région. Des systèmes qui soient résilients et s’adaptent aux changements rapides. Des systèmes qui tirent parti des nouvelles connaissances sur l’apprentissage efficace et </w:t>
      </w:r>
      <w:r w:rsidR="00FA3E72">
        <w:rPr>
          <w:sz w:val="22"/>
          <w:szCs w:val="22"/>
          <w:lang w:val="fr-CA"/>
        </w:rPr>
        <w:t xml:space="preserve">offrent </w:t>
      </w:r>
      <w:r>
        <w:rPr>
          <w:sz w:val="22"/>
          <w:szCs w:val="22"/>
          <w:lang w:val="fr-CA"/>
        </w:rPr>
        <w:t>à tous l’accès à une éducation sûre, de haute qualité et à un prix abordable qui dote</w:t>
      </w:r>
      <w:r w:rsidR="00FA3E72">
        <w:rPr>
          <w:sz w:val="22"/>
          <w:szCs w:val="22"/>
          <w:lang w:val="fr-CA"/>
        </w:rPr>
        <w:t>ra</w:t>
      </w:r>
      <w:r>
        <w:rPr>
          <w:sz w:val="22"/>
          <w:szCs w:val="22"/>
          <w:lang w:val="fr-CA"/>
        </w:rPr>
        <w:t xml:space="preserve"> </w:t>
      </w:r>
      <w:r w:rsidR="00C609E2">
        <w:rPr>
          <w:sz w:val="22"/>
          <w:szCs w:val="22"/>
          <w:lang w:val="fr-CA"/>
        </w:rPr>
        <w:t xml:space="preserve">les étudiants </w:t>
      </w:r>
      <w:r>
        <w:rPr>
          <w:sz w:val="22"/>
          <w:szCs w:val="22"/>
          <w:lang w:val="fr-CA"/>
        </w:rPr>
        <w:t xml:space="preserve">des compétences leur permettant de réussir dans l’économie du futur et d’être des citoyens bien informés et engagés. </w:t>
      </w:r>
    </w:p>
    <w:p w:rsidR="00DD270D" w:rsidRDefault="00DD270D" w:rsidP="00AF0068">
      <w:pPr>
        <w:jc w:val="both"/>
        <w:rPr>
          <w:sz w:val="22"/>
          <w:szCs w:val="22"/>
          <w:lang w:val="fr-CA"/>
        </w:rPr>
      </w:pPr>
    </w:p>
    <w:p w:rsidR="00DD270D" w:rsidRPr="007412C2" w:rsidRDefault="00DD270D" w:rsidP="00DD270D">
      <w:pPr>
        <w:jc w:val="both"/>
        <w:rPr>
          <w:b/>
          <w:i/>
          <w:sz w:val="22"/>
          <w:szCs w:val="22"/>
          <w:lang w:val="fr-CA"/>
        </w:rPr>
      </w:pPr>
      <w:r>
        <w:rPr>
          <w:i/>
          <w:sz w:val="22"/>
          <w:szCs w:val="22"/>
          <w:lang w:val="fr-CA"/>
        </w:rPr>
        <w:t>S</w:t>
      </w:r>
      <w:r w:rsidRPr="007412C2">
        <w:rPr>
          <w:i/>
          <w:sz w:val="22"/>
          <w:szCs w:val="22"/>
          <w:lang w:val="fr-CA"/>
        </w:rPr>
        <w:t>é</w:t>
      </w:r>
      <w:r>
        <w:rPr>
          <w:i/>
          <w:sz w:val="22"/>
          <w:szCs w:val="22"/>
          <w:lang w:val="fr-CA"/>
        </w:rPr>
        <w:t xml:space="preserve">curité alimentaire et nutritionnelle </w:t>
      </w:r>
    </w:p>
    <w:p w:rsidR="00DD270D" w:rsidRDefault="00DD270D" w:rsidP="00AF0068">
      <w:pPr>
        <w:jc w:val="both"/>
        <w:rPr>
          <w:b/>
          <w:sz w:val="22"/>
          <w:szCs w:val="22"/>
          <w:lang w:val="fr-CA"/>
        </w:rPr>
      </w:pPr>
    </w:p>
    <w:p w:rsidR="00B27FE7" w:rsidRDefault="00DD270D" w:rsidP="00DD270D">
      <w:pPr>
        <w:ind w:firstLine="720"/>
        <w:jc w:val="both"/>
        <w:rPr>
          <w:sz w:val="22"/>
          <w:szCs w:val="22"/>
          <w:lang w:val="fr-CA"/>
        </w:rPr>
      </w:pPr>
      <w:r>
        <w:rPr>
          <w:sz w:val="22"/>
          <w:szCs w:val="22"/>
          <w:lang w:val="fr-CA"/>
        </w:rPr>
        <w:t xml:space="preserve">La sécurité alimentaire se réfère à « la situation qui </w:t>
      </w:r>
      <w:r w:rsidRPr="00DD270D">
        <w:rPr>
          <w:lang w:val="fr-FR"/>
        </w:rPr>
        <w:t>existe lorsque tous les êtres humains ont, à tout moment, un accès physique et économique à une nourriture suffisante, saine et nutritive leur permettant de satisfaire leurs besoins énergétiques et leurs préférences alimentaires pour mener une vie saine et active</w:t>
      </w:r>
      <w:r>
        <w:rPr>
          <w:lang w:val="fr-FR"/>
        </w:rPr>
        <w:t> » (FAO, 2006)</w:t>
      </w:r>
      <w:r w:rsidRPr="00DD270D">
        <w:rPr>
          <w:lang w:val="fr-FR"/>
        </w:rPr>
        <w:t>.</w:t>
      </w:r>
      <w:r>
        <w:rPr>
          <w:sz w:val="22"/>
          <w:szCs w:val="22"/>
          <w:lang w:val="fr-CA"/>
        </w:rPr>
        <w:t xml:space="preserve"> L</w:t>
      </w:r>
      <w:r w:rsidR="00B27FE7">
        <w:rPr>
          <w:sz w:val="22"/>
          <w:szCs w:val="22"/>
          <w:lang w:val="fr-CA"/>
        </w:rPr>
        <w:t>a</w:t>
      </w:r>
      <w:r>
        <w:rPr>
          <w:sz w:val="22"/>
          <w:szCs w:val="22"/>
          <w:lang w:val="fr-CA"/>
        </w:rPr>
        <w:tab/>
      </w:r>
      <w:r w:rsidR="006D6042">
        <w:rPr>
          <w:sz w:val="22"/>
          <w:szCs w:val="22"/>
          <w:lang w:val="fr-CA"/>
        </w:rPr>
        <w:t>COVID-</w:t>
      </w:r>
      <w:r>
        <w:rPr>
          <w:sz w:val="22"/>
          <w:szCs w:val="22"/>
          <w:lang w:val="fr-CA"/>
        </w:rPr>
        <w:t xml:space="preserve">19 </w:t>
      </w:r>
      <w:r w:rsidR="006D6042">
        <w:rPr>
          <w:sz w:val="22"/>
          <w:szCs w:val="22"/>
          <w:lang w:val="fr-CA"/>
        </w:rPr>
        <w:t>est susceptible d’</w:t>
      </w:r>
      <w:r>
        <w:rPr>
          <w:sz w:val="22"/>
          <w:szCs w:val="22"/>
          <w:lang w:val="fr-CA"/>
        </w:rPr>
        <w:t>affecter négativement la sécurité alimentaire dans toutes ses dimensions</w:t>
      </w:r>
      <w:r w:rsidR="006D6042">
        <w:rPr>
          <w:sz w:val="22"/>
          <w:szCs w:val="22"/>
          <w:lang w:val="fr-CA"/>
        </w:rPr>
        <w:t xml:space="preserve"> : </w:t>
      </w:r>
      <w:r>
        <w:rPr>
          <w:sz w:val="22"/>
          <w:szCs w:val="22"/>
          <w:lang w:val="fr-CA"/>
        </w:rPr>
        <w:t>la disponibilité des aliments, l’accès à ceux-ci</w:t>
      </w:r>
      <w:r w:rsidR="00B27FE7">
        <w:rPr>
          <w:sz w:val="22"/>
          <w:szCs w:val="22"/>
          <w:lang w:val="fr-CA"/>
        </w:rPr>
        <w:t xml:space="preserve">, leur stabilité et leur utilisation. </w:t>
      </w:r>
    </w:p>
    <w:p w:rsidR="00B27FE7" w:rsidRDefault="00B27FE7" w:rsidP="00AF0068">
      <w:pPr>
        <w:jc w:val="both"/>
        <w:rPr>
          <w:sz w:val="22"/>
          <w:szCs w:val="22"/>
          <w:lang w:val="fr-CA"/>
        </w:rPr>
      </w:pPr>
    </w:p>
    <w:p w:rsidR="00D22498" w:rsidRDefault="00B27FE7" w:rsidP="00DD270D">
      <w:pPr>
        <w:ind w:firstLine="720"/>
        <w:jc w:val="both"/>
        <w:rPr>
          <w:sz w:val="22"/>
          <w:szCs w:val="22"/>
          <w:lang w:val="fr-CA"/>
        </w:rPr>
      </w:pPr>
      <w:r>
        <w:rPr>
          <w:sz w:val="22"/>
          <w:szCs w:val="22"/>
          <w:lang w:val="fr-CA"/>
        </w:rPr>
        <w:t xml:space="preserve">Des études récentes confirment que les stratégies visant à endiguer la </w:t>
      </w:r>
      <w:r w:rsidR="006D6042">
        <w:rPr>
          <w:sz w:val="22"/>
          <w:szCs w:val="22"/>
          <w:lang w:val="fr-CA"/>
        </w:rPr>
        <w:t>COVID-</w:t>
      </w:r>
      <w:r>
        <w:rPr>
          <w:sz w:val="22"/>
          <w:szCs w:val="22"/>
          <w:lang w:val="fr-CA"/>
        </w:rPr>
        <w:t xml:space="preserve">19 en Amérique latine et dans les Caraïbes ont eu des conséquences directes et indirectes sur la sécurité alimentaire. Ainsi, une réduction des revenus nets a eu </w:t>
      </w:r>
      <w:r w:rsidR="006D6042">
        <w:rPr>
          <w:sz w:val="22"/>
          <w:szCs w:val="22"/>
          <w:lang w:val="fr-CA"/>
        </w:rPr>
        <w:t xml:space="preserve">des répercussions </w:t>
      </w:r>
      <w:r>
        <w:rPr>
          <w:sz w:val="22"/>
          <w:szCs w:val="22"/>
          <w:lang w:val="fr-CA"/>
        </w:rPr>
        <w:t>sur la demande et la consommation d’aliments des populations à faible</w:t>
      </w:r>
      <w:r w:rsidR="00C609E2">
        <w:rPr>
          <w:sz w:val="22"/>
          <w:szCs w:val="22"/>
          <w:lang w:val="fr-CA"/>
        </w:rPr>
        <w:t>s</w:t>
      </w:r>
      <w:r>
        <w:rPr>
          <w:sz w:val="22"/>
          <w:szCs w:val="22"/>
          <w:lang w:val="fr-CA"/>
        </w:rPr>
        <w:t xml:space="preserve"> revenus. On estime qu’entre avril et mai 2020, près de 40% des </w:t>
      </w:r>
      <w:r w:rsidR="006D6042">
        <w:rPr>
          <w:sz w:val="22"/>
          <w:szCs w:val="22"/>
          <w:lang w:val="fr-CA"/>
        </w:rPr>
        <w:t xml:space="preserve">ménages </w:t>
      </w:r>
      <w:r>
        <w:rPr>
          <w:sz w:val="22"/>
          <w:szCs w:val="22"/>
          <w:lang w:val="fr-CA"/>
        </w:rPr>
        <w:t xml:space="preserve">les plus pauvres de la région ont souffert de la faim et que près de 50% ont changé leur </w:t>
      </w:r>
      <w:r w:rsidR="006D6042">
        <w:rPr>
          <w:sz w:val="22"/>
          <w:szCs w:val="22"/>
          <w:lang w:val="fr-CA"/>
        </w:rPr>
        <w:t xml:space="preserve">consommation </w:t>
      </w:r>
      <w:r>
        <w:rPr>
          <w:sz w:val="22"/>
          <w:szCs w:val="22"/>
          <w:lang w:val="fr-CA"/>
        </w:rPr>
        <w:t>au profit de régimes moins bons pour la santé (Université Cornell et BID, 2020)</w:t>
      </w:r>
      <w:r>
        <w:rPr>
          <w:rStyle w:val="FootnoteReference"/>
          <w:sz w:val="22"/>
          <w:szCs w:val="22"/>
        </w:rPr>
        <w:footnoteReference w:id="8"/>
      </w:r>
      <w:r>
        <w:rPr>
          <w:sz w:val="22"/>
          <w:szCs w:val="22"/>
          <w:lang w:val="fr-CA"/>
        </w:rPr>
        <w:t xml:space="preserve">. </w:t>
      </w:r>
    </w:p>
    <w:p w:rsidR="00D22498" w:rsidRDefault="00D22498" w:rsidP="00AF0068">
      <w:pPr>
        <w:jc w:val="both"/>
        <w:rPr>
          <w:sz w:val="22"/>
          <w:szCs w:val="22"/>
          <w:lang w:val="fr-CA"/>
        </w:rPr>
      </w:pPr>
    </w:p>
    <w:p w:rsidR="00D22498" w:rsidRDefault="00D22498" w:rsidP="00DD270D">
      <w:pPr>
        <w:ind w:firstLine="720"/>
        <w:jc w:val="both"/>
        <w:rPr>
          <w:sz w:val="22"/>
          <w:szCs w:val="22"/>
          <w:lang w:val="fr-CA"/>
        </w:rPr>
      </w:pPr>
      <w:r>
        <w:rPr>
          <w:sz w:val="22"/>
          <w:szCs w:val="22"/>
          <w:lang w:val="fr-CA"/>
        </w:rPr>
        <w:t>Ceci se produit à un moment où plusieurs États membres de l’OEA, en particulier ceux de l’Amérique du Sud et de l’Amérique centrale ainsi que ceux des Caraïbes, affrontent des crises chroniques graves ou aigües d’insécurité alimentaire</w:t>
      </w:r>
      <w:r w:rsidR="006D6042">
        <w:rPr>
          <w:sz w:val="22"/>
          <w:szCs w:val="22"/>
          <w:lang w:val="fr-CA"/>
        </w:rPr>
        <w:t xml:space="preserve"> et nutritionnelle</w:t>
      </w:r>
      <w:r>
        <w:rPr>
          <w:sz w:val="22"/>
          <w:szCs w:val="22"/>
          <w:lang w:val="fr-CA"/>
        </w:rPr>
        <w:t xml:space="preserve">. Dans </w:t>
      </w:r>
      <w:r w:rsidR="006D6042">
        <w:rPr>
          <w:sz w:val="22"/>
          <w:szCs w:val="22"/>
          <w:lang w:val="fr-CA"/>
        </w:rPr>
        <w:t xml:space="preserve">certains </w:t>
      </w:r>
      <w:r>
        <w:rPr>
          <w:sz w:val="22"/>
          <w:szCs w:val="22"/>
          <w:lang w:val="fr-CA"/>
        </w:rPr>
        <w:t xml:space="preserve">pays, ces crises sont de nature essentiellement chroniques et ont leur origine dans des facteurs tels que : le manque d’accès au financement, à la technologie, aux conseils et à la formation, les investissements limités en faveur de l’exploitation, des infrastructures vieillissantes ou détériorées, comme les systèmes d’irrigation et les installations de stockage, la vulnérabilité aux chocs </w:t>
      </w:r>
      <w:r w:rsidR="00B61E38">
        <w:rPr>
          <w:sz w:val="22"/>
          <w:szCs w:val="22"/>
          <w:lang w:val="fr-CA"/>
        </w:rPr>
        <w:t xml:space="preserve">liés aux </w:t>
      </w:r>
      <w:r w:rsidR="006D6042">
        <w:rPr>
          <w:sz w:val="22"/>
          <w:szCs w:val="22"/>
          <w:lang w:val="fr-CA"/>
        </w:rPr>
        <w:t xml:space="preserve">cours </w:t>
      </w:r>
      <w:r>
        <w:rPr>
          <w:sz w:val="22"/>
          <w:szCs w:val="22"/>
          <w:lang w:val="fr-CA"/>
        </w:rPr>
        <w:t xml:space="preserve">des produits de base et </w:t>
      </w:r>
      <w:r w:rsidR="00B61E38">
        <w:rPr>
          <w:sz w:val="22"/>
          <w:szCs w:val="22"/>
          <w:lang w:val="fr-CA"/>
        </w:rPr>
        <w:t xml:space="preserve">aux </w:t>
      </w:r>
      <w:r>
        <w:rPr>
          <w:sz w:val="22"/>
          <w:szCs w:val="22"/>
          <w:lang w:val="fr-CA"/>
        </w:rPr>
        <w:t>taux de change, un taux élevé de pauvreté des ménages, une faible création de valeur ajoutée dans le secteur de la production d</w:t>
      </w:r>
      <w:r w:rsidR="00B61E38">
        <w:rPr>
          <w:sz w:val="22"/>
          <w:szCs w:val="22"/>
          <w:lang w:val="fr-CA"/>
        </w:rPr>
        <w:t>’</w:t>
      </w:r>
      <w:r>
        <w:rPr>
          <w:sz w:val="22"/>
          <w:szCs w:val="22"/>
          <w:lang w:val="fr-CA"/>
        </w:rPr>
        <w:t xml:space="preserve">aliments et une forte vulnérabilité aux épisodes météorologiques extrêmes et au changement climatique. </w:t>
      </w:r>
    </w:p>
    <w:p w:rsidR="000E1D49" w:rsidRDefault="000E1D49" w:rsidP="00AF0068">
      <w:pPr>
        <w:jc w:val="both"/>
        <w:rPr>
          <w:sz w:val="22"/>
          <w:szCs w:val="22"/>
          <w:lang w:val="fr-CA"/>
        </w:rPr>
      </w:pPr>
    </w:p>
    <w:p w:rsidR="000E1D49" w:rsidRDefault="000E1D49" w:rsidP="00FE5B8D">
      <w:pPr>
        <w:ind w:left="720" w:hanging="720"/>
        <w:jc w:val="both"/>
        <w:rPr>
          <w:b/>
          <w:sz w:val="22"/>
          <w:szCs w:val="22"/>
          <w:lang w:val="fr-CA"/>
        </w:rPr>
      </w:pPr>
      <w:r w:rsidRPr="000E1D49">
        <w:rPr>
          <w:b/>
          <w:sz w:val="22"/>
          <w:szCs w:val="22"/>
          <w:lang w:val="fr-CA"/>
        </w:rPr>
        <w:t>2.</w:t>
      </w:r>
      <w:r>
        <w:rPr>
          <w:b/>
          <w:sz w:val="22"/>
          <w:szCs w:val="22"/>
          <w:lang w:val="fr-CA"/>
        </w:rPr>
        <w:tab/>
      </w:r>
      <w:r w:rsidR="00FE5B8D">
        <w:rPr>
          <w:b/>
          <w:sz w:val="22"/>
          <w:szCs w:val="22"/>
          <w:lang w:val="fr-CA"/>
        </w:rPr>
        <w:t>V</w:t>
      </w:r>
      <w:r w:rsidRPr="000E1D49">
        <w:rPr>
          <w:b/>
          <w:sz w:val="22"/>
          <w:szCs w:val="22"/>
          <w:lang w:val="fr-CA"/>
        </w:rPr>
        <w:t xml:space="preserve">ers une coopération </w:t>
      </w:r>
      <w:r w:rsidR="006D6042">
        <w:rPr>
          <w:b/>
          <w:sz w:val="22"/>
          <w:szCs w:val="22"/>
          <w:lang w:val="fr-CA"/>
        </w:rPr>
        <w:t xml:space="preserve">visant à renforcer </w:t>
      </w:r>
      <w:r w:rsidRPr="000E1D49">
        <w:rPr>
          <w:b/>
          <w:sz w:val="22"/>
          <w:szCs w:val="22"/>
          <w:lang w:val="fr-CA"/>
        </w:rPr>
        <w:t>la résilience dans la région : le Conseil interaméricain pour le développement intégré (CIDI)</w:t>
      </w:r>
    </w:p>
    <w:p w:rsidR="00FE5B8D" w:rsidRDefault="00FE5B8D" w:rsidP="00FE5B8D">
      <w:pPr>
        <w:ind w:left="720" w:hanging="720"/>
        <w:jc w:val="both"/>
        <w:rPr>
          <w:b/>
          <w:sz w:val="22"/>
          <w:szCs w:val="22"/>
          <w:lang w:val="fr-CA"/>
        </w:rPr>
      </w:pPr>
    </w:p>
    <w:p w:rsidR="00FE5B8D" w:rsidRDefault="00FE5B8D" w:rsidP="00FE5B8D">
      <w:pPr>
        <w:ind w:left="720" w:hanging="720"/>
        <w:jc w:val="both"/>
        <w:rPr>
          <w:b/>
          <w:sz w:val="22"/>
          <w:szCs w:val="22"/>
          <w:lang w:val="fr-CA"/>
        </w:rPr>
      </w:pPr>
      <w:r>
        <w:rPr>
          <w:b/>
          <w:sz w:val="22"/>
          <w:szCs w:val="22"/>
          <w:lang w:val="fr-CA"/>
        </w:rPr>
        <w:t>Le but :</w:t>
      </w:r>
    </w:p>
    <w:p w:rsidR="00FE5B8D" w:rsidRDefault="00FE5B8D" w:rsidP="00FE5B8D">
      <w:pPr>
        <w:ind w:left="720" w:hanging="720"/>
        <w:jc w:val="both"/>
        <w:rPr>
          <w:b/>
          <w:sz w:val="22"/>
          <w:szCs w:val="22"/>
          <w:lang w:val="fr-CA"/>
        </w:rPr>
      </w:pPr>
    </w:p>
    <w:p w:rsidR="000E1D49" w:rsidRDefault="000E1D49" w:rsidP="006D6042">
      <w:pPr>
        <w:ind w:firstLine="720"/>
        <w:jc w:val="both"/>
        <w:rPr>
          <w:sz w:val="22"/>
          <w:szCs w:val="22"/>
          <w:lang w:val="fr-CA"/>
        </w:rPr>
      </w:pPr>
      <w:r>
        <w:rPr>
          <w:sz w:val="22"/>
          <w:szCs w:val="22"/>
          <w:lang w:val="fr-CA"/>
        </w:rPr>
        <w:t>Le</w:t>
      </w:r>
      <w:r w:rsidR="00FE5B8D">
        <w:rPr>
          <w:sz w:val="22"/>
          <w:szCs w:val="22"/>
          <w:lang w:val="fr-CA"/>
        </w:rPr>
        <w:t xml:space="preserve"> but des réunions du CIDI est d’engager un dialogue </w:t>
      </w:r>
      <w:r w:rsidR="006D6042">
        <w:rPr>
          <w:sz w:val="22"/>
          <w:szCs w:val="22"/>
          <w:lang w:val="fr-CA"/>
        </w:rPr>
        <w:t>tourné vers l</w:t>
      </w:r>
      <w:r w:rsidR="00FE5B8D">
        <w:rPr>
          <w:sz w:val="22"/>
          <w:szCs w:val="22"/>
          <w:lang w:val="fr-CA"/>
        </w:rPr>
        <w:t>’avenir afin d’</w:t>
      </w:r>
      <w:r w:rsidR="006D6042">
        <w:rPr>
          <w:sz w:val="22"/>
          <w:szCs w:val="22"/>
          <w:lang w:val="fr-CA"/>
        </w:rPr>
        <w:t xml:space="preserve">orienter </w:t>
      </w:r>
      <w:r w:rsidR="00FE5B8D">
        <w:rPr>
          <w:sz w:val="22"/>
          <w:szCs w:val="22"/>
          <w:lang w:val="fr-CA"/>
        </w:rPr>
        <w:t xml:space="preserve">une coopération axée sur l’action </w:t>
      </w:r>
      <w:r w:rsidR="00B61E38">
        <w:rPr>
          <w:sz w:val="22"/>
          <w:szCs w:val="22"/>
          <w:lang w:val="fr-CA"/>
        </w:rPr>
        <w:t xml:space="preserve">en vue de </w:t>
      </w:r>
      <w:r w:rsidR="006D6042">
        <w:rPr>
          <w:sz w:val="22"/>
          <w:szCs w:val="22"/>
          <w:lang w:val="fr-CA"/>
        </w:rPr>
        <w:t xml:space="preserve">renforcer </w:t>
      </w:r>
      <w:r w:rsidR="00FE5B8D">
        <w:rPr>
          <w:sz w:val="22"/>
          <w:szCs w:val="22"/>
          <w:lang w:val="fr-CA"/>
        </w:rPr>
        <w:t xml:space="preserve">la résilience dans les Amériques. </w:t>
      </w:r>
    </w:p>
    <w:p w:rsidR="00FE5B8D" w:rsidRDefault="00FE5B8D" w:rsidP="00AF0068">
      <w:pPr>
        <w:rPr>
          <w:sz w:val="22"/>
          <w:szCs w:val="22"/>
          <w:lang w:val="fr-CA"/>
        </w:rPr>
      </w:pPr>
    </w:p>
    <w:p w:rsidR="00FE5B8D" w:rsidRDefault="00FE5B8D" w:rsidP="00FE5B8D">
      <w:pPr>
        <w:ind w:left="720" w:hanging="720"/>
        <w:jc w:val="both"/>
        <w:rPr>
          <w:b/>
          <w:sz w:val="22"/>
          <w:szCs w:val="22"/>
          <w:lang w:val="fr-CA"/>
        </w:rPr>
      </w:pPr>
      <w:r>
        <w:rPr>
          <w:b/>
          <w:sz w:val="22"/>
          <w:szCs w:val="22"/>
          <w:lang w:val="fr-CA"/>
        </w:rPr>
        <w:t>Les objectifs :</w:t>
      </w:r>
    </w:p>
    <w:p w:rsidR="00FE5B8D" w:rsidRDefault="00FE5B8D" w:rsidP="00FE5B8D">
      <w:pPr>
        <w:ind w:left="720" w:hanging="720"/>
        <w:jc w:val="both"/>
        <w:rPr>
          <w:b/>
          <w:sz w:val="22"/>
          <w:szCs w:val="22"/>
          <w:lang w:val="fr-CA"/>
        </w:rPr>
      </w:pPr>
    </w:p>
    <w:p w:rsidR="00FE5B8D" w:rsidRDefault="00FE5B8D" w:rsidP="00FE5B8D">
      <w:pPr>
        <w:ind w:firstLine="720"/>
        <w:rPr>
          <w:sz w:val="22"/>
          <w:szCs w:val="22"/>
          <w:lang w:val="fr-CA"/>
        </w:rPr>
      </w:pPr>
      <w:r>
        <w:rPr>
          <w:sz w:val="22"/>
          <w:szCs w:val="22"/>
          <w:lang w:val="fr-CA"/>
        </w:rPr>
        <w:t xml:space="preserve">Donner aux États membres de l’OEA l’occasion de : </w:t>
      </w:r>
    </w:p>
    <w:p w:rsidR="00FE5B8D" w:rsidRDefault="00FE5B8D" w:rsidP="00AF0068">
      <w:pPr>
        <w:rPr>
          <w:sz w:val="22"/>
          <w:szCs w:val="22"/>
          <w:lang w:val="fr-CA"/>
        </w:rPr>
      </w:pPr>
    </w:p>
    <w:p w:rsidR="00FE5B8D" w:rsidRDefault="00FE5B8D" w:rsidP="00AF0068">
      <w:pPr>
        <w:pStyle w:val="ListParagraph0"/>
        <w:numPr>
          <w:ilvl w:val="0"/>
          <w:numId w:val="16"/>
        </w:numPr>
        <w:ind w:left="1440" w:hanging="720"/>
        <w:jc w:val="both"/>
        <w:rPr>
          <w:sz w:val="22"/>
          <w:szCs w:val="22"/>
          <w:lang w:val="fr-CA"/>
        </w:rPr>
      </w:pPr>
      <w:r>
        <w:rPr>
          <w:sz w:val="22"/>
          <w:szCs w:val="22"/>
          <w:lang w:val="fr-CA"/>
        </w:rPr>
        <w:lastRenderedPageBreak/>
        <w:t>Engager des d</w:t>
      </w:r>
      <w:r w:rsidR="00B52849">
        <w:rPr>
          <w:sz w:val="22"/>
          <w:szCs w:val="22"/>
          <w:lang w:val="fr-CA"/>
        </w:rPr>
        <w:t xml:space="preserve">iscussions </w:t>
      </w:r>
      <w:r>
        <w:rPr>
          <w:sz w:val="22"/>
          <w:szCs w:val="22"/>
          <w:lang w:val="fr-CA"/>
        </w:rPr>
        <w:t>constructi</w:t>
      </w:r>
      <w:r w:rsidR="00B52849">
        <w:rPr>
          <w:sz w:val="22"/>
          <w:szCs w:val="22"/>
          <w:lang w:val="fr-CA"/>
        </w:rPr>
        <w:t>ve</w:t>
      </w:r>
      <w:r>
        <w:rPr>
          <w:sz w:val="22"/>
          <w:szCs w:val="22"/>
          <w:lang w:val="fr-CA"/>
        </w:rPr>
        <w:t xml:space="preserve">s </w:t>
      </w:r>
      <w:r w:rsidR="00B52849">
        <w:rPr>
          <w:sz w:val="22"/>
          <w:szCs w:val="22"/>
          <w:lang w:val="fr-CA"/>
        </w:rPr>
        <w:t xml:space="preserve">au sujet de </w:t>
      </w:r>
      <w:r>
        <w:rPr>
          <w:sz w:val="22"/>
          <w:szCs w:val="22"/>
          <w:lang w:val="fr-CA"/>
        </w:rPr>
        <w:t xml:space="preserve">leurs vulnérabilités économiques, sociales et environnementales communes; </w:t>
      </w:r>
    </w:p>
    <w:p w:rsidR="00FE5B8D" w:rsidRDefault="00FE5B8D" w:rsidP="00AF0068">
      <w:pPr>
        <w:pStyle w:val="ListParagraph0"/>
        <w:numPr>
          <w:ilvl w:val="0"/>
          <w:numId w:val="16"/>
        </w:numPr>
        <w:ind w:left="1440" w:hanging="720"/>
        <w:rPr>
          <w:sz w:val="22"/>
          <w:szCs w:val="22"/>
          <w:lang w:val="fr-CA"/>
        </w:rPr>
      </w:pPr>
      <w:r>
        <w:rPr>
          <w:sz w:val="22"/>
          <w:szCs w:val="22"/>
          <w:lang w:val="fr-CA"/>
        </w:rPr>
        <w:t xml:space="preserve">Identifier des actions concrètes susceptibles de commencer ou de continuer, aux niveaux national et régional, à </w:t>
      </w:r>
      <w:r w:rsidR="00B52849">
        <w:rPr>
          <w:sz w:val="22"/>
          <w:szCs w:val="22"/>
          <w:lang w:val="fr-CA"/>
        </w:rPr>
        <w:t xml:space="preserve">renforcer </w:t>
      </w:r>
      <w:r>
        <w:rPr>
          <w:sz w:val="22"/>
          <w:szCs w:val="22"/>
          <w:lang w:val="fr-CA"/>
        </w:rPr>
        <w:t xml:space="preserve">leur résilience compte tenu de leurs vulnérabilités; et </w:t>
      </w:r>
    </w:p>
    <w:p w:rsidR="00FE5B8D" w:rsidRDefault="00FE5B8D" w:rsidP="00AF0068">
      <w:pPr>
        <w:pStyle w:val="ListParagraph0"/>
        <w:numPr>
          <w:ilvl w:val="0"/>
          <w:numId w:val="16"/>
        </w:numPr>
        <w:ind w:left="1440" w:hanging="720"/>
        <w:rPr>
          <w:sz w:val="22"/>
          <w:szCs w:val="22"/>
          <w:lang w:val="fr-CA"/>
        </w:rPr>
      </w:pPr>
      <w:r>
        <w:rPr>
          <w:sz w:val="22"/>
          <w:szCs w:val="22"/>
          <w:lang w:val="fr-CA"/>
        </w:rPr>
        <w:t xml:space="preserve">Se mettre d’accord sur des actions de coopération multilatérale et de partenariats pour </w:t>
      </w:r>
      <w:r w:rsidR="00B52849">
        <w:rPr>
          <w:sz w:val="22"/>
          <w:szCs w:val="22"/>
          <w:lang w:val="fr-CA"/>
        </w:rPr>
        <w:t xml:space="preserve">renforcer </w:t>
      </w:r>
      <w:r>
        <w:rPr>
          <w:sz w:val="22"/>
          <w:szCs w:val="22"/>
          <w:lang w:val="fr-CA"/>
        </w:rPr>
        <w:t xml:space="preserve">la résilience </w:t>
      </w:r>
      <w:r w:rsidR="00B52849">
        <w:rPr>
          <w:sz w:val="22"/>
          <w:szCs w:val="22"/>
          <w:lang w:val="fr-CA"/>
        </w:rPr>
        <w:t>afin d’</w:t>
      </w:r>
      <w:r>
        <w:rPr>
          <w:sz w:val="22"/>
          <w:szCs w:val="22"/>
          <w:lang w:val="fr-CA"/>
        </w:rPr>
        <w:t xml:space="preserve">éviter ou </w:t>
      </w:r>
      <w:r w:rsidR="00B52849">
        <w:rPr>
          <w:sz w:val="22"/>
          <w:szCs w:val="22"/>
          <w:lang w:val="fr-CA"/>
        </w:rPr>
        <w:t>d’</w:t>
      </w:r>
      <w:r>
        <w:rPr>
          <w:sz w:val="22"/>
          <w:szCs w:val="22"/>
          <w:lang w:val="fr-CA"/>
        </w:rPr>
        <w:t>atténuer l’impact des chocs internes et externes dans les États membres.</w:t>
      </w:r>
    </w:p>
    <w:p w:rsidR="00FE5B8D" w:rsidRDefault="00FE5B8D" w:rsidP="00FE5B8D">
      <w:pPr>
        <w:rPr>
          <w:sz w:val="22"/>
          <w:szCs w:val="22"/>
          <w:lang w:val="fr-CA"/>
        </w:rPr>
      </w:pPr>
    </w:p>
    <w:p w:rsidR="009A4239" w:rsidRDefault="009A4239" w:rsidP="00FE5B8D">
      <w:pPr>
        <w:rPr>
          <w:b/>
          <w:sz w:val="22"/>
          <w:szCs w:val="22"/>
          <w:lang w:val="fr-CA"/>
        </w:rPr>
      </w:pPr>
      <w:r>
        <w:rPr>
          <w:b/>
          <w:sz w:val="22"/>
          <w:szCs w:val="22"/>
          <w:lang w:val="fr-CA"/>
        </w:rPr>
        <w:t>Structure du deuxième semestre du CIDI</w:t>
      </w:r>
    </w:p>
    <w:p w:rsidR="009A4239" w:rsidRDefault="009A4239" w:rsidP="00FE5B8D">
      <w:pPr>
        <w:rPr>
          <w:b/>
          <w:sz w:val="22"/>
          <w:szCs w:val="22"/>
          <w:lang w:val="fr-CA"/>
        </w:rPr>
      </w:pPr>
    </w:p>
    <w:p w:rsidR="009A4239" w:rsidRDefault="009A4239" w:rsidP="009A4239">
      <w:pPr>
        <w:jc w:val="both"/>
        <w:rPr>
          <w:sz w:val="22"/>
          <w:szCs w:val="22"/>
          <w:lang w:val="fr-CA"/>
        </w:rPr>
      </w:pPr>
      <w:r>
        <w:rPr>
          <w:b/>
          <w:sz w:val="22"/>
          <w:szCs w:val="22"/>
          <w:lang w:val="fr-CA"/>
        </w:rPr>
        <w:tab/>
      </w:r>
      <w:r>
        <w:rPr>
          <w:sz w:val="22"/>
          <w:szCs w:val="22"/>
          <w:lang w:val="fr-CA"/>
        </w:rPr>
        <w:t xml:space="preserve">Le deuxième semestre du CIDI prendra la forme d’une série de discussions (une par mois conformément au calendrier qui est proposé ci-dessous) entre les délégations des États membres et </w:t>
      </w:r>
      <w:r w:rsidR="00B52849">
        <w:rPr>
          <w:sz w:val="22"/>
          <w:szCs w:val="22"/>
          <w:lang w:val="fr-CA"/>
        </w:rPr>
        <w:t>l</w:t>
      </w:r>
      <w:r>
        <w:rPr>
          <w:sz w:val="22"/>
          <w:szCs w:val="22"/>
          <w:lang w:val="fr-CA"/>
        </w:rPr>
        <w:t xml:space="preserve">es porte-parole </w:t>
      </w:r>
      <w:r w:rsidR="00B52849">
        <w:rPr>
          <w:sz w:val="22"/>
          <w:szCs w:val="22"/>
          <w:lang w:val="fr-CA"/>
        </w:rPr>
        <w:t xml:space="preserve">de haut niveau </w:t>
      </w:r>
      <w:r>
        <w:rPr>
          <w:sz w:val="22"/>
          <w:szCs w:val="22"/>
          <w:lang w:val="fr-CA"/>
        </w:rPr>
        <w:t xml:space="preserve">d’institutions régionales et internationales </w:t>
      </w:r>
      <w:r w:rsidR="00B61E38">
        <w:rPr>
          <w:sz w:val="22"/>
          <w:szCs w:val="22"/>
          <w:lang w:val="fr-CA"/>
        </w:rPr>
        <w:t>ayant ob</w:t>
      </w:r>
      <w:r w:rsidR="00B52849">
        <w:rPr>
          <w:sz w:val="22"/>
          <w:szCs w:val="22"/>
          <w:lang w:val="fr-CA"/>
        </w:rPr>
        <w:t>tenu des résultats probant</w:t>
      </w:r>
      <w:r w:rsidR="00B61E38">
        <w:rPr>
          <w:sz w:val="22"/>
          <w:szCs w:val="22"/>
          <w:lang w:val="fr-CA"/>
        </w:rPr>
        <w:t>s</w:t>
      </w:r>
      <w:r w:rsidR="00B52849">
        <w:rPr>
          <w:sz w:val="22"/>
          <w:szCs w:val="22"/>
          <w:lang w:val="fr-CA"/>
        </w:rPr>
        <w:t xml:space="preserve"> </w:t>
      </w:r>
      <w:r w:rsidR="00B61E38">
        <w:rPr>
          <w:sz w:val="22"/>
          <w:szCs w:val="22"/>
          <w:lang w:val="fr-CA"/>
        </w:rPr>
        <w:t xml:space="preserve">dans l’amélioration de </w:t>
      </w:r>
      <w:r>
        <w:rPr>
          <w:sz w:val="22"/>
          <w:szCs w:val="22"/>
          <w:lang w:val="fr-CA"/>
        </w:rPr>
        <w:t xml:space="preserve">la résilience. Les </w:t>
      </w:r>
      <w:r w:rsidR="00B52849">
        <w:rPr>
          <w:sz w:val="22"/>
          <w:szCs w:val="22"/>
          <w:lang w:val="fr-CA"/>
        </w:rPr>
        <w:t xml:space="preserve">thèmes </w:t>
      </w:r>
      <w:r>
        <w:rPr>
          <w:sz w:val="22"/>
          <w:szCs w:val="22"/>
          <w:lang w:val="fr-CA"/>
        </w:rPr>
        <w:t xml:space="preserve">spécifiques qui seront abordés contribueront à mettre en lumière les possibilités de participation et d’investissement des secteurs public et privé </w:t>
      </w:r>
      <w:r w:rsidR="00B61E38">
        <w:rPr>
          <w:sz w:val="22"/>
          <w:szCs w:val="22"/>
          <w:lang w:val="fr-CA"/>
        </w:rPr>
        <w:t>en vue de renforcer l</w:t>
      </w:r>
      <w:r>
        <w:rPr>
          <w:sz w:val="22"/>
          <w:szCs w:val="22"/>
          <w:lang w:val="fr-CA"/>
        </w:rPr>
        <w:t>a résilience économique, sociale et environnementale a</w:t>
      </w:r>
      <w:r w:rsidR="00B52849">
        <w:rPr>
          <w:sz w:val="22"/>
          <w:szCs w:val="22"/>
          <w:lang w:val="fr-CA"/>
        </w:rPr>
        <w:t xml:space="preserve">vec </w:t>
      </w:r>
      <w:r>
        <w:rPr>
          <w:sz w:val="22"/>
          <w:szCs w:val="22"/>
          <w:lang w:val="fr-CA"/>
        </w:rPr>
        <w:t xml:space="preserve">des partenariats </w:t>
      </w:r>
      <w:r w:rsidR="00B52849">
        <w:rPr>
          <w:sz w:val="22"/>
          <w:szCs w:val="22"/>
          <w:lang w:val="fr-CA"/>
        </w:rPr>
        <w:t xml:space="preserve">et une coopération </w:t>
      </w:r>
      <w:r>
        <w:rPr>
          <w:sz w:val="22"/>
          <w:szCs w:val="22"/>
          <w:lang w:val="fr-CA"/>
        </w:rPr>
        <w:t xml:space="preserve">novateurs en matière de financement </w:t>
      </w:r>
      <w:r w:rsidR="00B61E38">
        <w:rPr>
          <w:sz w:val="22"/>
          <w:szCs w:val="22"/>
          <w:lang w:val="fr-CA"/>
        </w:rPr>
        <w:t xml:space="preserve">de </w:t>
      </w:r>
      <w:r>
        <w:rPr>
          <w:sz w:val="22"/>
          <w:szCs w:val="22"/>
          <w:lang w:val="fr-CA"/>
        </w:rPr>
        <w:t>la résilience</w:t>
      </w:r>
      <w:r w:rsidR="00B61E38">
        <w:rPr>
          <w:sz w:val="22"/>
          <w:szCs w:val="22"/>
          <w:lang w:val="fr-CA"/>
        </w:rPr>
        <w:t xml:space="preserve">, celle-ci étant un </w:t>
      </w:r>
      <w:r w:rsidR="00CA6058">
        <w:rPr>
          <w:sz w:val="22"/>
          <w:szCs w:val="22"/>
          <w:lang w:val="fr-CA"/>
        </w:rPr>
        <w:t xml:space="preserve">thème </w:t>
      </w:r>
      <w:r>
        <w:rPr>
          <w:sz w:val="22"/>
          <w:szCs w:val="22"/>
          <w:lang w:val="fr-CA"/>
        </w:rPr>
        <w:t xml:space="preserve"> </w:t>
      </w:r>
      <w:r w:rsidR="00B52849">
        <w:rPr>
          <w:sz w:val="22"/>
          <w:szCs w:val="22"/>
          <w:lang w:val="fr-CA"/>
        </w:rPr>
        <w:t xml:space="preserve">intersectoriel. </w:t>
      </w:r>
      <w:r>
        <w:rPr>
          <w:sz w:val="22"/>
          <w:szCs w:val="22"/>
          <w:lang w:val="fr-CA"/>
        </w:rPr>
        <w:t xml:space="preserve"> </w:t>
      </w:r>
    </w:p>
    <w:p w:rsidR="009A4239" w:rsidRDefault="009A4239" w:rsidP="009A4239">
      <w:pPr>
        <w:jc w:val="both"/>
        <w:rPr>
          <w:sz w:val="22"/>
          <w:szCs w:val="22"/>
          <w:lang w:val="fr-CA"/>
        </w:rPr>
      </w:pPr>
    </w:p>
    <w:p w:rsidR="009A4239" w:rsidRDefault="009A4239" w:rsidP="009A4239">
      <w:pPr>
        <w:jc w:val="both"/>
        <w:rPr>
          <w:b/>
          <w:i/>
          <w:sz w:val="22"/>
          <w:szCs w:val="22"/>
          <w:lang w:val="fr-CA"/>
        </w:rPr>
      </w:pPr>
      <w:r>
        <w:rPr>
          <w:b/>
          <w:i/>
          <w:sz w:val="22"/>
          <w:szCs w:val="22"/>
          <w:lang w:val="fr-CA"/>
        </w:rPr>
        <w:t>Résilience sociale</w:t>
      </w:r>
    </w:p>
    <w:p w:rsidR="009A4239" w:rsidRDefault="009A4239" w:rsidP="009A4239">
      <w:pPr>
        <w:jc w:val="both"/>
        <w:rPr>
          <w:b/>
          <w:i/>
          <w:sz w:val="22"/>
          <w:szCs w:val="22"/>
          <w:lang w:val="fr-CA"/>
        </w:rPr>
      </w:pPr>
    </w:p>
    <w:p w:rsidR="009A4239" w:rsidRDefault="009A4239" w:rsidP="009A4239">
      <w:pPr>
        <w:jc w:val="both"/>
        <w:rPr>
          <w:b/>
          <w:sz w:val="22"/>
          <w:szCs w:val="22"/>
          <w:lang w:val="fr-CA"/>
        </w:rPr>
      </w:pPr>
      <w:r>
        <w:rPr>
          <w:b/>
          <w:sz w:val="22"/>
          <w:szCs w:val="22"/>
          <w:lang w:val="fr-CA"/>
        </w:rPr>
        <w:t>Sous-thème : Doter l’éducation de nouveaux outils dans un environnement post-COVID</w:t>
      </w:r>
    </w:p>
    <w:p w:rsidR="009A4239" w:rsidRDefault="009A4239" w:rsidP="009A4239">
      <w:pPr>
        <w:jc w:val="both"/>
        <w:rPr>
          <w:i/>
          <w:sz w:val="22"/>
          <w:szCs w:val="22"/>
          <w:lang w:val="fr-CA"/>
        </w:rPr>
      </w:pPr>
      <w:r>
        <w:rPr>
          <w:i/>
          <w:sz w:val="22"/>
          <w:szCs w:val="22"/>
          <w:lang w:val="fr-CA"/>
        </w:rPr>
        <w:t>Date pr</w:t>
      </w:r>
      <w:r w:rsidR="00B52849">
        <w:rPr>
          <w:i/>
          <w:sz w:val="22"/>
          <w:szCs w:val="22"/>
          <w:lang w:val="fr-CA"/>
        </w:rPr>
        <w:t>ovisoire</w:t>
      </w:r>
      <w:r>
        <w:rPr>
          <w:i/>
          <w:sz w:val="22"/>
          <w:szCs w:val="22"/>
          <w:lang w:val="fr-CA"/>
        </w:rPr>
        <w:t> : 28 juillet</w:t>
      </w:r>
    </w:p>
    <w:p w:rsidR="009A4239" w:rsidRDefault="009A4239" w:rsidP="009A4239">
      <w:pPr>
        <w:jc w:val="both"/>
        <w:rPr>
          <w:i/>
          <w:sz w:val="22"/>
          <w:szCs w:val="22"/>
          <w:lang w:val="fr-CA"/>
        </w:rPr>
      </w:pPr>
    </w:p>
    <w:p w:rsidR="00967610" w:rsidRDefault="009A4239" w:rsidP="009A4239">
      <w:pPr>
        <w:jc w:val="both"/>
        <w:rPr>
          <w:sz w:val="22"/>
          <w:szCs w:val="22"/>
          <w:lang w:val="fr-CA"/>
        </w:rPr>
      </w:pPr>
      <w:r>
        <w:rPr>
          <w:sz w:val="22"/>
          <w:szCs w:val="22"/>
          <w:lang w:val="fr-CA"/>
        </w:rPr>
        <w:t>Cette séance examinera quelques-uns des questions/points suivants</w:t>
      </w:r>
      <w:r w:rsidR="00967610">
        <w:rPr>
          <w:sz w:val="22"/>
          <w:szCs w:val="22"/>
          <w:lang w:val="fr-CA"/>
        </w:rPr>
        <w:t> :</w:t>
      </w:r>
    </w:p>
    <w:p w:rsidR="00967610" w:rsidRDefault="00967610" w:rsidP="009A4239">
      <w:pPr>
        <w:jc w:val="both"/>
        <w:rPr>
          <w:sz w:val="22"/>
          <w:szCs w:val="22"/>
          <w:lang w:val="fr-CA"/>
        </w:rPr>
      </w:pPr>
    </w:p>
    <w:p w:rsidR="00FE5B8D" w:rsidRDefault="00967610" w:rsidP="00AF0068">
      <w:pPr>
        <w:pStyle w:val="ListParagraph0"/>
        <w:numPr>
          <w:ilvl w:val="0"/>
          <w:numId w:val="17"/>
        </w:numPr>
        <w:ind w:left="1440" w:hanging="720"/>
        <w:jc w:val="both"/>
        <w:rPr>
          <w:sz w:val="22"/>
          <w:szCs w:val="22"/>
          <w:lang w:val="fr-CA"/>
        </w:rPr>
      </w:pPr>
      <w:r>
        <w:rPr>
          <w:sz w:val="22"/>
          <w:szCs w:val="22"/>
          <w:lang w:val="fr-CA"/>
        </w:rPr>
        <w:t>Quel impact la pandémie a-t-elle sur l’éducation dans la région? À quoi ressemblent les écoles dans un contexte post-COVID?</w:t>
      </w:r>
    </w:p>
    <w:p w:rsidR="00967610" w:rsidRDefault="00967610" w:rsidP="00AF0068">
      <w:pPr>
        <w:pStyle w:val="ListParagraph0"/>
        <w:numPr>
          <w:ilvl w:val="0"/>
          <w:numId w:val="17"/>
        </w:numPr>
        <w:ind w:left="1440" w:hanging="720"/>
        <w:jc w:val="both"/>
        <w:rPr>
          <w:sz w:val="22"/>
          <w:szCs w:val="22"/>
          <w:lang w:val="fr-CA"/>
        </w:rPr>
      </w:pPr>
      <w:r>
        <w:rPr>
          <w:sz w:val="22"/>
          <w:szCs w:val="22"/>
          <w:lang w:val="fr-CA"/>
        </w:rPr>
        <w:t>Quels types de politiques et de plans peuvent annuler ou minimiser les effets de la crise sur l’apprentissage des étudiants, en particulier de ceux appartenant aux populations les plus vulnérables?</w:t>
      </w:r>
    </w:p>
    <w:p w:rsidR="00967610" w:rsidRDefault="00967610" w:rsidP="00AF0068">
      <w:pPr>
        <w:pStyle w:val="ListParagraph0"/>
        <w:numPr>
          <w:ilvl w:val="0"/>
          <w:numId w:val="17"/>
        </w:numPr>
        <w:ind w:left="1440" w:hanging="720"/>
        <w:jc w:val="both"/>
        <w:rPr>
          <w:sz w:val="22"/>
          <w:szCs w:val="22"/>
          <w:lang w:val="fr-CA"/>
        </w:rPr>
      </w:pPr>
      <w:r>
        <w:rPr>
          <w:sz w:val="22"/>
          <w:szCs w:val="22"/>
          <w:lang w:val="fr-CA"/>
        </w:rPr>
        <w:t xml:space="preserve">Quelles mesures peut-on prendre pour réduire la brèche numérique et technologique </w:t>
      </w:r>
      <w:r w:rsidR="00B52849">
        <w:rPr>
          <w:sz w:val="22"/>
          <w:szCs w:val="22"/>
          <w:lang w:val="fr-CA"/>
        </w:rPr>
        <w:t xml:space="preserve">afin </w:t>
      </w:r>
      <w:r>
        <w:rPr>
          <w:sz w:val="22"/>
          <w:szCs w:val="22"/>
          <w:lang w:val="fr-CA"/>
        </w:rPr>
        <w:t xml:space="preserve"> de garantir l’insertion (politiques publiques, participation du secteur privé, réforme administrative, etc.)?</w:t>
      </w:r>
    </w:p>
    <w:p w:rsidR="00967610" w:rsidRDefault="00967610" w:rsidP="00AF0068">
      <w:pPr>
        <w:pStyle w:val="ListParagraph0"/>
        <w:numPr>
          <w:ilvl w:val="0"/>
          <w:numId w:val="17"/>
        </w:numPr>
        <w:ind w:left="1440" w:hanging="720"/>
        <w:jc w:val="both"/>
        <w:rPr>
          <w:sz w:val="22"/>
          <w:szCs w:val="22"/>
          <w:lang w:val="fr-CA"/>
        </w:rPr>
      </w:pPr>
      <w:r>
        <w:rPr>
          <w:sz w:val="22"/>
          <w:szCs w:val="22"/>
          <w:lang w:val="fr-CA"/>
        </w:rPr>
        <w:t xml:space="preserve">Quelles sont les approches visant à intégrer les technologies éducatives et à préparer les étudiants et les enseignants </w:t>
      </w:r>
      <w:r w:rsidR="00C0778D">
        <w:rPr>
          <w:sz w:val="22"/>
          <w:szCs w:val="22"/>
          <w:lang w:val="fr-CA"/>
        </w:rPr>
        <w:t>d</w:t>
      </w:r>
      <w:r>
        <w:rPr>
          <w:sz w:val="22"/>
          <w:szCs w:val="22"/>
          <w:lang w:val="fr-CA"/>
        </w:rPr>
        <w:t xml:space="preserve">ans un tel contexte qui </w:t>
      </w:r>
      <w:r w:rsidR="00B61E38">
        <w:rPr>
          <w:sz w:val="22"/>
          <w:szCs w:val="22"/>
          <w:lang w:val="fr-CA"/>
        </w:rPr>
        <w:t>s</w:t>
      </w:r>
      <w:r>
        <w:rPr>
          <w:sz w:val="22"/>
          <w:szCs w:val="22"/>
          <w:lang w:val="fr-CA"/>
        </w:rPr>
        <w:t xml:space="preserve">ont </w:t>
      </w:r>
      <w:r w:rsidR="00B61E38">
        <w:rPr>
          <w:sz w:val="22"/>
          <w:szCs w:val="22"/>
          <w:lang w:val="fr-CA"/>
        </w:rPr>
        <w:t>les plus performantes</w:t>
      </w:r>
      <w:r>
        <w:rPr>
          <w:sz w:val="22"/>
          <w:szCs w:val="22"/>
          <w:lang w:val="fr-CA"/>
        </w:rPr>
        <w:t xml:space="preserve">?  </w:t>
      </w:r>
    </w:p>
    <w:p w:rsidR="00967610" w:rsidRDefault="00967610" w:rsidP="00AF0068">
      <w:pPr>
        <w:pStyle w:val="ListParagraph0"/>
        <w:numPr>
          <w:ilvl w:val="0"/>
          <w:numId w:val="17"/>
        </w:numPr>
        <w:ind w:left="1440" w:hanging="720"/>
        <w:jc w:val="both"/>
        <w:rPr>
          <w:sz w:val="22"/>
          <w:szCs w:val="22"/>
          <w:lang w:val="fr-CA"/>
        </w:rPr>
      </w:pPr>
      <w:r>
        <w:rPr>
          <w:sz w:val="22"/>
          <w:szCs w:val="22"/>
          <w:lang w:val="fr-CA"/>
        </w:rPr>
        <w:t xml:space="preserve">Quel est le côté positif de cette situation (l’incitation à étendre l’accès à l’internet et à moderniser les systèmes éducatifs, etc.)?  </w:t>
      </w:r>
    </w:p>
    <w:p w:rsidR="00CC5BEE" w:rsidRDefault="00CC5BEE" w:rsidP="00CC5BEE">
      <w:pPr>
        <w:jc w:val="both"/>
        <w:rPr>
          <w:sz w:val="22"/>
          <w:szCs w:val="22"/>
          <w:lang w:val="fr-CA"/>
        </w:rPr>
      </w:pPr>
    </w:p>
    <w:p w:rsidR="00CC5BEE" w:rsidRDefault="00CC5BEE" w:rsidP="00CC5BEE">
      <w:pPr>
        <w:jc w:val="both"/>
        <w:rPr>
          <w:b/>
          <w:sz w:val="22"/>
          <w:szCs w:val="22"/>
          <w:lang w:val="fr-CA"/>
        </w:rPr>
      </w:pPr>
      <w:r>
        <w:rPr>
          <w:b/>
          <w:sz w:val="22"/>
          <w:szCs w:val="22"/>
          <w:lang w:val="fr-CA"/>
        </w:rPr>
        <w:t>Sous-thème : Faire face à l’insécurité alimentaire et nutritionnelle dans les Amériques</w:t>
      </w:r>
    </w:p>
    <w:p w:rsidR="00CC5BEE" w:rsidRDefault="00CC5BEE" w:rsidP="00CC5BEE">
      <w:pPr>
        <w:jc w:val="both"/>
        <w:rPr>
          <w:i/>
          <w:sz w:val="22"/>
          <w:szCs w:val="22"/>
          <w:lang w:val="fr-CA"/>
        </w:rPr>
      </w:pPr>
      <w:r>
        <w:rPr>
          <w:i/>
          <w:sz w:val="22"/>
          <w:szCs w:val="22"/>
          <w:lang w:val="fr-CA"/>
        </w:rPr>
        <w:t>Date pr</w:t>
      </w:r>
      <w:r w:rsidR="00C0778D">
        <w:rPr>
          <w:i/>
          <w:sz w:val="22"/>
          <w:szCs w:val="22"/>
          <w:lang w:val="fr-CA"/>
        </w:rPr>
        <w:t>ovisoire</w:t>
      </w:r>
      <w:r>
        <w:rPr>
          <w:i/>
          <w:sz w:val="22"/>
          <w:szCs w:val="22"/>
          <w:lang w:val="fr-CA"/>
        </w:rPr>
        <w:t> : 25 août</w:t>
      </w:r>
    </w:p>
    <w:p w:rsidR="00CC5BEE" w:rsidRDefault="00CC5BEE" w:rsidP="00CC5BEE">
      <w:pPr>
        <w:jc w:val="both"/>
        <w:rPr>
          <w:i/>
          <w:sz w:val="22"/>
          <w:szCs w:val="22"/>
          <w:lang w:val="fr-CA"/>
        </w:rPr>
      </w:pPr>
    </w:p>
    <w:p w:rsidR="00CC5BEE" w:rsidRDefault="00CC5BEE" w:rsidP="00CC5BEE">
      <w:pPr>
        <w:jc w:val="both"/>
        <w:rPr>
          <w:sz w:val="22"/>
          <w:szCs w:val="22"/>
          <w:lang w:val="fr-CA"/>
        </w:rPr>
      </w:pPr>
      <w:r>
        <w:rPr>
          <w:sz w:val="22"/>
          <w:szCs w:val="22"/>
          <w:lang w:val="fr-CA"/>
        </w:rPr>
        <w:t>Cette séance examinera quelques-uns des questions/points suivants :</w:t>
      </w:r>
    </w:p>
    <w:p w:rsidR="00CC5BEE" w:rsidRDefault="00CC5BEE" w:rsidP="00CC5BEE">
      <w:pPr>
        <w:jc w:val="both"/>
        <w:rPr>
          <w:sz w:val="22"/>
          <w:szCs w:val="22"/>
          <w:lang w:val="fr-CA"/>
        </w:rPr>
      </w:pPr>
    </w:p>
    <w:p w:rsidR="00CC5BEE" w:rsidRDefault="00CC5BEE" w:rsidP="00AF0068">
      <w:pPr>
        <w:pStyle w:val="ListParagraph0"/>
        <w:numPr>
          <w:ilvl w:val="0"/>
          <w:numId w:val="18"/>
        </w:numPr>
        <w:ind w:left="1440" w:hanging="720"/>
        <w:jc w:val="both"/>
        <w:rPr>
          <w:sz w:val="22"/>
          <w:szCs w:val="22"/>
          <w:lang w:val="fr-CA"/>
        </w:rPr>
      </w:pPr>
      <w:r w:rsidRPr="00CC5BEE">
        <w:rPr>
          <w:sz w:val="22"/>
          <w:szCs w:val="22"/>
          <w:lang w:val="fr-CA"/>
        </w:rPr>
        <w:t>Qu</w:t>
      </w:r>
      <w:r>
        <w:rPr>
          <w:sz w:val="22"/>
          <w:szCs w:val="22"/>
          <w:lang w:val="fr-CA"/>
        </w:rPr>
        <w:t xml:space="preserve">’est-ce que la pandémie a montré concernant la gravité de la crise d’insécurité alimentaire et nutritionnelle dans les Amériques? </w:t>
      </w:r>
    </w:p>
    <w:p w:rsidR="00CC5BEE" w:rsidRDefault="00CC5BEE" w:rsidP="000A0B1B">
      <w:pPr>
        <w:pStyle w:val="ListParagraph0"/>
        <w:numPr>
          <w:ilvl w:val="0"/>
          <w:numId w:val="18"/>
        </w:numPr>
        <w:ind w:left="1440" w:hanging="720"/>
        <w:jc w:val="both"/>
        <w:rPr>
          <w:sz w:val="22"/>
          <w:szCs w:val="22"/>
          <w:lang w:val="fr-CA"/>
        </w:rPr>
      </w:pPr>
      <w:r>
        <w:rPr>
          <w:sz w:val="22"/>
          <w:szCs w:val="22"/>
          <w:lang w:val="fr-CA"/>
        </w:rPr>
        <w:lastRenderedPageBreak/>
        <w:t xml:space="preserve">Quelles mesures les gouvernements </w:t>
      </w:r>
      <w:r w:rsidR="00C0778D">
        <w:rPr>
          <w:sz w:val="22"/>
          <w:szCs w:val="22"/>
          <w:lang w:val="fr-CA"/>
        </w:rPr>
        <w:t xml:space="preserve">peuvent-ils prendre pour </w:t>
      </w:r>
      <w:r>
        <w:rPr>
          <w:sz w:val="22"/>
          <w:szCs w:val="22"/>
          <w:lang w:val="fr-CA"/>
        </w:rPr>
        <w:t xml:space="preserve">sauvegarder la sécurité alimentaire, en particulier </w:t>
      </w:r>
      <w:r w:rsidR="00B61E38">
        <w:rPr>
          <w:sz w:val="22"/>
          <w:szCs w:val="22"/>
          <w:lang w:val="fr-CA"/>
        </w:rPr>
        <w:t>en faveur d</w:t>
      </w:r>
      <w:r>
        <w:rPr>
          <w:sz w:val="22"/>
          <w:szCs w:val="22"/>
          <w:lang w:val="fr-CA"/>
        </w:rPr>
        <w:t xml:space="preserve">es ménages les plus pauvres? </w:t>
      </w:r>
    </w:p>
    <w:p w:rsidR="00CC5BEE" w:rsidRDefault="00CC5BEE" w:rsidP="000A0B1B">
      <w:pPr>
        <w:pStyle w:val="ListParagraph0"/>
        <w:numPr>
          <w:ilvl w:val="0"/>
          <w:numId w:val="18"/>
        </w:numPr>
        <w:ind w:left="1440" w:hanging="720"/>
        <w:jc w:val="both"/>
        <w:rPr>
          <w:sz w:val="22"/>
          <w:szCs w:val="22"/>
          <w:lang w:val="fr-CA"/>
        </w:rPr>
      </w:pPr>
      <w:r>
        <w:rPr>
          <w:sz w:val="22"/>
          <w:szCs w:val="22"/>
          <w:lang w:val="fr-CA"/>
        </w:rPr>
        <w:t>Quelles sont les pratiques optimales</w:t>
      </w:r>
      <w:r w:rsidR="00B61E38">
        <w:rPr>
          <w:sz w:val="22"/>
          <w:szCs w:val="22"/>
          <w:lang w:val="fr-CA"/>
        </w:rPr>
        <w:t>,</w:t>
      </w:r>
      <w:r>
        <w:rPr>
          <w:sz w:val="22"/>
          <w:szCs w:val="22"/>
          <w:lang w:val="fr-CA"/>
        </w:rPr>
        <w:t xml:space="preserve"> en termes de politiques et de stratégies</w:t>
      </w:r>
      <w:r w:rsidR="00B61E38">
        <w:rPr>
          <w:sz w:val="22"/>
          <w:szCs w:val="22"/>
          <w:lang w:val="fr-CA"/>
        </w:rPr>
        <w:t>,</w:t>
      </w:r>
      <w:r>
        <w:rPr>
          <w:sz w:val="22"/>
          <w:szCs w:val="22"/>
          <w:lang w:val="fr-CA"/>
        </w:rPr>
        <w:t xml:space="preserve"> </w:t>
      </w:r>
      <w:r w:rsidR="00C0778D">
        <w:rPr>
          <w:sz w:val="22"/>
          <w:szCs w:val="22"/>
          <w:lang w:val="fr-CA"/>
        </w:rPr>
        <w:t xml:space="preserve">actuellement </w:t>
      </w:r>
      <w:r>
        <w:rPr>
          <w:sz w:val="22"/>
          <w:szCs w:val="22"/>
          <w:lang w:val="fr-CA"/>
        </w:rPr>
        <w:t>mises en œuvre pour relever les défis en matière de sécurité alimentaire?</w:t>
      </w:r>
    </w:p>
    <w:p w:rsidR="00B61E38" w:rsidRPr="00B61E38" w:rsidRDefault="00B61E38" w:rsidP="00B61E38">
      <w:pPr>
        <w:jc w:val="both"/>
        <w:rPr>
          <w:sz w:val="22"/>
          <w:szCs w:val="22"/>
          <w:lang w:val="fr-CA"/>
        </w:rPr>
      </w:pPr>
    </w:p>
    <w:p w:rsidR="00CC5BEE" w:rsidRDefault="00CC5BEE" w:rsidP="00CC5BEE">
      <w:pPr>
        <w:jc w:val="both"/>
        <w:rPr>
          <w:b/>
          <w:i/>
          <w:sz w:val="22"/>
          <w:szCs w:val="22"/>
          <w:lang w:val="fr-CA"/>
        </w:rPr>
      </w:pPr>
      <w:r w:rsidRPr="00CC5BEE">
        <w:rPr>
          <w:b/>
          <w:i/>
          <w:sz w:val="22"/>
          <w:szCs w:val="22"/>
          <w:lang w:val="fr-CA"/>
        </w:rPr>
        <w:t>Résilience</w:t>
      </w:r>
      <w:r>
        <w:rPr>
          <w:b/>
          <w:i/>
          <w:sz w:val="22"/>
          <w:szCs w:val="22"/>
          <w:lang w:val="fr-CA"/>
        </w:rPr>
        <w:t xml:space="preserve"> économique</w:t>
      </w:r>
    </w:p>
    <w:p w:rsidR="00CC5BEE" w:rsidRDefault="00CC5BEE" w:rsidP="00CC5BEE">
      <w:pPr>
        <w:jc w:val="both"/>
        <w:rPr>
          <w:b/>
          <w:i/>
          <w:sz w:val="22"/>
          <w:szCs w:val="22"/>
          <w:lang w:val="fr-CA"/>
        </w:rPr>
      </w:pPr>
    </w:p>
    <w:p w:rsidR="00CC5BEE" w:rsidRDefault="00CC5BEE" w:rsidP="00CC5BEE">
      <w:pPr>
        <w:jc w:val="both"/>
        <w:rPr>
          <w:b/>
          <w:sz w:val="22"/>
          <w:szCs w:val="22"/>
          <w:lang w:val="fr-CA"/>
        </w:rPr>
      </w:pPr>
      <w:r>
        <w:rPr>
          <w:b/>
          <w:sz w:val="22"/>
          <w:szCs w:val="22"/>
          <w:lang w:val="fr-CA"/>
        </w:rPr>
        <w:t>Sous-thème : l’innovation et la technologie pour la résilience économique</w:t>
      </w:r>
    </w:p>
    <w:p w:rsidR="00CC5BEE" w:rsidRDefault="00CC5BEE" w:rsidP="00CC5BEE">
      <w:pPr>
        <w:jc w:val="both"/>
        <w:rPr>
          <w:i/>
          <w:sz w:val="22"/>
          <w:szCs w:val="22"/>
          <w:lang w:val="fr-CA"/>
        </w:rPr>
      </w:pPr>
      <w:r>
        <w:rPr>
          <w:i/>
          <w:sz w:val="22"/>
          <w:szCs w:val="22"/>
          <w:lang w:val="fr-CA"/>
        </w:rPr>
        <w:t>Date pr</w:t>
      </w:r>
      <w:r w:rsidR="00C0778D">
        <w:rPr>
          <w:i/>
          <w:sz w:val="22"/>
          <w:szCs w:val="22"/>
          <w:lang w:val="fr-CA"/>
        </w:rPr>
        <w:t>ovisoire</w:t>
      </w:r>
      <w:r>
        <w:rPr>
          <w:i/>
          <w:sz w:val="22"/>
          <w:szCs w:val="22"/>
          <w:lang w:val="fr-CA"/>
        </w:rPr>
        <w:t> : le 17 novembre</w:t>
      </w:r>
    </w:p>
    <w:p w:rsidR="00CC5BEE" w:rsidRDefault="00CC5BEE" w:rsidP="00CC5BEE">
      <w:pPr>
        <w:jc w:val="both"/>
        <w:rPr>
          <w:i/>
          <w:sz w:val="22"/>
          <w:szCs w:val="22"/>
          <w:lang w:val="fr-CA"/>
        </w:rPr>
      </w:pPr>
    </w:p>
    <w:p w:rsidR="00CC5BEE" w:rsidRDefault="00CC5BEE" w:rsidP="00CC5BEE">
      <w:pPr>
        <w:jc w:val="both"/>
        <w:rPr>
          <w:sz w:val="22"/>
          <w:szCs w:val="22"/>
          <w:lang w:val="fr-CA"/>
        </w:rPr>
      </w:pPr>
      <w:r>
        <w:rPr>
          <w:sz w:val="22"/>
          <w:szCs w:val="22"/>
          <w:lang w:val="fr-CA"/>
        </w:rPr>
        <w:t>Cette séance examinera quelques-uns des questions/points suivants :</w:t>
      </w:r>
    </w:p>
    <w:p w:rsidR="00CC5BEE" w:rsidRDefault="00CC5BEE" w:rsidP="00CC5BEE">
      <w:pPr>
        <w:jc w:val="both"/>
        <w:rPr>
          <w:sz w:val="22"/>
          <w:szCs w:val="22"/>
          <w:lang w:val="fr-CA"/>
        </w:rPr>
      </w:pPr>
    </w:p>
    <w:p w:rsidR="00CC5BEE" w:rsidRPr="00CC5BEE" w:rsidRDefault="00CC5BEE" w:rsidP="00AF0068">
      <w:pPr>
        <w:pStyle w:val="ListParagraph0"/>
        <w:numPr>
          <w:ilvl w:val="0"/>
          <w:numId w:val="19"/>
        </w:numPr>
        <w:ind w:left="1440" w:hanging="720"/>
        <w:jc w:val="both"/>
        <w:rPr>
          <w:b/>
          <w:sz w:val="22"/>
          <w:szCs w:val="22"/>
          <w:lang w:val="fr-CA"/>
        </w:rPr>
      </w:pPr>
      <w:r w:rsidRPr="00CC5BEE">
        <w:rPr>
          <w:sz w:val="22"/>
          <w:szCs w:val="22"/>
          <w:lang w:val="fr-CA"/>
        </w:rPr>
        <w:t>Quel</w:t>
      </w:r>
      <w:r>
        <w:rPr>
          <w:sz w:val="22"/>
          <w:szCs w:val="22"/>
          <w:lang w:val="fr-CA"/>
        </w:rPr>
        <w:t>les sont les mesures que l’on peut prendre afin de diversifier la base économique des États membres (économies bleue, verte, orange)?</w:t>
      </w:r>
    </w:p>
    <w:p w:rsidR="008F3DE9" w:rsidRPr="008F3DE9" w:rsidRDefault="00CC5BEE" w:rsidP="00AF0068">
      <w:pPr>
        <w:pStyle w:val="ListParagraph0"/>
        <w:numPr>
          <w:ilvl w:val="0"/>
          <w:numId w:val="19"/>
        </w:numPr>
        <w:ind w:left="1440" w:hanging="720"/>
        <w:jc w:val="both"/>
        <w:rPr>
          <w:b/>
          <w:sz w:val="22"/>
          <w:szCs w:val="22"/>
          <w:lang w:val="fr-CA"/>
        </w:rPr>
      </w:pPr>
      <w:r>
        <w:rPr>
          <w:sz w:val="22"/>
          <w:szCs w:val="22"/>
          <w:lang w:val="fr-CA"/>
        </w:rPr>
        <w:t xml:space="preserve">Comment peut-on aider les entreprises à </w:t>
      </w:r>
      <w:r w:rsidR="00053F4F">
        <w:rPr>
          <w:sz w:val="22"/>
          <w:szCs w:val="22"/>
          <w:lang w:val="fr-CA"/>
        </w:rPr>
        <w:t xml:space="preserve">appréhender </w:t>
      </w:r>
      <w:r>
        <w:rPr>
          <w:sz w:val="22"/>
          <w:szCs w:val="22"/>
          <w:lang w:val="fr-CA"/>
        </w:rPr>
        <w:t xml:space="preserve">leurs vulnérabilités </w:t>
      </w:r>
      <w:r w:rsidR="00B61E38">
        <w:rPr>
          <w:sz w:val="22"/>
          <w:szCs w:val="22"/>
          <w:lang w:val="fr-CA"/>
        </w:rPr>
        <w:t xml:space="preserve">en période de perturbations </w:t>
      </w:r>
      <w:r>
        <w:rPr>
          <w:sz w:val="22"/>
          <w:szCs w:val="22"/>
          <w:lang w:val="fr-CA"/>
        </w:rPr>
        <w:t>– ce qui inclut les chaînes d’approvisionnement –</w:t>
      </w:r>
      <w:r w:rsidR="00B61E38">
        <w:rPr>
          <w:sz w:val="22"/>
          <w:szCs w:val="22"/>
          <w:lang w:val="fr-CA"/>
        </w:rPr>
        <w:t xml:space="preserve"> </w:t>
      </w:r>
      <w:r>
        <w:rPr>
          <w:sz w:val="22"/>
          <w:szCs w:val="22"/>
          <w:lang w:val="fr-CA"/>
        </w:rPr>
        <w:t>et à prendre les mesures nécessaires afin de re</w:t>
      </w:r>
      <w:r w:rsidR="00053F4F">
        <w:rPr>
          <w:sz w:val="22"/>
          <w:szCs w:val="22"/>
          <w:lang w:val="fr-CA"/>
        </w:rPr>
        <w:t xml:space="preserve">lancer </w:t>
      </w:r>
      <w:r>
        <w:rPr>
          <w:sz w:val="22"/>
          <w:szCs w:val="22"/>
          <w:lang w:val="fr-CA"/>
        </w:rPr>
        <w:t xml:space="preserve">leurs activités après </w:t>
      </w:r>
      <w:r w:rsidR="008F3DE9">
        <w:rPr>
          <w:sz w:val="22"/>
          <w:szCs w:val="22"/>
          <w:lang w:val="fr-CA"/>
        </w:rPr>
        <w:t>coup</w:t>
      </w:r>
      <w:r>
        <w:rPr>
          <w:sz w:val="22"/>
          <w:szCs w:val="22"/>
          <w:lang w:val="fr-CA"/>
        </w:rPr>
        <w:t>?</w:t>
      </w:r>
    </w:p>
    <w:p w:rsidR="000109F9" w:rsidRPr="000109F9" w:rsidRDefault="0075609F" w:rsidP="00AF0068">
      <w:pPr>
        <w:pStyle w:val="ListParagraph0"/>
        <w:numPr>
          <w:ilvl w:val="0"/>
          <w:numId w:val="19"/>
        </w:numPr>
        <w:ind w:left="1440" w:hanging="720"/>
        <w:jc w:val="both"/>
        <w:rPr>
          <w:b/>
          <w:sz w:val="22"/>
          <w:szCs w:val="22"/>
          <w:lang w:val="fr-CA"/>
        </w:rPr>
      </w:pPr>
      <w:r>
        <w:rPr>
          <w:sz w:val="22"/>
          <w:szCs w:val="22"/>
          <w:lang w:val="fr-CA"/>
        </w:rPr>
        <w:t xml:space="preserve">Quelles approches novatrices </w:t>
      </w:r>
      <w:r w:rsidR="000109F9">
        <w:rPr>
          <w:sz w:val="22"/>
          <w:szCs w:val="22"/>
          <w:lang w:val="fr-CA"/>
        </w:rPr>
        <w:t>peuvent</w:t>
      </w:r>
      <w:r w:rsidR="00053F4F">
        <w:rPr>
          <w:sz w:val="22"/>
          <w:szCs w:val="22"/>
          <w:lang w:val="fr-CA"/>
        </w:rPr>
        <w:t xml:space="preserve"> </w:t>
      </w:r>
      <w:r w:rsidR="000109F9">
        <w:rPr>
          <w:sz w:val="22"/>
          <w:szCs w:val="22"/>
          <w:lang w:val="fr-CA"/>
        </w:rPr>
        <w:t xml:space="preserve">être adoptées </w:t>
      </w:r>
      <w:r w:rsidR="00053F4F">
        <w:rPr>
          <w:sz w:val="22"/>
          <w:szCs w:val="22"/>
          <w:lang w:val="fr-CA"/>
        </w:rPr>
        <w:t xml:space="preserve">pour </w:t>
      </w:r>
      <w:r w:rsidR="000109F9">
        <w:rPr>
          <w:sz w:val="22"/>
          <w:szCs w:val="22"/>
          <w:lang w:val="fr-CA"/>
        </w:rPr>
        <w:t>intensifier le perfectionnement de la main-d’œuvre, les investissements en technologie, le soutien aux entrepreneurs locaux et le développement des biens économiques traditionnels?</w:t>
      </w:r>
    </w:p>
    <w:p w:rsidR="000109F9" w:rsidRPr="000109F9" w:rsidRDefault="000109F9" w:rsidP="00AF0068">
      <w:pPr>
        <w:pStyle w:val="ListParagraph0"/>
        <w:numPr>
          <w:ilvl w:val="0"/>
          <w:numId w:val="19"/>
        </w:numPr>
        <w:ind w:left="1440" w:hanging="720"/>
        <w:jc w:val="both"/>
        <w:rPr>
          <w:b/>
          <w:sz w:val="22"/>
          <w:szCs w:val="22"/>
          <w:lang w:val="fr-CA"/>
        </w:rPr>
      </w:pPr>
      <w:r>
        <w:rPr>
          <w:sz w:val="22"/>
          <w:szCs w:val="22"/>
          <w:lang w:val="fr-CA"/>
        </w:rPr>
        <w:t xml:space="preserve">Quelles technologies </w:t>
      </w:r>
      <w:r w:rsidR="00A41A73">
        <w:rPr>
          <w:sz w:val="22"/>
          <w:szCs w:val="22"/>
          <w:lang w:val="fr-CA"/>
        </w:rPr>
        <w:t>t</w:t>
      </w:r>
      <w:r>
        <w:rPr>
          <w:sz w:val="22"/>
          <w:szCs w:val="22"/>
          <w:lang w:val="fr-CA"/>
        </w:rPr>
        <w:t>ransformation</w:t>
      </w:r>
      <w:r w:rsidR="00A41A73">
        <w:rPr>
          <w:sz w:val="22"/>
          <w:szCs w:val="22"/>
          <w:lang w:val="fr-CA"/>
        </w:rPr>
        <w:t>nelles</w:t>
      </w:r>
      <w:r>
        <w:rPr>
          <w:sz w:val="22"/>
          <w:szCs w:val="22"/>
          <w:lang w:val="fr-CA"/>
        </w:rPr>
        <w:t xml:space="preserve"> de premier plan s</w:t>
      </w:r>
      <w:r w:rsidR="00B61E38">
        <w:rPr>
          <w:sz w:val="22"/>
          <w:szCs w:val="22"/>
          <w:lang w:val="fr-CA"/>
        </w:rPr>
        <w:t xml:space="preserve">’avèrent </w:t>
      </w:r>
      <w:r>
        <w:rPr>
          <w:sz w:val="22"/>
          <w:szCs w:val="22"/>
          <w:lang w:val="fr-CA"/>
        </w:rPr>
        <w:t xml:space="preserve">nécessaires pour aider </w:t>
      </w:r>
      <w:r w:rsidR="00A41A73">
        <w:rPr>
          <w:sz w:val="22"/>
          <w:szCs w:val="22"/>
          <w:lang w:val="fr-CA"/>
        </w:rPr>
        <w:t xml:space="preserve">à mettre en œuvre </w:t>
      </w:r>
      <w:r>
        <w:rPr>
          <w:sz w:val="22"/>
          <w:szCs w:val="22"/>
          <w:lang w:val="fr-CA"/>
        </w:rPr>
        <w:t xml:space="preserve">un programme de </w:t>
      </w:r>
      <w:r w:rsidR="00A41A73">
        <w:rPr>
          <w:sz w:val="22"/>
          <w:szCs w:val="22"/>
          <w:lang w:val="fr-CA"/>
        </w:rPr>
        <w:t xml:space="preserve">renforcement </w:t>
      </w:r>
      <w:r>
        <w:rPr>
          <w:sz w:val="22"/>
          <w:szCs w:val="22"/>
          <w:lang w:val="fr-CA"/>
        </w:rPr>
        <w:t>de la résilience?</w:t>
      </w:r>
    </w:p>
    <w:p w:rsidR="006E5E26" w:rsidRPr="006E5E26" w:rsidRDefault="000109F9" w:rsidP="00AF0068">
      <w:pPr>
        <w:pStyle w:val="ListParagraph0"/>
        <w:numPr>
          <w:ilvl w:val="0"/>
          <w:numId w:val="19"/>
        </w:numPr>
        <w:ind w:left="1440" w:hanging="720"/>
        <w:jc w:val="both"/>
        <w:rPr>
          <w:b/>
          <w:sz w:val="22"/>
          <w:szCs w:val="22"/>
          <w:lang w:val="fr-CA"/>
        </w:rPr>
      </w:pPr>
      <w:r>
        <w:rPr>
          <w:sz w:val="22"/>
          <w:szCs w:val="22"/>
          <w:lang w:val="fr-CA"/>
        </w:rPr>
        <w:t>Quelles politiques, stratégies et compétences axées sur l’emploi peuvent contribuer à mettre en place une main-d’œuvre résiliente</w:t>
      </w:r>
      <w:r w:rsidR="00B61E38">
        <w:rPr>
          <w:sz w:val="22"/>
          <w:szCs w:val="22"/>
          <w:lang w:val="fr-CA"/>
        </w:rPr>
        <w:t xml:space="preserve">, laquelle </w:t>
      </w:r>
      <w:r w:rsidR="00A41A73">
        <w:rPr>
          <w:sz w:val="22"/>
          <w:szCs w:val="22"/>
          <w:lang w:val="fr-CA"/>
        </w:rPr>
        <w:t xml:space="preserve">sera </w:t>
      </w:r>
      <w:r w:rsidR="006E5E26">
        <w:rPr>
          <w:sz w:val="22"/>
          <w:szCs w:val="22"/>
          <w:lang w:val="fr-CA"/>
        </w:rPr>
        <w:t xml:space="preserve">davantage en mesure de changer d’emploi ou de secteur industriel lorsque </w:t>
      </w:r>
      <w:r w:rsidR="00A41A73">
        <w:rPr>
          <w:sz w:val="22"/>
          <w:szCs w:val="22"/>
          <w:lang w:val="fr-CA"/>
        </w:rPr>
        <w:t xml:space="preserve">son </w:t>
      </w:r>
      <w:r w:rsidR="00815817">
        <w:rPr>
          <w:sz w:val="22"/>
          <w:szCs w:val="22"/>
          <w:lang w:val="fr-CA"/>
        </w:rPr>
        <w:t xml:space="preserve">métier de base </w:t>
      </w:r>
      <w:r w:rsidR="006E5E26">
        <w:rPr>
          <w:sz w:val="22"/>
          <w:szCs w:val="22"/>
          <w:lang w:val="fr-CA"/>
        </w:rPr>
        <w:t xml:space="preserve">est menacé par des chocs internes et externes? </w:t>
      </w:r>
    </w:p>
    <w:p w:rsidR="006E5E26" w:rsidRPr="006E5E26" w:rsidRDefault="006E5E26" w:rsidP="00AF0068">
      <w:pPr>
        <w:pStyle w:val="ListParagraph0"/>
        <w:numPr>
          <w:ilvl w:val="0"/>
          <w:numId w:val="19"/>
        </w:numPr>
        <w:ind w:left="1440" w:hanging="720"/>
        <w:jc w:val="both"/>
        <w:rPr>
          <w:b/>
          <w:sz w:val="22"/>
          <w:szCs w:val="22"/>
          <w:lang w:val="fr-CA"/>
        </w:rPr>
      </w:pPr>
      <w:r>
        <w:rPr>
          <w:sz w:val="22"/>
          <w:szCs w:val="22"/>
          <w:lang w:val="fr-CA"/>
        </w:rPr>
        <w:t>Quel rôle peut jouer l’OEA dans le renforcement et l’amélioration des structures de métrologie dans les Amériques?</w:t>
      </w:r>
    </w:p>
    <w:p w:rsidR="006E5E26" w:rsidRPr="006E5E26" w:rsidRDefault="006E5E26" w:rsidP="00AF0068">
      <w:pPr>
        <w:pStyle w:val="ListParagraph0"/>
        <w:numPr>
          <w:ilvl w:val="0"/>
          <w:numId w:val="19"/>
        </w:numPr>
        <w:ind w:left="1440" w:hanging="720"/>
        <w:jc w:val="both"/>
        <w:rPr>
          <w:b/>
          <w:sz w:val="22"/>
          <w:szCs w:val="22"/>
          <w:lang w:val="fr-CA"/>
        </w:rPr>
      </w:pPr>
      <w:r>
        <w:rPr>
          <w:sz w:val="22"/>
          <w:szCs w:val="22"/>
          <w:lang w:val="fr-CA"/>
        </w:rPr>
        <w:t xml:space="preserve">Quel rôle peut jouer l’OEA pour tirer profit des atouts uniques et des forces concurrentielles de la région et aider les entreprises à relancer l’économie après la perturbation? </w:t>
      </w:r>
    </w:p>
    <w:p w:rsidR="006E5E26" w:rsidRDefault="006E5E26" w:rsidP="006E5E26">
      <w:pPr>
        <w:jc w:val="both"/>
        <w:rPr>
          <w:sz w:val="22"/>
          <w:szCs w:val="22"/>
          <w:lang w:val="fr-CA"/>
        </w:rPr>
      </w:pPr>
    </w:p>
    <w:p w:rsidR="006E5E26" w:rsidRDefault="006E5E26" w:rsidP="006E5E26">
      <w:pPr>
        <w:jc w:val="both"/>
        <w:rPr>
          <w:b/>
          <w:i/>
          <w:sz w:val="22"/>
          <w:szCs w:val="22"/>
          <w:lang w:val="fr-CA"/>
        </w:rPr>
      </w:pPr>
      <w:r>
        <w:rPr>
          <w:b/>
          <w:i/>
          <w:sz w:val="22"/>
          <w:szCs w:val="22"/>
          <w:lang w:val="fr-CA"/>
        </w:rPr>
        <w:t>Résilience environnementale</w:t>
      </w:r>
    </w:p>
    <w:p w:rsidR="006E5E26" w:rsidRDefault="006E5E26" w:rsidP="006E5E26">
      <w:pPr>
        <w:jc w:val="both"/>
        <w:rPr>
          <w:b/>
          <w:i/>
          <w:sz w:val="22"/>
          <w:szCs w:val="22"/>
          <w:lang w:val="fr-CA"/>
        </w:rPr>
      </w:pPr>
    </w:p>
    <w:p w:rsidR="006E5E26" w:rsidRDefault="006E5E26" w:rsidP="006E5E26">
      <w:pPr>
        <w:jc w:val="both"/>
        <w:rPr>
          <w:b/>
          <w:sz w:val="22"/>
          <w:szCs w:val="22"/>
          <w:lang w:val="fr-CA"/>
        </w:rPr>
      </w:pPr>
      <w:r>
        <w:rPr>
          <w:b/>
          <w:sz w:val="22"/>
          <w:szCs w:val="22"/>
          <w:lang w:val="fr-CA"/>
        </w:rPr>
        <w:t>Sous-thème : mieux reconstruire : la clé vers une r</w:t>
      </w:r>
      <w:r w:rsidR="00A41A73">
        <w:rPr>
          <w:b/>
          <w:sz w:val="22"/>
          <w:szCs w:val="22"/>
          <w:lang w:val="fr-CA"/>
        </w:rPr>
        <w:t xml:space="preserve">emise en état </w:t>
      </w:r>
      <w:r>
        <w:rPr>
          <w:b/>
          <w:sz w:val="22"/>
          <w:szCs w:val="22"/>
          <w:lang w:val="fr-CA"/>
        </w:rPr>
        <w:t xml:space="preserve">résiliente </w:t>
      </w:r>
    </w:p>
    <w:p w:rsidR="006E5E26" w:rsidRDefault="006E5E26" w:rsidP="006E5E26">
      <w:pPr>
        <w:jc w:val="both"/>
        <w:rPr>
          <w:i/>
          <w:sz w:val="22"/>
          <w:szCs w:val="22"/>
          <w:lang w:val="fr-CA"/>
        </w:rPr>
      </w:pPr>
      <w:r>
        <w:rPr>
          <w:i/>
          <w:sz w:val="22"/>
          <w:szCs w:val="22"/>
          <w:lang w:val="fr-CA"/>
        </w:rPr>
        <w:t>Date pr</w:t>
      </w:r>
      <w:r w:rsidR="00A41A73">
        <w:rPr>
          <w:i/>
          <w:sz w:val="22"/>
          <w:szCs w:val="22"/>
          <w:lang w:val="fr-CA"/>
        </w:rPr>
        <w:t xml:space="preserve">ovisoire </w:t>
      </w:r>
      <w:r>
        <w:rPr>
          <w:i/>
          <w:sz w:val="22"/>
          <w:szCs w:val="22"/>
          <w:lang w:val="fr-CA"/>
        </w:rPr>
        <w:t>: le 29 septembre</w:t>
      </w:r>
    </w:p>
    <w:p w:rsidR="006E5E26" w:rsidRDefault="006E5E26" w:rsidP="006E5E26">
      <w:pPr>
        <w:jc w:val="both"/>
        <w:rPr>
          <w:i/>
          <w:sz w:val="22"/>
          <w:szCs w:val="22"/>
          <w:lang w:val="fr-CA"/>
        </w:rPr>
      </w:pPr>
    </w:p>
    <w:p w:rsidR="006E5E26" w:rsidRDefault="006E5E26" w:rsidP="006E5E26">
      <w:pPr>
        <w:jc w:val="both"/>
        <w:rPr>
          <w:sz w:val="22"/>
          <w:szCs w:val="22"/>
          <w:lang w:val="fr-CA"/>
        </w:rPr>
      </w:pPr>
      <w:r>
        <w:rPr>
          <w:sz w:val="22"/>
          <w:szCs w:val="22"/>
          <w:lang w:val="fr-CA"/>
        </w:rPr>
        <w:t>Cette séance examinera quelques-uns des questions/points suivants :</w:t>
      </w:r>
    </w:p>
    <w:p w:rsidR="006E5E26" w:rsidRDefault="006E5E26" w:rsidP="006E5E26">
      <w:pPr>
        <w:jc w:val="both"/>
        <w:rPr>
          <w:sz w:val="22"/>
          <w:szCs w:val="22"/>
          <w:lang w:val="fr-CA"/>
        </w:rPr>
      </w:pPr>
    </w:p>
    <w:p w:rsidR="00F51E04" w:rsidRDefault="006E5E26" w:rsidP="00AF0068">
      <w:pPr>
        <w:pStyle w:val="ListParagraph0"/>
        <w:numPr>
          <w:ilvl w:val="0"/>
          <w:numId w:val="20"/>
        </w:numPr>
        <w:ind w:left="1440" w:hanging="720"/>
        <w:jc w:val="both"/>
        <w:rPr>
          <w:sz w:val="22"/>
          <w:szCs w:val="22"/>
          <w:lang w:val="fr-CA"/>
        </w:rPr>
      </w:pPr>
      <w:r>
        <w:rPr>
          <w:sz w:val="22"/>
          <w:szCs w:val="22"/>
          <w:lang w:val="fr-CA"/>
        </w:rPr>
        <w:t>Quelles politiques de réglementation s’avèrent cruciales pour la rés</w:t>
      </w:r>
      <w:r w:rsidR="00F51E04">
        <w:rPr>
          <w:sz w:val="22"/>
          <w:szCs w:val="22"/>
          <w:lang w:val="fr-CA"/>
        </w:rPr>
        <w:t>ilience économique, sociale et environnementale?</w:t>
      </w:r>
    </w:p>
    <w:p w:rsidR="006E5E26" w:rsidRDefault="00F51E04" w:rsidP="00AF0068">
      <w:pPr>
        <w:pStyle w:val="ListParagraph0"/>
        <w:numPr>
          <w:ilvl w:val="0"/>
          <w:numId w:val="20"/>
        </w:numPr>
        <w:ind w:left="1440" w:hanging="720"/>
        <w:jc w:val="both"/>
        <w:rPr>
          <w:sz w:val="22"/>
          <w:szCs w:val="22"/>
          <w:lang w:val="fr-CA"/>
        </w:rPr>
      </w:pPr>
      <w:r>
        <w:rPr>
          <w:sz w:val="22"/>
          <w:szCs w:val="22"/>
          <w:lang w:val="fr-CA"/>
        </w:rPr>
        <w:t xml:space="preserve">De quelle manière la science et la technologie peuvent-elles aider </w:t>
      </w:r>
      <w:r w:rsidR="00A41A73">
        <w:rPr>
          <w:sz w:val="22"/>
          <w:szCs w:val="22"/>
          <w:lang w:val="fr-CA"/>
        </w:rPr>
        <w:t xml:space="preserve">à prendre des </w:t>
      </w:r>
      <w:r>
        <w:rPr>
          <w:sz w:val="22"/>
          <w:szCs w:val="22"/>
          <w:lang w:val="fr-CA"/>
        </w:rPr>
        <w:t>décision</w:t>
      </w:r>
      <w:r w:rsidR="00A41A73">
        <w:rPr>
          <w:sz w:val="22"/>
          <w:szCs w:val="22"/>
          <w:lang w:val="fr-CA"/>
        </w:rPr>
        <w:t>s</w:t>
      </w:r>
      <w:r>
        <w:rPr>
          <w:sz w:val="22"/>
          <w:szCs w:val="22"/>
          <w:lang w:val="fr-CA"/>
        </w:rPr>
        <w:t xml:space="preserve"> concernant la résilience environnementale?  </w:t>
      </w:r>
    </w:p>
    <w:p w:rsidR="00F51E04" w:rsidRDefault="00F51E04" w:rsidP="00AF0068">
      <w:pPr>
        <w:pStyle w:val="ListParagraph0"/>
        <w:numPr>
          <w:ilvl w:val="0"/>
          <w:numId w:val="20"/>
        </w:numPr>
        <w:ind w:left="1440" w:hanging="720"/>
        <w:jc w:val="both"/>
        <w:rPr>
          <w:sz w:val="22"/>
          <w:szCs w:val="22"/>
          <w:lang w:val="fr-CA"/>
        </w:rPr>
      </w:pPr>
      <w:r>
        <w:rPr>
          <w:sz w:val="22"/>
          <w:szCs w:val="22"/>
          <w:lang w:val="fr-CA"/>
        </w:rPr>
        <w:t xml:space="preserve">Quelles informations, données et/ou obstacles doivent être examinés en premier lieu </w:t>
      </w:r>
      <w:r w:rsidR="00A41A73">
        <w:rPr>
          <w:sz w:val="22"/>
          <w:szCs w:val="22"/>
          <w:lang w:val="fr-CA"/>
        </w:rPr>
        <w:t>afin d’</w:t>
      </w:r>
      <w:r>
        <w:rPr>
          <w:sz w:val="22"/>
          <w:szCs w:val="22"/>
          <w:lang w:val="fr-CA"/>
        </w:rPr>
        <w:t xml:space="preserve">accroître la résilience de la région aux catastrophes? </w:t>
      </w:r>
    </w:p>
    <w:p w:rsidR="00F51E04" w:rsidRDefault="00F51E04" w:rsidP="00AF0068">
      <w:pPr>
        <w:pStyle w:val="ListParagraph0"/>
        <w:numPr>
          <w:ilvl w:val="0"/>
          <w:numId w:val="20"/>
        </w:numPr>
        <w:ind w:left="1440" w:hanging="720"/>
        <w:jc w:val="both"/>
        <w:rPr>
          <w:sz w:val="22"/>
          <w:szCs w:val="22"/>
          <w:lang w:val="fr-CA"/>
        </w:rPr>
      </w:pPr>
      <w:r>
        <w:rPr>
          <w:sz w:val="22"/>
          <w:szCs w:val="22"/>
          <w:lang w:val="fr-CA"/>
        </w:rPr>
        <w:t>Comment s’assurer que les politiques de croissance économique ne portent pas atteinte à la qualité de l’environnement?</w:t>
      </w:r>
    </w:p>
    <w:p w:rsidR="00F51E04" w:rsidRDefault="00F51E04" w:rsidP="00AF0068">
      <w:pPr>
        <w:pStyle w:val="ListParagraph0"/>
        <w:numPr>
          <w:ilvl w:val="0"/>
          <w:numId w:val="20"/>
        </w:numPr>
        <w:ind w:left="1440" w:hanging="720"/>
        <w:jc w:val="both"/>
        <w:rPr>
          <w:sz w:val="22"/>
          <w:szCs w:val="22"/>
          <w:lang w:val="fr-CA"/>
        </w:rPr>
      </w:pPr>
      <w:r>
        <w:rPr>
          <w:sz w:val="22"/>
          <w:szCs w:val="22"/>
          <w:lang w:val="fr-CA"/>
        </w:rPr>
        <w:lastRenderedPageBreak/>
        <w:t xml:space="preserve">Quelles stratégies peuvent adopter les États membres afin de promouvoir des infrastructures énergétiques résilientes et stimuler les investissements dans les infrastructures vertes? </w:t>
      </w:r>
    </w:p>
    <w:p w:rsidR="00D80CCB" w:rsidRDefault="00F51E04" w:rsidP="00AF0068">
      <w:pPr>
        <w:pStyle w:val="ListParagraph0"/>
        <w:numPr>
          <w:ilvl w:val="0"/>
          <w:numId w:val="20"/>
        </w:numPr>
        <w:ind w:left="1440" w:hanging="720"/>
        <w:jc w:val="both"/>
        <w:rPr>
          <w:sz w:val="22"/>
          <w:szCs w:val="22"/>
          <w:lang w:val="fr-CA"/>
        </w:rPr>
      </w:pPr>
      <w:r>
        <w:rPr>
          <w:sz w:val="22"/>
          <w:szCs w:val="22"/>
          <w:lang w:val="fr-CA"/>
        </w:rPr>
        <w:t>Comment mesur</w:t>
      </w:r>
      <w:r w:rsidR="00815817">
        <w:rPr>
          <w:sz w:val="22"/>
          <w:szCs w:val="22"/>
          <w:lang w:val="fr-CA"/>
        </w:rPr>
        <w:t xml:space="preserve">er </w:t>
      </w:r>
      <w:r>
        <w:rPr>
          <w:sz w:val="22"/>
          <w:szCs w:val="22"/>
          <w:lang w:val="fr-CA"/>
        </w:rPr>
        <w:t xml:space="preserve">et </w:t>
      </w:r>
      <w:r w:rsidR="00B912B3">
        <w:rPr>
          <w:sz w:val="22"/>
          <w:szCs w:val="22"/>
          <w:lang w:val="fr-CA"/>
        </w:rPr>
        <w:t>renfor</w:t>
      </w:r>
      <w:r w:rsidR="00815817">
        <w:rPr>
          <w:sz w:val="22"/>
          <w:szCs w:val="22"/>
          <w:lang w:val="fr-CA"/>
        </w:rPr>
        <w:t xml:space="preserve">cer </w:t>
      </w:r>
      <w:r>
        <w:rPr>
          <w:sz w:val="22"/>
          <w:szCs w:val="22"/>
          <w:lang w:val="fr-CA"/>
        </w:rPr>
        <w:t xml:space="preserve">la résilience contre les catastrophes dans les communautés et les </w:t>
      </w:r>
      <w:r w:rsidR="00B912B3">
        <w:rPr>
          <w:sz w:val="22"/>
          <w:szCs w:val="22"/>
          <w:lang w:val="fr-CA"/>
        </w:rPr>
        <w:t xml:space="preserve">ménages </w:t>
      </w:r>
      <w:r>
        <w:rPr>
          <w:sz w:val="22"/>
          <w:szCs w:val="22"/>
          <w:lang w:val="fr-CA"/>
        </w:rPr>
        <w:t xml:space="preserve">alors que </w:t>
      </w:r>
      <w:r w:rsidR="00815817">
        <w:rPr>
          <w:sz w:val="22"/>
          <w:szCs w:val="22"/>
          <w:lang w:val="fr-CA"/>
        </w:rPr>
        <w:t xml:space="preserve">l’on </w:t>
      </w:r>
      <w:r w:rsidR="00D80CCB">
        <w:rPr>
          <w:sz w:val="22"/>
          <w:szCs w:val="22"/>
          <w:lang w:val="fr-CA"/>
        </w:rPr>
        <w:t>affront</w:t>
      </w:r>
      <w:r w:rsidR="00815817">
        <w:rPr>
          <w:sz w:val="22"/>
          <w:szCs w:val="22"/>
          <w:lang w:val="fr-CA"/>
        </w:rPr>
        <w:t>e</w:t>
      </w:r>
      <w:r w:rsidR="00D80CCB">
        <w:rPr>
          <w:sz w:val="22"/>
          <w:szCs w:val="22"/>
          <w:lang w:val="fr-CA"/>
        </w:rPr>
        <w:t xml:space="preserve"> des niveaux croissants d’incertitude?</w:t>
      </w:r>
    </w:p>
    <w:p w:rsidR="00D80CCB" w:rsidRDefault="00D80CCB" w:rsidP="00AF0068">
      <w:pPr>
        <w:pStyle w:val="ListParagraph0"/>
        <w:numPr>
          <w:ilvl w:val="0"/>
          <w:numId w:val="20"/>
        </w:numPr>
        <w:ind w:left="1440" w:hanging="720"/>
        <w:jc w:val="both"/>
        <w:rPr>
          <w:sz w:val="22"/>
          <w:szCs w:val="22"/>
          <w:lang w:val="fr-CA"/>
        </w:rPr>
      </w:pPr>
      <w:r>
        <w:rPr>
          <w:sz w:val="22"/>
          <w:szCs w:val="22"/>
          <w:lang w:val="fr-CA"/>
        </w:rPr>
        <w:t xml:space="preserve">Comment peut-on habiliter les citoyens à se rendre </w:t>
      </w:r>
      <w:r w:rsidR="00B912B3">
        <w:rPr>
          <w:sz w:val="22"/>
          <w:szCs w:val="22"/>
          <w:lang w:val="fr-CA"/>
        </w:rPr>
        <w:t xml:space="preserve">pleinement </w:t>
      </w:r>
      <w:r>
        <w:rPr>
          <w:sz w:val="22"/>
          <w:szCs w:val="22"/>
          <w:lang w:val="fr-CA"/>
        </w:rPr>
        <w:t xml:space="preserve">compte des risques auxquels ils </w:t>
      </w:r>
      <w:r w:rsidR="00B912B3">
        <w:rPr>
          <w:sz w:val="22"/>
          <w:szCs w:val="22"/>
          <w:lang w:val="fr-CA"/>
        </w:rPr>
        <w:t>sont exposés</w:t>
      </w:r>
      <w:r>
        <w:rPr>
          <w:sz w:val="22"/>
          <w:szCs w:val="22"/>
          <w:lang w:val="fr-CA"/>
        </w:rPr>
        <w:t xml:space="preserve">? Les pratiques optimales en matière d’approches </w:t>
      </w:r>
      <w:r w:rsidR="00815817">
        <w:rPr>
          <w:sz w:val="22"/>
          <w:szCs w:val="22"/>
          <w:lang w:val="fr-CA"/>
        </w:rPr>
        <w:t xml:space="preserve">visant le renforcement de la résilience qui </w:t>
      </w:r>
      <w:r>
        <w:rPr>
          <w:sz w:val="22"/>
          <w:szCs w:val="22"/>
          <w:lang w:val="fr-CA"/>
        </w:rPr>
        <w:t>englob</w:t>
      </w:r>
      <w:r w:rsidR="00815817">
        <w:rPr>
          <w:sz w:val="22"/>
          <w:szCs w:val="22"/>
          <w:lang w:val="fr-CA"/>
        </w:rPr>
        <w:t>e</w:t>
      </w:r>
      <w:r>
        <w:rPr>
          <w:sz w:val="22"/>
          <w:szCs w:val="22"/>
          <w:lang w:val="fr-CA"/>
        </w:rPr>
        <w:t>nt toute la communauté</w:t>
      </w:r>
      <w:r w:rsidR="00815817">
        <w:rPr>
          <w:sz w:val="22"/>
          <w:szCs w:val="22"/>
          <w:lang w:val="fr-CA"/>
        </w:rPr>
        <w:t xml:space="preserve">. </w:t>
      </w:r>
    </w:p>
    <w:p w:rsidR="00D80CCB" w:rsidRDefault="00D80CCB" w:rsidP="00D80CCB">
      <w:pPr>
        <w:jc w:val="both"/>
        <w:rPr>
          <w:sz w:val="22"/>
          <w:szCs w:val="22"/>
          <w:lang w:val="fr-CA"/>
        </w:rPr>
      </w:pPr>
    </w:p>
    <w:p w:rsidR="00D80CCB" w:rsidRDefault="00D80CCB" w:rsidP="00D80CCB">
      <w:pPr>
        <w:jc w:val="both"/>
        <w:rPr>
          <w:b/>
          <w:i/>
          <w:sz w:val="22"/>
          <w:szCs w:val="22"/>
          <w:lang w:val="fr-CA"/>
        </w:rPr>
      </w:pPr>
      <w:r>
        <w:rPr>
          <w:b/>
          <w:i/>
          <w:sz w:val="22"/>
          <w:szCs w:val="22"/>
          <w:lang w:val="fr-CA"/>
        </w:rPr>
        <w:t>M</w:t>
      </w:r>
      <w:r w:rsidR="00B912B3">
        <w:rPr>
          <w:b/>
          <w:i/>
          <w:sz w:val="22"/>
          <w:szCs w:val="22"/>
          <w:lang w:val="fr-CA"/>
        </w:rPr>
        <w:t xml:space="preserve">ise </w:t>
      </w:r>
      <w:r>
        <w:rPr>
          <w:b/>
          <w:i/>
          <w:sz w:val="22"/>
          <w:szCs w:val="22"/>
          <w:lang w:val="fr-CA"/>
        </w:rPr>
        <w:t xml:space="preserve">à profit </w:t>
      </w:r>
      <w:r w:rsidR="00B912B3">
        <w:rPr>
          <w:b/>
          <w:i/>
          <w:sz w:val="22"/>
          <w:szCs w:val="22"/>
          <w:lang w:val="fr-CA"/>
        </w:rPr>
        <w:t>d</w:t>
      </w:r>
      <w:r>
        <w:rPr>
          <w:b/>
          <w:i/>
          <w:sz w:val="22"/>
          <w:szCs w:val="22"/>
          <w:lang w:val="fr-CA"/>
        </w:rPr>
        <w:t xml:space="preserve">es partenariats et </w:t>
      </w:r>
      <w:r w:rsidR="00B912B3">
        <w:rPr>
          <w:b/>
          <w:i/>
          <w:sz w:val="22"/>
          <w:szCs w:val="22"/>
          <w:lang w:val="fr-CA"/>
        </w:rPr>
        <w:t xml:space="preserve">de </w:t>
      </w:r>
      <w:r>
        <w:rPr>
          <w:b/>
          <w:i/>
          <w:sz w:val="22"/>
          <w:szCs w:val="22"/>
          <w:lang w:val="fr-CA"/>
        </w:rPr>
        <w:t>la coopération</w:t>
      </w:r>
    </w:p>
    <w:p w:rsidR="00D80CCB" w:rsidRDefault="00D80CCB" w:rsidP="00D80CCB">
      <w:pPr>
        <w:jc w:val="both"/>
        <w:rPr>
          <w:b/>
          <w:i/>
          <w:sz w:val="22"/>
          <w:szCs w:val="22"/>
          <w:lang w:val="fr-CA"/>
        </w:rPr>
      </w:pPr>
    </w:p>
    <w:p w:rsidR="00D80CCB" w:rsidRDefault="00D80CCB" w:rsidP="00D80CCB">
      <w:pPr>
        <w:jc w:val="both"/>
        <w:rPr>
          <w:b/>
          <w:sz w:val="22"/>
          <w:szCs w:val="22"/>
          <w:lang w:val="fr-CA"/>
        </w:rPr>
      </w:pPr>
      <w:r>
        <w:rPr>
          <w:b/>
          <w:sz w:val="22"/>
          <w:szCs w:val="22"/>
          <w:lang w:val="fr-CA"/>
        </w:rPr>
        <w:t xml:space="preserve">Sous-thème : partenariats et coopération avec les secteurs public et privé pour la résilience  </w:t>
      </w:r>
    </w:p>
    <w:p w:rsidR="00D80CCB" w:rsidRDefault="00D80CCB" w:rsidP="00D80CCB">
      <w:pPr>
        <w:jc w:val="both"/>
        <w:rPr>
          <w:i/>
          <w:sz w:val="22"/>
          <w:szCs w:val="22"/>
          <w:lang w:val="fr-CA"/>
        </w:rPr>
      </w:pPr>
      <w:r>
        <w:rPr>
          <w:i/>
          <w:sz w:val="22"/>
          <w:szCs w:val="22"/>
          <w:lang w:val="fr-CA"/>
        </w:rPr>
        <w:t>Date pr</w:t>
      </w:r>
      <w:r w:rsidR="00B912B3">
        <w:rPr>
          <w:i/>
          <w:sz w:val="22"/>
          <w:szCs w:val="22"/>
          <w:lang w:val="fr-CA"/>
        </w:rPr>
        <w:t>ovisoire</w:t>
      </w:r>
      <w:r>
        <w:rPr>
          <w:i/>
          <w:sz w:val="22"/>
          <w:szCs w:val="22"/>
          <w:lang w:val="fr-CA"/>
        </w:rPr>
        <w:t xml:space="preserve"> : le 8 décembre. États observateurs </w:t>
      </w:r>
    </w:p>
    <w:p w:rsidR="00D80CCB" w:rsidRDefault="00D80CCB" w:rsidP="00D80CCB">
      <w:pPr>
        <w:jc w:val="both"/>
        <w:rPr>
          <w:i/>
          <w:sz w:val="22"/>
          <w:szCs w:val="22"/>
          <w:lang w:val="fr-CA"/>
        </w:rPr>
      </w:pPr>
    </w:p>
    <w:p w:rsidR="00D80CCB" w:rsidRDefault="00D80CCB" w:rsidP="00D80CCB">
      <w:pPr>
        <w:jc w:val="both"/>
        <w:rPr>
          <w:sz w:val="22"/>
          <w:szCs w:val="22"/>
          <w:lang w:val="fr-CA"/>
        </w:rPr>
      </w:pPr>
      <w:r>
        <w:rPr>
          <w:sz w:val="22"/>
          <w:szCs w:val="22"/>
          <w:lang w:val="fr-CA"/>
        </w:rPr>
        <w:t>Cette séance examinera quelques-uns des questions/points suivants :</w:t>
      </w:r>
    </w:p>
    <w:p w:rsidR="00D80CCB" w:rsidRDefault="00D80CCB" w:rsidP="00D80CCB">
      <w:pPr>
        <w:jc w:val="both"/>
        <w:rPr>
          <w:b/>
          <w:i/>
          <w:sz w:val="22"/>
          <w:szCs w:val="22"/>
          <w:lang w:val="fr-CA"/>
        </w:rPr>
      </w:pPr>
    </w:p>
    <w:p w:rsidR="00D80CCB" w:rsidRPr="00D80CCB" w:rsidRDefault="00D80CCB" w:rsidP="00AF0068">
      <w:pPr>
        <w:pStyle w:val="ListParagraph0"/>
        <w:numPr>
          <w:ilvl w:val="0"/>
          <w:numId w:val="21"/>
        </w:numPr>
        <w:ind w:left="1440" w:hanging="720"/>
        <w:jc w:val="both"/>
        <w:rPr>
          <w:b/>
          <w:sz w:val="22"/>
          <w:szCs w:val="22"/>
          <w:lang w:val="fr-CA"/>
        </w:rPr>
      </w:pPr>
      <w:r w:rsidRPr="00D80CCB">
        <w:rPr>
          <w:sz w:val="22"/>
          <w:szCs w:val="22"/>
          <w:lang w:val="fr-CA"/>
        </w:rPr>
        <w:t>La</w:t>
      </w:r>
      <w:r>
        <w:rPr>
          <w:sz w:val="22"/>
          <w:szCs w:val="22"/>
          <w:lang w:val="fr-CA"/>
        </w:rPr>
        <w:t xml:space="preserve"> coopération : échange de données d’expérience, </w:t>
      </w:r>
      <w:r w:rsidR="00B912B3">
        <w:rPr>
          <w:sz w:val="22"/>
          <w:szCs w:val="22"/>
          <w:lang w:val="fr-CA"/>
        </w:rPr>
        <w:t xml:space="preserve">de </w:t>
      </w:r>
      <w:r>
        <w:rPr>
          <w:sz w:val="22"/>
          <w:szCs w:val="22"/>
          <w:lang w:val="fr-CA"/>
        </w:rPr>
        <w:t xml:space="preserve">leçons apprises et </w:t>
      </w:r>
      <w:r w:rsidR="00B912B3">
        <w:rPr>
          <w:sz w:val="22"/>
          <w:szCs w:val="22"/>
          <w:lang w:val="fr-CA"/>
        </w:rPr>
        <w:t xml:space="preserve">de </w:t>
      </w:r>
      <w:r>
        <w:rPr>
          <w:sz w:val="22"/>
          <w:szCs w:val="22"/>
          <w:lang w:val="fr-CA"/>
        </w:rPr>
        <w:t xml:space="preserve">bonnes pratiques en matière de </w:t>
      </w:r>
      <w:r w:rsidR="00B912B3">
        <w:rPr>
          <w:sz w:val="22"/>
          <w:szCs w:val="22"/>
          <w:lang w:val="fr-CA"/>
        </w:rPr>
        <w:t xml:space="preserve">renforcement </w:t>
      </w:r>
      <w:r>
        <w:rPr>
          <w:sz w:val="22"/>
          <w:szCs w:val="22"/>
          <w:lang w:val="fr-CA"/>
        </w:rPr>
        <w:t>de la résilience dans ses trois dimensions : économique, sociale et environnementale</w:t>
      </w:r>
      <w:r w:rsidR="00B912B3">
        <w:rPr>
          <w:sz w:val="22"/>
          <w:szCs w:val="22"/>
          <w:lang w:val="fr-CA"/>
        </w:rPr>
        <w:t>.</w:t>
      </w:r>
    </w:p>
    <w:p w:rsidR="00D80CCB" w:rsidRPr="00D80CCB" w:rsidRDefault="00D80CCB" w:rsidP="00AF0068">
      <w:pPr>
        <w:pStyle w:val="ListParagraph0"/>
        <w:numPr>
          <w:ilvl w:val="0"/>
          <w:numId w:val="21"/>
        </w:numPr>
        <w:ind w:left="1440" w:hanging="720"/>
        <w:jc w:val="both"/>
        <w:rPr>
          <w:b/>
          <w:sz w:val="22"/>
          <w:szCs w:val="22"/>
          <w:lang w:val="fr-CA"/>
        </w:rPr>
      </w:pPr>
      <w:r>
        <w:rPr>
          <w:sz w:val="22"/>
          <w:szCs w:val="22"/>
          <w:lang w:val="fr-CA"/>
        </w:rPr>
        <w:t xml:space="preserve">Quelles sont les possibilités </w:t>
      </w:r>
      <w:r w:rsidR="00815817">
        <w:rPr>
          <w:sz w:val="22"/>
          <w:szCs w:val="22"/>
          <w:lang w:val="fr-CA"/>
        </w:rPr>
        <w:t xml:space="preserve">disponibles en matière </w:t>
      </w:r>
      <w:r>
        <w:rPr>
          <w:sz w:val="22"/>
          <w:szCs w:val="22"/>
          <w:lang w:val="fr-CA"/>
        </w:rPr>
        <w:t>de financement, de coopération et de partenariats pour l</w:t>
      </w:r>
      <w:r w:rsidR="00B912B3">
        <w:rPr>
          <w:sz w:val="22"/>
          <w:szCs w:val="22"/>
          <w:lang w:val="fr-CA"/>
        </w:rPr>
        <w:t xml:space="preserve">e renforcement </w:t>
      </w:r>
      <w:r>
        <w:rPr>
          <w:sz w:val="22"/>
          <w:szCs w:val="22"/>
          <w:lang w:val="fr-CA"/>
        </w:rPr>
        <w:t xml:space="preserve">de la résilience. </w:t>
      </w:r>
    </w:p>
    <w:p w:rsidR="00D80CCB" w:rsidRDefault="00D80CCB" w:rsidP="00AF0068">
      <w:pPr>
        <w:jc w:val="both"/>
        <w:rPr>
          <w:b/>
          <w:sz w:val="22"/>
          <w:szCs w:val="22"/>
          <w:lang w:val="fr-CA"/>
        </w:rPr>
      </w:pPr>
    </w:p>
    <w:p w:rsidR="00D80CCB" w:rsidRDefault="00D80CCB" w:rsidP="00D80CCB">
      <w:pPr>
        <w:jc w:val="both"/>
        <w:rPr>
          <w:b/>
          <w:sz w:val="22"/>
          <w:szCs w:val="22"/>
          <w:lang w:val="fr-CA"/>
        </w:rPr>
      </w:pPr>
      <w:r>
        <w:rPr>
          <w:b/>
          <w:sz w:val="22"/>
          <w:szCs w:val="22"/>
          <w:lang w:val="fr-CA"/>
        </w:rPr>
        <w:t>Calendrier pr</w:t>
      </w:r>
      <w:r w:rsidR="00B912B3">
        <w:rPr>
          <w:b/>
          <w:sz w:val="22"/>
          <w:szCs w:val="22"/>
          <w:lang w:val="fr-CA"/>
        </w:rPr>
        <w:t xml:space="preserve">ovisoire </w:t>
      </w:r>
      <w:r>
        <w:rPr>
          <w:b/>
          <w:sz w:val="22"/>
          <w:szCs w:val="22"/>
          <w:lang w:val="fr-CA"/>
        </w:rPr>
        <w:t>des réunions du CIDI</w:t>
      </w:r>
    </w:p>
    <w:p w:rsidR="00D80CCB" w:rsidRDefault="00D80CCB" w:rsidP="00D80CCB">
      <w:pPr>
        <w:jc w:val="both"/>
        <w:rPr>
          <w:b/>
          <w:sz w:val="22"/>
          <w:szCs w:val="22"/>
          <w:lang w:val="fr-CA"/>
        </w:rPr>
      </w:pPr>
    </w:p>
    <w:tbl>
      <w:tblPr>
        <w:tblStyle w:val="TableGrid"/>
        <w:tblW w:w="9241" w:type="dxa"/>
        <w:tblLook w:val="04A0" w:firstRow="1" w:lastRow="0" w:firstColumn="1" w:lastColumn="0" w:noHBand="0" w:noVBand="1"/>
      </w:tblPr>
      <w:tblGrid>
        <w:gridCol w:w="2154"/>
        <w:gridCol w:w="2948"/>
        <w:gridCol w:w="4139"/>
      </w:tblGrid>
      <w:tr w:rsidR="00045946" w:rsidTr="00045946">
        <w:tc>
          <w:tcPr>
            <w:tcW w:w="2154" w:type="dxa"/>
          </w:tcPr>
          <w:p w:rsidR="00045946" w:rsidRPr="00045946" w:rsidRDefault="00045946" w:rsidP="00D80CCB">
            <w:pPr>
              <w:jc w:val="both"/>
              <w:rPr>
                <w:b/>
                <w:sz w:val="22"/>
                <w:szCs w:val="22"/>
                <w:lang w:val="fr-CA"/>
              </w:rPr>
            </w:pPr>
            <w:r w:rsidRPr="00045946">
              <w:rPr>
                <w:b/>
                <w:sz w:val="22"/>
                <w:szCs w:val="22"/>
                <w:lang w:val="fr-CA"/>
              </w:rPr>
              <w:t>Date provisoire</w:t>
            </w:r>
          </w:p>
        </w:tc>
        <w:tc>
          <w:tcPr>
            <w:tcW w:w="2948" w:type="dxa"/>
          </w:tcPr>
          <w:p w:rsidR="00045946" w:rsidRDefault="00045946" w:rsidP="00D80CCB">
            <w:pPr>
              <w:jc w:val="both"/>
              <w:rPr>
                <w:b/>
                <w:sz w:val="22"/>
                <w:szCs w:val="22"/>
                <w:lang w:val="fr-CA"/>
              </w:rPr>
            </w:pPr>
            <w:r>
              <w:rPr>
                <w:b/>
                <w:sz w:val="22"/>
                <w:szCs w:val="22"/>
                <w:lang w:val="fr-CA"/>
              </w:rPr>
              <w:t>Thèmes</w:t>
            </w:r>
          </w:p>
        </w:tc>
        <w:tc>
          <w:tcPr>
            <w:tcW w:w="4139" w:type="dxa"/>
          </w:tcPr>
          <w:p w:rsidR="00045946" w:rsidRDefault="00045946" w:rsidP="00D80CCB">
            <w:pPr>
              <w:jc w:val="both"/>
              <w:rPr>
                <w:b/>
                <w:sz w:val="22"/>
                <w:szCs w:val="22"/>
                <w:lang w:val="fr-CA"/>
              </w:rPr>
            </w:pPr>
            <w:r>
              <w:rPr>
                <w:b/>
                <w:sz w:val="22"/>
                <w:szCs w:val="22"/>
                <w:lang w:val="fr-CA"/>
              </w:rPr>
              <w:t>Sous-thèmes</w:t>
            </w:r>
          </w:p>
        </w:tc>
      </w:tr>
      <w:tr w:rsidR="00045946" w:rsidRPr="00AF0068" w:rsidTr="00045946">
        <w:tc>
          <w:tcPr>
            <w:tcW w:w="2154" w:type="dxa"/>
          </w:tcPr>
          <w:p w:rsidR="00045946" w:rsidRDefault="00045946" w:rsidP="00D80CCB">
            <w:pPr>
              <w:jc w:val="both"/>
              <w:rPr>
                <w:b/>
                <w:sz w:val="22"/>
                <w:szCs w:val="22"/>
                <w:lang w:val="fr-CA"/>
              </w:rPr>
            </w:pPr>
            <w:r w:rsidRPr="00045946">
              <w:rPr>
                <w:sz w:val="22"/>
                <w:szCs w:val="22"/>
                <w:lang w:val="fr-CA"/>
              </w:rPr>
              <w:t>28</w:t>
            </w:r>
            <w:r>
              <w:rPr>
                <w:sz w:val="22"/>
                <w:szCs w:val="22"/>
                <w:lang w:val="fr-CA"/>
              </w:rPr>
              <w:t xml:space="preserve"> juillet</w:t>
            </w:r>
          </w:p>
        </w:tc>
        <w:tc>
          <w:tcPr>
            <w:tcW w:w="2948" w:type="dxa"/>
          </w:tcPr>
          <w:p w:rsidR="00045946" w:rsidRDefault="00045946" w:rsidP="00D80CCB">
            <w:pPr>
              <w:jc w:val="both"/>
              <w:rPr>
                <w:b/>
                <w:sz w:val="22"/>
                <w:szCs w:val="22"/>
                <w:lang w:val="fr-CA"/>
              </w:rPr>
            </w:pPr>
            <w:r w:rsidRPr="00045946">
              <w:rPr>
                <w:sz w:val="22"/>
                <w:szCs w:val="22"/>
                <w:lang w:val="fr-CA"/>
              </w:rPr>
              <w:t>Résilience</w:t>
            </w:r>
            <w:r>
              <w:rPr>
                <w:sz w:val="22"/>
                <w:szCs w:val="22"/>
                <w:lang w:val="fr-CA"/>
              </w:rPr>
              <w:t xml:space="preserve"> sociale</w:t>
            </w:r>
          </w:p>
        </w:tc>
        <w:tc>
          <w:tcPr>
            <w:tcW w:w="4139" w:type="dxa"/>
          </w:tcPr>
          <w:p w:rsidR="00045946" w:rsidRDefault="00045946" w:rsidP="00045946">
            <w:pPr>
              <w:jc w:val="both"/>
              <w:rPr>
                <w:b/>
                <w:sz w:val="22"/>
                <w:szCs w:val="22"/>
                <w:lang w:val="fr-CA"/>
              </w:rPr>
            </w:pPr>
            <w:r w:rsidRPr="00045946">
              <w:rPr>
                <w:sz w:val="22"/>
                <w:szCs w:val="22"/>
                <w:lang w:val="fr-CA"/>
              </w:rPr>
              <w:t>Doter</w:t>
            </w:r>
            <w:r>
              <w:rPr>
                <w:b/>
                <w:sz w:val="22"/>
                <w:szCs w:val="22"/>
                <w:lang w:val="fr-CA"/>
              </w:rPr>
              <w:t xml:space="preserve"> </w:t>
            </w:r>
            <w:r w:rsidRPr="00045946">
              <w:rPr>
                <w:sz w:val="22"/>
                <w:szCs w:val="22"/>
                <w:lang w:val="fr-CA"/>
              </w:rPr>
              <w:t>l’é</w:t>
            </w:r>
            <w:r>
              <w:rPr>
                <w:sz w:val="22"/>
                <w:szCs w:val="22"/>
                <w:lang w:val="fr-CA"/>
              </w:rPr>
              <w:t>ducation de nouveaux outils dans un environnement post-COVID</w:t>
            </w:r>
          </w:p>
        </w:tc>
      </w:tr>
      <w:tr w:rsidR="00045946" w:rsidRPr="00AF0068" w:rsidTr="00045946">
        <w:tc>
          <w:tcPr>
            <w:tcW w:w="2154" w:type="dxa"/>
          </w:tcPr>
          <w:p w:rsidR="00045946" w:rsidRPr="00045946" w:rsidRDefault="00045946" w:rsidP="00D80CCB">
            <w:pPr>
              <w:jc w:val="both"/>
              <w:rPr>
                <w:sz w:val="22"/>
                <w:szCs w:val="22"/>
                <w:lang w:val="fr-CA"/>
              </w:rPr>
            </w:pPr>
            <w:r>
              <w:rPr>
                <w:sz w:val="22"/>
                <w:szCs w:val="22"/>
                <w:lang w:val="fr-CA"/>
              </w:rPr>
              <w:t>25 août</w:t>
            </w:r>
          </w:p>
        </w:tc>
        <w:tc>
          <w:tcPr>
            <w:tcW w:w="2948" w:type="dxa"/>
          </w:tcPr>
          <w:p w:rsidR="00045946" w:rsidRPr="00045946" w:rsidRDefault="00045946" w:rsidP="00D80CCB">
            <w:pPr>
              <w:jc w:val="both"/>
              <w:rPr>
                <w:sz w:val="22"/>
                <w:szCs w:val="22"/>
                <w:lang w:val="fr-CA"/>
              </w:rPr>
            </w:pPr>
            <w:r>
              <w:rPr>
                <w:sz w:val="22"/>
                <w:szCs w:val="22"/>
                <w:lang w:val="fr-CA"/>
              </w:rPr>
              <w:t>Résilience sociale</w:t>
            </w:r>
          </w:p>
        </w:tc>
        <w:tc>
          <w:tcPr>
            <w:tcW w:w="4139" w:type="dxa"/>
          </w:tcPr>
          <w:p w:rsidR="00045946" w:rsidRPr="00045946" w:rsidRDefault="00045946" w:rsidP="00045946">
            <w:pPr>
              <w:jc w:val="both"/>
              <w:rPr>
                <w:sz w:val="22"/>
                <w:szCs w:val="22"/>
                <w:lang w:val="fr-CA"/>
              </w:rPr>
            </w:pPr>
            <w:r>
              <w:rPr>
                <w:sz w:val="22"/>
                <w:szCs w:val="22"/>
                <w:lang w:val="fr-CA"/>
              </w:rPr>
              <w:t xml:space="preserve">Faire face à l’insécurité alimentaire et nutritionnelle dans les Amériques </w:t>
            </w:r>
          </w:p>
        </w:tc>
      </w:tr>
      <w:tr w:rsidR="00045946" w:rsidRPr="00AF0068" w:rsidTr="00045946">
        <w:tc>
          <w:tcPr>
            <w:tcW w:w="2154" w:type="dxa"/>
          </w:tcPr>
          <w:p w:rsidR="00045946" w:rsidRDefault="00045946" w:rsidP="00D80CCB">
            <w:pPr>
              <w:jc w:val="both"/>
              <w:rPr>
                <w:sz w:val="22"/>
                <w:szCs w:val="22"/>
                <w:lang w:val="fr-CA"/>
              </w:rPr>
            </w:pPr>
            <w:r>
              <w:rPr>
                <w:sz w:val="22"/>
                <w:szCs w:val="22"/>
                <w:lang w:val="fr-CA"/>
              </w:rPr>
              <w:t>29 septembre</w:t>
            </w:r>
          </w:p>
        </w:tc>
        <w:tc>
          <w:tcPr>
            <w:tcW w:w="2948" w:type="dxa"/>
          </w:tcPr>
          <w:p w:rsidR="00045946" w:rsidRDefault="00045946" w:rsidP="00D80CCB">
            <w:pPr>
              <w:jc w:val="both"/>
              <w:rPr>
                <w:sz w:val="22"/>
                <w:szCs w:val="22"/>
                <w:lang w:val="fr-CA"/>
              </w:rPr>
            </w:pPr>
            <w:r>
              <w:rPr>
                <w:sz w:val="22"/>
                <w:szCs w:val="22"/>
                <w:lang w:val="fr-CA"/>
              </w:rPr>
              <w:t>Résilience environnementale</w:t>
            </w:r>
          </w:p>
        </w:tc>
        <w:tc>
          <w:tcPr>
            <w:tcW w:w="4139" w:type="dxa"/>
          </w:tcPr>
          <w:p w:rsidR="00045946" w:rsidRDefault="00045946" w:rsidP="00B912B3">
            <w:pPr>
              <w:jc w:val="both"/>
              <w:rPr>
                <w:sz w:val="22"/>
                <w:szCs w:val="22"/>
                <w:lang w:val="fr-CA"/>
              </w:rPr>
            </w:pPr>
            <w:r>
              <w:rPr>
                <w:sz w:val="22"/>
                <w:szCs w:val="22"/>
                <w:lang w:val="fr-CA"/>
              </w:rPr>
              <w:t>Mieux reconstruire : la clé vers une r</w:t>
            </w:r>
            <w:r w:rsidR="00B912B3">
              <w:rPr>
                <w:sz w:val="22"/>
                <w:szCs w:val="22"/>
                <w:lang w:val="fr-CA"/>
              </w:rPr>
              <w:t xml:space="preserve">emise en état </w:t>
            </w:r>
            <w:r>
              <w:rPr>
                <w:sz w:val="22"/>
                <w:szCs w:val="22"/>
                <w:lang w:val="fr-CA"/>
              </w:rPr>
              <w:t xml:space="preserve">résiliente  </w:t>
            </w:r>
          </w:p>
        </w:tc>
      </w:tr>
      <w:tr w:rsidR="00045946" w:rsidRPr="00AF0068" w:rsidTr="00045946">
        <w:tc>
          <w:tcPr>
            <w:tcW w:w="2154" w:type="dxa"/>
          </w:tcPr>
          <w:p w:rsidR="00045946" w:rsidRDefault="00045946" w:rsidP="00D80CCB">
            <w:pPr>
              <w:jc w:val="both"/>
              <w:rPr>
                <w:sz w:val="22"/>
                <w:szCs w:val="22"/>
                <w:lang w:val="fr-CA"/>
              </w:rPr>
            </w:pPr>
            <w:r>
              <w:rPr>
                <w:sz w:val="22"/>
                <w:szCs w:val="22"/>
                <w:lang w:val="fr-CA"/>
              </w:rPr>
              <w:t>22 octobre</w:t>
            </w:r>
          </w:p>
        </w:tc>
        <w:tc>
          <w:tcPr>
            <w:tcW w:w="2948" w:type="dxa"/>
          </w:tcPr>
          <w:p w:rsidR="00045946" w:rsidRDefault="004E42E0" w:rsidP="004E42E0">
            <w:pPr>
              <w:jc w:val="both"/>
              <w:rPr>
                <w:sz w:val="22"/>
                <w:szCs w:val="22"/>
                <w:lang w:val="fr-CA"/>
              </w:rPr>
            </w:pPr>
            <w:r>
              <w:rPr>
                <w:sz w:val="22"/>
                <w:szCs w:val="22"/>
                <w:lang w:val="fr-CA"/>
              </w:rPr>
              <w:t>Séance de procédure du CIDI en préparation de l’Assemblée générale de l’OEA</w:t>
            </w:r>
          </w:p>
        </w:tc>
        <w:tc>
          <w:tcPr>
            <w:tcW w:w="4139" w:type="dxa"/>
          </w:tcPr>
          <w:p w:rsidR="00045946" w:rsidRDefault="00045946" w:rsidP="00045946">
            <w:pPr>
              <w:jc w:val="both"/>
              <w:rPr>
                <w:sz w:val="22"/>
                <w:szCs w:val="22"/>
                <w:lang w:val="fr-CA"/>
              </w:rPr>
            </w:pPr>
          </w:p>
        </w:tc>
      </w:tr>
      <w:tr w:rsidR="004E42E0" w:rsidRPr="00AF0068" w:rsidTr="00045946">
        <w:tc>
          <w:tcPr>
            <w:tcW w:w="2154" w:type="dxa"/>
          </w:tcPr>
          <w:p w:rsidR="004E42E0" w:rsidRDefault="004E42E0" w:rsidP="004E42E0">
            <w:pPr>
              <w:jc w:val="both"/>
              <w:rPr>
                <w:sz w:val="22"/>
                <w:szCs w:val="22"/>
                <w:lang w:val="fr-CA"/>
              </w:rPr>
            </w:pPr>
            <w:r>
              <w:rPr>
                <w:sz w:val="22"/>
                <w:szCs w:val="22"/>
                <w:lang w:val="fr-CA"/>
              </w:rPr>
              <w:t xml:space="preserve">17 novembre </w:t>
            </w:r>
          </w:p>
        </w:tc>
        <w:tc>
          <w:tcPr>
            <w:tcW w:w="2948" w:type="dxa"/>
          </w:tcPr>
          <w:p w:rsidR="004E42E0" w:rsidRDefault="004E42E0" w:rsidP="004E42E0">
            <w:pPr>
              <w:jc w:val="both"/>
              <w:rPr>
                <w:sz w:val="22"/>
                <w:szCs w:val="22"/>
                <w:lang w:val="fr-CA"/>
              </w:rPr>
            </w:pPr>
            <w:r>
              <w:rPr>
                <w:sz w:val="22"/>
                <w:szCs w:val="22"/>
                <w:lang w:val="fr-CA"/>
              </w:rPr>
              <w:t>Résilience économique</w:t>
            </w:r>
          </w:p>
        </w:tc>
        <w:tc>
          <w:tcPr>
            <w:tcW w:w="4139" w:type="dxa"/>
          </w:tcPr>
          <w:p w:rsidR="004E42E0" w:rsidRDefault="004E42E0" w:rsidP="00B912B3">
            <w:pPr>
              <w:jc w:val="both"/>
              <w:rPr>
                <w:sz w:val="22"/>
                <w:szCs w:val="22"/>
                <w:lang w:val="fr-CA"/>
              </w:rPr>
            </w:pPr>
            <w:r>
              <w:rPr>
                <w:sz w:val="22"/>
                <w:szCs w:val="22"/>
                <w:lang w:val="fr-CA"/>
              </w:rPr>
              <w:t>L’innovation et la technologie pour l</w:t>
            </w:r>
            <w:r w:rsidR="00B912B3">
              <w:rPr>
                <w:sz w:val="22"/>
                <w:szCs w:val="22"/>
                <w:lang w:val="fr-CA"/>
              </w:rPr>
              <w:t xml:space="preserve">e renforcement </w:t>
            </w:r>
            <w:r>
              <w:rPr>
                <w:sz w:val="22"/>
                <w:szCs w:val="22"/>
                <w:lang w:val="fr-CA"/>
              </w:rPr>
              <w:t xml:space="preserve">de la résilience </w:t>
            </w:r>
          </w:p>
        </w:tc>
      </w:tr>
      <w:tr w:rsidR="004E42E0" w:rsidRPr="00AF0068" w:rsidTr="00045946">
        <w:tc>
          <w:tcPr>
            <w:tcW w:w="2154" w:type="dxa"/>
          </w:tcPr>
          <w:p w:rsidR="004E42E0" w:rsidRDefault="004E42E0" w:rsidP="004E42E0">
            <w:pPr>
              <w:jc w:val="both"/>
              <w:rPr>
                <w:sz w:val="22"/>
                <w:szCs w:val="22"/>
                <w:lang w:val="fr-CA"/>
              </w:rPr>
            </w:pPr>
            <w:r>
              <w:rPr>
                <w:sz w:val="22"/>
                <w:szCs w:val="22"/>
                <w:lang w:val="fr-CA"/>
              </w:rPr>
              <w:t>8 décembre</w:t>
            </w:r>
          </w:p>
        </w:tc>
        <w:tc>
          <w:tcPr>
            <w:tcW w:w="2948" w:type="dxa"/>
          </w:tcPr>
          <w:p w:rsidR="004E42E0" w:rsidRDefault="00B912B3" w:rsidP="00B912B3">
            <w:pPr>
              <w:jc w:val="both"/>
              <w:rPr>
                <w:sz w:val="22"/>
                <w:szCs w:val="22"/>
                <w:lang w:val="fr-CA"/>
              </w:rPr>
            </w:pPr>
            <w:r>
              <w:rPr>
                <w:sz w:val="22"/>
                <w:szCs w:val="22"/>
                <w:lang w:val="fr-CA"/>
              </w:rPr>
              <w:t xml:space="preserve">Mise à profit </w:t>
            </w:r>
            <w:r w:rsidR="004E42E0">
              <w:rPr>
                <w:sz w:val="22"/>
                <w:szCs w:val="22"/>
                <w:lang w:val="fr-CA"/>
              </w:rPr>
              <w:t>des partenariats et de la coopération</w:t>
            </w:r>
          </w:p>
        </w:tc>
        <w:tc>
          <w:tcPr>
            <w:tcW w:w="4139" w:type="dxa"/>
          </w:tcPr>
          <w:p w:rsidR="004E42E0" w:rsidRDefault="004E42E0" w:rsidP="004E42E0">
            <w:pPr>
              <w:jc w:val="both"/>
              <w:rPr>
                <w:sz w:val="22"/>
                <w:szCs w:val="22"/>
                <w:lang w:val="fr-CA"/>
              </w:rPr>
            </w:pPr>
            <w:r>
              <w:rPr>
                <w:sz w:val="22"/>
                <w:szCs w:val="22"/>
                <w:lang w:val="fr-CA"/>
              </w:rPr>
              <w:t xml:space="preserve">Partenariats et coopération </w:t>
            </w:r>
            <w:r w:rsidR="00B912B3">
              <w:rPr>
                <w:sz w:val="22"/>
                <w:szCs w:val="22"/>
                <w:lang w:val="fr-CA"/>
              </w:rPr>
              <w:t xml:space="preserve">avec </w:t>
            </w:r>
            <w:r>
              <w:rPr>
                <w:sz w:val="22"/>
                <w:szCs w:val="22"/>
                <w:lang w:val="fr-CA"/>
              </w:rPr>
              <w:t>les secteurs public et privé pour la résilience</w:t>
            </w:r>
          </w:p>
          <w:p w:rsidR="004E42E0" w:rsidRDefault="004E42E0" w:rsidP="004E42E0">
            <w:pPr>
              <w:jc w:val="both"/>
              <w:rPr>
                <w:sz w:val="22"/>
                <w:szCs w:val="22"/>
                <w:lang w:val="fr-CA"/>
              </w:rPr>
            </w:pPr>
          </w:p>
        </w:tc>
      </w:tr>
    </w:tbl>
    <w:p w:rsidR="00D80CCB" w:rsidRPr="0083469C" w:rsidRDefault="00D80CCB" w:rsidP="0083469C">
      <w:pPr>
        <w:jc w:val="both"/>
        <w:rPr>
          <w:b/>
          <w:sz w:val="22"/>
          <w:szCs w:val="22"/>
          <w:lang w:val="fr-CA"/>
        </w:rPr>
      </w:pPr>
    </w:p>
    <w:p w:rsidR="004E42E0" w:rsidRPr="0083469C" w:rsidRDefault="004E42E0" w:rsidP="0083469C">
      <w:pPr>
        <w:jc w:val="both"/>
        <w:rPr>
          <w:b/>
          <w:sz w:val="22"/>
          <w:szCs w:val="22"/>
          <w:lang w:val="fr-CA"/>
        </w:rPr>
      </w:pPr>
      <w:r w:rsidRPr="0083469C">
        <w:rPr>
          <w:b/>
          <w:sz w:val="22"/>
          <w:szCs w:val="22"/>
          <w:lang w:val="fr-CA"/>
        </w:rPr>
        <w:t>3.</w:t>
      </w:r>
      <w:r w:rsidR="0083469C" w:rsidRPr="0083469C">
        <w:rPr>
          <w:b/>
          <w:sz w:val="22"/>
          <w:szCs w:val="22"/>
          <w:lang w:val="fr-CA"/>
        </w:rPr>
        <w:tab/>
      </w:r>
      <w:r w:rsidRPr="0083469C">
        <w:rPr>
          <w:b/>
          <w:sz w:val="22"/>
          <w:szCs w:val="22"/>
          <w:lang w:val="fr-CA"/>
        </w:rPr>
        <w:t>PERTINENCE POUR LES MANDATS DE L’OEA</w:t>
      </w:r>
    </w:p>
    <w:p w:rsidR="004E42E0" w:rsidRPr="0083469C" w:rsidRDefault="004E42E0" w:rsidP="0083469C">
      <w:pPr>
        <w:jc w:val="both"/>
        <w:rPr>
          <w:b/>
          <w:sz w:val="22"/>
          <w:szCs w:val="22"/>
          <w:lang w:val="fr-CA"/>
        </w:rPr>
      </w:pPr>
    </w:p>
    <w:p w:rsidR="004C00C9" w:rsidRPr="0083469C" w:rsidRDefault="004E42E0" w:rsidP="0083469C">
      <w:pPr>
        <w:pStyle w:val="NormalWeb"/>
        <w:spacing w:before="0" w:beforeAutospacing="0" w:after="0" w:afterAutospacing="0"/>
        <w:jc w:val="both"/>
        <w:rPr>
          <w:sz w:val="22"/>
          <w:szCs w:val="22"/>
          <w:lang w:val="fr-FR"/>
        </w:rPr>
      </w:pPr>
      <w:r w:rsidRPr="0083469C">
        <w:rPr>
          <w:b/>
          <w:sz w:val="22"/>
          <w:szCs w:val="22"/>
          <w:lang w:val="fr-CA"/>
        </w:rPr>
        <w:tab/>
      </w:r>
      <w:r w:rsidRPr="0083469C">
        <w:rPr>
          <w:sz w:val="22"/>
          <w:szCs w:val="22"/>
          <w:lang w:val="fr-CA"/>
        </w:rPr>
        <w:t xml:space="preserve">La Charte de l’OEA donne pour mission au CIDI de promouvoir la coopération entre les États membres de l’OEA en vue de leur développement intégré et, en particulier, d’aider </w:t>
      </w:r>
      <w:r w:rsidR="004C00C9" w:rsidRPr="0083469C">
        <w:rPr>
          <w:sz w:val="22"/>
          <w:szCs w:val="22"/>
          <w:lang w:val="fr-CA"/>
        </w:rPr>
        <w:t>à renforcer la résilience. La Charte ordonne également au CIDI de « p</w:t>
      </w:r>
      <w:r w:rsidR="004C00C9" w:rsidRPr="0083469C">
        <w:rPr>
          <w:sz w:val="22"/>
          <w:szCs w:val="22"/>
          <w:lang w:val="fr-FR"/>
        </w:rPr>
        <w:t xml:space="preserve">romouvoir, coordonner et confier l'exécution des programmes et projets de développement aux organes subsidiaires et aux organismes pertinents, en s'inspirant des priorités fixées par les Etats membres dans des domaines tels que le </w:t>
      </w:r>
      <w:r w:rsidR="004C00C9" w:rsidRPr="0083469C">
        <w:rPr>
          <w:sz w:val="22"/>
          <w:szCs w:val="22"/>
          <w:lang w:val="fr-FR"/>
        </w:rPr>
        <w:lastRenderedPageBreak/>
        <w:t>développement économique et social</w:t>
      </w:r>
      <w:r w:rsidR="00B912B3" w:rsidRPr="0083469C">
        <w:rPr>
          <w:sz w:val="22"/>
          <w:szCs w:val="22"/>
          <w:lang w:val="fr-FR"/>
        </w:rPr>
        <w:t>,</w:t>
      </w:r>
      <w:r w:rsidR="004C00C9" w:rsidRPr="0083469C">
        <w:rPr>
          <w:sz w:val="22"/>
          <w:szCs w:val="22"/>
          <w:lang w:val="fr-FR"/>
        </w:rPr>
        <w:t xml:space="preserve"> y compris le commerce, le tourisme, l'intégration et l'environnement ». L’OEA a une longue histoire en matière de promotion de partenariats pour le développement (</w:t>
      </w:r>
      <w:r w:rsidR="004C00C9" w:rsidRPr="0083469C">
        <w:rPr>
          <w:i/>
          <w:sz w:val="22"/>
          <w:szCs w:val="22"/>
          <w:lang w:val="fr-FR"/>
        </w:rPr>
        <w:t xml:space="preserve">cooperación solidaria) </w:t>
      </w:r>
      <w:r w:rsidR="004C00C9" w:rsidRPr="0083469C">
        <w:rPr>
          <w:sz w:val="22"/>
          <w:szCs w:val="22"/>
          <w:lang w:val="fr-FR"/>
        </w:rPr>
        <w:t xml:space="preserve">dans les Amériques et a fait office de catalyseur </w:t>
      </w:r>
      <w:r w:rsidR="00E3261C" w:rsidRPr="0083469C">
        <w:rPr>
          <w:sz w:val="22"/>
          <w:szCs w:val="22"/>
          <w:lang w:val="fr-FR"/>
        </w:rPr>
        <w:t xml:space="preserve">pour le développement intégré, durable, résilient et inclusif de la région. </w:t>
      </w:r>
    </w:p>
    <w:p w:rsidR="00E3261C" w:rsidRPr="0083469C" w:rsidRDefault="00E3261C" w:rsidP="0083469C">
      <w:pPr>
        <w:pStyle w:val="NormalWeb"/>
        <w:spacing w:before="0" w:beforeAutospacing="0" w:after="0" w:afterAutospacing="0"/>
        <w:jc w:val="both"/>
        <w:rPr>
          <w:sz w:val="22"/>
          <w:szCs w:val="22"/>
          <w:lang w:val="fr-FR"/>
        </w:rPr>
      </w:pPr>
    </w:p>
    <w:p w:rsidR="00E3261C" w:rsidRPr="0083469C" w:rsidRDefault="00E3261C" w:rsidP="0083469C">
      <w:pPr>
        <w:pStyle w:val="NormalWeb"/>
        <w:spacing w:before="0" w:beforeAutospacing="0" w:after="0" w:afterAutospacing="0"/>
        <w:jc w:val="both"/>
        <w:rPr>
          <w:sz w:val="22"/>
          <w:szCs w:val="22"/>
          <w:lang w:val="fr-FR"/>
        </w:rPr>
      </w:pPr>
      <w:r w:rsidRPr="0083469C">
        <w:rPr>
          <w:sz w:val="22"/>
          <w:szCs w:val="22"/>
          <w:lang w:val="fr-FR"/>
        </w:rPr>
        <w:tab/>
        <w:t xml:space="preserve">Le Programme interaméricain de développement durable (PIDS) confie au SG/OEA la tâche de collaborer avec les États membres et de coordonner avec d’autres entités et organisations internationales afin d’aider à la concrétisation du Programme de développement durable à l’horizon 2030 et de ses objectifs. </w:t>
      </w:r>
      <w:r w:rsidR="00B912B3" w:rsidRPr="0083469C">
        <w:rPr>
          <w:sz w:val="22"/>
          <w:szCs w:val="22"/>
          <w:lang w:val="fr-FR"/>
        </w:rPr>
        <w:t>D’ailleurs</w:t>
      </w:r>
      <w:r w:rsidRPr="0083469C">
        <w:rPr>
          <w:sz w:val="22"/>
          <w:szCs w:val="22"/>
          <w:lang w:val="fr-FR"/>
        </w:rPr>
        <w:t xml:space="preserve">, le Secrétaire général de l’OEA a émis une instruction ordonnant que ce Programme soit incorporé aux programmes et aux activités du Secrétariat général. </w:t>
      </w:r>
    </w:p>
    <w:p w:rsidR="0083469C" w:rsidRDefault="0083469C" w:rsidP="0083469C">
      <w:pPr>
        <w:pStyle w:val="NormalWeb"/>
        <w:spacing w:before="0" w:beforeAutospacing="0" w:after="0" w:afterAutospacing="0"/>
        <w:jc w:val="both"/>
        <w:rPr>
          <w:sz w:val="22"/>
          <w:szCs w:val="22"/>
          <w:lang w:val="fr-FR"/>
        </w:rPr>
      </w:pPr>
    </w:p>
    <w:p w:rsidR="00E3261C" w:rsidRPr="00815817" w:rsidRDefault="000A0B1B" w:rsidP="0083469C">
      <w:pPr>
        <w:pStyle w:val="NormalWeb"/>
        <w:spacing w:before="0" w:beforeAutospacing="0" w:after="0" w:afterAutospacing="0"/>
        <w:jc w:val="both"/>
        <w:rPr>
          <w:sz w:val="22"/>
          <w:szCs w:val="22"/>
          <w:lang w:val="fr-FR"/>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7.2pt;margin-top:10in;width:266.4pt;height:18pt;z-index:251658240;mso-wrap-style:tight;mso-position-horizontal:absolute;mso-position-vertical:absolute;mso-position-vertical-relative:page" filled="f" stroked="f">
            <v:textbox>
              <w:txbxContent>
                <w:bookmarkStart w:id="1" w:name="_GoBack"/>
                <w:p w:rsidR="000A0B1B" w:rsidRPr="000A0B1B" w:rsidRDefault="000A0B1B">
                  <w:pPr>
                    <w:rPr>
                      <w:sz w:val="18"/>
                    </w:rPr>
                  </w:pPr>
                  <w:r>
                    <w:rPr>
                      <w:sz w:val="18"/>
                    </w:rPr>
                    <w:fldChar w:fldCharType="begin"/>
                  </w:r>
                  <w:r>
                    <w:rPr>
                      <w:sz w:val="18"/>
                    </w:rPr>
                    <w:instrText xml:space="preserve"> FILENAME  \* MERGEFORMAT </w:instrText>
                  </w:r>
                  <w:r>
                    <w:rPr>
                      <w:sz w:val="18"/>
                    </w:rPr>
                    <w:fldChar w:fldCharType="separate"/>
                  </w:r>
                  <w:r>
                    <w:rPr>
                      <w:noProof/>
                      <w:sz w:val="18"/>
                    </w:rPr>
                    <w:t>CIDRP02912F04</w:t>
                  </w:r>
                  <w:r>
                    <w:rPr>
                      <w:sz w:val="18"/>
                    </w:rPr>
                    <w:fldChar w:fldCharType="end"/>
                  </w:r>
                  <w:bookmarkEnd w:id="1"/>
                </w:p>
              </w:txbxContent>
            </v:textbox>
            <w10:wrap anchory="page"/>
            <w10:anchorlock/>
          </v:shape>
        </w:pict>
      </w:r>
      <w:r w:rsidR="00E3261C" w:rsidRPr="0083469C">
        <w:rPr>
          <w:sz w:val="22"/>
          <w:szCs w:val="22"/>
          <w:lang w:val="fr-FR"/>
        </w:rPr>
        <w:tab/>
        <w:t xml:space="preserve">Compte tenu du fait que tous les États membres de l’OEA et  tous les partenaires du développement continuent à être </w:t>
      </w:r>
      <w:r w:rsidR="00B912B3" w:rsidRPr="0083469C">
        <w:rPr>
          <w:sz w:val="22"/>
          <w:szCs w:val="22"/>
          <w:lang w:val="fr-FR"/>
        </w:rPr>
        <w:t xml:space="preserve">focalisés </w:t>
      </w:r>
      <w:r w:rsidR="00E3261C" w:rsidRPr="0083469C">
        <w:rPr>
          <w:sz w:val="22"/>
          <w:szCs w:val="22"/>
          <w:lang w:val="fr-FR"/>
        </w:rPr>
        <w:t>sur la concrétisation du Programme de développement durable à l’horizon 2030 – tout en s’attaquant aux défis qu’a imposés la pandémie de</w:t>
      </w:r>
      <w:r w:rsidR="00B912B3" w:rsidRPr="0083469C">
        <w:rPr>
          <w:sz w:val="22"/>
          <w:szCs w:val="22"/>
          <w:lang w:val="fr-FR"/>
        </w:rPr>
        <w:t xml:space="preserve"> COVID-</w:t>
      </w:r>
      <w:r w:rsidR="00E3261C" w:rsidRPr="0083469C">
        <w:rPr>
          <w:sz w:val="22"/>
          <w:szCs w:val="22"/>
          <w:lang w:val="fr-FR"/>
        </w:rPr>
        <w:t xml:space="preserve">19 – </w:t>
      </w:r>
      <w:r w:rsidR="001F4341" w:rsidRPr="0083469C">
        <w:rPr>
          <w:sz w:val="22"/>
          <w:szCs w:val="22"/>
          <w:lang w:val="fr-FR"/>
        </w:rPr>
        <w:t xml:space="preserve">c’est maintenant le moment opportun pour que l’OEA </w:t>
      </w:r>
      <w:r w:rsidR="00A67164" w:rsidRPr="0083469C">
        <w:rPr>
          <w:sz w:val="22"/>
          <w:szCs w:val="22"/>
          <w:lang w:val="fr-FR"/>
        </w:rPr>
        <w:t xml:space="preserve">adopte une approche cohérente pour aborder les besoins de ses États membres en matière de résilience </w:t>
      </w:r>
      <w:r w:rsidR="00815817" w:rsidRPr="0083469C">
        <w:rPr>
          <w:sz w:val="22"/>
          <w:szCs w:val="22"/>
          <w:lang w:val="fr-FR"/>
        </w:rPr>
        <w:t>en utilisant pour cela se</w:t>
      </w:r>
      <w:r w:rsidR="00A67164" w:rsidRPr="0083469C">
        <w:rPr>
          <w:sz w:val="22"/>
          <w:szCs w:val="22"/>
          <w:lang w:val="fr-FR"/>
        </w:rPr>
        <w:t>s mécanismes de coopération pour le développement</w:t>
      </w:r>
      <w:r w:rsidR="00A67164" w:rsidRPr="00815817">
        <w:rPr>
          <w:sz w:val="22"/>
          <w:szCs w:val="22"/>
          <w:lang w:val="fr-FR"/>
        </w:rPr>
        <w:t xml:space="preserve">.  </w:t>
      </w:r>
    </w:p>
    <w:p w:rsidR="00410ACA" w:rsidRDefault="00410ACA" w:rsidP="0083469C">
      <w:pPr>
        <w:rPr>
          <w:sz w:val="22"/>
          <w:szCs w:val="22"/>
          <w:lang w:val="fr-CA"/>
        </w:rPr>
      </w:pPr>
    </w:p>
    <w:p w:rsidR="00FB2A63" w:rsidRPr="002A225C" w:rsidRDefault="00FB2A63" w:rsidP="0083469C">
      <w:pPr>
        <w:rPr>
          <w:sz w:val="22"/>
          <w:szCs w:val="22"/>
          <w:lang w:val="fr-CA"/>
        </w:rPr>
      </w:pPr>
    </w:p>
    <w:sectPr w:rsidR="00FB2A63" w:rsidRPr="002A225C" w:rsidSect="00AF0068">
      <w:headerReference w:type="first" r:id="rId11"/>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95" w:rsidRDefault="00ED1B95">
      <w:r>
        <w:separator/>
      </w:r>
    </w:p>
  </w:endnote>
  <w:endnote w:type="continuationSeparator" w:id="0">
    <w:p w:rsidR="00ED1B95" w:rsidRDefault="00ED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95" w:rsidRDefault="00ED1B95">
      <w:r>
        <w:separator/>
      </w:r>
    </w:p>
  </w:footnote>
  <w:footnote w:type="continuationSeparator" w:id="0">
    <w:p w:rsidR="00ED1B95" w:rsidRDefault="00ED1B95">
      <w:r>
        <w:continuationSeparator/>
      </w:r>
    </w:p>
  </w:footnote>
  <w:footnote w:id="1">
    <w:p w:rsidR="00D22498" w:rsidRPr="00AF0068" w:rsidRDefault="00D22498" w:rsidP="00AF0068">
      <w:pPr>
        <w:pStyle w:val="FootnoteText"/>
        <w:tabs>
          <w:tab w:val="left" w:pos="360"/>
          <w:tab w:val="left" w:pos="720"/>
        </w:tabs>
        <w:ind w:left="720" w:hanging="360"/>
        <w:rPr>
          <w:lang w:val="fr-FR"/>
        </w:rPr>
      </w:pPr>
      <w:r w:rsidRPr="00AF0068">
        <w:rPr>
          <w:rStyle w:val="FootnoteReference"/>
          <w:vertAlign w:val="baseline"/>
        </w:rPr>
        <w:footnoteRef/>
      </w:r>
      <w:r w:rsidR="00AF0068" w:rsidRPr="00AF0068">
        <w:rPr>
          <w:lang w:val="fr-FR"/>
        </w:rPr>
        <w:t>.</w:t>
      </w:r>
      <w:r w:rsidR="00AF0068" w:rsidRPr="00AF0068">
        <w:rPr>
          <w:lang w:val="fr-FR"/>
        </w:rPr>
        <w:tab/>
      </w:r>
      <w:r w:rsidRPr="00AF0068">
        <w:rPr>
          <w:b/>
          <w:lang w:val="fr-FR"/>
        </w:rPr>
        <w:t>Commission mondiale de l’environnement et du développement</w:t>
      </w:r>
      <w:r w:rsidRPr="00AF0068">
        <w:rPr>
          <w:lang w:val="fr-FR"/>
        </w:rPr>
        <w:t>: Notre avenir à tous, 1987.</w:t>
      </w:r>
    </w:p>
  </w:footnote>
  <w:footnote w:id="2">
    <w:p w:rsidR="00D22498" w:rsidRPr="00AF0068" w:rsidRDefault="00D22498" w:rsidP="00AF0068">
      <w:pPr>
        <w:pStyle w:val="FootnoteText"/>
        <w:tabs>
          <w:tab w:val="left" w:pos="360"/>
          <w:tab w:val="left" w:pos="720"/>
        </w:tabs>
        <w:ind w:left="720" w:hanging="360"/>
        <w:rPr>
          <w:u w:val="single"/>
          <w:lang w:val="fr-FR"/>
        </w:rPr>
      </w:pPr>
      <w:r w:rsidRPr="00AF0068">
        <w:rPr>
          <w:rStyle w:val="FootnoteReference"/>
          <w:vertAlign w:val="baseline"/>
        </w:rPr>
        <w:footnoteRef/>
      </w:r>
      <w:r w:rsidR="00AF0068" w:rsidRPr="00AF0068">
        <w:rPr>
          <w:lang w:val="fr-FR"/>
        </w:rPr>
        <w:t>.</w:t>
      </w:r>
      <w:r w:rsidR="00AF0068" w:rsidRPr="00AF0068">
        <w:rPr>
          <w:lang w:val="fr-FR"/>
        </w:rPr>
        <w:tab/>
      </w:r>
      <w:r w:rsidRPr="00AF0068">
        <w:rPr>
          <w:b/>
          <w:lang w:val="fr-FR"/>
        </w:rPr>
        <w:t>Bureau des Nations Unies pour la coordination des affaires humanitaires (OCHOA),</w:t>
      </w:r>
      <w:r w:rsidRPr="00AF0068">
        <w:rPr>
          <w:lang w:val="fr-FR"/>
        </w:rPr>
        <w:t xml:space="preserve"> </w:t>
      </w:r>
      <w:r w:rsidRPr="00AF0068">
        <w:rPr>
          <w:u w:val="single"/>
          <w:lang w:val="fr-FR"/>
        </w:rPr>
        <w:t>Natural Disasters in Latin America and the Caribbean 2000-2019</w:t>
      </w:r>
      <w:r w:rsidRPr="00AF0068">
        <w:rPr>
          <w:lang w:val="fr-FR"/>
        </w:rPr>
        <w:t xml:space="preserve"> (janvier</w:t>
      </w:r>
      <w:r w:rsidR="00A9786A" w:rsidRPr="00AF0068">
        <w:rPr>
          <w:lang w:val="fr-FR"/>
        </w:rPr>
        <w:t xml:space="preserve"> </w:t>
      </w:r>
      <w:r w:rsidRPr="00AF0068">
        <w:rPr>
          <w:lang w:val="fr-FR"/>
        </w:rPr>
        <w:t xml:space="preserve"> 2020)</w:t>
      </w:r>
    </w:p>
  </w:footnote>
  <w:footnote w:id="3">
    <w:p w:rsidR="00D22498" w:rsidRPr="00AF0068" w:rsidRDefault="00D22498" w:rsidP="00AF0068">
      <w:pPr>
        <w:pStyle w:val="FootnoteText"/>
        <w:tabs>
          <w:tab w:val="left" w:pos="360"/>
          <w:tab w:val="left" w:pos="720"/>
        </w:tabs>
        <w:ind w:firstLine="360"/>
        <w:rPr>
          <w:lang w:val="fr-FR"/>
        </w:rPr>
      </w:pPr>
      <w:r w:rsidRPr="00AF0068">
        <w:rPr>
          <w:rStyle w:val="FootnoteReference"/>
          <w:vertAlign w:val="baseline"/>
        </w:rPr>
        <w:footnoteRef/>
      </w:r>
      <w:r w:rsidR="00AF0068">
        <w:rPr>
          <w:lang w:val="fr-FR"/>
        </w:rPr>
        <w:t>.</w:t>
      </w:r>
      <w:r w:rsidR="00AF0068">
        <w:rPr>
          <w:lang w:val="fr-FR"/>
        </w:rPr>
        <w:tab/>
      </w:r>
      <w:r w:rsidRPr="00AF0068">
        <w:rPr>
          <w:lang w:val="fr-FR"/>
        </w:rPr>
        <w:t>Adopté à la troisième Conférence mondiale des Nations Unies réunie à Sendai (Japon) le 18 mai 2015.</w:t>
      </w:r>
    </w:p>
  </w:footnote>
  <w:footnote w:id="4">
    <w:p w:rsidR="00D22498" w:rsidRPr="00AF0068" w:rsidRDefault="00D22498" w:rsidP="00AF0068">
      <w:pPr>
        <w:pStyle w:val="FootnoteText"/>
        <w:tabs>
          <w:tab w:val="left" w:pos="360"/>
          <w:tab w:val="left" w:pos="720"/>
        </w:tabs>
        <w:ind w:firstLine="360"/>
        <w:rPr>
          <w:lang w:val="fr-FR"/>
        </w:rPr>
      </w:pPr>
      <w:r w:rsidRPr="00AF0068">
        <w:rPr>
          <w:rStyle w:val="FootnoteReference"/>
          <w:vertAlign w:val="baseline"/>
        </w:rPr>
        <w:footnoteRef/>
      </w:r>
      <w:r w:rsidR="00AF0068">
        <w:rPr>
          <w:lang w:val="fr-FR"/>
        </w:rPr>
        <w:t>.</w:t>
      </w:r>
      <w:r w:rsidR="00AF0068">
        <w:rPr>
          <w:lang w:val="fr-FR"/>
        </w:rPr>
        <w:tab/>
      </w:r>
      <w:r w:rsidRPr="00AF0068">
        <w:rPr>
          <w:b/>
          <w:lang w:val="fr-FR"/>
        </w:rPr>
        <w:t>Banque mondiale</w:t>
      </w:r>
      <w:r w:rsidRPr="00AF0068">
        <w:rPr>
          <w:lang w:val="fr-FR"/>
        </w:rPr>
        <w:t xml:space="preserve">, </w:t>
      </w:r>
      <w:r w:rsidRPr="00AF0068">
        <w:rPr>
          <w:u w:val="single"/>
          <w:lang w:val="fr-FR"/>
        </w:rPr>
        <w:t>Pratiques mondiales en matière de gouvernance.</w:t>
      </w:r>
    </w:p>
  </w:footnote>
  <w:footnote w:id="5">
    <w:p w:rsidR="00D22498" w:rsidRPr="00AF0068" w:rsidRDefault="00D22498" w:rsidP="00AF0068">
      <w:pPr>
        <w:pStyle w:val="FootnoteText"/>
        <w:tabs>
          <w:tab w:val="left" w:pos="360"/>
          <w:tab w:val="left" w:pos="720"/>
        </w:tabs>
        <w:ind w:left="720" w:hanging="360"/>
      </w:pPr>
      <w:r w:rsidRPr="00AF0068">
        <w:rPr>
          <w:rStyle w:val="FootnoteReference"/>
          <w:vertAlign w:val="baseline"/>
        </w:rPr>
        <w:footnoteRef/>
      </w:r>
      <w:r w:rsidR="00AF0068">
        <w:rPr>
          <w:lang w:val="fr-FR"/>
        </w:rPr>
        <w:t>.</w:t>
      </w:r>
      <w:r w:rsidR="00AF0068">
        <w:rPr>
          <w:lang w:val="fr-FR"/>
        </w:rPr>
        <w:tab/>
      </w:r>
      <w:r w:rsidRPr="00AF0068">
        <w:rPr>
          <w:b/>
        </w:rPr>
        <w:t xml:space="preserve">Paul, J. Hannah D and Liu W, </w:t>
      </w:r>
      <w:r w:rsidRPr="00AF0068">
        <w:t>“Citizen Science: Reducing Risks and Building Resilience to Natural Disasters”</w:t>
      </w:r>
    </w:p>
  </w:footnote>
  <w:footnote w:id="6">
    <w:p w:rsidR="00D22498" w:rsidRPr="00AF0068" w:rsidRDefault="00D22498" w:rsidP="00AF0068">
      <w:pPr>
        <w:pStyle w:val="FootnoteText"/>
        <w:tabs>
          <w:tab w:val="left" w:pos="360"/>
          <w:tab w:val="left" w:pos="720"/>
        </w:tabs>
        <w:ind w:left="720" w:hanging="360"/>
        <w:rPr>
          <w:u w:val="single"/>
        </w:rPr>
      </w:pPr>
      <w:r w:rsidRPr="00AF0068">
        <w:rPr>
          <w:rStyle w:val="FootnoteReference"/>
          <w:vertAlign w:val="baseline"/>
        </w:rPr>
        <w:footnoteRef/>
      </w:r>
      <w:r w:rsidR="00AF0068" w:rsidRPr="00AF0068">
        <w:t>.</w:t>
      </w:r>
      <w:r w:rsidR="00AF0068" w:rsidRPr="00AF0068">
        <w:tab/>
      </w:r>
      <w:r w:rsidRPr="00AF0068">
        <w:rPr>
          <w:b/>
        </w:rPr>
        <w:t>Bureau</w:t>
      </w:r>
      <w:r w:rsidRPr="00AF0068">
        <w:t xml:space="preserve"> </w:t>
      </w:r>
      <w:r w:rsidRPr="00AF0068">
        <w:rPr>
          <w:b/>
        </w:rPr>
        <w:t>des</w:t>
      </w:r>
      <w:r w:rsidRPr="00AF0068">
        <w:t xml:space="preserve"> </w:t>
      </w:r>
      <w:r w:rsidRPr="00AF0068">
        <w:rPr>
          <w:b/>
        </w:rPr>
        <w:t>Nations Unies pour la réduction des risques de catastrophes (UNDRR)</w:t>
      </w:r>
      <w:r w:rsidR="003A3914" w:rsidRPr="00AF0068">
        <w:rPr>
          <w:b/>
        </w:rPr>
        <w:t xml:space="preserve"> </w:t>
      </w:r>
      <w:r w:rsidRPr="00AF0068">
        <w:rPr>
          <w:b/>
        </w:rPr>
        <w:t xml:space="preserve">(2019). </w:t>
      </w:r>
      <w:r w:rsidRPr="00AF0068">
        <w:rPr>
          <w:u w:val="single"/>
        </w:rPr>
        <w:t>Global Assessment Report on Disaster Risk Reduction (GAR19)</w:t>
      </w:r>
    </w:p>
  </w:footnote>
  <w:footnote w:id="7">
    <w:p w:rsidR="00D22498" w:rsidRPr="00AF0068" w:rsidRDefault="00D22498" w:rsidP="00AF0068">
      <w:pPr>
        <w:pStyle w:val="FootnoteText"/>
        <w:tabs>
          <w:tab w:val="left" w:pos="360"/>
        </w:tabs>
        <w:ind w:left="720" w:hanging="360"/>
      </w:pPr>
      <w:r w:rsidRPr="00AF0068">
        <w:rPr>
          <w:rStyle w:val="FootnoteReference"/>
          <w:vertAlign w:val="baseline"/>
        </w:rPr>
        <w:footnoteRef/>
      </w:r>
      <w:r w:rsidR="00AF0068">
        <w:t>.</w:t>
      </w:r>
      <w:r w:rsidR="00AF0068">
        <w:tab/>
      </w:r>
      <w:r w:rsidRPr="00AF0068">
        <w:rPr>
          <w:b/>
        </w:rPr>
        <w:t xml:space="preserve">OCDE </w:t>
      </w:r>
      <w:r w:rsidRPr="00AF0068">
        <w:t xml:space="preserve">(juin 2020). </w:t>
      </w:r>
      <w:r w:rsidRPr="00AF0068">
        <w:rPr>
          <w:u w:val="single"/>
        </w:rPr>
        <w:t xml:space="preserve">Is </w:t>
      </w:r>
      <w:r w:rsidR="00FA3E72" w:rsidRPr="00AF0068">
        <w:rPr>
          <w:u w:val="single"/>
        </w:rPr>
        <w:t>COVID-</w:t>
      </w:r>
      <w:r w:rsidRPr="00AF0068">
        <w:rPr>
          <w:u w:val="single"/>
        </w:rPr>
        <w:t>19 widening educational gaps in Latin America? Three lessons for urgent policy actions.</w:t>
      </w:r>
      <w:r w:rsidRPr="00AF0068">
        <w:t xml:space="preserve"> </w:t>
      </w:r>
    </w:p>
  </w:footnote>
  <w:footnote w:id="8">
    <w:p w:rsidR="00D22498" w:rsidRPr="00AF0068" w:rsidRDefault="00D22498" w:rsidP="00AF0068">
      <w:pPr>
        <w:pStyle w:val="FootnoteText"/>
        <w:tabs>
          <w:tab w:val="left" w:pos="360"/>
          <w:tab w:val="left" w:pos="720"/>
        </w:tabs>
        <w:ind w:left="720" w:hanging="360"/>
        <w:rPr>
          <w:u w:val="single"/>
        </w:rPr>
      </w:pPr>
      <w:r w:rsidRPr="00AF0068">
        <w:rPr>
          <w:rStyle w:val="FootnoteReference"/>
          <w:vertAlign w:val="baseline"/>
        </w:rPr>
        <w:footnoteRef/>
      </w:r>
      <w:r w:rsidRPr="00AF0068">
        <w:t xml:space="preserve"> </w:t>
      </w:r>
      <w:r w:rsidR="00AF0068">
        <w:t>.</w:t>
      </w:r>
      <w:r w:rsidR="00AF0068">
        <w:tab/>
      </w:r>
      <w:r w:rsidRPr="00AF0068">
        <w:rPr>
          <w:b/>
        </w:rPr>
        <w:t xml:space="preserve">Banque interaméricaine de développement (BID) </w:t>
      </w:r>
      <w:r w:rsidRPr="00AF0068">
        <w:t xml:space="preserve">(juin 2020). </w:t>
      </w:r>
      <w:r w:rsidRPr="00AF0068">
        <w:rPr>
          <w:u w:val="single"/>
        </w:rPr>
        <w:t xml:space="preserve">Ensuring food security in LAC : Challenges and interventions in the context of </w:t>
      </w:r>
      <w:r w:rsidR="00B52849" w:rsidRPr="00AF0068">
        <w:rPr>
          <w:u w:val="single"/>
        </w:rPr>
        <w:t>COVID-</w:t>
      </w:r>
      <w:r w:rsidRPr="00AF0068">
        <w:rPr>
          <w:u w:val="single"/>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98" w:rsidRPr="009C75F5" w:rsidRDefault="004F690F">
    <w:pPr>
      <w:pStyle w:val="Header"/>
      <w:jc w:val="center"/>
      <w:rPr>
        <w:sz w:val="22"/>
        <w:szCs w:val="22"/>
      </w:rPr>
    </w:pPr>
    <w:r w:rsidRPr="009C75F5">
      <w:rPr>
        <w:sz w:val="22"/>
        <w:szCs w:val="22"/>
      </w:rPr>
      <w:fldChar w:fldCharType="begin"/>
    </w:r>
    <w:r w:rsidR="00D22498" w:rsidRPr="009C75F5">
      <w:rPr>
        <w:sz w:val="22"/>
        <w:szCs w:val="22"/>
      </w:rPr>
      <w:instrText xml:space="preserve"> PAGE   \* MERGEFORMAT </w:instrText>
    </w:r>
    <w:r w:rsidRPr="009C75F5">
      <w:rPr>
        <w:sz w:val="22"/>
        <w:szCs w:val="22"/>
      </w:rPr>
      <w:fldChar w:fldCharType="separate"/>
    </w:r>
    <w:r w:rsidR="001A38C3">
      <w:rPr>
        <w:noProof/>
        <w:sz w:val="22"/>
        <w:szCs w:val="22"/>
      </w:rPr>
      <w:t>- 11 -</w:t>
    </w:r>
    <w:r w:rsidRPr="009C75F5">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98" w:rsidRDefault="000A0B1B">
    <w:pPr>
      <w:pStyle w:val="Header"/>
    </w:pPr>
    <w:r>
      <w:rPr>
        <w:noProof/>
      </w:rPr>
      <w:pict>
        <v:shapetype id="_x0000_t202" coordsize="21600,21600" o:spt="202" path="m,l,21600r21600,l21600,xe">
          <v:stroke joinstyle="miter"/>
          <v:path gradientshapeok="t" o:connecttype="rect"/>
        </v:shapetype>
        <v:shape id="_x0000_s8198" type="#_x0000_t202" style="position:absolute;margin-left:36.45pt;margin-top:-18pt;width:367.2pt;height:68pt;z-index:251662848" stroked="f">
          <v:textbox style="mso-next-textbox:#_x0000_s8198">
            <w:txbxContent>
              <w:p w:rsidR="000A0B1B" w:rsidRPr="00836014" w:rsidRDefault="000A0B1B" w:rsidP="000A0B1B">
                <w:pPr>
                  <w:pStyle w:val="Header"/>
                  <w:tabs>
                    <w:tab w:val="left" w:pos="900"/>
                  </w:tabs>
                  <w:spacing w:line="0" w:lineRule="atLeast"/>
                  <w:jc w:val="center"/>
                  <w:rPr>
                    <w:rFonts w:ascii="Garamond" w:hAnsi="Garamond"/>
                    <w:b/>
                    <w:sz w:val="28"/>
                    <w:lang w:val="fr-FR"/>
                  </w:rPr>
                </w:pPr>
                <w:r w:rsidRPr="00836014">
                  <w:rPr>
                    <w:rFonts w:ascii="Garamond" w:hAnsi="Garamond"/>
                    <w:b/>
                    <w:sz w:val="28"/>
                    <w:lang w:val="fr-FR"/>
                  </w:rPr>
                  <w:t>ORGANISATION DES ÉTATS AMÉRICAINS</w:t>
                </w:r>
              </w:p>
              <w:p w:rsidR="000A0B1B" w:rsidRPr="00836014" w:rsidRDefault="000A0B1B" w:rsidP="000A0B1B">
                <w:pPr>
                  <w:pStyle w:val="Header"/>
                  <w:tabs>
                    <w:tab w:val="left" w:pos="900"/>
                  </w:tabs>
                  <w:spacing w:line="0" w:lineRule="atLeast"/>
                  <w:jc w:val="center"/>
                  <w:rPr>
                    <w:rFonts w:ascii="Garamond" w:hAnsi="Garamond"/>
                    <w:b/>
                    <w:lang w:val="fr-FR"/>
                  </w:rPr>
                </w:pPr>
                <w:r w:rsidRPr="00836014">
                  <w:rPr>
                    <w:rFonts w:ascii="Garamond" w:hAnsi="Garamond"/>
                    <w:b/>
                    <w:lang w:val="fr-FR"/>
                  </w:rPr>
                  <w:t>Conseil interaméricain pour le développement intégré</w:t>
                </w:r>
              </w:p>
              <w:p w:rsidR="000A0B1B" w:rsidRDefault="000A0B1B" w:rsidP="000A0B1B">
                <w:pPr>
                  <w:pStyle w:val="Header"/>
                  <w:tabs>
                    <w:tab w:val="left" w:pos="900"/>
                  </w:tabs>
                  <w:spacing w:line="0" w:lineRule="atLeast"/>
                  <w:jc w:val="center"/>
                  <w:rPr>
                    <w:rFonts w:ascii="Garamond" w:hAnsi="Garamond"/>
                    <w:b/>
                    <w:lang w:val="es-AR"/>
                  </w:rPr>
                </w:pPr>
                <w:r>
                  <w:rPr>
                    <w:rFonts w:ascii="Garamond" w:hAnsi="Garamond"/>
                    <w:b/>
                    <w:lang w:val="es-AR"/>
                  </w:rPr>
                  <w:t>(CIDI)</w:t>
                </w:r>
              </w:p>
              <w:p w:rsidR="000A0B1B" w:rsidRDefault="000A0B1B" w:rsidP="000A0B1B">
                <w:pPr>
                  <w:pStyle w:val="Header"/>
                  <w:tabs>
                    <w:tab w:val="left" w:pos="900"/>
                  </w:tabs>
                  <w:spacing w:line="0" w:lineRule="atLeast"/>
                  <w:jc w:val="center"/>
                  <w:rPr>
                    <w:b/>
                    <w:lang w:val="es-AR"/>
                  </w:rPr>
                </w:pPr>
              </w:p>
            </w:txbxContent>
          </v:textbox>
        </v:shape>
      </w:pict>
    </w:r>
    <w:r w:rsidR="001A38C3">
      <w:rPr>
        <w:noProof/>
      </w:rPr>
      <w:pict>
        <v:shape id="Text Box 2" o:spid="_x0000_s8193" type="#_x0000_t202" style="position:absolute;margin-left:400pt;margin-top:-38.05pt;width:101.4pt;height:67.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D22498" w:rsidRDefault="00D22498" w:rsidP="00AB7175">
                <w:pPr>
                  <w:ind w:right="-130"/>
                </w:pPr>
                <w:r>
                  <w:rPr>
                    <w:rFonts w:ascii="News Gothic MT" w:hAnsi="News Gothic MT"/>
                    <w:noProof/>
                    <w:color w:val="000000"/>
                  </w:rPr>
                  <w:drawing>
                    <wp:inline distT="0" distB="0" distL="0" distR="0" wp14:anchorId="0D3EFF1A" wp14:editId="44CD474F">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w:r>
    <w:r w:rsidR="00D22498">
      <w:rPr>
        <w:noProof/>
      </w:rPr>
      <w:drawing>
        <wp:anchor distT="0" distB="0" distL="114300" distR="114300" simplePos="0" relativeHeight="251656704" behindDoc="0" locked="0" layoutInCell="1" allowOverlap="1" wp14:anchorId="6A7E99A3" wp14:editId="15D901F8">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anchor>
      </w:drawing>
    </w:r>
  </w:p>
  <w:p w:rsidR="00D22498" w:rsidRDefault="00D224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68" w:rsidRDefault="00AF0068">
    <w:pPr>
      <w:pStyle w:val="Header"/>
    </w:pPr>
    <w:r>
      <w:rPr>
        <w:noProof/>
      </w:rPr>
      <w:pict>
        <v:shapetype id="_x0000_t202" coordsize="21600,21600" o:spt="202" path="m,l,21600r21600,l21600,xe">
          <v:stroke joinstyle="miter"/>
          <v:path gradientshapeok="t" o:connecttype="rect"/>
        </v:shapetype>
        <v:shape id="_x0000_s8196" type="#_x0000_t202" style="position:absolute;margin-left:400pt;margin-top:-38.05pt;width:101.4pt;height:67.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AF0068" w:rsidRDefault="00AF0068" w:rsidP="00AB7175">
                <w:pPr>
                  <w:ind w:right="-130"/>
                </w:pPr>
              </w:p>
            </w:txbxContent>
          </v:textbox>
        </v:shape>
      </w:pict>
    </w:r>
  </w:p>
  <w:p w:rsidR="00AF0068" w:rsidRDefault="00AF0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570"/>
    <w:multiLevelType w:val="hybridMultilevel"/>
    <w:tmpl w:val="16BEEAE6"/>
    <w:lvl w:ilvl="0" w:tplc="69CAC966">
      <w:start w:val="1"/>
      <w:numFmt w:val="bullet"/>
      <w:lvlText w:val=""/>
      <w:lvlJc w:val="left"/>
      <w:pPr>
        <w:ind w:left="1080" w:hanging="360"/>
      </w:pPr>
      <w:rPr>
        <w:rFonts w:ascii="Symbol" w:hAnsi="Symbol" w:hint="default"/>
      </w:rPr>
    </w:lvl>
    <w:lvl w:ilvl="1" w:tplc="0540BEAC" w:tentative="1">
      <w:start w:val="1"/>
      <w:numFmt w:val="bullet"/>
      <w:lvlText w:val="o"/>
      <w:lvlJc w:val="left"/>
      <w:pPr>
        <w:ind w:left="1800" w:hanging="360"/>
      </w:pPr>
      <w:rPr>
        <w:rFonts w:ascii="Courier New" w:hAnsi="Courier New" w:cs="Courier New" w:hint="default"/>
      </w:rPr>
    </w:lvl>
    <w:lvl w:ilvl="2" w:tplc="48B6F80A" w:tentative="1">
      <w:start w:val="1"/>
      <w:numFmt w:val="bullet"/>
      <w:lvlText w:val=""/>
      <w:lvlJc w:val="left"/>
      <w:pPr>
        <w:ind w:left="2520" w:hanging="360"/>
      </w:pPr>
      <w:rPr>
        <w:rFonts w:ascii="Wingdings" w:hAnsi="Wingdings" w:hint="default"/>
      </w:rPr>
    </w:lvl>
    <w:lvl w:ilvl="3" w:tplc="39C23F18" w:tentative="1">
      <w:start w:val="1"/>
      <w:numFmt w:val="bullet"/>
      <w:lvlText w:val=""/>
      <w:lvlJc w:val="left"/>
      <w:pPr>
        <w:ind w:left="3240" w:hanging="360"/>
      </w:pPr>
      <w:rPr>
        <w:rFonts w:ascii="Symbol" w:hAnsi="Symbol" w:hint="default"/>
      </w:rPr>
    </w:lvl>
    <w:lvl w:ilvl="4" w:tplc="EF58AE9A" w:tentative="1">
      <w:start w:val="1"/>
      <w:numFmt w:val="bullet"/>
      <w:lvlText w:val="o"/>
      <w:lvlJc w:val="left"/>
      <w:pPr>
        <w:ind w:left="3960" w:hanging="360"/>
      </w:pPr>
      <w:rPr>
        <w:rFonts w:ascii="Courier New" w:hAnsi="Courier New" w:cs="Courier New" w:hint="default"/>
      </w:rPr>
    </w:lvl>
    <w:lvl w:ilvl="5" w:tplc="C39CDE84" w:tentative="1">
      <w:start w:val="1"/>
      <w:numFmt w:val="bullet"/>
      <w:lvlText w:val=""/>
      <w:lvlJc w:val="left"/>
      <w:pPr>
        <w:ind w:left="4680" w:hanging="360"/>
      </w:pPr>
      <w:rPr>
        <w:rFonts w:ascii="Wingdings" w:hAnsi="Wingdings" w:hint="default"/>
      </w:rPr>
    </w:lvl>
    <w:lvl w:ilvl="6" w:tplc="10EC9990" w:tentative="1">
      <w:start w:val="1"/>
      <w:numFmt w:val="bullet"/>
      <w:lvlText w:val=""/>
      <w:lvlJc w:val="left"/>
      <w:pPr>
        <w:ind w:left="5400" w:hanging="360"/>
      </w:pPr>
      <w:rPr>
        <w:rFonts w:ascii="Symbol" w:hAnsi="Symbol" w:hint="default"/>
      </w:rPr>
    </w:lvl>
    <w:lvl w:ilvl="7" w:tplc="B86205F0" w:tentative="1">
      <w:start w:val="1"/>
      <w:numFmt w:val="bullet"/>
      <w:lvlText w:val="o"/>
      <w:lvlJc w:val="left"/>
      <w:pPr>
        <w:ind w:left="6120" w:hanging="360"/>
      </w:pPr>
      <w:rPr>
        <w:rFonts w:ascii="Courier New" w:hAnsi="Courier New" w:cs="Courier New" w:hint="default"/>
      </w:rPr>
    </w:lvl>
    <w:lvl w:ilvl="8" w:tplc="4954A7B2" w:tentative="1">
      <w:start w:val="1"/>
      <w:numFmt w:val="bullet"/>
      <w:lvlText w:val=""/>
      <w:lvlJc w:val="left"/>
      <w:pPr>
        <w:ind w:left="6840" w:hanging="360"/>
      </w:pPr>
      <w:rPr>
        <w:rFonts w:ascii="Wingdings" w:hAnsi="Wingdings" w:hint="default"/>
      </w:rPr>
    </w:lvl>
  </w:abstractNum>
  <w:abstractNum w:abstractNumId="2">
    <w:nsid w:val="0E7E2C2F"/>
    <w:multiLevelType w:val="hybridMultilevel"/>
    <w:tmpl w:val="85E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653C4"/>
    <w:multiLevelType w:val="hybridMultilevel"/>
    <w:tmpl w:val="ACB29E92"/>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nsid w:val="1CEB1B2C"/>
    <w:multiLevelType w:val="hybridMultilevel"/>
    <w:tmpl w:val="D30044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46C0"/>
    <w:multiLevelType w:val="hybridMultilevel"/>
    <w:tmpl w:val="2312D3E0"/>
    <w:lvl w:ilvl="0" w:tplc="7DF464A8">
      <w:start w:val="1"/>
      <w:numFmt w:val="decimal"/>
      <w:lvlText w:val="%1."/>
      <w:lvlJc w:val="left"/>
      <w:pPr>
        <w:ind w:left="720" w:hanging="360"/>
      </w:pPr>
    </w:lvl>
    <w:lvl w:ilvl="1" w:tplc="EC504F12">
      <w:start w:val="1"/>
      <w:numFmt w:val="lowerLetter"/>
      <w:lvlText w:val="%2."/>
      <w:lvlJc w:val="left"/>
      <w:pPr>
        <w:ind w:left="1440" w:hanging="360"/>
      </w:pPr>
    </w:lvl>
    <w:lvl w:ilvl="2" w:tplc="FA02E840">
      <w:start w:val="1"/>
      <w:numFmt w:val="lowerRoman"/>
      <w:lvlText w:val="%3."/>
      <w:lvlJc w:val="right"/>
      <w:pPr>
        <w:ind w:left="2160" w:hanging="180"/>
      </w:pPr>
    </w:lvl>
    <w:lvl w:ilvl="3" w:tplc="752C8C82">
      <w:start w:val="1"/>
      <w:numFmt w:val="decimal"/>
      <w:lvlText w:val="%4."/>
      <w:lvlJc w:val="left"/>
      <w:pPr>
        <w:ind w:left="2880" w:hanging="360"/>
      </w:pPr>
    </w:lvl>
    <w:lvl w:ilvl="4" w:tplc="D2468698">
      <w:start w:val="1"/>
      <w:numFmt w:val="lowerLetter"/>
      <w:lvlText w:val="%5."/>
      <w:lvlJc w:val="left"/>
      <w:pPr>
        <w:ind w:left="3600" w:hanging="360"/>
      </w:pPr>
    </w:lvl>
    <w:lvl w:ilvl="5" w:tplc="E488EEFE">
      <w:start w:val="1"/>
      <w:numFmt w:val="lowerRoman"/>
      <w:lvlText w:val="%6."/>
      <w:lvlJc w:val="right"/>
      <w:pPr>
        <w:ind w:left="4320" w:hanging="180"/>
      </w:pPr>
    </w:lvl>
    <w:lvl w:ilvl="6" w:tplc="0E2E45A8">
      <w:start w:val="1"/>
      <w:numFmt w:val="decimal"/>
      <w:lvlText w:val="%7."/>
      <w:lvlJc w:val="left"/>
      <w:pPr>
        <w:ind w:left="5040" w:hanging="360"/>
      </w:pPr>
    </w:lvl>
    <w:lvl w:ilvl="7" w:tplc="AD74DA2C">
      <w:start w:val="1"/>
      <w:numFmt w:val="lowerLetter"/>
      <w:lvlText w:val="%8."/>
      <w:lvlJc w:val="left"/>
      <w:pPr>
        <w:ind w:left="5760" w:hanging="360"/>
      </w:pPr>
    </w:lvl>
    <w:lvl w:ilvl="8" w:tplc="5FF4B250">
      <w:start w:val="1"/>
      <w:numFmt w:val="lowerRoman"/>
      <w:lvlText w:val="%9."/>
      <w:lvlJc w:val="right"/>
      <w:pPr>
        <w:ind w:left="6480" w:hanging="180"/>
      </w:pPr>
    </w:lvl>
  </w:abstractNum>
  <w:abstractNum w:abstractNumId="6">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BC3554"/>
    <w:multiLevelType w:val="hybridMultilevel"/>
    <w:tmpl w:val="1A64F3C8"/>
    <w:lvl w:ilvl="0" w:tplc="216C7D5C">
      <w:start w:val="1"/>
      <w:numFmt w:val="bullet"/>
      <w:lvlText w:val=""/>
      <w:lvlJc w:val="left"/>
      <w:pPr>
        <w:ind w:left="720" w:hanging="360"/>
      </w:pPr>
      <w:rPr>
        <w:rFonts w:ascii="Symbol" w:hAnsi="Symbol" w:hint="default"/>
      </w:rPr>
    </w:lvl>
    <w:lvl w:ilvl="1" w:tplc="A7B671E8" w:tentative="1">
      <w:start w:val="1"/>
      <w:numFmt w:val="bullet"/>
      <w:lvlText w:val="o"/>
      <w:lvlJc w:val="left"/>
      <w:pPr>
        <w:ind w:left="1440" w:hanging="360"/>
      </w:pPr>
      <w:rPr>
        <w:rFonts w:ascii="Courier New" w:hAnsi="Courier New" w:cs="Courier New" w:hint="default"/>
      </w:rPr>
    </w:lvl>
    <w:lvl w:ilvl="2" w:tplc="3DAA08EC" w:tentative="1">
      <w:start w:val="1"/>
      <w:numFmt w:val="bullet"/>
      <w:lvlText w:val=""/>
      <w:lvlJc w:val="left"/>
      <w:pPr>
        <w:ind w:left="2160" w:hanging="360"/>
      </w:pPr>
      <w:rPr>
        <w:rFonts w:ascii="Wingdings" w:hAnsi="Wingdings" w:hint="default"/>
      </w:rPr>
    </w:lvl>
    <w:lvl w:ilvl="3" w:tplc="B0DA4BD0" w:tentative="1">
      <w:start w:val="1"/>
      <w:numFmt w:val="bullet"/>
      <w:lvlText w:val=""/>
      <w:lvlJc w:val="left"/>
      <w:pPr>
        <w:ind w:left="2880" w:hanging="360"/>
      </w:pPr>
      <w:rPr>
        <w:rFonts w:ascii="Symbol" w:hAnsi="Symbol" w:hint="default"/>
      </w:rPr>
    </w:lvl>
    <w:lvl w:ilvl="4" w:tplc="BDA031AA" w:tentative="1">
      <w:start w:val="1"/>
      <w:numFmt w:val="bullet"/>
      <w:lvlText w:val="o"/>
      <w:lvlJc w:val="left"/>
      <w:pPr>
        <w:ind w:left="3600" w:hanging="360"/>
      </w:pPr>
      <w:rPr>
        <w:rFonts w:ascii="Courier New" w:hAnsi="Courier New" w:cs="Courier New" w:hint="default"/>
      </w:rPr>
    </w:lvl>
    <w:lvl w:ilvl="5" w:tplc="8ECA59CA" w:tentative="1">
      <w:start w:val="1"/>
      <w:numFmt w:val="bullet"/>
      <w:lvlText w:val=""/>
      <w:lvlJc w:val="left"/>
      <w:pPr>
        <w:ind w:left="4320" w:hanging="360"/>
      </w:pPr>
      <w:rPr>
        <w:rFonts w:ascii="Wingdings" w:hAnsi="Wingdings" w:hint="default"/>
      </w:rPr>
    </w:lvl>
    <w:lvl w:ilvl="6" w:tplc="F328EE68" w:tentative="1">
      <w:start w:val="1"/>
      <w:numFmt w:val="bullet"/>
      <w:lvlText w:val=""/>
      <w:lvlJc w:val="left"/>
      <w:pPr>
        <w:ind w:left="5040" w:hanging="360"/>
      </w:pPr>
      <w:rPr>
        <w:rFonts w:ascii="Symbol" w:hAnsi="Symbol" w:hint="default"/>
      </w:rPr>
    </w:lvl>
    <w:lvl w:ilvl="7" w:tplc="B0400C9C" w:tentative="1">
      <w:start w:val="1"/>
      <w:numFmt w:val="bullet"/>
      <w:lvlText w:val="o"/>
      <w:lvlJc w:val="left"/>
      <w:pPr>
        <w:ind w:left="5760" w:hanging="360"/>
      </w:pPr>
      <w:rPr>
        <w:rFonts w:ascii="Courier New" w:hAnsi="Courier New" w:cs="Courier New" w:hint="default"/>
      </w:rPr>
    </w:lvl>
    <w:lvl w:ilvl="8" w:tplc="280A72D4" w:tentative="1">
      <w:start w:val="1"/>
      <w:numFmt w:val="bullet"/>
      <w:lvlText w:val=""/>
      <w:lvlJc w:val="left"/>
      <w:pPr>
        <w:ind w:left="6480" w:hanging="360"/>
      </w:pPr>
      <w:rPr>
        <w:rFonts w:ascii="Wingdings" w:hAnsi="Wingdings" w:hint="default"/>
      </w:rPr>
    </w:lvl>
  </w:abstractNum>
  <w:abstractNum w:abstractNumId="10">
    <w:nsid w:val="637E2DFE"/>
    <w:multiLevelType w:val="hybridMultilevel"/>
    <w:tmpl w:val="25BE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20BEA"/>
    <w:multiLevelType w:val="hybridMultilevel"/>
    <w:tmpl w:val="69B83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A2202"/>
    <w:multiLevelType w:val="hybridMultilevel"/>
    <w:tmpl w:val="1D70DCD4"/>
    <w:lvl w:ilvl="0" w:tplc="E4A8C0D4">
      <w:start w:val="1"/>
      <w:numFmt w:val="lowerLetter"/>
      <w:lvlText w:val="%1)"/>
      <w:lvlJc w:val="left"/>
      <w:pPr>
        <w:ind w:left="643" w:hanging="360"/>
      </w:pPr>
      <w:rPr>
        <w:rFonts w:eastAsia="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6BDD52D2"/>
    <w:multiLevelType w:val="hybridMultilevel"/>
    <w:tmpl w:val="F9DE78D6"/>
    <w:lvl w:ilvl="0" w:tplc="87E4E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B57D26"/>
    <w:multiLevelType w:val="hybridMultilevel"/>
    <w:tmpl w:val="DC5E8800"/>
    <w:lvl w:ilvl="0" w:tplc="B2FE42E6">
      <w:start w:val="1"/>
      <w:numFmt w:val="bullet"/>
      <w:lvlText w:val=""/>
      <w:lvlJc w:val="left"/>
      <w:pPr>
        <w:ind w:left="720" w:hanging="360"/>
      </w:pPr>
      <w:rPr>
        <w:rFonts w:ascii="Symbol" w:hAnsi="Symbol" w:hint="default"/>
      </w:rPr>
    </w:lvl>
    <w:lvl w:ilvl="1" w:tplc="D79892BE" w:tentative="1">
      <w:start w:val="1"/>
      <w:numFmt w:val="bullet"/>
      <w:lvlText w:val="o"/>
      <w:lvlJc w:val="left"/>
      <w:pPr>
        <w:ind w:left="1440" w:hanging="360"/>
      </w:pPr>
      <w:rPr>
        <w:rFonts w:ascii="Courier New" w:hAnsi="Courier New" w:cs="Courier New" w:hint="default"/>
      </w:rPr>
    </w:lvl>
    <w:lvl w:ilvl="2" w:tplc="2E3C40BE" w:tentative="1">
      <w:start w:val="1"/>
      <w:numFmt w:val="bullet"/>
      <w:lvlText w:val=""/>
      <w:lvlJc w:val="left"/>
      <w:pPr>
        <w:ind w:left="2160" w:hanging="360"/>
      </w:pPr>
      <w:rPr>
        <w:rFonts w:ascii="Wingdings" w:hAnsi="Wingdings" w:hint="default"/>
      </w:rPr>
    </w:lvl>
    <w:lvl w:ilvl="3" w:tplc="3B08F41C" w:tentative="1">
      <w:start w:val="1"/>
      <w:numFmt w:val="bullet"/>
      <w:lvlText w:val=""/>
      <w:lvlJc w:val="left"/>
      <w:pPr>
        <w:ind w:left="2880" w:hanging="360"/>
      </w:pPr>
      <w:rPr>
        <w:rFonts w:ascii="Symbol" w:hAnsi="Symbol" w:hint="default"/>
      </w:rPr>
    </w:lvl>
    <w:lvl w:ilvl="4" w:tplc="55EE0894" w:tentative="1">
      <w:start w:val="1"/>
      <w:numFmt w:val="bullet"/>
      <w:lvlText w:val="o"/>
      <w:lvlJc w:val="left"/>
      <w:pPr>
        <w:ind w:left="3600" w:hanging="360"/>
      </w:pPr>
      <w:rPr>
        <w:rFonts w:ascii="Courier New" w:hAnsi="Courier New" w:cs="Courier New" w:hint="default"/>
      </w:rPr>
    </w:lvl>
    <w:lvl w:ilvl="5" w:tplc="8BACBF18" w:tentative="1">
      <w:start w:val="1"/>
      <w:numFmt w:val="bullet"/>
      <w:lvlText w:val=""/>
      <w:lvlJc w:val="left"/>
      <w:pPr>
        <w:ind w:left="4320" w:hanging="360"/>
      </w:pPr>
      <w:rPr>
        <w:rFonts w:ascii="Wingdings" w:hAnsi="Wingdings" w:hint="default"/>
      </w:rPr>
    </w:lvl>
    <w:lvl w:ilvl="6" w:tplc="A612A3BE" w:tentative="1">
      <w:start w:val="1"/>
      <w:numFmt w:val="bullet"/>
      <w:lvlText w:val=""/>
      <w:lvlJc w:val="left"/>
      <w:pPr>
        <w:ind w:left="5040" w:hanging="360"/>
      </w:pPr>
      <w:rPr>
        <w:rFonts w:ascii="Symbol" w:hAnsi="Symbol" w:hint="default"/>
      </w:rPr>
    </w:lvl>
    <w:lvl w:ilvl="7" w:tplc="1D9C39DC" w:tentative="1">
      <w:start w:val="1"/>
      <w:numFmt w:val="bullet"/>
      <w:lvlText w:val="o"/>
      <w:lvlJc w:val="left"/>
      <w:pPr>
        <w:ind w:left="5760" w:hanging="360"/>
      </w:pPr>
      <w:rPr>
        <w:rFonts w:ascii="Courier New" w:hAnsi="Courier New" w:cs="Courier New" w:hint="default"/>
      </w:rPr>
    </w:lvl>
    <w:lvl w:ilvl="8" w:tplc="39E20762" w:tentative="1">
      <w:start w:val="1"/>
      <w:numFmt w:val="bullet"/>
      <w:lvlText w:val=""/>
      <w:lvlJc w:val="left"/>
      <w:pPr>
        <w:ind w:left="6480" w:hanging="360"/>
      </w:pPr>
      <w:rPr>
        <w:rFonts w:ascii="Wingdings" w:hAnsi="Wingdings" w:hint="default"/>
      </w:rPr>
    </w:lvl>
  </w:abstractNum>
  <w:abstractNum w:abstractNumId="15">
    <w:nsid w:val="791332AB"/>
    <w:multiLevelType w:val="hybridMultilevel"/>
    <w:tmpl w:val="F736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75F94"/>
    <w:multiLevelType w:val="hybridMultilevel"/>
    <w:tmpl w:val="191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1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7"/>
  </w:num>
  <w:num w:numId="11">
    <w:abstractNumId w:val="8"/>
  </w:num>
  <w:num w:numId="12">
    <w:abstractNumId w:val="17"/>
  </w:num>
  <w:num w:numId="13">
    <w:abstractNumId w:val="4"/>
  </w:num>
  <w:num w:numId="14">
    <w:abstractNumId w:val="11"/>
  </w:num>
  <w:num w:numId="15">
    <w:abstractNumId w:val="12"/>
  </w:num>
  <w:num w:numId="16">
    <w:abstractNumId w:val="13"/>
  </w:num>
  <w:num w:numId="17">
    <w:abstractNumId w:val="3"/>
  </w:num>
  <w:num w:numId="18">
    <w:abstractNumId w:val="2"/>
  </w:num>
  <w:num w:numId="19">
    <w:abstractNumId w:val="15"/>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doNotUseHTMLParagraphAutoSpacing/>
    <w:compatSetting w:name="compatibilityMode" w:uri="http://schemas.microsoft.com/office/word" w:val="12"/>
  </w:compat>
  <w:docVars>
    <w:docVar w:name="dgnword-docGUID" w:val="{D3737D5B-8688-4836-905C-7B9ECD5EB404}"/>
    <w:docVar w:name="dgnword-eventsink" w:val="100576536"/>
  </w:docVars>
  <w:rsids>
    <w:rsidRoot w:val="007F2774"/>
    <w:rsid w:val="000015E0"/>
    <w:rsid w:val="00007720"/>
    <w:rsid w:val="000109F9"/>
    <w:rsid w:val="00011272"/>
    <w:rsid w:val="000129E8"/>
    <w:rsid w:val="000165E5"/>
    <w:rsid w:val="000205EC"/>
    <w:rsid w:val="000427B5"/>
    <w:rsid w:val="00045946"/>
    <w:rsid w:val="00050886"/>
    <w:rsid w:val="00053F4F"/>
    <w:rsid w:val="00061861"/>
    <w:rsid w:val="00064A6B"/>
    <w:rsid w:val="00064DCC"/>
    <w:rsid w:val="000661F4"/>
    <w:rsid w:val="00070537"/>
    <w:rsid w:val="000736AA"/>
    <w:rsid w:val="00073CCC"/>
    <w:rsid w:val="00074325"/>
    <w:rsid w:val="00074E66"/>
    <w:rsid w:val="000969F9"/>
    <w:rsid w:val="00097899"/>
    <w:rsid w:val="000A0B1B"/>
    <w:rsid w:val="000A42E0"/>
    <w:rsid w:val="000A72E3"/>
    <w:rsid w:val="000B1FCF"/>
    <w:rsid w:val="000B43F5"/>
    <w:rsid w:val="000B6478"/>
    <w:rsid w:val="000C3438"/>
    <w:rsid w:val="000C344F"/>
    <w:rsid w:val="000D4368"/>
    <w:rsid w:val="000D540D"/>
    <w:rsid w:val="000D6070"/>
    <w:rsid w:val="000E1D49"/>
    <w:rsid w:val="000E313E"/>
    <w:rsid w:val="000E439E"/>
    <w:rsid w:val="000E6C8E"/>
    <w:rsid w:val="000F69DE"/>
    <w:rsid w:val="00100FE1"/>
    <w:rsid w:val="001069A4"/>
    <w:rsid w:val="00106D57"/>
    <w:rsid w:val="00122B67"/>
    <w:rsid w:val="00124219"/>
    <w:rsid w:val="001259E2"/>
    <w:rsid w:val="0012611C"/>
    <w:rsid w:val="0013037E"/>
    <w:rsid w:val="00133A15"/>
    <w:rsid w:val="001405C9"/>
    <w:rsid w:val="001418C3"/>
    <w:rsid w:val="00142D34"/>
    <w:rsid w:val="00146FB1"/>
    <w:rsid w:val="00150AE4"/>
    <w:rsid w:val="00152D2E"/>
    <w:rsid w:val="00153DD8"/>
    <w:rsid w:val="0016660D"/>
    <w:rsid w:val="00166C73"/>
    <w:rsid w:val="00171B89"/>
    <w:rsid w:val="00180746"/>
    <w:rsid w:val="00183C2C"/>
    <w:rsid w:val="001842C2"/>
    <w:rsid w:val="00187D59"/>
    <w:rsid w:val="001A38C3"/>
    <w:rsid w:val="001B0828"/>
    <w:rsid w:val="001B0AB0"/>
    <w:rsid w:val="001C6DC5"/>
    <w:rsid w:val="001D0221"/>
    <w:rsid w:val="001D4EF3"/>
    <w:rsid w:val="001D738C"/>
    <w:rsid w:val="001E3150"/>
    <w:rsid w:val="001E3C78"/>
    <w:rsid w:val="001F2739"/>
    <w:rsid w:val="001F4341"/>
    <w:rsid w:val="0020227F"/>
    <w:rsid w:val="002024FE"/>
    <w:rsid w:val="00203839"/>
    <w:rsid w:val="0020460C"/>
    <w:rsid w:val="002050F0"/>
    <w:rsid w:val="00222AFE"/>
    <w:rsid w:val="00223905"/>
    <w:rsid w:val="00224C3F"/>
    <w:rsid w:val="00225597"/>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225C"/>
    <w:rsid w:val="002A3CB5"/>
    <w:rsid w:val="002A63EC"/>
    <w:rsid w:val="002B2DE0"/>
    <w:rsid w:val="002C6B0D"/>
    <w:rsid w:val="002D412D"/>
    <w:rsid w:val="002E2CC7"/>
    <w:rsid w:val="002E609F"/>
    <w:rsid w:val="002F0A27"/>
    <w:rsid w:val="002F0AF9"/>
    <w:rsid w:val="002F25F2"/>
    <w:rsid w:val="002F4224"/>
    <w:rsid w:val="002F5352"/>
    <w:rsid w:val="002F5BD8"/>
    <w:rsid w:val="00305E93"/>
    <w:rsid w:val="0031130C"/>
    <w:rsid w:val="003116AC"/>
    <w:rsid w:val="0032713A"/>
    <w:rsid w:val="003302CF"/>
    <w:rsid w:val="00335ABE"/>
    <w:rsid w:val="003366D5"/>
    <w:rsid w:val="0034082B"/>
    <w:rsid w:val="00345C27"/>
    <w:rsid w:val="00345DCF"/>
    <w:rsid w:val="00350910"/>
    <w:rsid w:val="003529F3"/>
    <w:rsid w:val="00352BB7"/>
    <w:rsid w:val="00353D7A"/>
    <w:rsid w:val="00356D50"/>
    <w:rsid w:val="00357684"/>
    <w:rsid w:val="00362D68"/>
    <w:rsid w:val="0037599C"/>
    <w:rsid w:val="00376AA0"/>
    <w:rsid w:val="003775B4"/>
    <w:rsid w:val="003805E5"/>
    <w:rsid w:val="003836D2"/>
    <w:rsid w:val="003901F5"/>
    <w:rsid w:val="00390A70"/>
    <w:rsid w:val="00390D0F"/>
    <w:rsid w:val="003923A6"/>
    <w:rsid w:val="003945DC"/>
    <w:rsid w:val="003947F6"/>
    <w:rsid w:val="003A3914"/>
    <w:rsid w:val="003A5B70"/>
    <w:rsid w:val="003B0B19"/>
    <w:rsid w:val="003B40C4"/>
    <w:rsid w:val="003C332F"/>
    <w:rsid w:val="003C448A"/>
    <w:rsid w:val="003D0721"/>
    <w:rsid w:val="003D13AD"/>
    <w:rsid w:val="003D4305"/>
    <w:rsid w:val="003E687F"/>
    <w:rsid w:val="003F023D"/>
    <w:rsid w:val="003F2AD0"/>
    <w:rsid w:val="003F4FA0"/>
    <w:rsid w:val="003F6FF7"/>
    <w:rsid w:val="00410ACA"/>
    <w:rsid w:val="00413FE5"/>
    <w:rsid w:val="00414A9D"/>
    <w:rsid w:val="00421AA1"/>
    <w:rsid w:val="004279F5"/>
    <w:rsid w:val="00457B19"/>
    <w:rsid w:val="00461F49"/>
    <w:rsid w:val="0046301C"/>
    <w:rsid w:val="00463A6B"/>
    <w:rsid w:val="0046512F"/>
    <w:rsid w:val="00467A8F"/>
    <w:rsid w:val="00475EAC"/>
    <w:rsid w:val="00476255"/>
    <w:rsid w:val="00490731"/>
    <w:rsid w:val="00493B12"/>
    <w:rsid w:val="00496643"/>
    <w:rsid w:val="00496BBC"/>
    <w:rsid w:val="004A1D26"/>
    <w:rsid w:val="004A6065"/>
    <w:rsid w:val="004A7C48"/>
    <w:rsid w:val="004B2B39"/>
    <w:rsid w:val="004B387B"/>
    <w:rsid w:val="004B5C41"/>
    <w:rsid w:val="004C00C9"/>
    <w:rsid w:val="004D2279"/>
    <w:rsid w:val="004D44C9"/>
    <w:rsid w:val="004E42E0"/>
    <w:rsid w:val="004F0EF3"/>
    <w:rsid w:val="004F359C"/>
    <w:rsid w:val="004F4571"/>
    <w:rsid w:val="004F6805"/>
    <w:rsid w:val="004F690F"/>
    <w:rsid w:val="0050011F"/>
    <w:rsid w:val="00502854"/>
    <w:rsid w:val="0050667F"/>
    <w:rsid w:val="005112C3"/>
    <w:rsid w:val="00513B4E"/>
    <w:rsid w:val="00514EDB"/>
    <w:rsid w:val="005336D0"/>
    <w:rsid w:val="0053678B"/>
    <w:rsid w:val="00540938"/>
    <w:rsid w:val="00541213"/>
    <w:rsid w:val="005462E3"/>
    <w:rsid w:val="0055186F"/>
    <w:rsid w:val="00556797"/>
    <w:rsid w:val="00564C90"/>
    <w:rsid w:val="00564FA3"/>
    <w:rsid w:val="005679D8"/>
    <w:rsid w:val="00575576"/>
    <w:rsid w:val="00577517"/>
    <w:rsid w:val="00577AF9"/>
    <w:rsid w:val="0058420A"/>
    <w:rsid w:val="0058567B"/>
    <w:rsid w:val="00591F0D"/>
    <w:rsid w:val="00594069"/>
    <w:rsid w:val="005A5372"/>
    <w:rsid w:val="005B5F61"/>
    <w:rsid w:val="005B7D03"/>
    <w:rsid w:val="005C20AF"/>
    <w:rsid w:val="005D1365"/>
    <w:rsid w:val="005D44CE"/>
    <w:rsid w:val="005D74F2"/>
    <w:rsid w:val="005D77D7"/>
    <w:rsid w:val="005E085B"/>
    <w:rsid w:val="005F1964"/>
    <w:rsid w:val="005F29C1"/>
    <w:rsid w:val="005F6487"/>
    <w:rsid w:val="005F78BB"/>
    <w:rsid w:val="00602980"/>
    <w:rsid w:val="006123C5"/>
    <w:rsid w:val="00612E0C"/>
    <w:rsid w:val="00617001"/>
    <w:rsid w:val="00622F41"/>
    <w:rsid w:val="00634E7B"/>
    <w:rsid w:val="006374D0"/>
    <w:rsid w:val="00642E66"/>
    <w:rsid w:val="0064648A"/>
    <w:rsid w:val="00653D9B"/>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15CB"/>
    <w:rsid w:val="006D6042"/>
    <w:rsid w:val="006D7239"/>
    <w:rsid w:val="006E57EB"/>
    <w:rsid w:val="006E5E26"/>
    <w:rsid w:val="006F0712"/>
    <w:rsid w:val="006F4488"/>
    <w:rsid w:val="00721843"/>
    <w:rsid w:val="00722693"/>
    <w:rsid w:val="00722C4E"/>
    <w:rsid w:val="00723DE2"/>
    <w:rsid w:val="00723EE9"/>
    <w:rsid w:val="0072562F"/>
    <w:rsid w:val="00730E0A"/>
    <w:rsid w:val="00731A03"/>
    <w:rsid w:val="007325A6"/>
    <w:rsid w:val="0073480E"/>
    <w:rsid w:val="007412C2"/>
    <w:rsid w:val="00743DD7"/>
    <w:rsid w:val="007443E9"/>
    <w:rsid w:val="0075609F"/>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0B48"/>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0144"/>
    <w:rsid w:val="00801C23"/>
    <w:rsid w:val="008023AC"/>
    <w:rsid w:val="008026FE"/>
    <w:rsid w:val="00815817"/>
    <w:rsid w:val="00815A1F"/>
    <w:rsid w:val="00820F66"/>
    <w:rsid w:val="00821E7C"/>
    <w:rsid w:val="0082530E"/>
    <w:rsid w:val="00827358"/>
    <w:rsid w:val="00831577"/>
    <w:rsid w:val="0083469C"/>
    <w:rsid w:val="00836CCC"/>
    <w:rsid w:val="0084046A"/>
    <w:rsid w:val="008443A4"/>
    <w:rsid w:val="00860083"/>
    <w:rsid w:val="00860DE1"/>
    <w:rsid w:val="00865686"/>
    <w:rsid w:val="00865B5C"/>
    <w:rsid w:val="008814B8"/>
    <w:rsid w:val="00881820"/>
    <w:rsid w:val="008819DA"/>
    <w:rsid w:val="00887A65"/>
    <w:rsid w:val="00887DA5"/>
    <w:rsid w:val="0089063B"/>
    <w:rsid w:val="00890C34"/>
    <w:rsid w:val="008917B9"/>
    <w:rsid w:val="00896014"/>
    <w:rsid w:val="008A2F14"/>
    <w:rsid w:val="008A63C3"/>
    <w:rsid w:val="008B4134"/>
    <w:rsid w:val="008B5AF8"/>
    <w:rsid w:val="008C254E"/>
    <w:rsid w:val="008D2C52"/>
    <w:rsid w:val="008D57AD"/>
    <w:rsid w:val="008F24DC"/>
    <w:rsid w:val="008F2636"/>
    <w:rsid w:val="008F3DE9"/>
    <w:rsid w:val="008F747C"/>
    <w:rsid w:val="0090209F"/>
    <w:rsid w:val="009054CB"/>
    <w:rsid w:val="00910645"/>
    <w:rsid w:val="0091440D"/>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67610"/>
    <w:rsid w:val="0097131C"/>
    <w:rsid w:val="009863C3"/>
    <w:rsid w:val="00986E8C"/>
    <w:rsid w:val="009979A7"/>
    <w:rsid w:val="009A194A"/>
    <w:rsid w:val="009A3884"/>
    <w:rsid w:val="009A4239"/>
    <w:rsid w:val="009B2AE9"/>
    <w:rsid w:val="009B2F59"/>
    <w:rsid w:val="009B307F"/>
    <w:rsid w:val="009C0710"/>
    <w:rsid w:val="009C3EA4"/>
    <w:rsid w:val="009C43F2"/>
    <w:rsid w:val="009C6F26"/>
    <w:rsid w:val="009C75F5"/>
    <w:rsid w:val="009C7AAB"/>
    <w:rsid w:val="009D4276"/>
    <w:rsid w:val="009E628C"/>
    <w:rsid w:val="009F0791"/>
    <w:rsid w:val="00A06676"/>
    <w:rsid w:val="00A06AF5"/>
    <w:rsid w:val="00A06FE9"/>
    <w:rsid w:val="00A10D12"/>
    <w:rsid w:val="00A115F5"/>
    <w:rsid w:val="00A12EA0"/>
    <w:rsid w:val="00A13E2C"/>
    <w:rsid w:val="00A232CD"/>
    <w:rsid w:val="00A256AB"/>
    <w:rsid w:val="00A323C5"/>
    <w:rsid w:val="00A34777"/>
    <w:rsid w:val="00A36552"/>
    <w:rsid w:val="00A418A9"/>
    <w:rsid w:val="00A41A73"/>
    <w:rsid w:val="00A5263A"/>
    <w:rsid w:val="00A52CAE"/>
    <w:rsid w:val="00A61635"/>
    <w:rsid w:val="00A65508"/>
    <w:rsid w:val="00A67164"/>
    <w:rsid w:val="00A67CD8"/>
    <w:rsid w:val="00A74B2B"/>
    <w:rsid w:val="00A80BF1"/>
    <w:rsid w:val="00A840AC"/>
    <w:rsid w:val="00A851C2"/>
    <w:rsid w:val="00A86D6C"/>
    <w:rsid w:val="00A870BA"/>
    <w:rsid w:val="00A9203C"/>
    <w:rsid w:val="00A946F7"/>
    <w:rsid w:val="00A96D30"/>
    <w:rsid w:val="00A9786A"/>
    <w:rsid w:val="00A97B79"/>
    <w:rsid w:val="00AA2AE0"/>
    <w:rsid w:val="00AA7CBB"/>
    <w:rsid w:val="00AB7175"/>
    <w:rsid w:val="00AC3A0C"/>
    <w:rsid w:val="00AC4232"/>
    <w:rsid w:val="00AC7FA2"/>
    <w:rsid w:val="00AD4B7D"/>
    <w:rsid w:val="00AD6394"/>
    <w:rsid w:val="00AE13AF"/>
    <w:rsid w:val="00AE7798"/>
    <w:rsid w:val="00AF0068"/>
    <w:rsid w:val="00AF06BC"/>
    <w:rsid w:val="00AF0C03"/>
    <w:rsid w:val="00B05F11"/>
    <w:rsid w:val="00B16016"/>
    <w:rsid w:val="00B234AF"/>
    <w:rsid w:val="00B23E0A"/>
    <w:rsid w:val="00B258B8"/>
    <w:rsid w:val="00B27F1B"/>
    <w:rsid w:val="00B27FE7"/>
    <w:rsid w:val="00B30F6B"/>
    <w:rsid w:val="00B43107"/>
    <w:rsid w:val="00B439EC"/>
    <w:rsid w:val="00B47109"/>
    <w:rsid w:val="00B50945"/>
    <w:rsid w:val="00B5122D"/>
    <w:rsid w:val="00B52849"/>
    <w:rsid w:val="00B53242"/>
    <w:rsid w:val="00B5382C"/>
    <w:rsid w:val="00B5781C"/>
    <w:rsid w:val="00B61E38"/>
    <w:rsid w:val="00B624CF"/>
    <w:rsid w:val="00B63B4B"/>
    <w:rsid w:val="00B6694A"/>
    <w:rsid w:val="00B847B7"/>
    <w:rsid w:val="00B90CD0"/>
    <w:rsid w:val="00B912B3"/>
    <w:rsid w:val="00B930C9"/>
    <w:rsid w:val="00B94C7D"/>
    <w:rsid w:val="00B97D8D"/>
    <w:rsid w:val="00BA3604"/>
    <w:rsid w:val="00BB0341"/>
    <w:rsid w:val="00BB0755"/>
    <w:rsid w:val="00BB4A78"/>
    <w:rsid w:val="00BB7135"/>
    <w:rsid w:val="00BC05A0"/>
    <w:rsid w:val="00BC5445"/>
    <w:rsid w:val="00BC7B0E"/>
    <w:rsid w:val="00BD2433"/>
    <w:rsid w:val="00BD4B3F"/>
    <w:rsid w:val="00BD6CF4"/>
    <w:rsid w:val="00BE0DFE"/>
    <w:rsid w:val="00BE3015"/>
    <w:rsid w:val="00BF1293"/>
    <w:rsid w:val="00C02DB7"/>
    <w:rsid w:val="00C02DEE"/>
    <w:rsid w:val="00C05556"/>
    <w:rsid w:val="00C0778D"/>
    <w:rsid w:val="00C11323"/>
    <w:rsid w:val="00C11A80"/>
    <w:rsid w:val="00C223D4"/>
    <w:rsid w:val="00C41591"/>
    <w:rsid w:val="00C45F98"/>
    <w:rsid w:val="00C46BCF"/>
    <w:rsid w:val="00C51DDA"/>
    <w:rsid w:val="00C52216"/>
    <w:rsid w:val="00C607E3"/>
    <w:rsid w:val="00C609E2"/>
    <w:rsid w:val="00C61825"/>
    <w:rsid w:val="00C6456D"/>
    <w:rsid w:val="00C81A83"/>
    <w:rsid w:val="00C82A01"/>
    <w:rsid w:val="00C83711"/>
    <w:rsid w:val="00C8384A"/>
    <w:rsid w:val="00C878A5"/>
    <w:rsid w:val="00C90BA2"/>
    <w:rsid w:val="00C92818"/>
    <w:rsid w:val="00C962B2"/>
    <w:rsid w:val="00CA12D4"/>
    <w:rsid w:val="00CA2349"/>
    <w:rsid w:val="00CA6058"/>
    <w:rsid w:val="00CB0A35"/>
    <w:rsid w:val="00CB10DD"/>
    <w:rsid w:val="00CB2F2F"/>
    <w:rsid w:val="00CC49AE"/>
    <w:rsid w:val="00CC550E"/>
    <w:rsid w:val="00CC5BEE"/>
    <w:rsid w:val="00CC7FAC"/>
    <w:rsid w:val="00CD3A0E"/>
    <w:rsid w:val="00CD3B89"/>
    <w:rsid w:val="00CD472D"/>
    <w:rsid w:val="00CE52EB"/>
    <w:rsid w:val="00CF4554"/>
    <w:rsid w:val="00CF4D95"/>
    <w:rsid w:val="00CF629A"/>
    <w:rsid w:val="00CF6933"/>
    <w:rsid w:val="00CF6FDB"/>
    <w:rsid w:val="00D07BD9"/>
    <w:rsid w:val="00D108CD"/>
    <w:rsid w:val="00D12A50"/>
    <w:rsid w:val="00D22498"/>
    <w:rsid w:val="00D270DF"/>
    <w:rsid w:val="00D307BF"/>
    <w:rsid w:val="00D31989"/>
    <w:rsid w:val="00D324C0"/>
    <w:rsid w:val="00D32A6A"/>
    <w:rsid w:val="00D336A7"/>
    <w:rsid w:val="00D56894"/>
    <w:rsid w:val="00D57730"/>
    <w:rsid w:val="00D643E9"/>
    <w:rsid w:val="00D64EA6"/>
    <w:rsid w:val="00D6769E"/>
    <w:rsid w:val="00D676CC"/>
    <w:rsid w:val="00D80335"/>
    <w:rsid w:val="00D80CCB"/>
    <w:rsid w:val="00D8755F"/>
    <w:rsid w:val="00DA67FE"/>
    <w:rsid w:val="00DB360D"/>
    <w:rsid w:val="00DB36EA"/>
    <w:rsid w:val="00DB3B6E"/>
    <w:rsid w:val="00DB5D3D"/>
    <w:rsid w:val="00DC24A9"/>
    <w:rsid w:val="00DC4BF4"/>
    <w:rsid w:val="00DC520A"/>
    <w:rsid w:val="00DD0139"/>
    <w:rsid w:val="00DD0DD6"/>
    <w:rsid w:val="00DD270D"/>
    <w:rsid w:val="00DE2DA4"/>
    <w:rsid w:val="00DF12CD"/>
    <w:rsid w:val="00E0149A"/>
    <w:rsid w:val="00E0378E"/>
    <w:rsid w:val="00E0439B"/>
    <w:rsid w:val="00E04E67"/>
    <w:rsid w:val="00E0528B"/>
    <w:rsid w:val="00E06590"/>
    <w:rsid w:val="00E072BE"/>
    <w:rsid w:val="00E16177"/>
    <w:rsid w:val="00E209E8"/>
    <w:rsid w:val="00E23168"/>
    <w:rsid w:val="00E3261C"/>
    <w:rsid w:val="00E3284A"/>
    <w:rsid w:val="00E40079"/>
    <w:rsid w:val="00E423A7"/>
    <w:rsid w:val="00E50C47"/>
    <w:rsid w:val="00E51CC2"/>
    <w:rsid w:val="00E55047"/>
    <w:rsid w:val="00E55B8A"/>
    <w:rsid w:val="00E61585"/>
    <w:rsid w:val="00E705ED"/>
    <w:rsid w:val="00E809F8"/>
    <w:rsid w:val="00E83BE7"/>
    <w:rsid w:val="00E90F30"/>
    <w:rsid w:val="00E946CB"/>
    <w:rsid w:val="00EA7DE7"/>
    <w:rsid w:val="00EB09BC"/>
    <w:rsid w:val="00EB69E3"/>
    <w:rsid w:val="00EB7237"/>
    <w:rsid w:val="00EB7C4A"/>
    <w:rsid w:val="00EC00D8"/>
    <w:rsid w:val="00EC5E91"/>
    <w:rsid w:val="00EC7711"/>
    <w:rsid w:val="00ED1B95"/>
    <w:rsid w:val="00ED2AF4"/>
    <w:rsid w:val="00ED2DE0"/>
    <w:rsid w:val="00ED7C6A"/>
    <w:rsid w:val="00EE29AE"/>
    <w:rsid w:val="00EE51B7"/>
    <w:rsid w:val="00EE7D67"/>
    <w:rsid w:val="00EF5709"/>
    <w:rsid w:val="00EF68C8"/>
    <w:rsid w:val="00EF6F0E"/>
    <w:rsid w:val="00F013AE"/>
    <w:rsid w:val="00F0248D"/>
    <w:rsid w:val="00F0479A"/>
    <w:rsid w:val="00F07FC5"/>
    <w:rsid w:val="00F103CE"/>
    <w:rsid w:val="00F213D6"/>
    <w:rsid w:val="00F256C7"/>
    <w:rsid w:val="00F31B9A"/>
    <w:rsid w:val="00F40E13"/>
    <w:rsid w:val="00F4735E"/>
    <w:rsid w:val="00F5197F"/>
    <w:rsid w:val="00F51E04"/>
    <w:rsid w:val="00F524DB"/>
    <w:rsid w:val="00F530B2"/>
    <w:rsid w:val="00F53223"/>
    <w:rsid w:val="00F663E8"/>
    <w:rsid w:val="00F71307"/>
    <w:rsid w:val="00F76DC9"/>
    <w:rsid w:val="00F773E4"/>
    <w:rsid w:val="00F8041D"/>
    <w:rsid w:val="00F8105E"/>
    <w:rsid w:val="00F86F61"/>
    <w:rsid w:val="00F87541"/>
    <w:rsid w:val="00F91F7C"/>
    <w:rsid w:val="00FA3E72"/>
    <w:rsid w:val="00FA607C"/>
    <w:rsid w:val="00FA61C9"/>
    <w:rsid w:val="00FA6A04"/>
    <w:rsid w:val="00FB0853"/>
    <w:rsid w:val="00FB2A63"/>
    <w:rsid w:val="00FB6445"/>
    <w:rsid w:val="00FC16EC"/>
    <w:rsid w:val="00FC73C7"/>
    <w:rsid w:val="00FD02D9"/>
    <w:rsid w:val="00FD4F65"/>
    <w:rsid w:val="00FE10AC"/>
    <w:rsid w:val="00FE356F"/>
    <w:rsid w:val="00FE404F"/>
    <w:rsid w:val="00FE5B8D"/>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EE"/>
  </w:style>
  <w:style w:type="paragraph" w:styleId="Heading1">
    <w:name w:val="heading 1"/>
    <w:basedOn w:val="Normal"/>
    <w:next w:val="Normal"/>
    <w:qFormat/>
    <w:rsid w:val="000165E5"/>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0165E5"/>
    <w:pPr>
      <w:tabs>
        <w:tab w:val="center" w:pos="4320"/>
        <w:tab w:val="right" w:pos="8640"/>
      </w:tabs>
    </w:pPr>
  </w:style>
  <w:style w:type="paragraph" w:styleId="Footer">
    <w:name w:val="footer"/>
    <w:basedOn w:val="Normal"/>
    <w:link w:val="FooterChar"/>
    <w:uiPriority w:val="99"/>
    <w:rsid w:val="000165E5"/>
    <w:pPr>
      <w:tabs>
        <w:tab w:val="center" w:pos="4320"/>
        <w:tab w:val="right" w:pos="8640"/>
      </w:tabs>
    </w:pPr>
  </w:style>
  <w:style w:type="character" w:styleId="PageNumber">
    <w:name w:val="page number"/>
    <w:basedOn w:val="DefaultParagraphFont"/>
    <w:rsid w:val="000165E5"/>
  </w:style>
  <w:style w:type="paragraph" w:styleId="BodyText">
    <w:name w:val="Body Text"/>
    <w:basedOn w:val="Normal"/>
    <w:rsid w:val="000165E5"/>
    <w:pPr>
      <w:jc w:val="center"/>
    </w:pPr>
    <w:rPr>
      <w:rFonts w:ascii="Arial" w:hAnsi="Arial"/>
      <w:b/>
      <w:bCs/>
      <w:sz w:val="22"/>
    </w:rPr>
  </w:style>
  <w:style w:type="paragraph" w:styleId="BodyText2">
    <w:name w:val="Body Text 2"/>
    <w:basedOn w:val="Normal"/>
    <w:rsid w:val="000165E5"/>
    <w:pPr>
      <w:spacing w:before="180"/>
    </w:pPr>
    <w:rPr>
      <w:rFonts w:ascii="Arial" w:hAnsi="Arial"/>
      <w:sz w:val="22"/>
    </w:rPr>
  </w:style>
  <w:style w:type="paragraph" w:styleId="BodyTextIndent">
    <w:name w:val="Body Text Indent"/>
    <w:basedOn w:val="Normal"/>
    <w:rsid w:val="000165E5"/>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rsid w:val="0004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5E0A-D48D-4772-8459-16E87EB4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45</TotalTime>
  <Pages>12</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32332</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Santos, Ada</cp:lastModifiedBy>
  <cp:revision>4</cp:revision>
  <cp:lastPrinted>2020-07-17T15:58:00Z</cp:lastPrinted>
  <dcterms:created xsi:type="dcterms:W3CDTF">2020-07-19T17:08:00Z</dcterms:created>
  <dcterms:modified xsi:type="dcterms:W3CDTF">2020-07-20T19:53:00Z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