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3C" w:rsidRPr="00F4173C" w:rsidRDefault="00F4173C" w:rsidP="00F4173C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4173C">
        <w:rPr>
          <w:sz w:val="22"/>
          <w:lang w:val="es-ES"/>
        </w:rPr>
        <w:tab/>
      </w:r>
      <w:r w:rsidRPr="00F4173C">
        <w:rPr>
          <w:sz w:val="22"/>
        </w:rPr>
        <w:t>OEA/Ser.W</w:t>
      </w:r>
    </w:p>
    <w:p w:rsidR="00F4173C" w:rsidRPr="00F4173C" w:rsidRDefault="00F4173C" w:rsidP="00F4173C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4173C">
        <w:rPr>
          <w:sz w:val="22"/>
        </w:rPr>
        <w:tab/>
        <w:t>CIDI/INF.</w:t>
      </w:r>
      <w:r w:rsidR="00F30C0C">
        <w:rPr>
          <w:sz w:val="22"/>
        </w:rPr>
        <w:t xml:space="preserve"> </w:t>
      </w:r>
      <w:r w:rsidRPr="00F4173C">
        <w:rPr>
          <w:sz w:val="22"/>
        </w:rPr>
        <w:t>373/20</w:t>
      </w:r>
    </w:p>
    <w:p w:rsidR="00F4173C" w:rsidRPr="00F4173C" w:rsidRDefault="00F4173C" w:rsidP="00F4173C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F4173C">
        <w:rPr>
          <w:sz w:val="22"/>
        </w:rPr>
        <w:tab/>
        <w:t>16 julho 2020</w:t>
      </w:r>
    </w:p>
    <w:p w:rsidR="00F4173C" w:rsidRPr="00F4173C" w:rsidRDefault="00F4173C" w:rsidP="00F4173C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F4173C">
        <w:rPr>
          <w:sz w:val="22"/>
        </w:rPr>
        <w:tab/>
        <w:t>Original: ingl</w:t>
      </w:r>
      <w:r w:rsidRPr="00F4173C">
        <w:rPr>
          <w:sz w:val="22"/>
          <w:szCs w:val="22"/>
        </w:rPr>
        <w:t>ê</w:t>
      </w:r>
      <w:r w:rsidRPr="00F4173C">
        <w:rPr>
          <w:sz w:val="22"/>
        </w:rPr>
        <w:t>s</w:t>
      </w:r>
    </w:p>
    <w:p w:rsidR="00F4173C" w:rsidRPr="00F4173C" w:rsidRDefault="00F4173C" w:rsidP="00F4173C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:rsidR="00F4173C" w:rsidRPr="00F4173C" w:rsidRDefault="00F4173C" w:rsidP="00F4173C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:rsidR="00F4173C" w:rsidRPr="00F4173C" w:rsidRDefault="00F4173C" w:rsidP="00F4173C">
      <w:pPr>
        <w:jc w:val="both"/>
        <w:outlineLvl w:val="0"/>
        <w:rPr>
          <w:noProof/>
          <w:sz w:val="22"/>
          <w:szCs w:val="22"/>
        </w:rPr>
      </w:pPr>
    </w:p>
    <w:p w:rsidR="00F4173C" w:rsidRPr="00F4173C" w:rsidRDefault="00F4173C" w:rsidP="00F4173C">
      <w:pPr>
        <w:rPr>
          <w:rFonts w:eastAsia="Calibri"/>
          <w:noProof/>
          <w:sz w:val="22"/>
          <w:szCs w:val="22"/>
        </w:rPr>
      </w:pPr>
    </w:p>
    <w:p w:rsidR="00F4173C" w:rsidRPr="00F4173C" w:rsidRDefault="00F4173C" w:rsidP="00F4173C">
      <w:pPr>
        <w:keepNext/>
        <w:ind w:right="962"/>
        <w:jc w:val="both"/>
        <w:outlineLvl w:val="0"/>
        <w:rPr>
          <w:b/>
          <w:bCs/>
          <w:noProof/>
          <w:sz w:val="22"/>
          <w:szCs w:val="22"/>
        </w:rPr>
      </w:pPr>
    </w:p>
    <w:p w:rsidR="00F4173C" w:rsidRPr="00F4173C" w:rsidRDefault="00F4173C" w:rsidP="00F4173C">
      <w:pPr>
        <w:keepNext/>
        <w:ind w:right="962"/>
        <w:jc w:val="both"/>
        <w:outlineLvl w:val="0"/>
        <w:rPr>
          <w:b/>
          <w:bCs/>
          <w:noProof/>
          <w:sz w:val="22"/>
          <w:szCs w:val="22"/>
        </w:rPr>
      </w:pPr>
    </w:p>
    <w:p w:rsidR="00F4173C" w:rsidRPr="00F4173C" w:rsidRDefault="00F4173C" w:rsidP="00F4173C">
      <w:pPr>
        <w:keepNext/>
        <w:ind w:right="962"/>
        <w:jc w:val="both"/>
        <w:outlineLvl w:val="0"/>
        <w:rPr>
          <w:b/>
          <w:bCs/>
          <w:noProof/>
          <w:sz w:val="22"/>
          <w:szCs w:val="22"/>
        </w:rPr>
      </w:pPr>
    </w:p>
    <w:p w:rsidR="00F4173C" w:rsidRPr="00F4173C" w:rsidRDefault="00F4173C" w:rsidP="00F4173C">
      <w:pPr>
        <w:keepNext/>
        <w:ind w:right="962"/>
        <w:jc w:val="both"/>
        <w:outlineLvl w:val="0"/>
        <w:rPr>
          <w:b/>
          <w:bCs/>
          <w:noProof/>
          <w:sz w:val="22"/>
          <w:szCs w:val="22"/>
        </w:rPr>
      </w:pPr>
    </w:p>
    <w:p w:rsidR="00F4173C" w:rsidRPr="00F4173C" w:rsidRDefault="00F4173C" w:rsidP="00F4173C">
      <w:pPr>
        <w:keepNext/>
        <w:ind w:right="962"/>
        <w:jc w:val="both"/>
        <w:outlineLvl w:val="0"/>
        <w:rPr>
          <w:b/>
          <w:bCs/>
          <w:noProof/>
          <w:sz w:val="22"/>
          <w:szCs w:val="22"/>
        </w:rPr>
      </w:pPr>
    </w:p>
    <w:p w:rsidR="00F4173C" w:rsidRPr="00F4173C" w:rsidRDefault="00F4173C" w:rsidP="00F4173C"/>
    <w:p w:rsidR="00F4173C" w:rsidRPr="00F4173C" w:rsidRDefault="00F4173C" w:rsidP="00F4173C"/>
    <w:p w:rsidR="00F4173C" w:rsidRPr="00F4173C" w:rsidRDefault="00F4173C" w:rsidP="00F4173C"/>
    <w:p w:rsidR="00F4173C" w:rsidRPr="00F4173C" w:rsidRDefault="00F4173C" w:rsidP="00F4173C"/>
    <w:p w:rsidR="00F4173C" w:rsidRPr="00F4173C" w:rsidRDefault="00F4173C" w:rsidP="00F4173C"/>
    <w:p w:rsidR="00F4173C" w:rsidRPr="00F4173C" w:rsidRDefault="00F4173C" w:rsidP="00F4173C"/>
    <w:p w:rsidR="00F4173C" w:rsidRPr="00F4173C" w:rsidRDefault="00F4173C" w:rsidP="00F4173C"/>
    <w:p w:rsidR="00F4173C" w:rsidRPr="00F4173C" w:rsidRDefault="00F4173C" w:rsidP="00F4173C">
      <w:pPr>
        <w:keepNext/>
        <w:ind w:right="962"/>
        <w:outlineLvl w:val="0"/>
        <w:rPr>
          <w:b/>
          <w:bCs/>
          <w:sz w:val="22"/>
          <w:szCs w:val="22"/>
        </w:rPr>
      </w:pPr>
    </w:p>
    <w:p w:rsidR="00F4173C" w:rsidRPr="00F4173C" w:rsidRDefault="00F4173C" w:rsidP="00F4173C">
      <w:pPr>
        <w:keepNext/>
        <w:ind w:left="1018" w:right="962"/>
        <w:jc w:val="center"/>
        <w:outlineLvl w:val="0"/>
        <w:rPr>
          <w:b/>
          <w:bCs/>
          <w:spacing w:val="-3"/>
          <w:sz w:val="22"/>
          <w:szCs w:val="22"/>
        </w:rPr>
      </w:pPr>
      <w:r w:rsidRPr="00F4173C">
        <w:rPr>
          <w:b/>
          <w:bCs/>
          <w:sz w:val="22"/>
          <w:szCs w:val="22"/>
        </w:rPr>
        <w:t xml:space="preserve">Segundo Semestre do </w:t>
      </w:r>
    </w:p>
    <w:p w:rsidR="00F4173C" w:rsidRPr="00F4173C" w:rsidRDefault="00F4173C" w:rsidP="00F4173C">
      <w:pPr>
        <w:rPr>
          <w:sz w:val="22"/>
          <w:szCs w:val="22"/>
        </w:rPr>
      </w:pPr>
    </w:p>
    <w:p w:rsidR="00F4173C" w:rsidRPr="00F4173C" w:rsidRDefault="00F4173C" w:rsidP="00F4173C">
      <w:pPr>
        <w:keepNext/>
        <w:ind w:left="1018" w:right="962"/>
        <w:jc w:val="center"/>
        <w:outlineLvl w:val="0"/>
        <w:rPr>
          <w:b/>
          <w:bCs/>
          <w:spacing w:val="37"/>
          <w:sz w:val="22"/>
          <w:szCs w:val="22"/>
        </w:rPr>
      </w:pPr>
      <w:r w:rsidRPr="00F4173C">
        <w:rPr>
          <w:b/>
          <w:bCs/>
          <w:sz w:val="22"/>
          <w:szCs w:val="22"/>
        </w:rPr>
        <w:t xml:space="preserve">Conselho Interamericano de Desenvolvimento Integral (CIDI) </w:t>
      </w:r>
    </w:p>
    <w:p w:rsidR="00F4173C" w:rsidRPr="00F4173C" w:rsidRDefault="00F4173C" w:rsidP="00F4173C">
      <w:pPr>
        <w:keepNext/>
        <w:ind w:left="1018" w:right="962"/>
        <w:jc w:val="center"/>
        <w:outlineLvl w:val="0"/>
        <w:rPr>
          <w:sz w:val="22"/>
          <w:szCs w:val="22"/>
        </w:rPr>
      </w:pPr>
      <w:r w:rsidRPr="00F4173C">
        <w:rPr>
          <w:b/>
          <w:bCs/>
          <w:sz w:val="22"/>
          <w:szCs w:val="22"/>
        </w:rPr>
        <w:t>julho a dezembro de 2020</w:t>
      </w:r>
    </w:p>
    <w:p w:rsidR="00F4173C" w:rsidRPr="00F4173C" w:rsidRDefault="00F4173C" w:rsidP="00F4173C">
      <w:pPr>
        <w:rPr>
          <w:b/>
          <w:bCs/>
          <w:sz w:val="22"/>
          <w:szCs w:val="22"/>
        </w:rPr>
      </w:pPr>
    </w:p>
    <w:p w:rsidR="00F4173C" w:rsidRPr="00F4173C" w:rsidRDefault="00F4173C" w:rsidP="00F4173C">
      <w:pPr>
        <w:rPr>
          <w:b/>
          <w:bCs/>
          <w:sz w:val="22"/>
          <w:szCs w:val="22"/>
        </w:rPr>
      </w:pPr>
    </w:p>
    <w:p w:rsidR="00F4173C" w:rsidRPr="00F4173C" w:rsidRDefault="00F4173C" w:rsidP="00F4173C">
      <w:pPr>
        <w:ind w:left="166"/>
        <w:jc w:val="center"/>
        <w:rPr>
          <w:sz w:val="22"/>
          <w:szCs w:val="22"/>
        </w:rPr>
      </w:pPr>
      <w:r w:rsidRPr="00F4173C">
        <w:rPr>
          <w:b/>
          <w:sz w:val="22"/>
          <w:szCs w:val="22"/>
        </w:rPr>
        <w:t>TEMA: RUMO À COOPERAÇÃO PARA A CONSTRUÇÃO DA RESILIÊNCIA NO HEMISFÉRIO</w:t>
      </w:r>
    </w:p>
    <w:p w:rsidR="00F4173C" w:rsidRDefault="00F4173C" w:rsidP="00F4173C">
      <w:pPr>
        <w:keepNext/>
        <w:ind w:right="1066"/>
        <w:outlineLvl w:val="0"/>
        <w:rPr>
          <w:b/>
          <w:bCs/>
          <w:sz w:val="22"/>
          <w:szCs w:val="22"/>
        </w:rPr>
      </w:pPr>
    </w:p>
    <w:p w:rsidR="00F4173C" w:rsidRDefault="00F4173C" w:rsidP="00F4173C">
      <w:pPr>
        <w:keepNext/>
        <w:ind w:right="1066"/>
        <w:outlineLvl w:val="0"/>
        <w:rPr>
          <w:b/>
          <w:bCs/>
          <w:sz w:val="22"/>
          <w:szCs w:val="22"/>
        </w:rPr>
      </w:pPr>
    </w:p>
    <w:p w:rsidR="00F4173C" w:rsidRDefault="00F4173C" w:rsidP="00F4173C">
      <w:pPr>
        <w:keepNext/>
        <w:ind w:left="994" w:right="1066"/>
        <w:outlineLvl w:val="0"/>
        <w:rPr>
          <w:b/>
          <w:bCs/>
          <w:sz w:val="22"/>
          <w:szCs w:val="22"/>
        </w:rPr>
        <w:sectPr w:rsidR="00F4173C" w:rsidSect="001041C8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jc w:val="center"/>
        <w:outlineLvl w:val="0"/>
        <w:rPr>
          <w:b/>
          <w:bCs/>
          <w:sz w:val="22"/>
          <w:szCs w:val="22"/>
        </w:rPr>
      </w:pPr>
      <w:r w:rsidRPr="00F4173C">
        <w:rPr>
          <w:b/>
          <w:bCs/>
          <w:sz w:val="22"/>
          <w:szCs w:val="22"/>
        </w:rPr>
        <w:lastRenderedPageBreak/>
        <w:t xml:space="preserve">Segundo semestre do </w:t>
      </w: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jc w:val="center"/>
        <w:outlineLvl w:val="0"/>
        <w:rPr>
          <w:b/>
          <w:bCs/>
          <w:sz w:val="22"/>
          <w:szCs w:val="22"/>
        </w:rPr>
      </w:pPr>
      <w:r w:rsidRPr="00F4173C">
        <w:rPr>
          <w:b/>
          <w:bCs/>
          <w:sz w:val="22"/>
          <w:szCs w:val="22"/>
        </w:rPr>
        <w:t xml:space="preserve">Conselho Interamericano de Desenvolvimento Integral (CIDI) </w:t>
      </w: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jc w:val="center"/>
        <w:outlineLvl w:val="0"/>
        <w:rPr>
          <w:b/>
          <w:bCs/>
          <w:sz w:val="22"/>
          <w:szCs w:val="22"/>
        </w:rPr>
      </w:pPr>
      <w:r w:rsidRPr="00F4173C">
        <w:rPr>
          <w:b/>
          <w:bCs/>
          <w:sz w:val="22"/>
          <w:szCs w:val="22"/>
        </w:rPr>
        <w:t>julho a dezembro de 2020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F4173C">
        <w:rPr>
          <w:b/>
          <w:sz w:val="22"/>
          <w:szCs w:val="22"/>
        </w:rPr>
        <w:t>TEMA: RUMO À COOPERAÇÃO PARA A CONSTRUÇÃO DA RESILIÊNCIA NO HEMISFÉRIO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jc w:val="center"/>
        <w:outlineLvl w:val="0"/>
        <w:rPr>
          <w:b/>
          <w:bCs/>
          <w:sz w:val="22"/>
          <w:szCs w:val="22"/>
        </w:rPr>
      </w:pPr>
      <w:r w:rsidRPr="00F4173C">
        <w:rPr>
          <w:b/>
          <w:bCs/>
          <w:sz w:val="22"/>
          <w:szCs w:val="22"/>
        </w:rPr>
        <w:t>Nota Conceitual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b/>
          <w:color w:val="000000"/>
          <w:sz w:val="22"/>
          <w:szCs w:val="22"/>
        </w:rPr>
      </w:pPr>
    </w:p>
    <w:p w:rsidR="00F4173C" w:rsidRPr="00F07677" w:rsidRDefault="00F4173C" w:rsidP="00F07677">
      <w:pPr>
        <w:pStyle w:val="ListParagraph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rPr>
          <w:b/>
          <w:sz w:val="22"/>
          <w:szCs w:val="22"/>
        </w:rPr>
      </w:pPr>
      <w:r w:rsidRPr="00F07677">
        <w:rPr>
          <w:b/>
          <w:sz w:val="22"/>
          <w:szCs w:val="22"/>
        </w:rPr>
        <w:t>INTRODUÇÃO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 xml:space="preserve">Nos últimos anos, muitos Estados membros sofreram alguns dos piores desastres de sua história. Os desafios apresentados por esses desastres foram ainda mais agravados pela pandemia de </w:t>
      </w:r>
      <w:r w:rsidR="00A25BBE">
        <w:rPr>
          <w:bCs/>
          <w:sz w:val="22"/>
          <w:szCs w:val="22"/>
        </w:rPr>
        <w:t>COVID</w:t>
      </w:r>
      <w:r w:rsidRPr="00F4173C">
        <w:rPr>
          <w:bCs/>
          <w:sz w:val="22"/>
          <w:szCs w:val="22"/>
        </w:rPr>
        <w:t>-19, que tem produzido declínios socioeconômicos esmagadores na região. Em vista disso, os Estados membros da OEA determinaram que a Assembleia Geral da Organização constitui um momento oportuno para concentrar a atenção da região na necessidade de construir sistemas econômicos, sociais e ambientais resilientes. É imperativo que a comunidade da OEA considere a possibilidade de encontrar soluções compartilhadas para conter o impacto de vários choques internos e externos.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Em preparação para a discussão sobre resiliência no âmbito da Assembleia Geral, propõe-se que o próximo semestre do CIDI se concentre em produzir uma compreensão mais profunda da construção de resiliência e, especificamente, lançar as bases para o desenvolvimento de cooperação e parcerias nessa construção de resiliência entre os Estados membros.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A fim de melhor lidar com a construção de resiliência, é importante compreender o contexto dessa questão.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4173C">
        <w:rPr>
          <w:sz w:val="22"/>
          <w:szCs w:val="22"/>
        </w:rPr>
        <w:t xml:space="preserve">A agenda global de resiliência tem sua gênese em uma agenda de redução da vulnerabilidade, que foi posta em marcha com o lançamento de uma publicação de 1985, intitulada </w:t>
      </w:r>
      <w:r w:rsidRPr="00F4173C">
        <w:rPr>
          <w:i/>
          <w:sz w:val="22"/>
          <w:szCs w:val="22"/>
        </w:rPr>
        <w:t>Small States in the Global Society: Report of a Commonwealth Consultative Group (CCG) on the Special Needs of Small States</w:t>
      </w:r>
      <w:r w:rsidRPr="00F4173C">
        <w:rPr>
          <w:sz w:val="22"/>
          <w:szCs w:val="22"/>
        </w:rPr>
        <w:t>. Desde então, as noções de vulnerabilidade assumiram relevância universal, uma vez que os países, grandes e pequenos, têm sofrido impactos negativos decorrentes de choques internos e externos, como desastres, crises financeiras globais, choques nos preços da energia e das matérias-primas.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Em termos gerais, existem três tipos de vulnerabilidade. A vulnerabilidade econômica</w:t>
      </w:r>
      <w:r w:rsidRPr="00F4173C">
        <w:rPr>
          <w:bCs/>
          <w:i/>
          <w:sz w:val="22"/>
          <w:szCs w:val="22"/>
        </w:rPr>
        <w:t xml:space="preserve"> </w:t>
      </w:r>
      <w:r w:rsidRPr="00F4173C">
        <w:rPr>
          <w:bCs/>
          <w:sz w:val="22"/>
          <w:szCs w:val="22"/>
        </w:rPr>
        <w:t>relaciona-se aos riscos enfrentados pelas economias devido a choques exógenos nos seus sistemas de produção, distribuição (especialmente nos mercados) e consumo. A vulnerabilidade ambiental</w:t>
      </w:r>
      <w:r w:rsidRPr="00F4173C">
        <w:rPr>
          <w:bCs/>
          <w:i/>
          <w:sz w:val="22"/>
          <w:szCs w:val="22"/>
        </w:rPr>
        <w:t xml:space="preserve"> </w:t>
      </w:r>
      <w:r w:rsidRPr="00F4173C">
        <w:rPr>
          <w:bCs/>
          <w:sz w:val="22"/>
          <w:szCs w:val="22"/>
        </w:rPr>
        <w:t>diz respeito principalmente ao risco de danos aos ecossistemas naturais de um país (por exemplo, recifes de coral, zonas úmidas, água doce, áreas costeiras e recursos marinhos, florestas e solos). A vulnerabilidade social</w:t>
      </w:r>
      <w:r w:rsidRPr="00F4173C">
        <w:rPr>
          <w:bCs/>
          <w:i/>
          <w:sz w:val="22"/>
          <w:szCs w:val="22"/>
        </w:rPr>
        <w:t xml:space="preserve"> </w:t>
      </w:r>
      <w:r w:rsidRPr="00F4173C">
        <w:rPr>
          <w:bCs/>
          <w:sz w:val="22"/>
          <w:szCs w:val="22"/>
        </w:rPr>
        <w:t>reflete o grau em que as sociedades ou grupos socioeconômicos são afetados negativamente por tensões e perigos, quer provocados por forças externas ou por fatores intrínsecos — internos e externos — que afetam negativamente a coesão social de um país (PNUD 2002).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F4173C">
        <w:rPr>
          <w:sz w:val="22"/>
          <w:szCs w:val="22"/>
        </w:rPr>
        <w:t xml:space="preserve">Mesmo quando se faz uma distinção na literatura entre esses três tipos de vulnerabilidade, na realidade, as suas características interligadas significam que a vulnerabilidade em uma área pode </w:t>
      </w:r>
      <w:r w:rsidRPr="00F4173C">
        <w:rPr>
          <w:sz w:val="22"/>
          <w:szCs w:val="22"/>
        </w:rPr>
        <w:lastRenderedPageBreak/>
        <w:t>afetar todas as outras. Muitas formas de desenvolvimento econômico corroem os recursos ambientais que lhes servem de base. A degradação ambiental pode ser uma fonte de conflito social que, por sua vez, pode influenciar o crescimento econômico e o desenvolvimento sustentável. A pobreza é uma das principais causas e efeitos dos problemas ambientais mundiais (CMMAD, 1987)</w:t>
      </w:r>
      <w:r w:rsidRPr="00F4173C">
        <w:rPr>
          <w:color w:val="000000"/>
          <w:sz w:val="22"/>
          <w:szCs w:val="22"/>
          <w:vertAlign w:val="superscript"/>
          <w:lang w:val="es-ES"/>
        </w:rPr>
        <w:footnoteReference w:id="1"/>
      </w:r>
      <w:r w:rsidRPr="00F4173C">
        <w:rPr>
          <w:rFonts w:eastAsia="PMingLiU"/>
          <w:color w:val="000000"/>
          <w:sz w:val="22"/>
          <w:szCs w:val="22"/>
        </w:rPr>
        <w:t>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Os desastres são comumente vistos como a fonte das maiores ameaças à resiliência econômica, social e ambiental na América Latina e no Caribe (ALC) — a segunda região mais propensa a desastres do mundo. O Escritório das Nações Unidas para a Coordenação dos Assuntos Humanitários estima que, na última década (2000–2019), 152 milhões de pessoas na região da ALC foram afetadas por 1.205 desastres: 548 inundações, 330 tempestades, 75 terremotos, 74 secas, 66 deslizamentos de terra, 24 incêndios florestais, 50 eventos de temperatura extrema e 38 eventos vulcânicos</w:t>
      </w:r>
      <w:r w:rsidRPr="00F4173C">
        <w:rPr>
          <w:bCs/>
          <w:sz w:val="22"/>
          <w:szCs w:val="22"/>
          <w:vertAlign w:val="superscript"/>
          <w:lang w:val="es-ES"/>
        </w:rPr>
        <w:footnoteReference w:id="2"/>
      </w:r>
      <w:r w:rsidRPr="00F4173C">
        <w:rPr>
          <w:bCs/>
          <w:sz w:val="22"/>
          <w:szCs w:val="22"/>
        </w:rPr>
        <w:t>. Os impactos dos desastres descritos acima têm sido abrangentes e profundos. Incluem interrupções na atividade econômica, fechamento de escolas, perda de empregos, redução de divisas e da renda nacional para os governos, impactos psicológicos e deslocamento interno resultante de danos às casas e à infraestrutura social e econômica.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 xml:space="preserve">Neste momento, os governos estão lutando para enfrentar as vulnerabilidades existentes e aquelas expostas ou exacerbadas pela pandemia de </w:t>
      </w:r>
      <w:r>
        <w:rPr>
          <w:bCs/>
          <w:sz w:val="22"/>
          <w:szCs w:val="22"/>
        </w:rPr>
        <w:t>COVID</w:t>
      </w:r>
      <w:r w:rsidRPr="00F4173C">
        <w:rPr>
          <w:bCs/>
          <w:sz w:val="22"/>
          <w:szCs w:val="22"/>
        </w:rPr>
        <w:t>-19.  O consenso é que os governos e seus parceiros de desenvolvimento têm uma oportunidade de fazer a transição da vulnerabilidade para a resiliência, repensando a forma como o desenvolvimento da região é planejado na busca de um futuro mais sustentável e equitativo.</w:t>
      </w:r>
    </w:p>
    <w:p w:rsid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color w:val="000000"/>
          <w:sz w:val="22"/>
          <w:szCs w:val="22"/>
        </w:rPr>
      </w:pPr>
    </w:p>
    <w:p w:rsidR="00A25BBE" w:rsidRPr="00F4173C" w:rsidRDefault="00A25BBE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color w:val="000000"/>
          <w:sz w:val="22"/>
          <w:szCs w:val="22"/>
        </w:rPr>
      </w:pPr>
    </w:p>
    <w:p w:rsidR="00F4173C" w:rsidRPr="00F07677" w:rsidRDefault="00F4173C" w:rsidP="00F07677">
      <w:pPr>
        <w:pStyle w:val="ListParagraph0"/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hanging="720"/>
        <w:outlineLvl w:val="0"/>
        <w:rPr>
          <w:b/>
          <w:bCs/>
          <w:sz w:val="22"/>
          <w:szCs w:val="22"/>
        </w:rPr>
      </w:pPr>
      <w:r w:rsidRPr="00F07677">
        <w:rPr>
          <w:b/>
          <w:bCs/>
          <w:sz w:val="22"/>
          <w:szCs w:val="22"/>
        </w:rPr>
        <w:t>A TRANSIÇÃO DA VULNERABILIDADE PARA A RESILIÊNCIA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2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 xml:space="preserve">A rede </w:t>
      </w:r>
      <w:r w:rsidRPr="00F4173C">
        <w:rPr>
          <w:bCs/>
          <w:i/>
          <w:iCs/>
          <w:sz w:val="22"/>
          <w:szCs w:val="22"/>
        </w:rPr>
        <w:t>Resilience Alliance</w:t>
      </w:r>
      <w:r w:rsidRPr="00F4173C">
        <w:rPr>
          <w:bCs/>
          <w:sz w:val="22"/>
          <w:szCs w:val="22"/>
        </w:rPr>
        <w:t xml:space="preserve"> define resiliência, quando aplicada a sistemas integrados de pessoas, economias e natureza, como: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Cs/>
          <w:sz w:val="22"/>
          <w:szCs w:val="22"/>
        </w:rPr>
      </w:pPr>
    </w:p>
    <w:p w:rsidR="00F4173C" w:rsidRPr="00F4173C" w:rsidRDefault="00F4173C" w:rsidP="00F07677">
      <w:pPr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right="218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A quantidade de perturbação que um sistema pode absorver e ainda permanecer dentro do mesmo estado ou domínio de atração.</w:t>
      </w:r>
    </w:p>
    <w:p w:rsidR="00F4173C" w:rsidRPr="00F4173C" w:rsidRDefault="00F4173C" w:rsidP="00F07677">
      <w:pPr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right="219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O grau em que o sistema é capaz de se auto-organizar (</w:t>
      </w:r>
      <w:r w:rsidRPr="00F4173C">
        <w:rPr>
          <w:rFonts w:eastAsia="Calibri"/>
          <w:i/>
          <w:iCs/>
          <w:sz w:val="22"/>
          <w:szCs w:val="22"/>
        </w:rPr>
        <w:t>versus</w:t>
      </w:r>
      <w:r w:rsidRPr="00F4173C">
        <w:rPr>
          <w:rFonts w:eastAsia="Calibri"/>
          <w:sz w:val="22"/>
          <w:szCs w:val="22"/>
        </w:rPr>
        <w:t xml:space="preserve"> falta de organização ou organização forçada por fatores externos).</w:t>
      </w:r>
    </w:p>
    <w:p w:rsidR="00F4173C" w:rsidRPr="00F4173C" w:rsidRDefault="00F4173C" w:rsidP="00F07677">
      <w:pPr>
        <w:widowControl w:val="0"/>
        <w:numPr>
          <w:ilvl w:val="1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right="222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O grau em que o sistema pode construir e aumentar a capacidade de aprendizagem e adaptação (Carpenter, 2001).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b/>
          <w:color w:val="000000"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b/>
          <w:bCs/>
          <w:sz w:val="22"/>
          <w:szCs w:val="22"/>
        </w:rPr>
      </w:pPr>
      <w:r w:rsidRPr="00F4173C">
        <w:rPr>
          <w:b/>
          <w:bCs/>
          <w:sz w:val="22"/>
          <w:szCs w:val="22"/>
        </w:rPr>
        <w:t>Resiliência econômica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Resiliência econômica refere-se à medida em que uma economia pode resistir aos efeitos negativos dos choques externos ou deles se recuperar. A capacidade de uma economia absorver choques externos está associada à sua flexibilidade, como, por exemplo, aquela que proporciona uma posição fiscal forte o suficiente para suportar a utilização de despesas discricionárias ou cortes fiscais para neutralizar os efeitos de choques negativos.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6"/>
        <w:jc w:val="both"/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 xml:space="preserve">Na construção da resiliência econômica, é essencial determinar se há deficiência de um “ativo” específico no país/região, como, por exemplo, inadequação das competências na força de </w:t>
      </w:r>
      <w:r w:rsidRPr="00F4173C">
        <w:rPr>
          <w:bCs/>
          <w:sz w:val="22"/>
          <w:szCs w:val="22"/>
        </w:rPr>
        <w:lastRenderedPageBreak/>
        <w:t>trabalho, educação de baixa qualidade, baixa produtividade das pequenas empresas e barreiras que dificultam o seu acesso à capacitação e aos recursos financeiros, falta de bons serviços de infraestrutura, baixa taxa de inovação e dependência de alguns produtos e mercados de exportação, entre outros.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As estratégias de competências orientadas ao emprego, por exemplo, podem contribuir para a construção de uma força de trabalho resiliente e mais bem preparada para a transição para os novos empregos criados pela economia digital. O desenvolvimento de polos ou indústrias a partir dos recursos típicos e dos pontos fortes competitivos de um país ou região pode ajudar a promover a inovação para o desenvolvimento econômico local e reduzir a dependência em relação a uns poucos produtos, enquanto os programas de capacitação, os serviços coordenados de apoio às empresas e os marcos normativos podem contribuir eficazmente para o desenvolvimento das micro, pequenas e médias empresas.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Um sistema ou ferramentas de “alerta rápido” podem fornecer avaliações periódicas da prontidão da economia de um país em caso de choques externos. O planejamento da recuperação pré-ruptura ajuda a definir os papéis, responsabilidades e ações das principais partes interessadas em nível local e nacional. Além disso, a existência de um processo de comunicação e monitoramento periódico das necessidades da comunidade empresarial e de outras partes interessadas durante e após uma ruptura possibilitará uma recuperação mais rápida. Um programa de continuidade e prontidão empresarial, por exemplo, ajudará as pequenas empresas e outros atores do setor privado a retomarem suas operações após o choque externo.  Programas feitos sob medida podem ajudar a realinhar e recapacitar a força de trabalho do país após a ruptura.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2"/>
        <w:jc w:val="both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ab/>
        <w:t>Além disso, o uso da metrologia — a ciência da medição, padronização e conformidade — será destacado no diálogo, dado o seu papel central no fortalecimento da resiliência econômica, particularmente em um contexto em que é fundamental a cooperação internacional. Ao utilizar medições e padrões comparáveis, a metrologia promove a inovação, as tecnologias emergentes, a cooperação científica, a manufatura industrial e o comércio internacional; e, ao garantir a qualidade, a segurança e a eficácia dos materiais e componentes nos produtos, tem efeitos diretos sobre a qualidade de vida da população e na proteção do meio ambiente.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5"/>
        <w:jc w:val="both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ab/>
        <w:t>A Secretaria-Geral da OEA já assiste os Estados membros facilitando cooperação horizontal com vistas à adaptação de políticas e programas bem-sucedidos na construção da resiliência econômica.  As experiências do Intercâmbio para a Competitividade das Américas (ACE), da Rede Interamericana para a Administração Trabalhista (RIAL) e do Programa do Centro de Desenvolvimento de Pequenas Empresas do Caribe (SBDC) são provas disso.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b/>
          <w:color w:val="000000"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b/>
          <w:bCs/>
          <w:sz w:val="22"/>
          <w:szCs w:val="22"/>
        </w:rPr>
      </w:pPr>
      <w:r w:rsidRPr="00F4173C">
        <w:rPr>
          <w:b/>
          <w:bCs/>
          <w:sz w:val="22"/>
          <w:szCs w:val="22"/>
        </w:rPr>
        <w:t>Resiliência ambiental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Embora a resiliência ambiental englobe várias dimensões, as questões mais urgentes para a região são as relacionadas com a energia e os desastres naturais, bem como com a capacidade de preparação, resposta e recuperação dos cidadãos diante dos vários tipos de desastres.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Resiliência energética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Do ponto de vista da construção da competitividade e da conservação de divisas, são convincentes</w:t>
      </w:r>
      <w:r w:rsidRPr="00F4173C">
        <w:rPr>
          <w:b/>
          <w:bCs/>
          <w:sz w:val="22"/>
          <w:szCs w:val="22"/>
        </w:rPr>
        <w:t xml:space="preserve"> </w:t>
      </w:r>
      <w:r w:rsidRPr="00F4173C">
        <w:rPr>
          <w:bCs/>
          <w:sz w:val="22"/>
          <w:szCs w:val="22"/>
        </w:rPr>
        <w:t xml:space="preserve">os argumentos a favor da mudança para uma infraestrutura energética resiliente. O </w:t>
      </w:r>
      <w:r w:rsidRPr="00F4173C">
        <w:rPr>
          <w:bCs/>
          <w:sz w:val="22"/>
          <w:szCs w:val="22"/>
        </w:rPr>
        <w:lastRenderedPageBreak/>
        <w:t>desafio, porém, é assegurar que essa transição seja feita de forma a não prejudicar a segurança energética. Embora as fontes renováveis possam proporcionar redundância de redes de energia e sistemas descentralizados, surgem novos desafios para a construção da resiliência da fonte, das linhas de distribuição e dos sistemas de armazenamento de energia. A segurança elétrica é vital para o bom funcionamento das sociedades e economias modernas. As tecnologias digitais, as comunicações, o transporte, a infraestrutura (incluindo a infraestrutura de saúde) e as operações industriais dependem de um fornecimento confiável e eficiente de eletricidade. À medida que os sistemas energéticos se tornam mais interconectados e inteligentes e que vários países mudam para fontes de eletricidade menos intensivas em carbono, a segurança desses sistemas torna-se primordial. Consequentemente, os sistemas energéticos precisam ser modernos e renováveis e capazes de resistir a choques endógenos e exógenos de grande amplitude. A Parceria em Energia e Clima para as Américas (ECPA) tem ajudado os Estados membros a construir uma infraestrutura energética resiliente.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i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Resiliência a desastres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O Marco de Sendai para a Redução do Risco de Desastres (2015–2030</w:t>
      </w:r>
      <w:r w:rsidRPr="00F4173C">
        <w:rPr>
          <w:rFonts w:eastAsia="PMingLiU"/>
          <w:bCs/>
          <w:color w:val="000000"/>
          <w:sz w:val="22"/>
          <w:szCs w:val="22"/>
        </w:rPr>
        <w:t>)</w:t>
      </w:r>
      <w:r w:rsidRPr="00F4173C">
        <w:rPr>
          <w:bCs/>
          <w:color w:val="000000"/>
          <w:sz w:val="22"/>
          <w:szCs w:val="22"/>
          <w:vertAlign w:val="superscript"/>
          <w:lang w:val="es-ES"/>
        </w:rPr>
        <w:footnoteReference w:id="3"/>
      </w:r>
      <w:r w:rsidRPr="00F4173C">
        <w:rPr>
          <w:rFonts w:eastAsia="PMingLiU"/>
          <w:bCs/>
          <w:color w:val="000000"/>
          <w:sz w:val="22"/>
          <w:szCs w:val="22"/>
        </w:rPr>
        <w:t>,</w:t>
      </w:r>
      <w:r w:rsidRPr="00F4173C">
        <w:rPr>
          <w:rFonts w:eastAsia="PMingLiU"/>
          <w:b/>
          <w:bCs/>
          <w:color w:val="000000"/>
          <w:sz w:val="22"/>
          <w:szCs w:val="22"/>
        </w:rPr>
        <w:t xml:space="preserve"> </w:t>
      </w:r>
      <w:r w:rsidRPr="00F4173C">
        <w:rPr>
          <w:bCs/>
          <w:sz w:val="22"/>
          <w:szCs w:val="22"/>
        </w:rPr>
        <w:t xml:space="preserve">reconhece a necessidade de que as práticas de redução do risco de desastres cubram vários tipos de perigos e setores e sejam inclusivas e acessíveis. Essas práticas são necessárias para gerar eficiência e eficácia e para que todas as partes interessadas — empresas, associações profissionais e instituições financeiras do setor privado — enfrentem os desafios presentes e se preparem para os desafios futuros, concentrando-se no monitoramento, na avaliação e na compreensão do risco de desastres, bem como na divulgação </w:t>
      </w:r>
      <w:r w:rsidRPr="00F4173C">
        <w:rPr>
          <w:sz w:val="22"/>
          <w:szCs w:val="22"/>
        </w:rPr>
        <w:t>dessas informações e de como elas são criadas.  É também importante reforçar a governança e a coordenação do risco de desastres nas instituições e setores pertinentes, bem como integrar a gestão do risco de desastres — incluindo a continuidade dos negócios — nos modelos e práticas empresariais por meio de investimentos bem-informados sobre o risco de desastres, especialmente em micro, pequenas e médias empresas. A boa governança está associada à salvaguarda do Estado de direito e dos direitos de propriedade, bem como à prestação de serviços públicos eficientes, por intermédio de uma autoridade que utilize mecanismos, processos e instituições para gerir os assuntos do país</w:t>
      </w:r>
      <w:r w:rsidRPr="00F4173C">
        <w:rPr>
          <w:b/>
          <w:bCs/>
          <w:color w:val="000000"/>
          <w:sz w:val="22"/>
          <w:szCs w:val="22"/>
          <w:vertAlign w:val="superscript"/>
          <w:lang w:val="es-ES"/>
        </w:rPr>
        <w:footnoteReference w:id="4"/>
      </w:r>
      <w:r w:rsidRPr="00F4173C">
        <w:rPr>
          <w:rFonts w:eastAsia="PMingLiU"/>
          <w:b/>
          <w:bCs/>
          <w:color w:val="000000"/>
          <w:sz w:val="22"/>
          <w:szCs w:val="22"/>
        </w:rPr>
        <w:t xml:space="preserve">. </w:t>
      </w:r>
      <w:r w:rsidRPr="00F4173C">
        <w:rPr>
          <w:sz w:val="22"/>
          <w:szCs w:val="22"/>
        </w:rPr>
        <w:t>Sem uma boa governança, seria mais provável que choques adversos conduzissem ao caos e à agitação econômica e social, exacerbando assim os efeitos da vulnerabilidade econômica. Por outro lado, a boa governança pode fortalecer a resiliência de uma economia porque os choques externos são mais bem absorvidos e neutralizados em uma atmosfera de leis previsíveis e políticas confiáveis.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As evidências mostram que as avaliações e as estratégias de resiliência de larga escala e de cima para baixo não são tão eficazes quanto as abordagens participativas, baseadas na comunidade e de baixo para cima. Por essa razão, a OEA defende a adoção de uma “abordagem comunitária integral” da resiliência, que envolva governos subnacionais e nacionais, o setor privado, o meio acadêmico e as organizações comunitárias, entre outros.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 xml:space="preserve">A resiliência a desastres é um imperativo para os Estados membros da OEA. Por exemplo, dada a natureza competitiva da indústria do turismo da qual todos os países dependem, existe frequentemente uma defasagem entre a rapidez da reconstrução das propriedades danificadas e das infraestruturas sociais e econômicas e a rapidez da recuperação pós-catástrofe do setor, uma vez </w:t>
      </w:r>
      <w:r w:rsidRPr="00F4173C">
        <w:rPr>
          <w:bCs/>
          <w:sz w:val="22"/>
          <w:szCs w:val="22"/>
        </w:rPr>
        <w:lastRenderedPageBreak/>
        <w:t>que os negócios tendem a deslocar-se para outros locais. Para recuperar sua fatia de mercado, muitas vezes as propriedades e destinos afetados, já em dificuldades, precisam investir em dispendiosas campanhas de marketing nos mercados de origem. Via de regra, propriedades e destinos que não são diretamente afetados pela passagem de um furacão são indiretamente afetados por uma percepção dentro dos mercados de origem de que toda a região é insegura.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F4173C">
        <w:rPr>
          <w:bCs/>
          <w:sz w:val="22"/>
          <w:szCs w:val="22"/>
        </w:rPr>
        <w:t>Em última análise, os choques sociais, políticos, ambientais ou econômicos associados a desastres lentos e rápidos afetam o bem-estar das pessoas, como sua saúde e meios de subsistência e, de um modo mais geral, a sua capacidade de resistir e de adaptar-se.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F4173C" w:rsidRPr="00F4173C">
        <w:rPr>
          <w:sz w:val="22"/>
          <w:szCs w:val="22"/>
        </w:rPr>
        <w:t>O rápido desenvolvimento das tecnologias da informação e das comunicações pode dar condições a governos e cidadãos de se tornarem mais resilientes e de participarem de forma mais efetiva da tomada de decisões em nível doméstico, comunitário, subnacional e nacional, ao terem acesso a uma grande quantidade de informações em tempo real para a gestão de riscos (assim como à melhoria do fornecimento de informações em regiões com escassez de dados)</w:t>
      </w:r>
      <w:r w:rsidR="00F4173C" w:rsidRPr="00F4173C">
        <w:rPr>
          <w:color w:val="000000"/>
          <w:sz w:val="22"/>
          <w:szCs w:val="22"/>
          <w:vertAlign w:val="superscript"/>
          <w:lang w:val="es-ES"/>
        </w:rPr>
        <w:footnoteReference w:id="5"/>
      </w:r>
      <w:r w:rsidR="00F4173C" w:rsidRPr="00F4173C">
        <w:rPr>
          <w:rFonts w:eastAsia="PMingLiU"/>
          <w:color w:val="000000"/>
          <w:sz w:val="22"/>
          <w:szCs w:val="22"/>
        </w:rPr>
        <w:t>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No entanto, como a pandemia revelou, apesar da crescente disponibilidade de ferramentas para informar os tomadores de decisão, “a surpresa parece ser o novo normal”. Em seu último relatório GAR19</w:t>
      </w:r>
      <w:r w:rsidR="00F4173C" w:rsidRPr="00F4173C">
        <w:rPr>
          <w:bCs/>
          <w:sz w:val="22"/>
          <w:szCs w:val="22"/>
          <w:vertAlign w:val="superscript"/>
        </w:rPr>
        <w:t>6</w:t>
      </w:r>
      <w:r w:rsidR="00F4173C" w:rsidRPr="00F4173C">
        <w:rPr>
          <w:bCs/>
          <w:sz w:val="22"/>
          <w:szCs w:val="22"/>
        </w:rPr>
        <w:t>, o UNDRR foi premonitório: “Ironicamente, nesta era de dados, informação e conectividade, embora possamos quantificar mais daquilo que antes era incerto, isso deixa claro o quanto mais ainda não sabemos. Novos riscos e correlações estão surgindo de uma forma que não prevíamos. Ameaças que antes eram consideradas inconcebíveis já não o são”.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Nesse contexto, as estratégias e os planos devem ser capazes de incluir ajustes em tempo real que prevejam a mudança e a ela respondam quando se busca atividade econômica e desenvolvimento sustentável com flexibilidade e agilidade. Isso significa estruturas de planejamento adaptativas e preventivas, que procuram identificar os fatores de risco nos sistemas a fim de prevenir e mitigar o risco e que permitem que os implementadores reajam rapidamente.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jc w:val="both"/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Resiliência social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O desenvolvimento social e a coesão social são considerados componentes essenciais da resiliência econômica e ambiental. Indicam até que ponto: (i) as relações dentro das sociedades estão devidamente desenvolvidas e podem permitir economias e sociedades resilientes sem o problema da agitação civil; e (ii) o diálogo social eficaz tem lugar em uma economia, o que, por sua vez, permitiria abordagens colaborativas das medidas de fortalecimento da resiliência.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Resiliência educacional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 xml:space="preserve">Em meio à pandemia de </w:t>
      </w:r>
      <w:r>
        <w:rPr>
          <w:bCs/>
          <w:sz w:val="22"/>
          <w:szCs w:val="22"/>
        </w:rPr>
        <w:t>COVID</w:t>
      </w:r>
      <w:r w:rsidR="00F4173C" w:rsidRPr="00F4173C">
        <w:rPr>
          <w:bCs/>
          <w:sz w:val="22"/>
          <w:szCs w:val="22"/>
        </w:rPr>
        <w:t xml:space="preserve">-19, os sistemas de aprendizagem educacional em todo o mundo enfrentaram rupturas sem precedentes, com 1,5 bilhão de estudantes e 80 milhões de professores afastados de salas de aula e </w:t>
      </w:r>
      <w:r w:rsidR="00F4173C" w:rsidRPr="00F4173C">
        <w:rPr>
          <w:bCs/>
          <w:i/>
          <w:sz w:val="22"/>
          <w:szCs w:val="22"/>
        </w:rPr>
        <w:t>campi</w:t>
      </w:r>
      <w:r w:rsidR="00F4173C" w:rsidRPr="00F4173C">
        <w:rPr>
          <w:bCs/>
          <w:sz w:val="22"/>
          <w:szCs w:val="22"/>
        </w:rPr>
        <w:t xml:space="preserve">, fazendo uma transição abrupta para modalidades virtuais, exacerbando assim as desigualdades no acesso à educação e expondo as falhas de um sistema já em dificuldades. Na ALC, com poucas exceções, os países carecem de um sistema de aprendizagem digital abrangente, e os níveis de conectividade continuam baixos, particularmente em comunidades remotas e lares pobres. Estudos recentes estimam que apenas 20% dos estudantes </w:t>
      </w:r>
      <w:r w:rsidR="00F4173C" w:rsidRPr="00F4173C">
        <w:rPr>
          <w:bCs/>
          <w:sz w:val="22"/>
          <w:szCs w:val="22"/>
        </w:rPr>
        <w:lastRenderedPageBreak/>
        <w:t xml:space="preserve">de 15 anos de idade que frequentam escolas desfavorecidas podem aceder a uma plataforma eficaz de apoio à aprendizagem </w:t>
      </w:r>
      <w:r w:rsidR="00F4173C" w:rsidRPr="00F4173C">
        <w:rPr>
          <w:bCs/>
          <w:i/>
          <w:iCs/>
          <w:sz w:val="22"/>
          <w:szCs w:val="22"/>
        </w:rPr>
        <w:t>on-line</w:t>
      </w:r>
      <w:r w:rsidR="00F4173C" w:rsidRPr="00F4173C">
        <w:rPr>
          <w:bCs/>
          <w:sz w:val="22"/>
          <w:szCs w:val="22"/>
        </w:rPr>
        <w:t>, em comparação com 50% dos que frequentam escolas favorecidas.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Mas há um lado bom. Vislumbram-se possibilidades promissoras em soluções inovadoras, baseadas em aprendizagem digital e educação aberta. Além de responder à emergência sanitária, as tecnologias digitais de aprendizagem permitem que professores, governos e instituições educacionais encontrem novas respostas para o que, como, onde e quando os alunos aprendem melhor, inovação essa que pode efetivamente transformar os sistemas educacionais.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F4173C" w:rsidRPr="00F4173C">
        <w:rPr>
          <w:sz w:val="22"/>
          <w:szCs w:val="22"/>
        </w:rPr>
        <w:t>No entanto, como nem todas as escolas estão igualmente preparadas ou equipadas, não basta permitir que essas forças se desenvolvam por si mesmas, pois isso não conduzirá a resultados positivos e, pelo contrário, poderá ampliar ainda mais as divisões existentes na educação.  Para reduzir as desigualdades, todos os estudantes devem ter acesso à infraestrutura, instalações, equipamentos e conteúdos digitais. Além disso, é necessário um apoio específico para que os estudantes menos favorecidos e suas famílias se beneficiem da tecnologia, desenvolvendo habilidades básicas, cognitivas e digitais</w:t>
      </w:r>
      <w:r w:rsidR="00F4173C" w:rsidRPr="00F4173C">
        <w:rPr>
          <w:color w:val="000000"/>
          <w:sz w:val="22"/>
          <w:szCs w:val="22"/>
          <w:vertAlign w:val="superscript"/>
          <w:lang w:val="es-ES"/>
        </w:rPr>
        <w:footnoteReference w:id="6"/>
      </w:r>
      <w:r w:rsidR="00F4173C" w:rsidRPr="00F4173C">
        <w:rPr>
          <w:rFonts w:eastAsia="PMingLiU"/>
          <w:color w:val="000000"/>
          <w:sz w:val="22"/>
          <w:szCs w:val="22"/>
        </w:rPr>
        <w:t>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Agora é o momento de vislumbrar um futuro novo e melhor para os sistemas educativos da região. Sistemas que sejam resilientes e respondam bem a mudanças rápidas. Sistemas que aproveitem os novos conhecimentos sobre aprendizagem eficaz e proporcionem a todas as pessoas acesso a uma educação segura, de alta qualidade e acessível, que as equipe com as competências necessárias para prosperarem na economia do futuro e para serem cidadãos bem-informados e engajados.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i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Segurança alimentar e nutricional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 xml:space="preserve">A segurança alimentar refere-se à “situação que existe quando todas as pessoas, em qualquer momento, têm acesso físico e econômico a alimentos suficientes, seguros e nutritivos para satisfazer as suas necessidades alimentares para uma vida ativa e saudável” (FAO, 2006). A </w:t>
      </w:r>
      <w:r>
        <w:rPr>
          <w:bCs/>
          <w:sz w:val="22"/>
          <w:szCs w:val="22"/>
        </w:rPr>
        <w:t>COVID</w:t>
      </w:r>
      <w:r w:rsidR="00F4173C" w:rsidRPr="00F4173C">
        <w:rPr>
          <w:bCs/>
          <w:sz w:val="22"/>
          <w:szCs w:val="22"/>
        </w:rPr>
        <w:t>-19 tem o potencial de afetar a segurança alimentar em todas as suas dimensões: disponibilidade, acesso, estabilidade e uso dos alimentos.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F4173C" w:rsidRPr="00F4173C">
        <w:rPr>
          <w:sz w:val="22"/>
          <w:szCs w:val="22"/>
        </w:rPr>
        <w:t xml:space="preserve">Estudos recentes confirmam que as estratégias de contenção da </w:t>
      </w:r>
      <w:r>
        <w:rPr>
          <w:sz w:val="22"/>
          <w:szCs w:val="22"/>
        </w:rPr>
        <w:t>COVID</w:t>
      </w:r>
      <w:r w:rsidR="00F4173C" w:rsidRPr="00F4173C">
        <w:rPr>
          <w:sz w:val="22"/>
          <w:szCs w:val="22"/>
        </w:rPr>
        <w:t>-19 na ALC tiveram consequências diretas e indiretas na segurança alimentar. Por exemplo, uma redução da renda disponível afetou a procura e o consumo de alimentos por parte das populações de baixa renda. Estima-se que, entre abril e maio de 2020, quase 40% dos lares mais pobres da região passaram fome e quase 50% mudaram seu consumo para dietas menos saudáveis (Universidade Cornell e BID, 2020</w:t>
      </w:r>
      <w:r w:rsidR="00F4173C" w:rsidRPr="00F4173C">
        <w:rPr>
          <w:rFonts w:eastAsia="PMingLiU"/>
          <w:color w:val="000000"/>
          <w:sz w:val="22"/>
          <w:szCs w:val="22"/>
        </w:rPr>
        <w:t>)</w:t>
      </w:r>
      <w:r w:rsidR="00F4173C" w:rsidRPr="00F4173C">
        <w:rPr>
          <w:color w:val="000000"/>
          <w:sz w:val="22"/>
          <w:szCs w:val="22"/>
          <w:vertAlign w:val="superscript"/>
          <w:lang w:val="es-ES"/>
        </w:rPr>
        <w:footnoteReference w:id="7"/>
      </w:r>
      <w:r w:rsidR="00F4173C" w:rsidRPr="00F4173C">
        <w:rPr>
          <w:rFonts w:eastAsia="PMingLiU"/>
          <w:color w:val="000000"/>
          <w:sz w:val="22"/>
          <w:szCs w:val="22"/>
        </w:rPr>
        <w:t>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4C50C0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 xml:space="preserve">Isso ocorre em um momento em que vários Estados membros da OEA, especialmente os da América do Sul e Central e do Caribe, enfrentam graves crises crônicas ou agudas de insegurança alimentar e nutricional. Em alguns países, essas crises são principalmente de natureza crônica e têm suas raízes em fatores como falta de acesso a financiamento, tecnologias, orientação e treinamento; </w:t>
      </w:r>
      <w:r w:rsidR="00F4173C" w:rsidRPr="00F4173C">
        <w:rPr>
          <w:bCs/>
          <w:sz w:val="22"/>
          <w:szCs w:val="22"/>
        </w:rPr>
        <w:lastRenderedPageBreak/>
        <w:t xml:space="preserve">investimentos limitados no meio rural; infraestrutura envelhecida ou deteriorada, como sistemas de irrigação e equipamentos de armazenamento; vulnerabilidade a choques de preços de </w:t>
      </w:r>
      <w:r w:rsidR="00F4173C" w:rsidRPr="00F4173C">
        <w:rPr>
          <w:bCs/>
          <w:i/>
          <w:iCs/>
          <w:sz w:val="22"/>
          <w:szCs w:val="22"/>
        </w:rPr>
        <w:t>commodities</w:t>
      </w:r>
      <w:r w:rsidR="00F4173C" w:rsidRPr="00F4173C">
        <w:rPr>
          <w:bCs/>
          <w:sz w:val="22"/>
          <w:szCs w:val="22"/>
        </w:rPr>
        <w:t xml:space="preserve"> e moedas; altos níveis de pobreza doméstica; baixa criação de valor agregado nos setores produtores de alimentos; e alta vulnerabilidade a eventos climáticos extremos e às mudanças do clima.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both"/>
        <w:textAlignment w:val="baseline"/>
        <w:rPr>
          <w:color w:val="000000"/>
          <w:sz w:val="22"/>
          <w:szCs w:val="22"/>
        </w:rPr>
      </w:pPr>
    </w:p>
    <w:p w:rsidR="00F4173C" w:rsidRPr="00F4173C" w:rsidRDefault="00F4173C" w:rsidP="007512BD">
      <w:pPr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0" w:right="217" w:firstLine="0"/>
        <w:outlineLvl w:val="0"/>
        <w:rPr>
          <w:rFonts w:eastAsia="Calibri"/>
          <w:bCs/>
          <w:sz w:val="22"/>
          <w:szCs w:val="22"/>
        </w:rPr>
      </w:pPr>
      <w:bookmarkStart w:id="0" w:name="_GoBack"/>
      <w:bookmarkEnd w:id="0"/>
      <w:r w:rsidRPr="00F4173C">
        <w:rPr>
          <w:rFonts w:eastAsia="Calibri"/>
          <w:bCs/>
          <w:sz w:val="22"/>
          <w:szCs w:val="22"/>
        </w:rPr>
        <w:t>Rumo à cooperação para a construção da resiliência no Hemisfério: Conselho Interamericano de Desenvolvimento Integral (CIDI)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b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F4173C">
        <w:rPr>
          <w:sz w:val="22"/>
          <w:szCs w:val="22"/>
        </w:rPr>
        <w:t>Propósito: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O propósito das reuniões do CIDI é produzir um diálogo prospectivo para dividir informações sobre a cooperação orientada à ação para a construção da resiliência nas Américas.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Objetivos: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Oferecer aos Estados membros da OEA a oportunidade de: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07677">
      <w:pPr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8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Envolver-se em uma discussão significativa sobre as suas vulnerabilidades econômicas, sociais e ambientais comuns.</w:t>
      </w:r>
    </w:p>
    <w:p w:rsidR="00F4173C" w:rsidRPr="00F4173C" w:rsidRDefault="00F4173C" w:rsidP="00F07677">
      <w:pPr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21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Identificar passos concretos que possam iniciar ou continuar, em nível nacional e regional, a fim de construir a sua resiliência face a essas vulnerabilidades; e</w:t>
      </w:r>
    </w:p>
    <w:p w:rsidR="00F4173C" w:rsidRPr="00F4173C" w:rsidRDefault="00F4173C" w:rsidP="00F07677">
      <w:pPr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6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Acordar ações de cooperação multilateral e parceria para construir resiliência a fim de evitar ou diminuir o impacto de choques internos e externos nos Estados membros.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Estrutura do segundo semestre do CIDI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07677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O segundo semestre do CIDI será estruturado em uma série de discussões (uma por mês, conforme o calendário proposto abaixo) entre delegações dos Estados membros e vozes líderes de instituições internacionais regionais com um histórico de sucesso na construção de resiliência. Os temas específicos ajudarão a destacar as oportunidades de participação e investimento público e privado na construção da resiliência econômica, social e ambiental, com a cooperação financeira inovadora e as parcerias para a resiliência como temas transversais.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Resiliência social</w:t>
      </w:r>
    </w:p>
    <w:p w:rsidR="00F4173C" w:rsidRPr="00F4173C" w:rsidRDefault="00F4173C" w:rsidP="004C50C0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Subtema: O reequipamento da educação em um ambiente pós-covid.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 xml:space="preserve">Data provisória: </w:t>
      </w:r>
      <w:r w:rsidRPr="00F4173C">
        <w:rPr>
          <w:bCs/>
          <w:i/>
          <w:sz w:val="22"/>
          <w:szCs w:val="22"/>
        </w:rPr>
        <w:t>28 de julho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A sessão examinará alguns dos seguintes assuntos/questões: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07677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right="218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Como a pandemia afetou a educação na região? Como são as escolas em um contexto pós-covid?</w:t>
      </w:r>
    </w:p>
    <w:p w:rsidR="00F4173C" w:rsidRPr="00F4173C" w:rsidRDefault="00F4173C" w:rsidP="00F07677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right="219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tipos de políticas e planos poderiam reverter ou minimizar os efeitos da crise na aprendizagem dos estudantes, particularmente nas populações mais vulneráveis?</w:t>
      </w:r>
    </w:p>
    <w:p w:rsidR="00F4173C" w:rsidRPr="00F4173C" w:rsidRDefault="00F4173C" w:rsidP="00F07677">
      <w:pPr>
        <w:numPr>
          <w:ilvl w:val="0"/>
          <w:numId w:val="19"/>
        </w:numPr>
        <w:tabs>
          <w:tab w:val="left" w:pos="360"/>
          <w:tab w:val="left" w:pos="720"/>
          <w:tab w:val="left" w:pos="1440"/>
          <w:tab w:val="left" w:pos="2160"/>
          <w:tab w:val="left" w:pos="2880"/>
        </w:tabs>
        <w:ind w:hanging="720"/>
        <w:jc w:val="both"/>
        <w:textAlignment w:val="baseline"/>
        <w:rPr>
          <w:color w:val="000000"/>
          <w:sz w:val="22"/>
          <w:szCs w:val="22"/>
          <w:lang w:val="es-ES"/>
        </w:rPr>
      </w:pPr>
      <w:r w:rsidRPr="00F4173C">
        <w:rPr>
          <w:sz w:val="22"/>
          <w:szCs w:val="22"/>
        </w:rPr>
        <w:lastRenderedPageBreak/>
        <w:t xml:space="preserve">Que medidas podem ser tomadas para reduzir a disparidade digital e tecnológica e garantir a inclusão? </w:t>
      </w:r>
      <w:r w:rsidRPr="00F4173C">
        <w:rPr>
          <w:sz w:val="22"/>
          <w:szCs w:val="22"/>
          <w:lang w:val="es-ES"/>
        </w:rPr>
        <w:t>(políticas públicas, envolvimento do setor privado, reforma administrativa, etc.)?</w:t>
      </w:r>
    </w:p>
    <w:p w:rsidR="00F4173C" w:rsidRPr="00F4173C" w:rsidRDefault="00F4173C" w:rsidP="00F07677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right="214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Quais são as abordagens de maior sucesso para integrar tecnologias educacionais e preparar alunos e professores nesse contexto?</w:t>
      </w:r>
    </w:p>
    <w:p w:rsidR="00F4173C" w:rsidRPr="00F4173C" w:rsidRDefault="00F4173C" w:rsidP="00F07677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right="215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Qual é o lado bom desta situação? (ímpeto para expandir o acesso à internet e modernizar os sistemas educativos, outros)?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b/>
          <w:color w:val="000000"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Subtema: Como enfrentar a insegurança alimentar e nutricional nas Américas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Data provisória: 25 de agosto.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A sessão examinará alguns dos seguintes assuntos/questões:</w:t>
      </w:r>
    </w:p>
    <w:p w:rsidR="00F07677" w:rsidRPr="00F4173C" w:rsidRDefault="00F07677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6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O que a pandemia demonstrou sobre a gravidade da crise de insegurança alimentar e nutricional nas Américas?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5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ações podem ser tomadas pelos governos para salvaguardar a segurança alimentar, particularmente para as famílias mais pobres da região?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23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Quais são as melhores práticas em termos de políticas e estratégias que estão sendo empregadas para enfrentar os desafios da segurança alimentar?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Resiliência econômica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Subtema: Inovação e tecnologia para a resiliência econômica.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Data provisória: 17 de novembro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A sessão examinará alguns dos seguintes assuntos/questões: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20" w:hanging="810"/>
        <w:jc w:val="both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ações podem ser tomadas para diversificar a base econômica dos Estados membros (economia azul, verde e laranja)?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7" w:hanging="810"/>
        <w:jc w:val="both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Como as empresas podem ser ajudadas a entender suas vulnerabilidades — que incluem a cadeia de suprimentos — diante de rupturas e a tomar as medidas necessárias para retomar as operações após um evento?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4" w:hanging="810"/>
        <w:jc w:val="both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abordagens inovadoras podem ser adotadas para impulsionar o desenvolvimento da força de trabalho, o investimento em tecnologia, o apoio aos empreendedores locais e a expansão dos ativos econômicos tradicionais?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21" w:hanging="810"/>
        <w:jc w:val="both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tecnologias transformacionais chave são necessárias para apoiar a implementação de uma agenda de construção de resiliência?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9" w:hanging="810"/>
        <w:jc w:val="both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políticas, estratégias e competências orientadas ao emprego podem ajudar a construir uma força de trabalho resiliente que possa mudar melhor entre empregos ou setores quando sua atividade principal estiver ameaçada por choques internos e externos?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6" w:hanging="810"/>
        <w:jc w:val="both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papel a OEA pode desempenhar no fortalecimento e na melhoria da infraestrutura da metrologia nas Américas?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7" w:hanging="810"/>
        <w:jc w:val="both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papel a OEA pode desempenhar no aproveitamento dos ativos peculiares e dos pontos fortes competitivos da região, auxiliando as empresas na recuperação econômica pós-ruptura?</w:t>
      </w:r>
    </w:p>
    <w:p w:rsid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07677" w:rsidRPr="00F4173C" w:rsidRDefault="00F07677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lastRenderedPageBreak/>
        <w:t>Resiliência ambiental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Subtema: Como voltar melhor depois da reconstrução: A chave para uma recuperação resiliente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Data provisória: 29 de setembro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07677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A sessão examinará alguns dos seguintes assuntos/questões: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políticas regulatórias são cruciais para a resiliência econômica, social e ambiental?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Como a ciência e a tecnologia podem apoiar a tomada de decisões sobre a resiliência ambiental?</w:t>
      </w:r>
    </w:p>
    <w:p w:rsidR="00F4173C" w:rsidRPr="00F4173C" w:rsidRDefault="00F4173C" w:rsidP="00F07677">
      <w:pPr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ind w:left="1440" w:hanging="720"/>
        <w:jc w:val="both"/>
        <w:textAlignment w:val="baseline"/>
        <w:rPr>
          <w:color w:val="000000"/>
          <w:sz w:val="22"/>
          <w:szCs w:val="22"/>
        </w:rPr>
      </w:pPr>
      <w:r w:rsidRPr="00F4173C">
        <w:rPr>
          <w:sz w:val="22"/>
          <w:szCs w:val="22"/>
        </w:rPr>
        <w:t>Que informações, dados e/ou obstáculos precisam ser tratados primeiro a fim de aumentar a resiliência da região a desastres</w:t>
      </w:r>
      <w:r w:rsidRPr="00F4173C">
        <w:rPr>
          <w:rFonts w:eastAsia="PMingLiU"/>
          <w:color w:val="000000"/>
          <w:sz w:val="22"/>
          <w:szCs w:val="22"/>
        </w:rPr>
        <w:t>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Como garantir que as políticas de crescimento econômico não prejudiquem a qualidade ambiental?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432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Que estratégias podem ser adotadas pelos Estados membros para promover uma infraestrutura energética resiliente e incentivar investimentos em infraestrutura verde?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6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Como medimos e construímos resiliência contra desastres em comunidades e lares enquanto lidamos com níveis crescentes de incerteza?</w:t>
      </w:r>
    </w:p>
    <w:p w:rsidR="00F4173C" w:rsidRPr="00F4173C" w:rsidRDefault="00F4173C" w:rsidP="00F07677">
      <w:pPr>
        <w:widowControl w:val="0"/>
        <w:numPr>
          <w:ilvl w:val="0"/>
          <w:numId w:val="16"/>
        </w:numPr>
        <w:tabs>
          <w:tab w:val="clear" w:pos="360"/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20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Como os cidadãos podem ser capacitados para obter uma compreensão mais completa dos riscos que enfrentam? Melhores práticas em abordagens que englobem toda a comunidade na construção da resiliência.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textAlignment w:val="baseline"/>
        <w:rPr>
          <w:rFonts w:eastAsia="PMingLiU"/>
          <w:b/>
          <w:i/>
          <w:color w:val="000000"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Alavancagem de parcerias e cooperação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Subtema: Parcerias público-privadas e cooperação para a resiliência.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i/>
          <w:sz w:val="22"/>
          <w:szCs w:val="22"/>
        </w:rPr>
      </w:pPr>
      <w:r w:rsidRPr="00F4173C">
        <w:rPr>
          <w:i/>
          <w:sz w:val="22"/>
          <w:szCs w:val="22"/>
        </w:rPr>
        <w:t>Data provisória: 8 de dezembro Membros Observadores.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i/>
          <w:sz w:val="22"/>
          <w:szCs w:val="22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  <w:r w:rsidRPr="00F4173C">
        <w:rPr>
          <w:bCs/>
          <w:sz w:val="22"/>
          <w:szCs w:val="22"/>
        </w:rPr>
        <w:t>A sessão examinará alguns dos seguintes assuntos/questões: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4173C" w:rsidP="00F07677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right="219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Cooperação: Troca de experiências, lições aprendidas e boas práticas para a construção da resiliência nas suas três dimensões: econômica, social e ambiental</w:t>
      </w:r>
    </w:p>
    <w:p w:rsidR="00F4173C" w:rsidRPr="00F4173C" w:rsidRDefault="00F4173C" w:rsidP="00F07677">
      <w:pPr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1440" w:hanging="720"/>
        <w:rPr>
          <w:rFonts w:eastAsia="Calibri"/>
          <w:sz w:val="22"/>
          <w:szCs w:val="22"/>
        </w:rPr>
      </w:pPr>
      <w:r w:rsidRPr="00F4173C">
        <w:rPr>
          <w:rFonts w:eastAsia="Calibri"/>
          <w:sz w:val="22"/>
          <w:szCs w:val="22"/>
        </w:rPr>
        <w:t>Quais são as oportunidades de financiamento, cooperação e parceria disponíveis para a construção de resiliência?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07677" w:rsidRDefault="00F4173C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/>
          <w:bCs/>
          <w:sz w:val="22"/>
          <w:szCs w:val="22"/>
        </w:rPr>
      </w:pPr>
      <w:r w:rsidRPr="00F4173C">
        <w:rPr>
          <w:b/>
          <w:bCs/>
          <w:sz w:val="22"/>
          <w:szCs w:val="22"/>
        </w:rPr>
        <w:t>Calendário provisório das reuniões do CIDI:</w:t>
      </w:r>
    </w:p>
    <w:p w:rsidR="00F07677" w:rsidRPr="00F4173C" w:rsidRDefault="00F07677" w:rsidP="00F4173C">
      <w:pPr>
        <w:keepNext/>
        <w:tabs>
          <w:tab w:val="left" w:pos="720"/>
          <w:tab w:val="left" w:pos="1440"/>
          <w:tab w:val="left" w:pos="2160"/>
          <w:tab w:val="left" w:pos="2880"/>
        </w:tabs>
        <w:outlineLvl w:val="0"/>
        <w:rPr>
          <w:bCs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700"/>
        <w:gridCol w:w="4952"/>
      </w:tblGrid>
      <w:tr w:rsidR="00F4173C" w:rsidRPr="00F4173C" w:rsidTr="008B566E">
        <w:trPr>
          <w:trHeight w:val="506"/>
        </w:trPr>
        <w:tc>
          <w:tcPr>
            <w:tcW w:w="1795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F4173C">
              <w:rPr>
                <w:b/>
                <w:sz w:val="22"/>
                <w:szCs w:val="22"/>
              </w:rPr>
              <w:t>Datas provisórias</w:t>
            </w:r>
          </w:p>
        </w:tc>
        <w:tc>
          <w:tcPr>
            <w:tcW w:w="2700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F4173C">
              <w:rPr>
                <w:b/>
                <w:sz w:val="22"/>
                <w:szCs w:val="22"/>
              </w:rPr>
              <w:t>Temas</w:t>
            </w:r>
          </w:p>
        </w:tc>
        <w:tc>
          <w:tcPr>
            <w:tcW w:w="4952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b/>
                <w:sz w:val="22"/>
                <w:szCs w:val="22"/>
              </w:rPr>
            </w:pPr>
            <w:r w:rsidRPr="00F4173C">
              <w:rPr>
                <w:b/>
                <w:sz w:val="22"/>
                <w:szCs w:val="22"/>
              </w:rPr>
              <w:t>Subtemas</w:t>
            </w:r>
          </w:p>
        </w:tc>
      </w:tr>
      <w:tr w:rsidR="00F4173C" w:rsidRPr="00F4173C" w:rsidTr="008B566E">
        <w:trPr>
          <w:trHeight w:val="506"/>
        </w:trPr>
        <w:tc>
          <w:tcPr>
            <w:tcW w:w="1795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28 de julho</w:t>
            </w:r>
          </w:p>
        </w:tc>
        <w:tc>
          <w:tcPr>
            <w:tcW w:w="2700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Resiliência social</w:t>
            </w:r>
          </w:p>
        </w:tc>
        <w:tc>
          <w:tcPr>
            <w:tcW w:w="4952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O reequipamento da educação em um ambiente pós-covid</w:t>
            </w:r>
          </w:p>
        </w:tc>
      </w:tr>
      <w:tr w:rsidR="00F4173C" w:rsidRPr="00F4173C" w:rsidTr="008B566E">
        <w:trPr>
          <w:trHeight w:val="505"/>
        </w:trPr>
        <w:tc>
          <w:tcPr>
            <w:tcW w:w="1795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25 de agosto</w:t>
            </w:r>
          </w:p>
        </w:tc>
        <w:tc>
          <w:tcPr>
            <w:tcW w:w="2700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Resiliência social</w:t>
            </w:r>
          </w:p>
        </w:tc>
        <w:tc>
          <w:tcPr>
            <w:tcW w:w="4952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Como enfrentar a insegurança alimentar e nutricional nas Américas</w:t>
            </w:r>
          </w:p>
        </w:tc>
      </w:tr>
      <w:tr w:rsidR="00F4173C" w:rsidRPr="00F4173C" w:rsidTr="008B566E">
        <w:trPr>
          <w:trHeight w:val="506"/>
        </w:trPr>
        <w:tc>
          <w:tcPr>
            <w:tcW w:w="1795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29 de setembro</w:t>
            </w:r>
          </w:p>
        </w:tc>
        <w:tc>
          <w:tcPr>
            <w:tcW w:w="2700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Resiliência ambiental</w:t>
            </w:r>
          </w:p>
        </w:tc>
        <w:tc>
          <w:tcPr>
            <w:tcW w:w="4952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Como voltar melhor depois da reconstrução: A chave para uma recuperação resiliente</w:t>
            </w:r>
          </w:p>
        </w:tc>
      </w:tr>
      <w:tr w:rsidR="00F4173C" w:rsidRPr="00F4173C" w:rsidTr="008B566E">
        <w:trPr>
          <w:trHeight w:val="506"/>
        </w:trPr>
        <w:tc>
          <w:tcPr>
            <w:tcW w:w="1795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22 de outubro</w:t>
            </w:r>
          </w:p>
        </w:tc>
        <w:tc>
          <w:tcPr>
            <w:tcW w:w="7652" w:type="dxa"/>
            <w:gridSpan w:val="2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(Procedimentos do CIDI em preparação para a Assembleia Geral da OEA)</w:t>
            </w:r>
          </w:p>
        </w:tc>
      </w:tr>
      <w:tr w:rsidR="00F4173C" w:rsidRPr="00F4173C" w:rsidTr="008B566E">
        <w:trPr>
          <w:trHeight w:val="505"/>
        </w:trPr>
        <w:tc>
          <w:tcPr>
            <w:tcW w:w="1795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lastRenderedPageBreak/>
              <w:t>17 de novembro</w:t>
            </w:r>
          </w:p>
        </w:tc>
        <w:tc>
          <w:tcPr>
            <w:tcW w:w="2700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Resiliência econômica</w:t>
            </w:r>
          </w:p>
        </w:tc>
        <w:tc>
          <w:tcPr>
            <w:tcW w:w="4952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Inovação e tecnologia para a construção de resiliência</w:t>
            </w:r>
          </w:p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econômica</w:t>
            </w:r>
          </w:p>
        </w:tc>
      </w:tr>
      <w:tr w:rsidR="00F4173C" w:rsidRPr="00F4173C" w:rsidTr="008B566E">
        <w:trPr>
          <w:trHeight w:val="506"/>
        </w:trPr>
        <w:tc>
          <w:tcPr>
            <w:tcW w:w="1795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8 de dezembro</w:t>
            </w:r>
          </w:p>
        </w:tc>
        <w:tc>
          <w:tcPr>
            <w:tcW w:w="2700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Alavancagem de Parcerias</w:t>
            </w:r>
          </w:p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e Cooperação</w:t>
            </w:r>
          </w:p>
        </w:tc>
        <w:tc>
          <w:tcPr>
            <w:tcW w:w="4952" w:type="dxa"/>
          </w:tcPr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Parcerias público-privadas e cooperação para a</w:t>
            </w:r>
          </w:p>
          <w:p w:rsidR="00F4173C" w:rsidRPr="00F4173C" w:rsidRDefault="00F4173C" w:rsidP="00F4173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rPr>
                <w:sz w:val="22"/>
                <w:szCs w:val="22"/>
              </w:rPr>
            </w:pPr>
            <w:r w:rsidRPr="00F4173C">
              <w:rPr>
                <w:sz w:val="22"/>
                <w:szCs w:val="22"/>
              </w:rPr>
              <w:t>resiliência</w:t>
            </w:r>
          </w:p>
        </w:tc>
      </w:tr>
    </w:tbl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rFonts w:eastAsia="PMingLiU"/>
          <w:sz w:val="22"/>
          <w:szCs w:val="22"/>
          <w:lang w:val="es-ES"/>
        </w:rPr>
      </w:pP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rPr>
          <w:rFonts w:eastAsia="PMingLiU"/>
          <w:b/>
          <w:sz w:val="22"/>
          <w:szCs w:val="22"/>
          <w:lang w:val="es-ES"/>
        </w:rPr>
      </w:pPr>
    </w:p>
    <w:p w:rsidR="00F4173C" w:rsidRPr="00F4173C" w:rsidRDefault="00F4173C" w:rsidP="00F07677">
      <w:pPr>
        <w:widowControl w:val="0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ind w:left="0" w:firstLine="0"/>
        <w:rPr>
          <w:rFonts w:eastAsia="Calibri"/>
          <w:sz w:val="22"/>
          <w:szCs w:val="22"/>
        </w:rPr>
      </w:pPr>
      <w:r w:rsidRPr="00F4173C">
        <w:rPr>
          <w:rFonts w:eastAsia="Calibri"/>
          <w:b/>
          <w:sz w:val="22"/>
          <w:szCs w:val="22"/>
        </w:rPr>
        <w:t>RELEVÂNCIA PARA OS MANDATOS DA OEA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07677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A Carta da OEA encarrega o CIDI de promover a cooperação entre os Estados membros da Organização, a fim de alcançar o desenvolvimento integral e, em particular, ajudar a eliminar a pobreza extrema. A Carta também orienta o CIDI a “promover, coordenar e encomendar a execução de programas e projetos de desenvolvimento aos órgãos subsidiários e organismos correspondentes, com base nas prioridades determinadas pelos Estados membros, em áreas tais como a de desenvolvimento econômico e social, inclusive o comércio, o turismo, a integração e o meio ambiente”. A OEA tem uma longa história de promoção de parcerias para o desenvolvimento nas Américas e tem servido como catalisadora do desenvolvimento integrado, sustentável, resiliente e inclusivo na região.</w:t>
      </w:r>
    </w:p>
    <w:p w:rsidR="00F4173C" w:rsidRPr="00F4173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72"/>
        <w:jc w:val="both"/>
        <w:textAlignment w:val="baseline"/>
        <w:rPr>
          <w:rFonts w:eastAsia="PMingLiU"/>
          <w:color w:val="000000"/>
          <w:sz w:val="22"/>
          <w:szCs w:val="22"/>
        </w:rPr>
      </w:pPr>
    </w:p>
    <w:p w:rsidR="00F4173C" w:rsidRPr="00F4173C" w:rsidRDefault="00F07677" w:rsidP="00F4173C">
      <w:pPr>
        <w:tabs>
          <w:tab w:val="left" w:pos="720"/>
          <w:tab w:val="left" w:pos="1440"/>
          <w:tab w:val="left" w:pos="2160"/>
          <w:tab w:val="left" w:pos="2880"/>
        </w:tabs>
        <w:ind w:right="21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>O Programa Interamericano de Desenvolvimento Sustentável (PIDS) encarrega a SG/OEA de colaborar com os Estados membros e fazer a coordenação com outras entidades e organizações internacionais a fim de ajudar a cumprir a Agenda 2030 para o Desenvolvimento Sustentável e seus Objetivos. Além disso, o Secretário-Geral da OEA emitiu uma ordem executiva para que a Agenda seja incorporada aos programas e atividades da Secretaria-Geral.</w:t>
      </w:r>
    </w:p>
    <w:p w:rsidR="00F4173C" w:rsidRPr="00F4173C" w:rsidRDefault="00F4173C" w:rsidP="00F07677">
      <w:pPr>
        <w:tabs>
          <w:tab w:val="left" w:pos="720"/>
          <w:tab w:val="left" w:pos="1440"/>
          <w:tab w:val="left" w:pos="2160"/>
          <w:tab w:val="left" w:pos="2880"/>
        </w:tabs>
        <w:rPr>
          <w:bCs/>
          <w:sz w:val="22"/>
          <w:szCs w:val="22"/>
        </w:rPr>
      </w:pPr>
    </w:p>
    <w:p w:rsidR="00F4173C" w:rsidRPr="00F4173C" w:rsidRDefault="00F07677" w:rsidP="00F4173C">
      <w:pPr>
        <w:tabs>
          <w:tab w:val="left" w:pos="720"/>
          <w:tab w:val="left" w:pos="1440"/>
          <w:tab w:val="left" w:pos="2160"/>
          <w:tab w:val="left" w:pos="2880"/>
        </w:tabs>
        <w:ind w:right="2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4173C" w:rsidRPr="00F4173C">
        <w:rPr>
          <w:bCs/>
          <w:sz w:val="22"/>
          <w:szCs w:val="22"/>
        </w:rPr>
        <w:t xml:space="preserve">Considerando que todos os Estados membros e parceiros de desenvolvimento da OEA continuam concentrados no cumprimento da Agenda 2030 — ao mesmo tempo em que enfrentam os desafios impostos pela pandemia de </w:t>
      </w:r>
      <w:r>
        <w:rPr>
          <w:bCs/>
          <w:sz w:val="22"/>
          <w:szCs w:val="22"/>
        </w:rPr>
        <w:t>COVID</w:t>
      </w:r>
      <w:r w:rsidR="00F4173C" w:rsidRPr="00F4173C">
        <w:rPr>
          <w:bCs/>
          <w:sz w:val="22"/>
          <w:szCs w:val="22"/>
        </w:rPr>
        <w:t>-19 — este é um momento oportuno para que a OEA adote uma abordagem coerente no atendimento das necessidades de resiliência de seus Estados membros por meio do uso de seus mecanismos de cooperação para o desenvolvimento.</w:t>
      </w:r>
    </w:p>
    <w:p w:rsidR="00F4173C" w:rsidRPr="00F30C0C" w:rsidRDefault="00F4173C" w:rsidP="00F4173C">
      <w:pPr>
        <w:tabs>
          <w:tab w:val="left" w:pos="720"/>
          <w:tab w:val="left" w:pos="1440"/>
          <w:tab w:val="left" w:pos="2160"/>
          <w:tab w:val="left" w:pos="2880"/>
        </w:tabs>
        <w:ind w:right="72"/>
        <w:jc w:val="both"/>
        <w:textAlignment w:val="baseline"/>
        <w:rPr>
          <w:color w:val="000000"/>
          <w:sz w:val="22"/>
          <w:szCs w:val="22"/>
        </w:rPr>
      </w:pPr>
    </w:p>
    <w:p w:rsidR="00FB2A63" w:rsidRPr="00F4173C" w:rsidRDefault="00F07677" w:rsidP="00F4173C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677" w:rsidRPr="00F07677" w:rsidRDefault="00F076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:rsidR="00F07677" w:rsidRPr="00F07677" w:rsidRDefault="00F076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2A63" w:rsidRPr="00F4173C" w:rsidSect="00F4173C">
      <w:headerReference w:type="first" r:id="rId11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5E" w:rsidRDefault="00395B5E">
      <w:r>
        <w:separator/>
      </w:r>
    </w:p>
  </w:endnote>
  <w:endnote w:type="continuationSeparator" w:id="0">
    <w:p w:rsidR="00395B5E" w:rsidRDefault="0039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5E" w:rsidRDefault="00395B5E">
      <w:r>
        <w:separator/>
      </w:r>
    </w:p>
  </w:footnote>
  <w:footnote w:type="continuationSeparator" w:id="0">
    <w:p w:rsidR="00395B5E" w:rsidRDefault="00395B5E">
      <w:r>
        <w:continuationSeparator/>
      </w:r>
    </w:p>
  </w:footnote>
  <w:footnote w:id="1">
    <w:p w:rsidR="00F4173C" w:rsidRPr="00830927" w:rsidRDefault="00F4173C" w:rsidP="00F4173C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rFonts w:eastAsia="PMingLiU"/>
        </w:rPr>
      </w:pPr>
      <w:r w:rsidRPr="00830927">
        <w:rPr>
          <w:rStyle w:val="FootnoteReference"/>
          <w:vertAlign w:val="baseline"/>
        </w:rPr>
        <w:footnoteRef/>
      </w:r>
      <w:r w:rsidRPr="00830927">
        <w:t>.</w:t>
      </w:r>
      <w:r w:rsidRPr="00830927">
        <w:tab/>
        <w:t>Comissão Mundial sobre Meio Ambiente e Desenvolvimento: Nosso Futuro Comum, 1987</w:t>
      </w:r>
      <w:r w:rsidRPr="00830927">
        <w:rPr>
          <w:color w:val="000000"/>
        </w:rPr>
        <w:t>.</w:t>
      </w:r>
    </w:p>
  </w:footnote>
  <w:footnote w:id="2">
    <w:p w:rsidR="00F4173C" w:rsidRPr="00830927" w:rsidRDefault="00F4173C" w:rsidP="00F4173C">
      <w:pPr>
        <w:pStyle w:val="FootnoteText"/>
        <w:ind w:left="720" w:hanging="360"/>
        <w:rPr>
          <w:lang w:val="en-US"/>
        </w:rPr>
      </w:pPr>
      <w:r w:rsidRPr="00830927">
        <w:rPr>
          <w:rStyle w:val="FootnoteReference"/>
          <w:vertAlign w:val="baseline"/>
        </w:rPr>
        <w:footnoteRef/>
      </w:r>
      <w:r w:rsidRPr="00830927">
        <w:t xml:space="preserve"> .</w:t>
      </w:r>
      <w:r w:rsidRPr="00830927">
        <w:tab/>
        <w:t xml:space="preserve">Escritório das Nações Unidas para a Coordenação de Assuntos Humanitários (OCHA). </w:t>
      </w:r>
      <w:hyperlink r:id="rId1">
        <w:r w:rsidRPr="00830927">
          <w:rPr>
            <w:color w:val="0462C1"/>
            <w:u w:val="single" w:color="0462C1"/>
            <w:lang w:val="en-US"/>
          </w:rPr>
          <w:t>Natural Disasters in Latin America and the</w:t>
        </w:r>
      </w:hyperlink>
      <w:r w:rsidRPr="00830927">
        <w:rPr>
          <w:color w:val="0462C1"/>
          <w:lang w:val="en-US"/>
        </w:rPr>
        <w:t xml:space="preserve"> </w:t>
      </w:r>
      <w:hyperlink r:id="rId2">
        <w:r w:rsidRPr="00830927">
          <w:rPr>
            <w:color w:val="0462C1"/>
            <w:u w:val="single" w:color="0462C1"/>
            <w:lang w:val="en-US"/>
          </w:rPr>
          <w:t>Caribbean, 2000-2019</w:t>
        </w:r>
      </w:hyperlink>
      <w:r w:rsidRPr="00830927">
        <w:rPr>
          <w:color w:val="0462C1"/>
          <w:lang w:val="en-US"/>
        </w:rPr>
        <w:t xml:space="preserve"> </w:t>
      </w:r>
      <w:r w:rsidRPr="00830927">
        <w:rPr>
          <w:lang w:val="en-US"/>
        </w:rPr>
        <w:t>(janeiro de 2020)</w:t>
      </w:r>
    </w:p>
  </w:footnote>
  <w:footnote w:id="3">
    <w:p w:rsidR="00F4173C" w:rsidRPr="00830927" w:rsidRDefault="00F4173C" w:rsidP="00F4173C">
      <w:pPr>
        <w:ind w:left="720" w:hanging="360"/>
        <w:textAlignment w:val="baseline"/>
        <w:rPr>
          <w:color w:val="000000"/>
        </w:rPr>
      </w:pPr>
      <w:r w:rsidRPr="00830927">
        <w:rPr>
          <w:rStyle w:val="FootnoteReference"/>
          <w:vertAlign w:val="baseline"/>
        </w:rPr>
        <w:footnoteRef/>
      </w:r>
      <w:r w:rsidRPr="00830927">
        <w:t>.</w:t>
      </w:r>
      <w:r w:rsidRPr="00830927">
        <w:tab/>
        <w:t>Aprovado na Terceira Conferência Mundial da ONU sobre Redução do Risco de Desastres, em Sendai, Japão, em 18 de março de 2015</w:t>
      </w:r>
      <w:r w:rsidRPr="00830927">
        <w:rPr>
          <w:color w:val="000000"/>
        </w:rPr>
        <w:t>.</w:t>
      </w:r>
    </w:p>
  </w:footnote>
  <w:footnote w:id="4">
    <w:p w:rsidR="00F4173C" w:rsidRPr="00830927" w:rsidRDefault="00F4173C" w:rsidP="00F4173C">
      <w:pPr>
        <w:pStyle w:val="FootnoteText"/>
        <w:ind w:left="720" w:hanging="360"/>
        <w:rPr>
          <w:lang w:val="en-US"/>
        </w:rPr>
      </w:pPr>
      <w:r w:rsidRPr="00830927">
        <w:rPr>
          <w:rStyle w:val="FootnoteReference"/>
          <w:vertAlign w:val="baseline"/>
        </w:rPr>
        <w:footnoteRef/>
      </w:r>
      <w:r w:rsidRPr="00830927">
        <w:rPr>
          <w:lang w:val="en-US"/>
        </w:rPr>
        <w:t>.</w:t>
      </w:r>
      <w:r w:rsidRPr="00830927">
        <w:rPr>
          <w:lang w:val="en-US"/>
        </w:rPr>
        <w:tab/>
        <w:t xml:space="preserve">Banco Mundial. </w:t>
      </w:r>
      <w:hyperlink r:id="rId3">
        <w:r w:rsidRPr="00830927">
          <w:rPr>
            <w:color w:val="0462C1"/>
            <w:u w:val="single" w:color="0462C1"/>
            <w:lang w:val="en-US"/>
          </w:rPr>
          <w:t>Governance Global Practice</w:t>
        </w:r>
        <w:r w:rsidRPr="00830927">
          <w:rPr>
            <w:lang w:val="en-US"/>
          </w:rPr>
          <w:t>.</w:t>
        </w:r>
      </w:hyperlink>
      <w:r w:rsidRPr="00830927">
        <w:rPr>
          <w:color w:val="000000"/>
          <w:lang w:val="en-US"/>
        </w:rPr>
        <w:t>.</w:t>
      </w:r>
    </w:p>
  </w:footnote>
  <w:footnote w:id="5">
    <w:p w:rsidR="00F4173C" w:rsidRPr="00830927" w:rsidRDefault="00F4173C" w:rsidP="00F4173C">
      <w:pPr>
        <w:pStyle w:val="ListParagraph0"/>
        <w:widowControl w:val="0"/>
        <w:tabs>
          <w:tab w:val="left" w:pos="360"/>
        </w:tabs>
        <w:autoSpaceDE w:val="0"/>
        <w:autoSpaceDN w:val="0"/>
        <w:spacing w:line="223" w:lineRule="exact"/>
        <w:ind w:hanging="360"/>
        <w:rPr>
          <w:sz w:val="20"/>
          <w:szCs w:val="20"/>
          <w:lang w:val="en-US"/>
        </w:rPr>
      </w:pPr>
      <w:r w:rsidRPr="00830927">
        <w:rPr>
          <w:rStyle w:val="FootnoteReference"/>
          <w:sz w:val="20"/>
          <w:szCs w:val="20"/>
          <w:vertAlign w:val="baseline"/>
        </w:rPr>
        <w:footnoteRef/>
      </w:r>
      <w:r w:rsidRPr="00830927">
        <w:rPr>
          <w:sz w:val="20"/>
          <w:szCs w:val="20"/>
          <w:lang w:val="en-US"/>
        </w:rPr>
        <w:t>.</w:t>
      </w:r>
      <w:r w:rsidRPr="00830927">
        <w:rPr>
          <w:sz w:val="20"/>
          <w:szCs w:val="20"/>
          <w:lang w:val="en-US"/>
        </w:rPr>
        <w:tab/>
        <w:t>Paul, J, Hannah D, e Liu W, “Citizen Science: Reducing Risks and Building Resilience to Natural Disasters</w:t>
      </w:r>
    </w:p>
  </w:footnote>
  <w:footnote w:id="6">
    <w:p w:rsidR="00F4173C" w:rsidRPr="00F4173C" w:rsidRDefault="00F4173C" w:rsidP="00F4173C">
      <w:pPr>
        <w:pStyle w:val="FootnoteText"/>
        <w:ind w:left="720" w:hanging="360"/>
      </w:pPr>
      <w:r w:rsidRPr="00830927">
        <w:rPr>
          <w:rStyle w:val="FootnoteReference"/>
          <w:vertAlign w:val="baseline"/>
        </w:rPr>
        <w:footnoteRef/>
      </w:r>
      <w:r w:rsidRPr="00830927">
        <w:rPr>
          <w:lang w:val="en-US"/>
        </w:rPr>
        <w:t>.</w:t>
      </w:r>
      <w:r w:rsidRPr="00830927">
        <w:rPr>
          <w:lang w:val="en-US"/>
        </w:rPr>
        <w:tab/>
      </w:r>
      <w:r w:rsidRPr="00830927">
        <w:rPr>
          <w:sz w:val="22"/>
          <w:szCs w:val="22"/>
          <w:lang w:val="en-US"/>
        </w:rPr>
        <w:t xml:space="preserve">OCDE (junho de 2020). </w:t>
      </w:r>
      <w:hyperlink r:id="rId4">
        <w:r w:rsidRPr="00830927">
          <w:rPr>
            <w:color w:val="0462C1"/>
            <w:sz w:val="22"/>
            <w:szCs w:val="22"/>
            <w:u w:val="single" w:color="0462C1"/>
            <w:lang w:val="en-US"/>
          </w:rPr>
          <w:t>Is COVID-19 widening educational gaps in Latin America?</w:t>
        </w:r>
      </w:hyperlink>
      <w:hyperlink r:id="rId5">
        <w:r w:rsidRPr="00830927">
          <w:rPr>
            <w:color w:val="0462C1"/>
            <w:sz w:val="22"/>
            <w:szCs w:val="22"/>
            <w:u w:val="single" w:color="0462C1"/>
            <w:lang w:val="en-US"/>
          </w:rPr>
          <w:t xml:space="preserve"> </w:t>
        </w:r>
        <w:r w:rsidRPr="00830927">
          <w:rPr>
            <w:color w:val="0462C1"/>
            <w:sz w:val="22"/>
            <w:szCs w:val="22"/>
            <w:u w:val="single" w:color="0462C1"/>
          </w:rPr>
          <w:t>Three lessons for urgent policy action</w:t>
        </w:r>
        <w:r w:rsidRPr="00830927">
          <w:rPr>
            <w:sz w:val="22"/>
            <w:szCs w:val="22"/>
          </w:rPr>
          <w:t>.</w:t>
        </w:r>
      </w:hyperlink>
      <w:r w:rsidRPr="00F4173C">
        <w:rPr>
          <w:color w:val="000000"/>
        </w:rPr>
        <w:t>.</w:t>
      </w:r>
    </w:p>
  </w:footnote>
  <w:footnote w:id="7">
    <w:p w:rsidR="00F4173C" w:rsidRPr="00830927" w:rsidRDefault="00F4173C" w:rsidP="00F4173C">
      <w:pPr>
        <w:pStyle w:val="FootnoteText"/>
        <w:ind w:left="720" w:hanging="360"/>
        <w:rPr>
          <w:lang w:val="en-US"/>
        </w:rPr>
      </w:pPr>
      <w:r w:rsidRPr="00830927">
        <w:rPr>
          <w:rStyle w:val="FootnoteReference"/>
          <w:vertAlign w:val="baseline"/>
        </w:rPr>
        <w:footnoteRef/>
      </w:r>
      <w:r w:rsidRPr="00830927">
        <w:t>.</w:t>
      </w:r>
      <w:r w:rsidRPr="00830927">
        <w:tab/>
      </w:r>
      <w:r w:rsidRPr="00830927">
        <w:rPr>
          <w:sz w:val="22"/>
          <w:szCs w:val="22"/>
        </w:rPr>
        <w:t xml:space="preserve">Banco Interamericano de Desenvolvimento (BID) (junho de 2020). </w:t>
      </w:r>
      <w:hyperlink r:id="rId6">
        <w:r w:rsidRPr="00830927">
          <w:rPr>
            <w:color w:val="0462C1"/>
            <w:sz w:val="22"/>
            <w:szCs w:val="22"/>
            <w:u w:val="single" w:color="0462C1"/>
            <w:lang w:val="en-US"/>
          </w:rPr>
          <w:t>Ensuring food security in LAC:</w:t>
        </w:r>
      </w:hyperlink>
      <w:hyperlink r:id="rId7">
        <w:r w:rsidRPr="00830927">
          <w:rPr>
            <w:color w:val="0462C1"/>
            <w:sz w:val="22"/>
            <w:szCs w:val="22"/>
            <w:u w:val="single" w:color="0462C1"/>
            <w:lang w:val="en-US"/>
          </w:rPr>
          <w:t xml:space="preserve"> Challenges and interventions in the</w:t>
        </w:r>
      </w:hyperlink>
      <w:r w:rsidRPr="00830927">
        <w:rPr>
          <w:color w:val="0462C1"/>
          <w:sz w:val="22"/>
          <w:szCs w:val="22"/>
          <w:lang w:val="en-US"/>
        </w:rPr>
        <w:t xml:space="preserve"> </w:t>
      </w:r>
      <w:hyperlink r:id="rId8">
        <w:r w:rsidRPr="00830927">
          <w:rPr>
            <w:color w:val="0462C1"/>
            <w:sz w:val="22"/>
            <w:szCs w:val="22"/>
            <w:u w:val="single" w:color="0462C1"/>
            <w:lang w:val="en-US"/>
          </w:rPr>
          <w:t>context of Covid-19</w:t>
        </w:r>
        <w:r w:rsidRPr="00830927">
          <w:rPr>
            <w:sz w:val="22"/>
            <w:szCs w:val="22"/>
            <w:lang w:val="en-US"/>
          </w:rPr>
          <w:t>.</w:t>
        </w:r>
      </w:hyperlink>
      <w:r w:rsidRPr="00830927">
        <w:rPr>
          <w:color w:val="00000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7512BD">
      <w:rPr>
        <w:noProof/>
        <w:sz w:val="22"/>
      </w:rPr>
      <w:t>- 10 -</w:t>
    </w:r>
    <w:r w:rsidRPr="009C75F5">
      <w:rPr>
        <w:sz w:val="22"/>
      </w:rPr>
      <w:fldChar w:fldCharType="end"/>
    </w:r>
  </w:p>
  <w:p w:rsidR="002C18D1" w:rsidRDefault="002C18D1"/>
  <w:p w:rsidR="002C18D1" w:rsidRDefault="002C18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E" w:rsidRDefault="00FB2A6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8BED99" wp14:editId="4E26ED4F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921E9E" w:rsidRPr="00133A15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" stroked="f">
              <v:textbox>
                <w:txbxContent>
                  <w:p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921E9E" w:rsidRPr="00133A15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6ACABD" wp14:editId="09F082BD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07FEBCE1" wp14:editId="52A0BB69">
                                <wp:extent cx="1102995" cy="775335"/>
                                <wp:effectExtent l="0" t="0" r="0" b="0"/>
                                <wp:docPr id="1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07FEBCE1" wp14:editId="52A0BB69">
                          <wp:extent cx="1102995" cy="775335"/>
                          <wp:effectExtent l="0" t="0" r="0" b="0"/>
                          <wp:docPr id="1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AD44A79" wp14:editId="6D39FE8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3C" w:rsidRDefault="00F4173C">
    <w:pPr>
      <w:pStyle w:val="Header"/>
    </w:pPr>
  </w:p>
  <w:p w:rsidR="00F4173C" w:rsidRDefault="00F41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570"/>
    <w:multiLevelType w:val="hybridMultilevel"/>
    <w:tmpl w:val="16BEEAE6"/>
    <w:lvl w:ilvl="0" w:tplc="526080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1850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1AD2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A86F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6248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5C1C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6AF9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9E3A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B0C48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C1E2C"/>
    <w:multiLevelType w:val="hybridMultilevel"/>
    <w:tmpl w:val="5130FCDA"/>
    <w:lvl w:ilvl="0" w:tplc="A24A61CA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25C"/>
    <w:multiLevelType w:val="hybridMultilevel"/>
    <w:tmpl w:val="A4A2555C"/>
    <w:lvl w:ilvl="0" w:tplc="38C67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E56"/>
    <w:multiLevelType w:val="hybridMultilevel"/>
    <w:tmpl w:val="64EE68C2"/>
    <w:lvl w:ilvl="0" w:tplc="5B704B7A">
      <w:start w:val="5"/>
      <w:numFmt w:val="decimal"/>
      <w:lvlText w:val="%1"/>
      <w:lvlJc w:val="left"/>
      <w:pPr>
        <w:ind w:left="215" w:hanging="116"/>
        <w:jc w:val="left"/>
      </w:pPr>
      <w:rPr>
        <w:rFonts w:hint="default"/>
        <w:w w:val="99"/>
        <w:position w:val="7"/>
        <w:lang w:val="en-US" w:eastAsia="en-US" w:bidi="ar-SA"/>
      </w:rPr>
    </w:lvl>
    <w:lvl w:ilvl="1" w:tplc="EC725B98">
      <w:numFmt w:val="bullet"/>
      <w:lvlText w:val="•"/>
      <w:lvlJc w:val="left"/>
      <w:pPr>
        <w:ind w:left="1166" w:hanging="116"/>
      </w:pPr>
      <w:rPr>
        <w:rFonts w:hint="default"/>
        <w:lang w:val="en-US" w:eastAsia="en-US" w:bidi="ar-SA"/>
      </w:rPr>
    </w:lvl>
    <w:lvl w:ilvl="2" w:tplc="38DCE20C">
      <w:numFmt w:val="bullet"/>
      <w:lvlText w:val="•"/>
      <w:lvlJc w:val="left"/>
      <w:pPr>
        <w:ind w:left="2112" w:hanging="116"/>
      </w:pPr>
      <w:rPr>
        <w:rFonts w:hint="default"/>
        <w:lang w:val="en-US" w:eastAsia="en-US" w:bidi="ar-SA"/>
      </w:rPr>
    </w:lvl>
    <w:lvl w:ilvl="3" w:tplc="61009568">
      <w:numFmt w:val="bullet"/>
      <w:lvlText w:val="•"/>
      <w:lvlJc w:val="left"/>
      <w:pPr>
        <w:ind w:left="3058" w:hanging="116"/>
      </w:pPr>
      <w:rPr>
        <w:rFonts w:hint="default"/>
        <w:lang w:val="en-US" w:eastAsia="en-US" w:bidi="ar-SA"/>
      </w:rPr>
    </w:lvl>
    <w:lvl w:ilvl="4" w:tplc="216482C0">
      <w:numFmt w:val="bullet"/>
      <w:lvlText w:val="•"/>
      <w:lvlJc w:val="left"/>
      <w:pPr>
        <w:ind w:left="4004" w:hanging="116"/>
      </w:pPr>
      <w:rPr>
        <w:rFonts w:hint="default"/>
        <w:lang w:val="en-US" w:eastAsia="en-US" w:bidi="ar-SA"/>
      </w:rPr>
    </w:lvl>
    <w:lvl w:ilvl="5" w:tplc="A500A390">
      <w:numFmt w:val="bullet"/>
      <w:lvlText w:val="•"/>
      <w:lvlJc w:val="left"/>
      <w:pPr>
        <w:ind w:left="4950" w:hanging="116"/>
      </w:pPr>
      <w:rPr>
        <w:rFonts w:hint="default"/>
        <w:lang w:val="en-US" w:eastAsia="en-US" w:bidi="ar-SA"/>
      </w:rPr>
    </w:lvl>
    <w:lvl w:ilvl="6" w:tplc="4A7E5122">
      <w:numFmt w:val="bullet"/>
      <w:lvlText w:val="•"/>
      <w:lvlJc w:val="left"/>
      <w:pPr>
        <w:ind w:left="5896" w:hanging="116"/>
      </w:pPr>
      <w:rPr>
        <w:rFonts w:hint="default"/>
        <w:lang w:val="en-US" w:eastAsia="en-US" w:bidi="ar-SA"/>
      </w:rPr>
    </w:lvl>
    <w:lvl w:ilvl="7" w:tplc="2050F5DA">
      <w:numFmt w:val="bullet"/>
      <w:lvlText w:val="•"/>
      <w:lvlJc w:val="left"/>
      <w:pPr>
        <w:ind w:left="6842" w:hanging="116"/>
      </w:pPr>
      <w:rPr>
        <w:rFonts w:hint="default"/>
        <w:lang w:val="en-US" w:eastAsia="en-US" w:bidi="ar-SA"/>
      </w:rPr>
    </w:lvl>
    <w:lvl w:ilvl="8" w:tplc="5DA625E4">
      <w:numFmt w:val="bullet"/>
      <w:lvlText w:val="•"/>
      <w:lvlJc w:val="left"/>
      <w:pPr>
        <w:ind w:left="7788" w:hanging="116"/>
      </w:pPr>
      <w:rPr>
        <w:rFonts w:hint="default"/>
        <w:lang w:val="en-US" w:eastAsia="en-US" w:bidi="ar-SA"/>
      </w:rPr>
    </w:lvl>
  </w:abstractNum>
  <w:abstractNum w:abstractNumId="5">
    <w:nsid w:val="22B946C0"/>
    <w:multiLevelType w:val="hybridMultilevel"/>
    <w:tmpl w:val="2312D3E0"/>
    <w:lvl w:ilvl="0" w:tplc="A71450CA">
      <w:start w:val="1"/>
      <w:numFmt w:val="decimal"/>
      <w:lvlText w:val="%1."/>
      <w:lvlJc w:val="left"/>
      <w:pPr>
        <w:ind w:left="720" w:hanging="360"/>
      </w:pPr>
    </w:lvl>
    <w:lvl w:ilvl="1" w:tplc="A69E9598">
      <w:start w:val="1"/>
      <w:numFmt w:val="lowerLetter"/>
      <w:lvlText w:val="%2."/>
      <w:lvlJc w:val="left"/>
      <w:pPr>
        <w:ind w:left="1440" w:hanging="360"/>
      </w:pPr>
    </w:lvl>
    <w:lvl w:ilvl="2" w:tplc="8FD08CE0">
      <w:start w:val="1"/>
      <w:numFmt w:val="lowerRoman"/>
      <w:lvlText w:val="%3."/>
      <w:lvlJc w:val="right"/>
      <w:pPr>
        <w:ind w:left="2160" w:hanging="180"/>
      </w:pPr>
    </w:lvl>
    <w:lvl w:ilvl="3" w:tplc="F520583E">
      <w:start w:val="1"/>
      <w:numFmt w:val="decimal"/>
      <w:lvlText w:val="%4."/>
      <w:lvlJc w:val="left"/>
      <w:pPr>
        <w:ind w:left="2880" w:hanging="360"/>
      </w:pPr>
    </w:lvl>
    <w:lvl w:ilvl="4" w:tplc="DD465ADA">
      <w:start w:val="1"/>
      <w:numFmt w:val="lowerLetter"/>
      <w:lvlText w:val="%5."/>
      <w:lvlJc w:val="left"/>
      <w:pPr>
        <w:ind w:left="3600" w:hanging="360"/>
      </w:pPr>
    </w:lvl>
    <w:lvl w:ilvl="5" w:tplc="DF80BAA8">
      <w:start w:val="1"/>
      <w:numFmt w:val="lowerRoman"/>
      <w:lvlText w:val="%6."/>
      <w:lvlJc w:val="right"/>
      <w:pPr>
        <w:ind w:left="4320" w:hanging="180"/>
      </w:pPr>
    </w:lvl>
    <w:lvl w:ilvl="6" w:tplc="5F78F14E">
      <w:start w:val="1"/>
      <w:numFmt w:val="decimal"/>
      <w:lvlText w:val="%7."/>
      <w:lvlJc w:val="left"/>
      <w:pPr>
        <w:ind w:left="5040" w:hanging="360"/>
      </w:pPr>
    </w:lvl>
    <w:lvl w:ilvl="7" w:tplc="D1926B98">
      <w:start w:val="1"/>
      <w:numFmt w:val="lowerLetter"/>
      <w:lvlText w:val="%8."/>
      <w:lvlJc w:val="left"/>
      <w:pPr>
        <w:ind w:left="5760" w:hanging="360"/>
      </w:pPr>
    </w:lvl>
    <w:lvl w:ilvl="8" w:tplc="2A708BA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006C47"/>
    <w:multiLevelType w:val="hybridMultilevel"/>
    <w:tmpl w:val="F2344138"/>
    <w:lvl w:ilvl="0" w:tplc="93A48D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C019D"/>
    <w:multiLevelType w:val="hybridMultilevel"/>
    <w:tmpl w:val="C4766CC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99"/>
        <w:lang w:val="en-US" w:eastAsia="en-US" w:bidi="ar-SA"/>
      </w:rPr>
    </w:lvl>
    <w:lvl w:ilvl="1" w:tplc="ECB2F49A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3ED010C4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6CE4FB5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023294FA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A3E4DDB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7DD4B11A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DDA6ADB4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7E12EB7A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1">
    <w:nsid w:val="61BC3554"/>
    <w:multiLevelType w:val="hybridMultilevel"/>
    <w:tmpl w:val="1A64F3C8"/>
    <w:lvl w:ilvl="0" w:tplc="0FACA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A2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08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80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9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03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25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B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AB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D7974"/>
    <w:multiLevelType w:val="hybridMultilevel"/>
    <w:tmpl w:val="44B89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46201D"/>
    <w:multiLevelType w:val="multilevel"/>
    <w:tmpl w:val="7A5E0E1E"/>
    <w:lvl w:ilvl="0">
      <w:numFmt w:val="bullet"/>
      <w:lvlText w:val="·"/>
      <w:lvlJc w:val="left"/>
      <w:pPr>
        <w:tabs>
          <w:tab w:val="left" w:pos="360"/>
        </w:tabs>
        <w:ind w:left="0" w:firstLine="0"/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8B57D26"/>
    <w:multiLevelType w:val="hybridMultilevel"/>
    <w:tmpl w:val="DC5E8800"/>
    <w:lvl w:ilvl="0" w:tplc="49C0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E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E0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B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9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A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04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66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68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60DD9"/>
    <w:multiLevelType w:val="hybridMultilevel"/>
    <w:tmpl w:val="C6F2E632"/>
    <w:lvl w:ilvl="0" w:tplc="96BAF66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A24A61CA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55CC390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3" w:tplc="06788618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4" w:tplc="BFEAEA4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5" w:tplc="51C2F89C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3EC2E832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7" w:tplc="748A5E0A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440AC2B6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16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13"/>
  </w:num>
  <w:num w:numId="17">
    <w:abstractNumId w:val="8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41C8"/>
    <w:rsid w:val="001069A4"/>
    <w:rsid w:val="00106D57"/>
    <w:rsid w:val="00124219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34996"/>
    <w:rsid w:val="00235CB9"/>
    <w:rsid w:val="00264202"/>
    <w:rsid w:val="0026449A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18D1"/>
    <w:rsid w:val="002C6B0D"/>
    <w:rsid w:val="002D412D"/>
    <w:rsid w:val="002E2CC7"/>
    <w:rsid w:val="002E609F"/>
    <w:rsid w:val="002F0A27"/>
    <w:rsid w:val="002F0AF9"/>
    <w:rsid w:val="002F25F2"/>
    <w:rsid w:val="002F5352"/>
    <w:rsid w:val="003005D1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95B5E"/>
    <w:rsid w:val="003A5B70"/>
    <w:rsid w:val="003B0B19"/>
    <w:rsid w:val="003B40C4"/>
    <w:rsid w:val="003C332F"/>
    <w:rsid w:val="003C448A"/>
    <w:rsid w:val="003C7D16"/>
    <w:rsid w:val="003D0721"/>
    <w:rsid w:val="003D13AD"/>
    <w:rsid w:val="003D4305"/>
    <w:rsid w:val="003E687F"/>
    <w:rsid w:val="003F023D"/>
    <w:rsid w:val="003F4FA0"/>
    <w:rsid w:val="003F6FF7"/>
    <w:rsid w:val="00411A89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C50C0"/>
    <w:rsid w:val="004C5826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12BD"/>
    <w:rsid w:val="00756046"/>
    <w:rsid w:val="00756232"/>
    <w:rsid w:val="007648E4"/>
    <w:rsid w:val="007703A2"/>
    <w:rsid w:val="00772F05"/>
    <w:rsid w:val="00781CB8"/>
    <w:rsid w:val="00781D3F"/>
    <w:rsid w:val="00783480"/>
    <w:rsid w:val="00784BBD"/>
    <w:rsid w:val="00787435"/>
    <w:rsid w:val="00791916"/>
    <w:rsid w:val="00794A66"/>
    <w:rsid w:val="00794BF4"/>
    <w:rsid w:val="00796149"/>
    <w:rsid w:val="007A0DF0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5686"/>
    <w:rsid w:val="00865B5C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A3589"/>
    <w:rsid w:val="009B2AE9"/>
    <w:rsid w:val="009B2B13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241B"/>
    <w:rsid w:val="00A232CD"/>
    <w:rsid w:val="00A256AB"/>
    <w:rsid w:val="00A25BBE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A5BAA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A2D00"/>
    <w:rsid w:val="00CA3940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05E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DF4CA8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07677"/>
    <w:rsid w:val="00F103CE"/>
    <w:rsid w:val="00F213D6"/>
    <w:rsid w:val="00F256C7"/>
    <w:rsid w:val="00F30C0C"/>
    <w:rsid w:val="00F31B9A"/>
    <w:rsid w:val="00F4173C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4F65"/>
    <w:rsid w:val="00FE356F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56046"/>
    <w:pPr>
      <w:widowControl w:val="0"/>
      <w:autoSpaceDE w:val="0"/>
      <w:autoSpaceDN w:val="0"/>
      <w:spacing w:line="247" w:lineRule="exact"/>
      <w:ind w:left="107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56046"/>
    <w:pPr>
      <w:widowControl w:val="0"/>
      <w:autoSpaceDE w:val="0"/>
      <w:autoSpaceDN w:val="0"/>
      <w:spacing w:line="247" w:lineRule="exact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iadb.org/en/ensuring-food-security-in-lac-in-the-context-of-covid-19-challenges-and-interventions" TargetMode="External"/><Relationship Id="rId3" Type="http://schemas.openxmlformats.org/officeDocument/2006/relationships/hyperlink" Target="https://www.worldbank.org/en/topic/governance/overview" TargetMode="External"/><Relationship Id="rId7" Type="http://schemas.openxmlformats.org/officeDocument/2006/relationships/hyperlink" Target="https://publications.iadb.org/en/ensuring-food-security-in-lac-in-the-context-of-covid-19-challenges-and-interventions" TargetMode="External"/><Relationship Id="rId2" Type="http://schemas.openxmlformats.org/officeDocument/2006/relationships/hyperlink" Target="https://reliefweb.int/report/world/natural-disasters-latin-america-and-caribbean-2000-2019" TargetMode="External"/><Relationship Id="rId1" Type="http://schemas.openxmlformats.org/officeDocument/2006/relationships/hyperlink" Target="https://reliefweb.int/report/world/natural-disasters-latin-america-and-caribbean-2000-2019" TargetMode="External"/><Relationship Id="rId6" Type="http://schemas.openxmlformats.org/officeDocument/2006/relationships/hyperlink" Target="https://publications.iadb.org/en/ensuring-food-security-in-lac-in-the-context-of-covid-19-challenges-and-interventions" TargetMode="External"/><Relationship Id="rId5" Type="http://schemas.openxmlformats.org/officeDocument/2006/relationships/hyperlink" Target="https://oecd-development-matters.org/2020/06/04/is-covid-19-widening-educational-gaps-in-latin-america-three-lessons-for-urgent-policy-action/%23_ftn2" TargetMode="External"/><Relationship Id="rId4" Type="http://schemas.openxmlformats.org/officeDocument/2006/relationships/hyperlink" Target="https://oecd-development-matters.org/2020/06/04/is-covid-19-widening-educational-gaps-in-latin-america-three-lessons-for-urgent-policy-action/%23_ftn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63D6-E2EB-4EC2-A06D-A1ED90B0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79</TotalTime>
  <Pages>11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27848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10</cp:revision>
  <cp:lastPrinted>2018-08-24T16:52:00Z</cp:lastPrinted>
  <dcterms:created xsi:type="dcterms:W3CDTF">2020-07-27T21:25:00Z</dcterms:created>
  <dcterms:modified xsi:type="dcterms:W3CDTF">2020-07-28T16:47:00Z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