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FB3DE1" w:rsidRDefault="00FA607C" w:rsidP="000B6478">
      <w:pPr>
        <w:tabs>
          <w:tab w:val="left" w:pos="7200"/>
        </w:tabs>
        <w:ind w:right="-1080"/>
        <w:rPr>
          <w:sz w:val="22"/>
          <w:szCs w:val="22"/>
          <w:lang w:val="pt-BR"/>
        </w:rPr>
      </w:pPr>
      <w:bookmarkStart w:id="0" w:name="_top"/>
      <w:bookmarkEnd w:id="0"/>
      <w:r w:rsidRPr="00FB3DE1">
        <w:rPr>
          <w:sz w:val="22"/>
          <w:szCs w:val="22"/>
        </w:rPr>
        <w:tab/>
      </w:r>
      <w:r w:rsidRPr="00FB3DE1">
        <w:rPr>
          <w:sz w:val="22"/>
          <w:szCs w:val="22"/>
          <w:lang w:val="pt-BR"/>
        </w:rPr>
        <w:t>OEA/Ser.W</w:t>
      </w:r>
    </w:p>
    <w:p w:rsidR="00722693" w:rsidRPr="00E223A0" w:rsidRDefault="00FA607C" w:rsidP="000B6478">
      <w:pPr>
        <w:tabs>
          <w:tab w:val="left" w:pos="7200"/>
        </w:tabs>
        <w:ind w:right="-1080"/>
        <w:rPr>
          <w:sz w:val="22"/>
          <w:szCs w:val="22"/>
          <w:lang w:val="pt-BR"/>
        </w:rPr>
      </w:pPr>
      <w:r w:rsidRPr="00FB3DE1">
        <w:rPr>
          <w:sz w:val="22"/>
          <w:szCs w:val="22"/>
          <w:lang w:val="pt-BR"/>
        </w:rPr>
        <w:tab/>
      </w:r>
      <w:r w:rsidRPr="00E223A0">
        <w:rPr>
          <w:sz w:val="22"/>
          <w:szCs w:val="22"/>
          <w:lang w:val="pt-BR"/>
        </w:rPr>
        <w:t>CIDI/INF.</w:t>
      </w:r>
      <w:r w:rsidR="00496018" w:rsidRPr="00E223A0">
        <w:rPr>
          <w:sz w:val="22"/>
          <w:szCs w:val="22"/>
          <w:lang w:val="pt-BR"/>
        </w:rPr>
        <w:t>384</w:t>
      </w:r>
      <w:r w:rsidRPr="00E223A0">
        <w:rPr>
          <w:sz w:val="22"/>
          <w:szCs w:val="22"/>
          <w:lang w:val="pt-BR"/>
        </w:rPr>
        <w:t>/</w:t>
      </w:r>
      <w:r w:rsidR="000B6478" w:rsidRPr="00E223A0">
        <w:rPr>
          <w:sz w:val="22"/>
          <w:szCs w:val="22"/>
          <w:lang w:val="pt-BR"/>
        </w:rPr>
        <w:t>20</w:t>
      </w:r>
    </w:p>
    <w:p w:rsidR="00921E9E" w:rsidRPr="00FB3DE1" w:rsidRDefault="00FA607C" w:rsidP="000B6478">
      <w:pPr>
        <w:tabs>
          <w:tab w:val="left" w:pos="7200"/>
        </w:tabs>
        <w:ind w:right="-1080"/>
        <w:rPr>
          <w:sz w:val="22"/>
          <w:szCs w:val="22"/>
        </w:rPr>
      </w:pPr>
      <w:r w:rsidRPr="00E223A0">
        <w:rPr>
          <w:sz w:val="22"/>
          <w:szCs w:val="22"/>
          <w:lang w:val="pt-BR"/>
        </w:rPr>
        <w:tab/>
      </w:r>
      <w:r w:rsidR="00FB3DE1">
        <w:rPr>
          <w:sz w:val="22"/>
          <w:szCs w:val="22"/>
        </w:rPr>
        <w:t>9 September</w:t>
      </w:r>
      <w:r w:rsidR="004A7C48" w:rsidRPr="00FB3DE1">
        <w:rPr>
          <w:sz w:val="22"/>
          <w:szCs w:val="22"/>
        </w:rPr>
        <w:t xml:space="preserve"> 20</w:t>
      </w:r>
      <w:r w:rsidR="000B6478" w:rsidRPr="00FB3DE1">
        <w:rPr>
          <w:sz w:val="22"/>
          <w:szCs w:val="22"/>
        </w:rPr>
        <w:t>20</w:t>
      </w:r>
    </w:p>
    <w:p w:rsidR="00921E9E" w:rsidRPr="00FB3DE1" w:rsidRDefault="00FA607C" w:rsidP="000B6478">
      <w:pPr>
        <w:pBdr>
          <w:bottom w:val="single" w:sz="12" w:space="1" w:color="auto"/>
        </w:pBdr>
        <w:tabs>
          <w:tab w:val="left" w:pos="7200"/>
        </w:tabs>
        <w:ind w:right="-389"/>
        <w:rPr>
          <w:sz w:val="22"/>
          <w:szCs w:val="22"/>
        </w:rPr>
      </w:pPr>
      <w:r w:rsidRPr="00FB3DE1">
        <w:rPr>
          <w:sz w:val="22"/>
          <w:szCs w:val="22"/>
        </w:rPr>
        <w:tab/>
        <w:t xml:space="preserve">Original: </w:t>
      </w:r>
      <w:r w:rsidR="000B6478" w:rsidRPr="00FB3DE1">
        <w:rPr>
          <w:sz w:val="22"/>
          <w:szCs w:val="22"/>
        </w:rPr>
        <w:t>English</w:t>
      </w:r>
    </w:p>
    <w:p w:rsidR="00921E9E" w:rsidRPr="00FB3DE1" w:rsidRDefault="00921E9E" w:rsidP="000B6478">
      <w:pPr>
        <w:pBdr>
          <w:bottom w:val="single" w:sz="12" w:space="1" w:color="auto"/>
        </w:pBdr>
        <w:tabs>
          <w:tab w:val="left" w:pos="7200"/>
        </w:tabs>
        <w:ind w:right="-389"/>
        <w:rPr>
          <w:sz w:val="22"/>
          <w:szCs w:val="22"/>
        </w:rPr>
      </w:pPr>
    </w:p>
    <w:p w:rsidR="00722693" w:rsidRPr="00FB3DE1" w:rsidRDefault="00722693" w:rsidP="000B6478">
      <w:pPr>
        <w:tabs>
          <w:tab w:val="left" w:pos="7200"/>
        </w:tabs>
        <w:ind w:right="-1080"/>
        <w:rPr>
          <w:sz w:val="22"/>
          <w:szCs w:val="22"/>
        </w:rPr>
      </w:pPr>
    </w:p>
    <w:p w:rsidR="00AB7175" w:rsidRPr="00FB3DE1" w:rsidRDefault="00AB7175" w:rsidP="000B6478">
      <w:pPr>
        <w:jc w:val="both"/>
        <w:outlineLvl w:val="0"/>
        <w:rPr>
          <w:sz w:val="22"/>
          <w:szCs w:val="22"/>
        </w:rPr>
      </w:pPr>
    </w:p>
    <w:p w:rsidR="00921E9E" w:rsidRPr="00FB3DE1" w:rsidRDefault="00FA607C" w:rsidP="000B6478">
      <w:pPr>
        <w:jc w:val="center"/>
        <w:rPr>
          <w:rFonts w:eastAsia="Calibri"/>
          <w:sz w:val="22"/>
          <w:szCs w:val="22"/>
        </w:rPr>
      </w:pPr>
      <w:r w:rsidRPr="00FB3DE1">
        <w:rPr>
          <w:sz w:val="22"/>
          <w:szCs w:val="22"/>
        </w:rPr>
        <w:t xml:space="preserve">CONCEPT </w:t>
      </w:r>
      <w:r w:rsidR="00FB3DE1">
        <w:rPr>
          <w:sz w:val="22"/>
          <w:szCs w:val="22"/>
        </w:rPr>
        <w:t>NOTE</w:t>
      </w:r>
    </w:p>
    <w:p w:rsidR="00723DE2" w:rsidRPr="00FB3DE1" w:rsidRDefault="00723DE2" w:rsidP="000B6478">
      <w:pPr>
        <w:rPr>
          <w:rFonts w:eastAsia="Calibri"/>
          <w:sz w:val="22"/>
          <w:szCs w:val="22"/>
        </w:rPr>
      </w:pPr>
    </w:p>
    <w:p w:rsidR="00DD0DD6" w:rsidRPr="00FB3DE1" w:rsidRDefault="00FA607C" w:rsidP="000B6478">
      <w:pPr>
        <w:jc w:val="center"/>
        <w:rPr>
          <w:rFonts w:eastAsia="Calibri"/>
          <w:caps/>
          <w:sz w:val="22"/>
          <w:szCs w:val="22"/>
        </w:rPr>
      </w:pPr>
      <w:r w:rsidRPr="00FB3DE1">
        <w:rPr>
          <w:caps/>
          <w:sz w:val="22"/>
          <w:szCs w:val="22"/>
        </w:rPr>
        <w:t xml:space="preserve">Regular meeting of </w:t>
      </w:r>
    </w:p>
    <w:p w:rsidR="00921E9E" w:rsidRPr="00FB3DE1" w:rsidRDefault="00FA607C" w:rsidP="000B6478">
      <w:pPr>
        <w:jc w:val="center"/>
        <w:rPr>
          <w:rFonts w:eastAsia="Calibri"/>
          <w:caps/>
          <w:sz w:val="22"/>
          <w:szCs w:val="22"/>
        </w:rPr>
      </w:pPr>
      <w:r w:rsidRPr="00FB3DE1">
        <w:rPr>
          <w:caps/>
          <w:sz w:val="22"/>
          <w:szCs w:val="22"/>
        </w:rPr>
        <w:t xml:space="preserve">Inter-American Council for Integral Development (CIDI) </w:t>
      </w:r>
    </w:p>
    <w:p w:rsidR="00921E9E" w:rsidRPr="00FB3DE1" w:rsidRDefault="00723EE9" w:rsidP="000B6478">
      <w:pPr>
        <w:jc w:val="center"/>
        <w:rPr>
          <w:rFonts w:eastAsia="Calibri"/>
          <w:caps/>
          <w:sz w:val="22"/>
          <w:szCs w:val="22"/>
        </w:rPr>
      </w:pPr>
      <w:r w:rsidRPr="00FB3DE1">
        <w:rPr>
          <w:caps/>
          <w:sz w:val="22"/>
          <w:szCs w:val="22"/>
        </w:rPr>
        <w:t>2</w:t>
      </w:r>
      <w:r w:rsidR="00FB3DE1">
        <w:rPr>
          <w:caps/>
          <w:sz w:val="22"/>
          <w:szCs w:val="22"/>
        </w:rPr>
        <w:t xml:space="preserve">9 SEPTEMBER </w:t>
      </w:r>
      <w:r w:rsidR="00FA607C" w:rsidRPr="00FB3DE1">
        <w:rPr>
          <w:caps/>
          <w:sz w:val="22"/>
          <w:szCs w:val="22"/>
        </w:rPr>
        <w:t>20</w:t>
      </w:r>
      <w:r w:rsidR="000B6478" w:rsidRPr="00FB3DE1">
        <w:rPr>
          <w:caps/>
          <w:sz w:val="22"/>
          <w:szCs w:val="22"/>
        </w:rPr>
        <w:t>20</w:t>
      </w:r>
    </w:p>
    <w:p w:rsidR="0089063B" w:rsidRPr="00FB3DE1" w:rsidRDefault="0089063B" w:rsidP="000B6478">
      <w:pPr>
        <w:rPr>
          <w:rFonts w:eastAsia="Calibri"/>
          <w:caps/>
          <w:sz w:val="22"/>
          <w:szCs w:val="22"/>
        </w:rPr>
      </w:pPr>
    </w:p>
    <w:p w:rsidR="007A307C" w:rsidRPr="00FB3DE1" w:rsidRDefault="00FA607C" w:rsidP="000B6478">
      <w:pPr>
        <w:jc w:val="center"/>
        <w:rPr>
          <w:rFonts w:eastAsia="Calibri"/>
          <w:sz w:val="22"/>
          <w:szCs w:val="22"/>
        </w:rPr>
      </w:pPr>
      <w:r w:rsidRPr="00FB3DE1">
        <w:rPr>
          <w:sz w:val="22"/>
          <w:szCs w:val="22"/>
        </w:rPr>
        <w:t xml:space="preserve">(Prepared by the </w:t>
      </w:r>
      <w:r w:rsidR="000B6478" w:rsidRPr="00FB3DE1">
        <w:rPr>
          <w:sz w:val="22"/>
          <w:szCs w:val="22"/>
        </w:rPr>
        <w:t>Executive Secretariat for Integral Development</w:t>
      </w:r>
      <w:r w:rsidRPr="00FB3DE1">
        <w:rPr>
          <w:sz w:val="22"/>
          <w:szCs w:val="22"/>
        </w:rPr>
        <w:t>)</w:t>
      </w:r>
    </w:p>
    <w:p w:rsidR="00DB5D3D" w:rsidRPr="00FB3DE1" w:rsidRDefault="00DB5D3D" w:rsidP="000B6478">
      <w:pPr>
        <w:rPr>
          <w:rFonts w:eastAsia="Calibri"/>
          <w:sz w:val="22"/>
          <w:szCs w:val="22"/>
        </w:rPr>
      </w:pPr>
    </w:p>
    <w:p w:rsidR="007A307C" w:rsidRPr="00FB3DE1" w:rsidRDefault="007A307C" w:rsidP="000B6478">
      <w:pPr>
        <w:rPr>
          <w:rFonts w:eastAsia="Calibri"/>
          <w:sz w:val="22"/>
          <w:szCs w:val="22"/>
        </w:rPr>
      </w:pPr>
    </w:p>
    <w:p w:rsidR="00FB3DE1" w:rsidRPr="00FB3DE1" w:rsidRDefault="000B6478" w:rsidP="00FB3DE1">
      <w:pPr>
        <w:ind w:left="1440" w:hanging="1440"/>
        <w:jc w:val="center"/>
        <w:rPr>
          <w:b/>
          <w:bCs/>
          <w:sz w:val="22"/>
          <w:szCs w:val="22"/>
        </w:rPr>
      </w:pPr>
      <w:r w:rsidRPr="00FB3DE1">
        <w:rPr>
          <w:sz w:val="22"/>
          <w:szCs w:val="22"/>
        </w:rPr>
        <w:t>THEME</w:t>
      </w:r>
      <w:r w:rsidR="00FA607C" w:rsidRPr="00FB3DE1">
        <w:rPr>
          <w:sz w:val="22"/>
          <w:szCs w:val="22"/>
        </w:rPr>
        <w:t>:</w:t>
      </w:r>
      <w:r w:rsidR="00FA607C" w:rsidRPr="00FB3DE1">
        <w:rPr>
          <w:b/>
          <w:sz w:val="22"/>
          <w:szCs w:val="22"/>
        </w:rPr>
        <w:t xml:space="preserve"> </w:t>
      </w:r>
      <w:r w:rsidR="00FB3DE1" w:rsidRPr="00FB3DE1">
        <w:rPr>
          <w:b/>
          <w:bCs/>
          <w:sz w:val="22"/>
          <w:szCs w:val="22"/>
        </w:rPr>
        <w:t>Environmental Resilience.  Building Back Better: the key to resilient recovery</w:t>
      </w:r>
    </w:p>
    <w:p w:rsidR="00FB3DE1" w:rsidRPr="00FB3DE1" w:rsidRDefault="00FB3DE1" w:rsidP="00FB3DE1">
      <w:pPr>
        <w:jc w:val="center"/>
        <w:rPr>
          <w:b/>
          <w:bCs/>
          <w:sz w:val="22"/>
          <w:szCs w:val="22"/>
        </w:rPr>
      </w:pPr>
    </w:p>
    <w:p w:rsidR="00FB3DE1" w:rsidRPr="00FB3DE1" w:rsidRDefault="00FB3DE1" w:rsidP="00FB3DE1">
      <w:pPr>
        <w:rPr>
          <w:b/>
          <w:bCs/>
          <w:iCs/>
          <w:sz w:val="22"/>
          <w:szCs w:val="22"/>
          <w:u w:val="single"/>
        </w:rPr>
      </w:pPr>
      <w:r w:rsidRPr="00FB3DE1">
        <w:rPr>
          <w:b/>
          <w:bCs/>
          <w:iCs/>
          <w:sz w:val="22"/>
          <w:szCs w:val="22"/>
          <w:u w:val="single"/>
        </w:rPr>
        <w:t xml:space="preserve">BACKGROUND </w:t>
      </w:r>
    </w:p>
    <w:p w:rsidR="00FB3DE1" w:rsidRPr="00FB3DE1" w:rsidRDefault="00FB3DE1" w:rsidP="00FB3DE1">
      <w:pPr>
        <w:rPr>
          <w:b/>
          <w:bCs/>
          <w:iCs/>
          <w:sz w:val="22"/>
          <w:szCs w:val="22"/>
        </w:rPr>
      </w:pPr>
    </w:p>
    <w:p w:rsidR="00FB3DE1" w:rsidRPr="00FB3DE1" w:rsidRDefault="00FB3DE1" w:rsidP="00FB3DE1">
      <w:pPr>
        <w:ind w:firstLine="720"/>
        <w:jc w:val="both"/>
        <w:rPr>
          <w:iCs/>
          <w:sz w:val="22"/>
          <w:szCs w:val="22"/>
        </w:rPr>
      </w:pPr>
      <w:r w:rsidRPr="00FB3DE1">
        <w:rPr>
          <w:iCs/>
          <w:sz w:val="22"/>
          <w:szCs w:val="22"/>
        </w:rPr>
        <w:t>Latin America and the Caribbean is among the 5-most disaster-prone regions in the world. During the past decade (2000-2019), 152 million people in the region were affected by 1,205 disasters, including: 548 floods, 330 storms, 75 earthquakes, 74 droughts,</w:t>
      </w:r>
      <w:r w:rsidRPr="00FB3DE1">
        <w:rPr>
          <w:sz w:val="22"/>
          <w:szCs w:val="22"/>
        </w:rPr>
        <w:t xml:space="preserve"> </w:t>
      </w:r>
      <w:r w:rsidRPr="00FB3DE1">
        <w:rPr>
          <w:iCs/>
          <w:sz w:val="22"/>
          <w:szCs w:val="22"/>
        </w:rPr>
        <w:t>66 landslides, 24 wildfires, 50 extreme temperature events and 38 volcanic events</w:t>
      </w:r>
      <w:r w:rsidRPr="00FB3DE1">
        <w:rPr>
          <w:iCs/>
          <w:sz w:val="22"/>
          <w:szCs w:val="22"/>
          <w:u w:val="single"/>
          <w:vertAlign w:val="superscript"/>
        </w:rPr>
        <w:footnoteReference w:id="1"/>
      </w:r>
      <w:r w:rsidRPr="00FB3DE1">
        <w:rPr>
          <w:iCs/>
          <w:sz w:val="22"/>
          <w:szCs w:val="22"/>
          <w:vertAlign w:val="superscript"/>
        </w:rPr>
        <w:t>/</w:t>
      </w:r>
      <w:r w:rsidRPr="00FB3DE1">
        <w:rPr>
          <w:iCs/>
          <w:sz w:val="22"/>
          <w:szCs w:val="22"/>
        </w:rPr>
        <w:t xml:space="preserve">. </w:t>
      </w:r>
    </w:p>
    <w:p w:rsidR="00FB3DE1" w:rsidRPr="00FB3DE1" w:rsidRDefault="00FB3DE1" w:rsidP="00FB3DE1">
      <w:pPr>
        <w:jc w:val="both"/>
        <w:rPr>
          <w:iCs/>
          <w:sz w:val="22"/>
          <w:szCs w:val="22"/>
        </w:rPr>
      </w:pPr>
    </w:p>
    <w:p w:rsidR="00FB3DE1" w:rsidRPr="00FB3DE1" w:rsidRDefault="00FB3DE1" w:rsidP="00FB3DE1">
      <w:pPr>
        <w:ind w:firstLine="720"/>
        <w:jc w:val="both"/>
        <w:rPr>
          <w:iCs/>
          <w:sz w:val="22"/>
          <w:szCs w:val="22"/>
        </w:rPr>
      </w:pPr>
      <w:r w:rsidRPr="00FB3DE1">
        <w:rPr>
          <w:iCs/>
          <w:sz w:val="22"/>
          <w:szCs w:val="22"/>
        </w:rPr>
        <w:t>A major lesson from the region’s experience with unrelenting disasters is that “Building Back Better”</w:t>
      </w:r>
      <w:r>
        <w:rPr>
          <w:iCs/>
          <w:sz w:val="22"/>
          <w:szCs w:val="22"/>
        </w:rPr>
        <w:softHyphen/>
      </w:r>
      <w:r>
        <w:rPr>
          <w:iCs/>
          <w:sz w:val="22"/>
          <w:szCs w:val="22"/>
        </w:rPr>
        <w:softHyphen/>
      </w:r>
      <w:r w:rsidRPr="00FB3DE1">
        <w:rPr>
          <w:iCs/>
          <w:sz w:val="22"/>
          <w:szCs w:val="22"/>
        </w:rPr>
        <w:t xml:space="preserve">---defined, as a multi-dimensional approach to disaster resilience that leads to improvements </w:t>
      </w:r>
      <w:proofErr w:type="gramStart"/>
      <w:r w:rsidRPr="00FB3DE1">
        <w:rPr>
          <w:iCs/>
          <w:sz w:val="22"/>
          <w:szCs w:val="22"/>
        </w:rPr>
        <w:t>above and beyond</w:t>
      </w:r>
      <w:proofErr w:type="gramEnd"/>
      <w:r w:rsidRPr="00FB3DE1">
        <w:rPr>
          <w:iCs/>
          <w:sz w:val="22"/>
          <w:szCs w:val="22"/>
        </w:rPr>
        <w:t xml:space="preserve"> the pre-disaster status quo---is more important than the short-term emergency response phase.  Several countries have adopted this approach to building their economic, social, and environmental resilience to disasters. However, if effective resilience policies and strategies are to be designed and implemented, a sound, evidence-based decision-making framework will be needed that captures the sources of failures of social and economic infrastructure and the role of scientifically-determined standards, codes, and practices in “building back better.”</w:t>
      </w:r>
    </w:p>
    <w:p w:rsidR="00FB3DE1" w:rsidRPr="00FB3DE1" w:rsidRDefault="00FB3DE1" w:rsidP="00FB3DE1">
      <w:pPr>
        <w:jc w:val="both"/>
        <w:rPr>
          <w:iCs/>
          <w:sz w:val="22"/>
          <w:szCs w:val="22"/>
        </w:rPr>
      </w:pPr>
    </w:p>
    <w:p w:rsidR="00FB3DE1" w:rsidRPr="00FB3DE1" w:rsidRDefault="00FB3DE1" w:rsidP="00FB3DE1">
      <w:pPr>
        <w:ind w:firstLine="720"/>
        <w:jc w:val="both"/>
        <w:rPr>
          <w:iCs/>
          <w:sz w:val="22"/>
          <w:szCs w:val="22"/>
        </w:rPr>
      </w:pPr>
      <w:r w:rsidRPr="00FB3DE1">
        <w:rPr>
          <w:iCs/>
          <w:sz w:val="22"/>
          <w:szCs w:val="22"/>
        </w:rPr>
        <w:t xml:space="preserve">Attention </w:t>
      </w:r>
      <w:proofErr w:type="gramStart"/>
      <w:r w:rsidRPr="00FB3DE1">
        <w:rPr>
          <w:iCs/>
          <w:sz w:val="22"/>
          <w:szCs w:val="22"/>
        </w:rPr>
        <w:t>must also be given</w:t>
      </w:r>
      <w:proofErr w:type="gramEnd"/>
      <w:r w:rsidRPr="00FB3DE1">
        <w:rPr>
          <w:iCs/>
          <w:sz w:val="22"/>
          <w:szCs w:val="22"/>
        </w:rPr>
        <w:t xml:space="preserve"> to strengthening the role of citizens and communities in driving resilience. Communities are only as resilient as their citizens are. Helping citizens to distill lessons from their experiences with disasters and to apply this learning to build their resilience to future events is a vital component of a robust resilient culture that can adapt to future circumstances. </w:t>
      </w:r>
    </w:p>
    <w:p w:rsidR="00FB3DE1" w:rsidRPr="00FB3DE1" w:rsidRDefault="00FB3DE1" w:rsidP="00FB3DE1">
      <w:pPr>
        <w:jc w:val="both"/>
        <w:rPr>
          <w:iCs/>
          <w:sz w:val="22"/>
          <w:szCs w:val="22"/>
        </w:rPr>
      </w:pPr>
    </w:p>
    <w:p w:rsidR="00FB3DE1" w:rsidRPr="00FB3DE1" w:rsidRDefault="00FB3DE1" w:rsidP="00FB3DE1">
      <w:pPr>
        <w:jc w:val="both"/>
        <w:rPr>
          <w:bCs/>
          <w:iCs/>
          <w:sz w:val="22"/>
          <w:szCs w:val="22"/>
        </w:rPr>
      </w:pPr>
      <w:r w:rsidRPr="00FB3DE1">
        <w:rPr>
          <w:b/>
          <w:bCs/>
          <w:iCs/>
          <w:sz w:val="22"/>
          <w:szCs w:val="22"/>
          <w:u w:val="single"/>
        </w:rPr>
        <w:t>PURPOSE OF THE SESSION</w:t>
      </w:r>
    </w:p>
    <w:p w:rsidR="00FB3DE1" w:rsidRPr="00FB3DE1" w:rsidRDefault="00FB3DE1" w:rsidP="00FB3DE1">
      <w:pPr>
        <w:jc w:val="both"/>
        <w:rPr>
          <w:bCs/>
          <w:iCs/>
          <w:sz w:val="22"/>
          <w:szCs w:val="22"/>
        </w:rPr>
      </w:pPr>
    </w:p>
    <w:p w:rsidR="00FB3DE1" w:rsidRPr="00FB3DE1" w:rsidRDefault="00FB3DE1" w:rsidP="00FB3DE1">
      <w:pPr>
        <w:ind w:firstLine="720"/>
        <w:jc w:val="both"/>
        <w:rPr>
          <w:bCs/>
          <w:iCs/>
          <w:sz w:val="22"/>
          <w:szCs w:val="22"/>
        </w:rPr>
      </w:pPr>
      <w:r>
        <w:rPr>
          <w:b/>
          <w:bCs/>
          <w:iCs/>
          <w:sz w:val="22"/>
          <w:szCs w:val="22"/>
        </w:rPr>
        <w:t>The objective of the s</w:t>
      </w:r>
      <w:r w:rsidRPr="00FB3DE1">
        <w:rPr>
          <w:b/>
          <w:bCs/>
          <w:iCs/>
          <w:sz w:val="22"/>
          <w:szCs w:val="22"/>
        </w:rPr>
        <w:t>ession is to:</w:t>
      </w:r>
    </w:p>
    <w:p w:rsidR="00FB3DE1" w:rsidRPr="00FB3DE1" w:rsidRDefault="00FB3DE1" w:rsidP="00FB3DE1">
      <w:pPr>
        <w:jc w:val="both"/>
        <w:rPr>
          <w:bCs/>
          <w:iCs/>
          <w:sz w:val="22"/>
          <w:szCs w:val="22"/>
        </w:rPr>
      </w:pPr>
    </w:p>
    <w:p w:rsidR="00FB3DE1" w:rsidRPr="00FB3DE1" w:rsidRDefault="00FB3DE1" w:rsidP="00FB3DE1">
      <w:pPr>
        <w:pStyle w:val="ListParagraph0"/>
        <w:numPr>
          <w:ilvl w:val="0"/>
          <w:numId w:val="13"/>
        </w:numPr>
        <w:ind w:left="1440" w:hanging="720"/>
        <w:contextualSpacing/>
        <w:jc w:val="both"/>
        <w:rPr>
          <w:rFonts w:eastAsia="Times New Roman"/>
          <w:sz w:val="22"/>
          <w:szCs w:val="22"/>
        </w:rPr>
      </w:pPr>
      <w:r w:rsidRPr="00FB3DE1">
        <w:rPr>
          <w:iCs/>
          <w:sz w:val="22"/>
          <w:szCs w:val="22"/>
        </w:rPr>
        <w:t xml:space="preserve">To share with </w:t>
      </w:r>
      <w:r>
        <w:rPr>
          <w:iCs/>
          <w:sz w:val="22"/>
          <w:szCs w:val="22"/>
        </w:rPr>
        <w:t>member states</w:t>
      </w:r>
      <w:r w:rsidRPr="00FB3DE1">
        <w:rPr>
          <w:iCs/>
          <w:sz w:val="22"/>
          <w:szCs w:val="22"/>
        </w:rPr>
        <w:t xml:space="preserve"> lessons for “building back better” drawing from the community experience with disasters. </w:t>
      </w:r>
    </w:p>
    <w:p w:rsidR="00FB3DE1" w:rsidRPr="00FB3DE1" w:rsidRDefault="00FB3DE1" w:rsidP="00FB3DE1">
      <w:pPr>
        <w:pStyle w:val="ListParagraph0"/>
        <w:numPr>
          <w:ilvl w:val="0"/>
          <w:numId w:val="13"/>
        </w:numPr>
        <w:tabs>
          <w:tab w:val="clear" w:pos="720"/>
          <w:tab w:val="num" w:pos="1440"/>
        </w:tabs>
        <w:ind w:left="1440" w:hanging="720"/>
        <w:contextualSpacing/>
        <w:jc w:val="both"/>
        <w:rPr>
          <w:rFonts w:eastAsia="Times New Roman"/>
          <w:sz w:val="22"/>
          <w:szCs w:val="22"/>
          <w:lang w:val="en-GB"/>
        </w:rPr>
      </w:pPr>
      <w:r w:rsidRPr="00FB3DE1">
        <w:rPr>
          <w:rFonts w:eastAsia="Times New Roman"/>
          <w:sz w:val="22"/>
          <w:szCs w:val="22"/>
        </w:rPr>
        <w:lastRenderedPageBreak/>
        <w:t xml:space="preserve">To facilitate the exchange of experiences, lessons learned and good practices for resilience building between and among </w:t>
      </w:r>
      <w:r>
        <w:rPr>
          <w:rFonts w:eastAsia="Times New Roman"/>
          <w:sz w:val="22"/>
          <w:szCs w:val="22"/>
        </w:rPr>
        <w:t>member states</w:t>
      </w:r>
      <w:r w:rsidRPr="00FB3DE1">
        <w:rPr>
          <w:rFonts w:eastAsia="Times New Roman"/>
          <w:sz w:val="22"/>
          <w:szCs w:val="22"/>
        </w:rPr>
        <w:t xml:space="preserve"> with a view towards enabling cooperation</w:t>
      </w:r>
      <w:r>
        <w:rPr>
          <w:rFonts w:eastAsia="Times New Roman"/>
          <w:sz w:val="22"/>
          <w:szCs w:val="22"/>
        </w:rPr>
        <w:t>.</w:t>
      </w:r>
    </w:p>
    <w:p w:rsidR="00FB3DE1" w:rsidRPr="00FB3DE1" w:rsidRDefault="00FB3DE1" w:rsidP="00FB3DE1">
      <w:pPr>
        <w:pStyle w:val="ListParagraph0"/>
        <w:ind w:left="1440"/>
        <w:contextualSpacing/>
        <w:jc w:val="both"/>
        <w:rPr>
          <w:rFonts w:eastAsia="Times New Roman"/>
          <w:sz w:val="22"/>
          <w:szCs w:val="22"/>
          <w:lang w:val="en-GB"/>
        </w:rPr>
      </w:pPr>
    </w:p>
    <w:p w:rsidR="00FB3DE1" w:rsidRPr="00FB3DE1" w:rsidRDefault="00FB3DE1" w:rsidP="00FB3DE1">
      <w:pPr>
        <w:jc w:val="both"/>
        <w:rPr>
          <w:rFonts w:eastAsia="Calibri"/>
          <w:b/>
          <w:sz w:val="22"/>
          <w:szCs w:val="22"/>
        </w:rPr>
      </w:pPr>
      <w:r>
        <w:rPr>
          <w:rFonts w:eastAsia="Calibri"/>
          <w:b/>
          <w:sz w:val="22"/>
          <w:szCs w:val="22"/>
        </w:rPr>
        <w:t>Structure of the s</w:t>
      </w:r>
      <w:r w:rsidRPr="00FB3DE1">
        <w:rPr>
          <w:rFonts w:eastAsia="Calibri"/>
          <w:b/>
          <w:sz w:val="22"/>
          <w:szCs w:val="22"/>
        </w:rPr>
        <w:t>ession</w:t>
      </w:r>
    </w:p>
    <w:p w:rsidR="00FB3DE1" w:rsidRPr="00FB3DE1" w:rsidRDefault="00FB3DE1" w:rsidP="00FB3DE1">
      <w:pPr>
        <w:ind w:firstLine="360"/>
        <w:jc w:val="both"/>
        <w:rPr>
          <w:rFonts w:eastAsia="Calibri"/>
          <w:b/>
          <w:sz w:val="22"/>
          <w:szCs w:val="22"/>
        </w:rPr>
      </w:pPr>
    </w:p>
    <w:p w:rsidR="00FB3DE1" w:rsidRPr="00FB3DE1" w:rsidRDefault="00FB3DE1" w:rsidP="00FB3DE1">
      <w:pPr>
        <w:ind w:firstLine="720"/>
        <w:jc w:val="both"/>
        <w:rPr>
          <w:rFonts w:eastAsia="Calibri"/>
          <w:sz w:val="22"/>
          <w:szCs w:val="22"/>
        </w:rPr>
      </w:pPr>
      <w:r w:rsidRPr="00FB3DE1">
        <w:rPr>
          <w:rFonts w:eastAsia="Calibri"/>
          <w:sz w:val="22"/>
          <w:szCs w:val="22"/>
        </w:rPr>
        <w:t xml:space="preserve">The </w:t>
      </w:r>
      <w:r>
        <w:rPr>
          <w:rFonts w:eastAsia="Calibri"/>
          <w:sz w:val="22"/>
          <w:szCs w:val="22"/>
        </w:rPr>
        <w:t xml:space="preserve">session </w:t>
      </w:r>
      <w:r w:rsidRPr="00FB3DE1">
        <w:rPr>
          <w:rFonts w:eastAsia="Calibri"/>
          <w:sz w:val="22"/>
          <w:szCs w:val="22"/>
        </w:rPr>
        <w:t xml:space="preserve">will take the form of a plenary discussion among expert panelists from national, regional international </w:t>
      </w:r>
      <w:r>
        <w:rPr>
          <w:rFonts w:eastAsia="Calibri"/>
          <w:sz w:val="22"/>
          <w:szCs w:val="22"/>
        </w:rPr>
        <w:t>i</w:t>
      </w:r>
      <w:r w:rsidRPr="00FB3DE1">
        <w:rPr>
          <w:rFonts w:eastAsia="Calibri"/>
          <w:sz w:val="22"/>
          <w:szCs w:val="22"/>
        </w:rPr>
        <w:t xml:space="preserve">nstitutions with a record of accomplishment on the subject matter as well as from </w:t>
      </w:r>
      <w:r>
        <w:rPr>
          <w:rFonts w:eastAsia="Calibri"/>
          <w:sz w:val="22"/>
          <w:szCs w:val="22"/>
        </w:rPr>
        <w:t>member states</w:t>
      </w:r>
      <w:r w:rsidRPr="00FB3DE1">
        <w:rPr>
          <w:rFonts w:eastAsia="Calibri"/>
          <w:sz w:val="22"/>
          <w:szCs w:val="22"/>
        </w:rPr>
        <w:t xml:space="preserve">. Panelists </w:t>
      </w:r>
      <w:proofErr w:type="gramStart"/>
      <w:r w:rsidRPr="00FB3DE1">
        <w:rPr>
          <w:rFonts w:eastAsia="Calibri"/>
          <w:sz w:val="22"/>
          <w:szCs w:val="22"/>
        </w:rPr>
        <w:t>may be drawn</w:t>
      </w:r>
      <w:proofErr w:type="gramEnd"/>
      <w:r w:rsidRPr="00FB3DE1">
        <w:rPr>
          <w:rFonts w:eastAsia="Calibri"/>
          <w:sz w:val="22"/>
          <w:szCs w:val="22"/>
        </w:rPr>
        <w:t xml:space="preserve"> from among the following institutions and agencies:</w:t>
      </w:r>
    </w:p>
    <w:p w:rsidR="00FB3DE1" w:rsidRPr="00FB3DE1" w:rsidRDefault="00FB3DE1" w:rsidP="00FB3DE1">
      <w:pPr>
        <w:ind w:firstLine="360"/>
        <w:jc w:val="both"/>
        <w:rPr>
          <w:rFonts w:eastAsia="Calibri"/>
          <w:sz w:val="22"/>
          <w:szCs w:val="22"/>
        </w:rPr>
      </w:pPr>
    </w:p>
    <w:p w:rsidR="00FB3DE1" w:rsidRPr="00FB3DE1" w:rsidRDefault="00FB3DE1" w:rsidP="00FB3DE1">
      <w:pPr>
        <w:tabs>
          <w:tab w:val="left" w:pos="1440"/>
        </w:tabs>
        <w:ind w:left="1440" w:hanging="720"/>
        <w:jc w:val="both"/>
        <w:rPr>
          <w:rFonts w:eastAsia="Calibri"/>
          <w:sz w:val="22"/>
          <w:szCs w:val="22"/>
        </w:rPr>
      </w:pPr>
      <w:r w:rsidRPr="00FB3DE1">
        <w:rPr>
          <w:rFonts w:eastAsia="Calibri"/>
          <w:sz w:val="22"/>
          <w:szCs w:val="22"/>
        </w:rPr>
        <w:t>•</w:t>
      </w:r>
      <w:r w:rsidRPr="00FB3DE1">
        <w:rPr>
          <w:rFonts w:eastAsia="Calibri"/>
          <w:sz w:val="22"/>
          <w:szCs w:val="22"/>
        </w:rPr>
        <w:tab/>
        <w:t>The Boulder Center for Resilience (confirmed)</w:t>
      </w:r>
    </w:p>
    <w:p w:rsidR="00FB3DE1" w:rsidRPr="00FB3DE1" w:rsidRDefault="00FB3DE1" w:rsidP="00FB3DE1">
      <w:pPr>
        <w:pStyle w:val="ListParagraph0"/>
        <w:numPr>
          <w:ilvl w:val="0"/>
          <w:numId w:val="14"/>
        </w:numPr>
        <w:tabs>
          <w:tab w:val="left" w:pos="1440"/>
        </w:tabs>
        <w:ind w:left="1440" w:hanging="720"/>
        <w:contextualSpacing/>
        <w:jc w:val="both"/>
        <w:rPr>
          <w:sz w:val="22"/>
          <w:szCs w:val="22"/>
        </w:rPr>
      </w:pPr>
      <w:r w:rsidRPr="00FB3DE1">
        <w:rPr>
          <w:sz w:val="22"/>
          <w:szCs w:val="22"/>
        </w:rPr>
        <w:t>The National Institute of Science and Technology</w:t>
      </w:r>
      <w:r>
        <w:rPr>
          <w:sz w:val="22"/>
          <w:szCs w:val="22"/>
        </w:rPr>
        <w:t xml:space="preserve"> </w:t>
      </w:r>
      <w:r w:rsidRPr="00FB3DE1">
        <w:rPr>
          <w:sz w:val="22"/>
          <w:szCs w:val="22"/>
        </w:rPr>
        <w:t>(NIST)(TBC)</w:t>
      </w:r>
    </w:p>
    <w:p w:rsidR="00FB3DE1" w:rsidRPr="00FB3DE1" w:rsidRDefault="00FB3DE1" w:rsidP="00FB3DE1">
      <w:pPr>
        <w:pStyle w:val="ListParagraph0"/>
        <w:numPr>
          <w:ilvl w:val="0"/>
          <w:numId w:val="14"/>
        </w:numPr>
        <w:tabs>
          <w:tab w:val="left" w:pos="1440"/>
        </w:tabs>
        <w:ind w:left="1440" w:hanging="720"/>
        <w:contextualSpacing/>
        <w:jc w:val="both"/>
        <w:rPr>
          <w:sz w:val="22"/>
          <w:szCs w:val="22"/>
        </w:rPr>
      </w:pPr>
      <w:r w:rsidRPr="00FB3DE1">
        <w:rPr>
          <w:sz w:val="22"/>
          <w:szCs w:val="22"/>
        </w:rPr>
        <w:t>Inter-American Institute for Global Change Research-IAI(TBC)</w:t>
      </w:r>
    </w:p>
    <w:p w:rsidR="00FB3DE1" w:rsidRPr="00FB3DE1" w:rsidRDefault="00FB3DE1" w:rsidP="00FB3DE1">
      <w:pPr>
        <w:pStyle w:val="ListParagraph0"/>
        <w:numPr>
          <w:ilvl w:val="0"/>
          <w:numId w:val="14"/>
        </w:numPr>
        <w:tabs>
          <w:tab w:val="left" w:pos="1440"/>
        </w:tabs>
        <w:ind w:left="1440" w:hanging="720"/>
        <w:contextualSpacing/>
        <w:jc w:val="both"/>
        <w:rPr>
          <w:sz w:val="22"/>
          <w:szCs w:val="22"/>
        </w:rPr>
      </w:pPr>
      <w:r w:rsidRPr="00FB3DE1">
        <w:rPr>
          <w:sz w:val="22"/>
          <w:szCs w:val="22"/>
        </w:rPr>
        <w:t>The Secretariat for Integral Development</w:t>
      </w:r>
      <w:r>
        <w:rPr>
          <w:sz w:val="22"/>
          <w:szCs w:val="22"/>
        </w:rPr>
        <w:t xml:space="preserve"> </w:t>
      </w:r>
      <w:r w:rsidRPr="00FB3DE1">
        <w:rPr>
          <w:sz w:val="22"/>
          <w:szCs w:val="22"/>
        </w:rPr>
        <w:t>(SEDI)</w:t>
      </w:r>
    </w:p>
    <w:p w:rsidR="00FB3DE1" w:rsidRPr="00FB3DE1" w:rsidRDefault="00FB3DE1" w:rsidP="00FB3DE1">
      <w:pPr>
        <w:ind w:left="360"/>
        <w:jc w:val="both"/>
        <w:rPr>
          <w:rFonts w:eastAsia="Calibri"/>
          <w:sz w:val="22"/>
          <w:szCs w:val="22"/>
        </w:rPr>
      </w:pPr>
    </w:p>
    <w:p w:rsidR="00FB3DE1" w:rsidRPr="00FB3DE1" w:rsidRDefault="00FB3DE1" w:rsidP="00FB3DE1">
      <w:pPr>
        <w:ind w:left="360"/>
        <w:jc w:val="both"/>
        <w:rPr>
          <w:rFonts w:eastAsia="Calibri"/>
          <w:sz w:val="22"/>
          <w:szCs w:val="22"/>
        </w:rPr>
      </w:pPr>
    </w:p>
    <w:p w:rsidR="00FB3DE1" w:rsidRPr="00FB3DE1" w:rsidRDefault="00FB3DE1" w:rsidP="00FB3DE1">
      <w:pPr>
        <w:jc w:val="both"/>
        <w:rPr>
          <w:rFonts w:eastAsia="Calibri"/>
          <w:b/>
          <w:sz w:val="22"/>
          <w:szCs w:val="22"/>
        </w:rPr>
      </w:pPr>
      <w:r w:rsidRPr="00FB3DE1">
        <w:rPr>
          <w:rFonts w:eastAsia="Calibri"/>
          <w:b/>
          <w:sz w:val="22"/>
          <w:szCs w:val="22"/>
        </w:rPr>
        <w:t>Relevance to CIDI</w:t>
      </w:r>
    </w:p>
    <w:p w:rsidR="00FB3DE1" w:rsidRPr="00FB3DE1" w:rsidRDefault="00FB3DE1" w:rsidP="00FB3DE1">
      <w:pPr>
        <w:jc w:val="both"/>
        <w:rPr>
          <w:rFonts w:eastAsia="Calibri"/>
          <w:b/>
          <w:sz w:val="22"/>
          <w:szCs w:val="22"/>
        </w:rPr>
      </w:pPr>
    </w:p>
    <w:p w:rsidR="00FB3DE1" w:rsidRPr="00FB3DE1" w:rsidRDefault="00FB3DE1" w:rsidP="00FB3DE1">
      <w:pPr>
        <w:ind w:firstLine="720"/>
        <w:jc w:val="both"/>
        <w:rPr>
          <w:rFonts w:eastAsia="Calibri"/>
          <w:sz w:val="22"/>
          <w:szCs w:val="22"/>
        </w:rPr>
      </w:pPr>
      <w:r w:rsidRPr="00FB3DE1">
        <w:rPr>
          <w:rFonts w:eastAsia="Calibri"/>
          <w:sz w:val="22"/>
          <w:szCs w:val="22"/>
        </w:rPr>
        <w:t xml:space="preserve">The OAS Charter mandates CIDI to promote cooperation among OAS </w:t>
      </w:r>
      <w:r>
        <w:rPr>
          <w:rFonts w:eastAsia="Calibri"/>
          <w:sz w:val="22"/>
          <w:szCs w:val="22"/>
        </w:rPr>
        <w:t>member states</w:t>
      </w:r>
      <w:r w:rsidRPr="00FB3DE1">
        <w:rPr>
          <w:rFonts w:eastAsia="Calibri"/>
          <w:sz w:val="22"/>
          <w:szCs w:val="22"/>
        </w:rPr>
        <w:t xml:space="preserve"> to achieve integral development and, in particular, to help eliminate extreme poverty. The Charter also directs CIDI to "promote, coordinate and assign responsibility for the execution of development programs and projects to the subsidiary bodies and relevant organizations, on the basis of the priorities identified by the </w:t>
      </w:r>
      <w:r>
        <w:rPr>
          <w:rFonts w:eastAsia="Calibri"/>
          <w:sz w:val="22"/>
          <w:szCs w:val="22"/>
        </w:rPr>
        <w:t>member states</w:t>
      </w:r>
      <w:r w:rsidRPr="00FB3DE1">
        <w:rPr>
          <w:rFonts w:eastAsia="Calibri"/>
          <w:sz w:val="22"/>
          <w:szCs w:val="22"/>
        </w:rPr>
        <w:t>, in areas such as economic and social development, including trade, tourism, integration and the environment."</w:t>
      </w:r>
    </w:p>
    <w:p w:rsidR="00FB3DE1" w:rsidRPr="00FB3DE1" w:rsidRDefault="00FB3DE1" w:rsidP="00FB3DE1">
      <w:pPr>
        <w:jc w:val="both"/>
        <w:rPr>
          <w:rFonts w:eastAsia="Calibri"/>
          <w:sz w:val="22"/>
          <w:szCs w:val="22"/>
        </w:rPr>
      </w:pPr>
    </w:p>
    <w:p w:rsidR="00FB3DE1" w:rsidRPr="00FB3DE1" w:rsidRDefault="00FB3DE1" w:rsidP="00FB3DE1">
      <w:pPr>
        <w:ind w:firstLine="720"/>
        <w:jc w:val="both"/>
        <w:rPr>
          <w:rFonts w:eastAsia="Calibri"/>
          <w:sz w:val="22"/>
          <w:szCs w:val="22"/>
        </w:rPr>
      </w:pPr>
      <w:r w:rsidRPr="00FB3DE1">
        <w:rPr>
          <w:rFonts w:eastAsia="Calibri"/>
          <w:sz w:val="22"/>
          <w:szCs w:val="22"/>
        </w:rPr>
        <w:t xml:space="preserve">The Inter-American Program for Sustainable Development (PIDS) entrusts the GS/OAS through SEDI-DSD to collaborate with sustainable </w:t>
      </w:r>
      <w:r>
        <w:rPr>
          <w:rFonts w:eastAsia="Calibri"/>
          <w:sz w:val="22"/>
          <w:szCs w:val="22"/>
        </w:rPr>
        <w:t xml:space="preserve">development authorities of the </w:t>
      </w:r>
      <w:proofErr w:type="gramStart"/>
      <w:r>
        <w:rPr>
          <w:rFonts w:eastAsia="Calibri"/>
          <w:sz w:val="22"/>
          <w:szCs w:val="22"/>
        </w:rPr>
        <w:t>m</w:t>
      </w:r>
      <w:r w:rsidRPr="00FB3DE1">
        <w:rPr>
          <w:rFonts w:eastAsia="Calibri"/>
          <w:sz w:val="22"/>
          <w:szCs w:val="22"/>
        </w:rPr>
        <w:t>embers</w:t>
      </w:r>
      <w:proofErr w:type="gramEnd"/>
      <w:r w:rsidRPr="00FB3DE1">
        <w:rPr>
          <w:rFonts w:eastAsia="Calibri"/>
          <w:sz w:val="22"/>
          <w:szCs w:val="22"/>
        </w:rPr>
        <w:t xml:space="preserve"> </w:t>
      </w:r>
      <w:r>
        <w:rPr>
          <w:rFonts w:eastAsia="Calibri"/>
          <w:sz w:val="22"/>
          <w:szCs w:val="22"/>
        </w:rPr>
        <w:t>s</w:t>
      </w:r>
      <w:r w:rsidRPr="00FB3DE1">
        <w:rPr>
          <w:rFonts w:eastAsia="Calibri"/>
          <w:sz w:val="22"/>
          <w:szCs w:val="22"/>
        </w:rPr>
        <w:t xml:space="preserve">tates and coordinate with other entities and international organizations. The PIDS establishes strategic actions to ensure that the work of the General Secretariat on sustainable development </w:t>
      </w:r>
      <w:proofErr w:type="gramStart"/>
      <w:r w:rsidRPr="00FB3DE1">
        <w:rPr>
          <w:rFonts w:eastAsia="Calibri"/>
          <w:sz w:val="22"/>
          <w:szCs w:val="22"/>
        </w:rPr>
        <w:t>is aligned</w:t>
      </w:r>
      <w:proofErr w:type="gramEnd"/>
      <w:r w:rsidRPr="00FB3DE1">
        <w:rPr>
          <w:rFonts w:eastAsia="Calibri"/>
          <w:sz w:val="22"/>
          <w:szCs w:val="22"/>
        </w:rPr>
        <w:t xml:space="preserve"> with the implementation of the 2030 Agenda on Sustainable Development and the Paris Agreement on Climate Change and that its objectives and results are guided by the SDGs approved by </w:t>
      </w:r>
      <w:r>
        <w:rPr>
          <w:rFonts w:eastAsia="Calibri"/>
          <w:sz w:val="22"/>
          <w:szCs w:val="22"/>
        </w:rPr>
        <w:t>member states</w:t>
      </w:r>
      <w:r w:rsidRPr="00FB3DE1">
        <w:rPr>
          <w:rFonts w:eastAsia="Calibri"/>
          <w:sz w:val="22"/>
          <w:szCs w:val="22"/>
        </w:rPr>
        <w:t xml:space="preserve"> and contribute to their attainment.</w:t>
      </w:r>
    </w:p>
    <w:p w:rsidR="00FB3DE1" w:rsidRPr="00FB3DE1" w:rsidRDefault="00FB3DE1" w:rsidP="00FB3DE1">
      <w:pPr>
        <w:jc w:val="both"/>
        <w:rPr>
          <w:rFonts w:eastAsia="Calibri"/>
          <w:sz w:val="22"/>
          <w:szCs w:val="22"/>
        </w:rPr>
      </w:pPr>
    </w:p>
    <w:p w:rsidR="00FB3DE1" w:rsidRPr="00FB3DE1" w:rsidRDefault="00FB3DE1" w:rsidP="00FB3DE1">
      <w:pPr>
        <w:ind w:firstLine="720"/>
        <w:jc w:val="both"/>
        <w:rPr>
          <w:rFonts w:eastAsia="Calibri"/>
          <w:sz w:val="22"/>
          <w:szCs w:val="22"/>
        </w:rPr>
      </w:pPr>
      <w:proofErr w:type="gramStart"/>
      <w:r w:rsidRPr="00FB3DE1">
        <w:rPr>
          <w:rFonts w:eastAsia="Calibri"/>
          <w:sz w:val="22"/>
          <w:szCs w:val="22"/>
        </w:rPr>
        <w:t xml:space="preserve">According to the PIDS, the work of the General Secretariat should contribute directly to supporting </w:t>
      </w:r>
      <w:r>
        <w:rPr>
          <w:rFonts w:eastAsia="Calibri"/>
          <w:sz w:val="22"/>
          <w:szCs w:val="22"/>
        </w:rPr>
        <w:t>member states</w:t>
      </w:r>
      <w:r w:rsidRPr="00FB3DE1">
        <w:rPr>
          <w:rFonts w:eastAsia="Calibri"/>
          <w:sz w:val="22"/>
          <w:szCs w:val="22"/>
        </w:rPr>
        <w:t xml:space="preserve"> in their efforts to meet: SDG 11 “Make cities and human settlements inclusive, safe, resilient and sustainable;” SDG 15, “Protect, restore and promote sustainable use of terrestrial ecosystems, sustainably manage forests, combat desertification and halt and reverse land degradation and halt biodiversity loss;” and SDG 7 “Ensure access to affordable, reliable, sustainable and modern energy for all;”  as well as the interrelated targets of other SDGs on the 2030 Agenda and its crosscutting elements.</w:t>
      </w:r>
      <w:proofErr w:type="gramEnd"/>
      <w:r w:rsidRPr="00FB3DE1">
        <w:rPr>
          <w:rFonts w:eastAsia="Calibri"/>
          <w:sz w:val="22"/>
          <w:szCs w:val="22"/>
        </w:rPr>
        <w:t xml:space="preserve"> </w:t>
      </w:r>
    </w:p>
    <w:p w:rsidR="00FB3DE1" w:rsidRPr="00FB3DE1" w:rsidRDefault="00FB3DE1" w:rsidP="00FB3DE1">
      <w:pPr>
        <w:jc w:val="both"/>
        <w:rPr>
          <w:rFonts w:eastAsia="Calibri"/>
          <w:sz w:val="22"/>
          <w:szCs w:val="22"/>
        </w:rPr>
      </w:pPr>
    </w:p>
    <w:p w:rsidR="00FB3DE1" w:rsidRPr="00FB3DE1" w:rsidRDefault="00FB3DE1" w:rsidP="00FB3DE1">
      <w:pPr>
        <w:jc w:val="both"/>
        <w:rPr>
          <w:rFonts w:eastAsia="Calibri"/>
          <w:sz w:val="22"/>
          <w:szCs w:val="22"/>
        </w:rPr>
      </w:pPr>
      <w:r w:rsidRPr="00FB3DE1">
        <w:rPr>
          <w:rFonts w:eastAsia="Calibri"/>
          <w:b/>
          <w:sz w:val="22"/>
          <w:szCs w:val="22"/>
          <w:u w:val="single"/>
        </w:rPr>
        <w:t>OUTCOME OF THE SESSION:</w:t>
      </w:r>
    </w:p>
    <w:p w:rsidR="00FB3DE1" w:rsidRPr="00FB3DE1" w:rsidRDefault="00FB3DE1" w:rsidP="00FB3DE1">
      <w:pPr>
        <w:jc w:val="both"/>
        <w:rPr>
          <w:rFonts w:eastAsia="Calibri"/>
          <w:sz w:val="22"/>
          <w:szCs w:val="22"/>
        </w:rPr>
      </w:pPr>
    </w:p>
    <w:p w:rsidR="00FB3DE1" w:rsidRPr="00FB3DE1" w:rsidRDefault="00FB3DE1" w:rsidP="00FB3DE1">
      <w:pPr>
        <w:ind w:firstLine="720"/>
        <w:jc w:val="both"/>
        <w:rPr>
          <w:rFonts w:eastAsia="Calibri"/>
          <w:iCs/>
          <w:sz w:val="22"/>
          <w:szCs w:val="22"/>
        </w:rPr>
      </w:pPr>
      <w:r w:rsidRPr="00FB3DE1">
        <w:rPr>
          <w:rFonts w:eastAsia="Calibri"/>
          <w:sz w:val="22"/>
          <w:szCs w:val="22"/>
        </w:rPr>
        <w:t xml:space="preserve"> </w:t>
      </w:r>
      <w:r w:rsidRPr="00FB3DE1">
        <w:rPr>
          <w:iCs/>
          <w:sz w:val="22"/>
          <w:szCs w:val="22"/>
        </w:rPr>
        <w:t xml:space="preserve">It </w:t>
      </w:r>
      <w:proofErr w:type="gramStart"/>
      <w:r w:rsidRPr="00FB3DE1">
        <w:rPr>
          <w:iCs/>
          <w:sz w:val="22"/>
          <w:szCs w:val="22"/>
        </w:rPr>
        <w:t>is anticipated</w:t>
      </w:r>
      <w:proofErr w:type="gramEnd"/>
      <w:r w:rsidRPr="00FB3DE1">
        <w:rPr>
          <w:iCs/>
          <w:sz w:val="22"/>
          <w:szCs w:val="22"/>
        </w:rPr>
        <w:t xml:space="preserve"> that by the end of the session delegations will:</w:t>
      </w:r>
    </w:p>
    <w:p w:rsidR="00FB3DE1" w:rsidRPr="00FB3DE1" w:rsidRDefault="00FB3DE1" w:rsidP="00FB3DE1">
      <w:pPr>
        <w:jc w:val="both"/>
        <w:rPr>
          <w:iCs/>
          <w:sz w:val="22"/>
          <w:szCs w:val="22"/>
        </w:rPr>
      </w:pPr>
    </w:p>
    <w:p w:rsidR="00FB3DE1" w:rsidRPr="00FB3DE1" w:rsidRDefault="00FB3DE1" w:rsidP="00FB3DE1">
      <w:pPr>
        <w:pStyle w:val="ListParagraph0"/>
        <w:numPr>
          <w:ilvl w:val="0"/>
          <w:numId w:val="15"/>
        </w:numPr>
        <w:ind w:left="1440" w:hanging="720"/>
        <w:contextualSpacing/>
        <w:jc w:val="both"/>
        <w:rPr>
          <w:iCs/>
          <w:sz w:val="22"/>
          <w:szCs w:val="22"/>
        </w:rPr>
      </w:pPr>
      <w:r w:rsidRPr="00FB3DE1">
        <w:rPr>
          <w:iCs/>
          <w:sz w:val="22"/>
          <w:szCs w:val="22"/>
        </w:rPr>
        <w:t xml:space="preserve">Provide </w:t>
      </w:r>
      <w:r>
        <w:rPr>
          <w:iCs/>
          <w:sz w:val="22"/>
          <w:szCs w:val="22"/>
        </w:rPr>
        <w:t>member states</w:t>
      </w:r>
      <w:r w:rsidRPr="00FB3DE1">
        <w:rPr>
          <w:iCs/>
          <w:sz w:val="22"/>
          <w:szCs w:val="22"/>
        </w:rPr>
        <w:t xml:space="preserve"> with a clearer appreciation of the typology of disasters and the ways in which multi-level science can use the destruction caused by disasters to inform sound resilience building policies and strategies</w:t>
      </w:r>
      <w:r w:rsidR="00C62C07">
        <w:rPr>
          <w:iCs/>
          <w:sz w:val="22"/>
          <w:szCs w:val="22"/>
        </w:rPr>
        <w:t>.</w:t>
      </w:r>
    </w:p>
    <w:p w:rsidR="00FB3DE1" w:rsidRPr="00FB3DE1" w:rsidRDefault="00FB3DE1" w:rsidP="00FB3DE1">
      <w:pPr>
        <w:ind w:left="1440" w:hanging="720"/>
        <w:jc w:val="both"/>
        <w:rPr>
          <w:rFonts w:eastAsia="Calibri"/>
          <w:sz w:val="22"/>
          <w:szCs w:val="22"/>
        </w:rPr>
      </w:pPr>
    </w:p>
    <w:p w:rsidR="00FB3DE1" w:rsidRPr="00FB3DE1" w:rsidRDefault="00FB3DE1" w:rsidP="00FB3DE1">
      <w:pPr>
        <w:numPr>
          <w:ilvl w:val="0"/>
          <w:numId w:val="8"/>
        </w:numPr>
        <w:ind w:left="1440" w:hanging="720"/>
        <w:jc w:val="both"/>
        <w:rPr>
          <w:rFonts w:eastAsia="Calibri"/>
          <w:sz w:val="22"/>
          <w:szCs w:val="22"/>
        </w:rPr>
      </w:pPr>
      <w:r w:rsidRPr="00FB3DE1">
        <w:rPr>
          <w:rFonts w:eastAsia="Calibri"/>
          <w:sz w:val="22"/>
          <w:szCs w:val="22"/>
        </w:rPr>
        <w:t>Produce recommendations on mechanisms that can contribute to the attainment of the 2030 Agenda for Sustainable Development and the SDGs as they relate to the Green Blue and Orange Economies.</w:t>
      </w:r>
    </w:p>
    <w:p w:rsidR="00FB3DE1" w:rsidRPr="00FB3DE1" w:rsidRDefault="00FB3DE1" w:rsidP="00FB3DE1">
      <w:pPr>
        <w:ind w:left="1440" w:hanging="720"/>
        <w:jc w:val="both"/>
        <w:rPr>
          <w:rFonts w:eastAsia="Calibri"/>
          <w:sz w:val="22"/>
          <w:szCs w:val="22"/>
        </w:rPr>
      </w:pPr>
    </w:p>
    <w:p w:rsidR="00FB3DE1" w:rsidRPr="00FB3DE1" w:rsidRDefault="00FB3DE1" w:rsidP="00FB3DE1">
      <w:pPr>
        <w:numPr>
          <w:ilvl w:val="0"/>
          <w:numId w:val="8"/>
        </w:numPr>
        <w:ind w:left="1440" w:hanging="720"/>
        <w:jc w:val="both"/>
        <w:rPr>
          <w:rFonts w:eastAsia="Calibri"/>
          <w:sz w:val="22"/>
          <w:szCs w:val="22"/>
        </w:rPr>
      </w:pPr>
      <w:r w:rsidRPr="00FB3DE1">
        <w:rPr>
          <w:rFonts w:eastAsia="Calibri"/>
          <w:sz w:val="22"/>
          <w:szCs w:val="22"/>
        </w:rPr>
        <w:t xml:space="preserve">Inform and guide the efforts of the Secretariat for Integral Development in positioning itself in supporting the development of environmental resilience the context of the SEDI Strategic Plan, and Inter-American Program for Sustainable Development (PIDS). </w:t>
      </w:r>
    </w:p>
    <w:p w:rsidR="00FB3DE1" w:rsidRPr="00FB3DE1" w:rsidRDefault="00FB3DE1" w:rsidP="00FB3DE1">
      <w:pPr>
        <w:pStyle w:val="ListParagraph0"/>
        <w:ind w:left="1440" w:hanging="720"/>
        <w:jc w:val="both"/>
        <w:rPr>
          <w:sz w:val="22"/>
          <w:szCs w:val="22"/>
        </w:rPr>
      </w:pPr>
    </w:p>
    <w:p w:rsidR="00FB3DE1" w:rsidRPr="00FB3DE1" w:rsidRDefault="00FB3DE1" w:rsidP="00FB3DE1">
      <w:pPr>
        <w:numPr>
          <w:ilvl w:val="0"/>
          <w:numId w:val="8"/>
        </w:numPr>
        <w:ind w:left="1440" w:hanging="720"/>
        <w:jc w:val="both"/>
        <w:rPr>
          <w:rFonts w:eastAsia="Calibri"/>
          <w:sz w:val="22"/>
          <w:szCs w:val="22"/>
          <w:lang w:val="en-GB"/>
        </w:rPr>
      </w:pPr>
      <w:r w:rsidRPr="00FB3DE1">
        <w:rPr>
          <w:rFonts w:eastAsia="Calibri"/>
          <w:sz w:val="22"/>
          <w:szCs w:val="22"/>
          <w:lang w:val="en-GB"/>
        </w:rPr>
        <w:t xml:space="preserve">Identify policies that support the sustainable use of resources, and encourage on-going consultation on methodologies, tools and opportunities that create new momentum on resilience building. </w:t>
      </w:r>
    </w:p>
    <w:p w:rsidR="00FB3DE1" w:rsidRPr="00FB3DE1" w:rsidRDefault="00FB3DE1" w:rsidP="00FB3DE1">
      <w:pPr>
        <w:pStyle w:val="ListParagraph0"/>
        <w:ind w:left="1440" w:hanging="720"/>
        <w:jc w:val="both"/>
        <w:rPr>
          <w:sz w:val="22"/>
          <w:szCs w:val="22"/>
          <w:lang w:val="en-GB"/>
        </w:rPr>
      </w:pPr>
    </w:p>
    <w:p w:rsidR="00FB3DE1" w:rsidRPr="00FB3DE1" w:rsidRDefault="00FB3DE1" w:rsidP="00FB3DE1">
      <w:pPr>
        <w:numPr>
          <w:ilvl w:val="0"/>
          <w:numId w:val="8"/>
        </w:numPr>
        <w:ind w:left="1440" w:hanging="720"/>
        <w:jc w:val="both"/>
        <w:rPr>
          <w:rFonts w:eastAsia="Calibri"/>
          <w:sz w:val="22"/>
          <w:szCs w:val="22"/>
        </w:rPr>
      </w:pPr>
      <w:r w:rsidRPr="00FB3DE1">
        <w:rPr>
          <w:rFonts w:eastAsia="Calibri"/>
          <w:sz w:val="22"/>
          <w:szCs w:val="22"/>
        </w:rPr>
        <w:t>Identify and raise awareness amongst key actors in the Americas about imperatives of environmental resilience</w:t>
      </w:r>
      <w:r w:rsidR="00C62C07">
        <w:rPr>
          <w:rFonts w:eastAsia="Calibri"/>
          <w:sz w:val="22"/>
          <w:szCs w:val="22"/>
        </w:rPr>
        <w:t>.</w:t>
      </w:r>
    </w:p>
    <w:p w:rsidR="00FB3DE1" w:rsidRPr="00FB3DE1" w:rsidRDefault="00FB3DE1" w:rsidP="00FB3DE1">
      <w:pPr>
        <w:pStyle w:val="ListParagraph0"/>
        <w:ind w:left="1440" w:hanging="720"/>
        <w:jc w:val="both"/>
        <w:rPr>
          <w:sz w:val="22"/>
          <w:szCs w:val="22"/>
        </w:rPr>
      </w:pPr>
    </w:p>
    <w:p w:rsidR="00FB3DE1" w:rsidRPr="00FB3DE1" w:rsidRDefault="00E223A0" w:rsidP="00FB3DE1">
      <w:pPr>
        <w:numPr>
          <w:ilvl w:val="0"/>
          <w:numId w:val="8"/>
        </w:numPr>
        <w:ind w:left="1440" w:hanging="720"/>
        <w:jc w:val="both"/>
        <w:rPr>
          <w:rFonts w:eastAsia="Calibri"/>
          <w:sz w:val="22"/>
          <w:szCs w:val="22"/>
        </w:rPr>
      </w:pPr>
      <w:r>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E223A0" w:rsidRPr="00E223A0" w:rsidRDefault="00E223A0">
                            <w:pPr>
                              <w:rPr>
                                <w:sz w:val="18"/>
                              </w:rPr>
                            </w:pPr>
                            <w:r>
                              <w:rPr>
                                <w:sz w:val="18"/>
                              </w:rPr>
                              <w:fldChar w:fldCharType="begin"/>
                            </w:r>
                            <w:r>
                              <w:rPr>
                                <w:sz w:val="18"/>
                              </w:rPr>
                              <w:instrText xml:space="preserve"> FILENAME  \* MERGEFORMAT </w:instrText>
                            </w:r>
                            <w:r>
                              <w:rPr>
                                <w:sz w:val="18"/>
                              </w:rPr>
                              <w:fldChar w:fldCharType="separate"/>
                            </w:r>
                            <w:r>
                              <w:rPr>
                                <w:noProof/>
                                <w:sz w:val="18"/>
                              </w:rPr>
                              <w:t>CIDRP02969E01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E223A0" w:rsidRPr="00E223A0" w:rsidRDefault="00E223A0">
                      <w:pPr>
                        <w:rPr>
                          <w:sz w:val="18"/>
                        </w:rPr>
                      </w:pPr>
                      <w:r>
                        <w:rPr>
                          <w:sz w:val="18"/>
                        </w:rPr>
                        <w:fldChar w:fldCharType="begin"/>
                      </w:r>
                      <w:r>
                        <w:rPr>
                          <w:sz w:val="18"/>
                        </w:rPr>
                        <w:instrText xml:space="preserve"> FILENAME  \* MERGEFORMAT </w:instrText>
                      </w:r>
                      <w:r>
                        <w:rPr>
                          <w:sz w:val="18"/>
                        </w:rPr>
                        <w:fldChar w:fldCharType="separate"/>
                      </w:r>
                      <w:r>
                        <w:rPr>
                          <w:noProof/>
                          <w:sz w:val="18"/>
                        </w:rPr>
                        <w:t>CIDRP02969E01</w:t>
                      </w:r>
                      <w:r>
                        <w:rPr>
                          <w:sz w:val="18"/>
                        </w:rPr>
                        <w:fldChar w:fldCharType="end"/>
                      </w:r>
                    </w:p>
                  </w:txbxContent>
                </v:textbox>
                <w10:wrap anchory="page"/>
                <w10:anchorlock/>
              </v:shape>
            </w:pict>
          </mc:Fallback>
        </mc:AlternateContent>
      </w:r>
      <w:r w:rsidR="00FB3DE1" w:rsidRPr="00FB3DE1">
        <w:rPr>
          <w:rFonts w:eastAsia="Calibri"/>
          <w:sz w:val="22"/>
          <w:szCs w:val="22"/>
        </w:rPr>
        <w:t xml:space="preserve">Identify the main strategic policy and investment choices that </w:t>
      </w:r>
      <w:proofErr w:type="gramStart"/>
      <w:r w:rsidR="00FB3DE1" w:rsidRPr="00FB3DE1">
        <w:rPr>
          <w:rFonts w:eastAsia="Calibri"/>
          <w:sz w:val="22"/>
          <w:szCs w:val="22"/>
        </w:rPr>
        <w:t>will be needed</w:t>
      </w:r>
      <w:proofErr w:type="gramEnd"/>
      <w:r w:rsidR="00FB3DE1" w:rsidRPr="00FB3DE1">
        <w:rPr>
          <w:rFonts w:eastAsia="Calibri"/>
          <w:sz w:val="22"/>
          <w:szCs w:val="22"/>
        </w:rPr>
        <w:t xml:space="preserve"> to build- back- better with respect to infrastructural development, energy, land use, coastal zone management and transportation, among others</w:t>
      </w:r>
      <w:r w:rsidR="00C62C07">
        <w:rPr>
          <w:rFonts w:eastAsia="Calibri"/>
          <w:sz w:val="22"/>
          <w:szCs w:val="22"/>
        </w:rPr>
        <w:t>.</w:t>
      </w:r>
      <w:bookmarkStart w:id="1" w:name="_GoBack"/>
      <w:bookmarkEnd w:id="1"/>
    </w:p>
    <w:sectPr w:rsidR="00FB3DE1" w:rsidRPr="00FB3DE1"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A5" w:rsidRDefault="00887DA5">
      <w:r>
        <w:separator/>
      </w:r>
    </w:p>
  </w:endnote>
  <w:endnote w:type="continuationSeparator" w:id="0">
    <w:p w:rsidR="00887DA5" w:rsidRDefault="008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A5" w:rsidRDefault="00887DA5">
      <w:r>
        <w:separator/>
      </w:r>
    </w:p>
  </w:footnote>
  <w:footnote w:type="continuationSeparator" w:id="0">
    <w:p w:rsidR="00887DA5" w:rsidRDefault="00887DA5">
      <w:r>
        <w:continuationSeparator/>
      </w:r>
    </w:p>
  </w:footnote>
  <w:footnote w:id="1">
    <w:p w:rsidR="00FB3DE1" w:rsidRDefault="00FB3DE1" w:rsidP="00FB3DE1">
      <w:pPr>
        <w:pStyle w:val="FootnoteText"/>
        <w:tabs>
          <w:tab w:val="left" w:pos="1080"/>
        </w:tabs>
        <w:ind w:firstLine="720"/>
      </w:pPr>
      <w:r w:rsidRPr="00FB3DE1">
        <w:rPr>
          <w:rStyle w:val="FootnoteReference"/>
          <w:vertAlign w:val="baseline"/>
        </w:rPr>
        <w:footnoteRef/>
      </w:r>
      <w:r>
        <w:t>.</w:t>
      </w:r>
      <w:r>
        <w:tab/>
        <w:t xml:space="preserve"> </w:t>
      </w:r>
      <w:hyperlink r:id="rId1" w:history="1">
        <w:r>
          <w:rPr>
            <w:rStyle w:val="Hyperlink"/>
          </w:rPr>
          <w:t>https://reliefweb.int/report/world/natural-disasters-latin-america-and-caribbean-2000-2019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223A0">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496018">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496018"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Default="00496018" w:rsidP="00AB7175">
                    <w:pPr>
                      <w:ind w:right="-130"/>
                    </w:pPr>
                    <w:r>
                      <w:rPr>
                        <w:rFonts w:ascii="News Gothic MT" w:hAnsi="News Gothic MT"/>
                        <w:noProof/>
                        <w:color w:val="000000"/>
                      </w:rPr>
                      <w:drawing>
                        <wp:inline distT="0" distB="0" distL="0" distR="0">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3"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0"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8"/>
  </w:num>
  <w:num w:numId="12">
    <w:abstractNumId w:val="1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4202"/>
    <w:rsid w:val="0026449A"/>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21AA1"/>
    <w:rsid w:val="004279F5"/>
    <w:rsid w:val="00457B19"/>
    <w:rsid w:val="00461F49"/>
    <w:rsid w:val="0046301C"/>
    <w:rsid w:val="00463A6B"/>
    <w:rsid w:val="0046512F"/>
    <w:rsid w:val="00467A8F"/>
    <w:rsid w:val="00476255"/>
    <w:rsid w:val="00490731"/>
    <w:rsid w:val="00493B12"/>
    <w:rsid w:val="00496018"/>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2C07"/>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23A0"/>
    <w:rsid w:val="00E23168"/>
    <w:rsid w:val="00E3284A"/>
    <w:rsid w:val="00E40079"/>
    <w:rsid w:val="00E423A7"/>
    <w:rsid w:val="00E50C47"/>
    <w:rsid w:val="00E51CC2"/>
    <w:rsid w:val="00E55047"/>
    <w:rsid w:val="00E55B8A"/>
    <w:rsid w:val="00E61585"/>
    <w:rsid w:val="00E83BE7"/>
    <w:rsid w:val="00E90F30"/>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A607C"/>
    <w:rsid w:val="00FA61C9"/>
    <w:rsid w:val="00FA6A04"/>
    <w:rsid w:val="00FB0853"/>
    <w:rsid w:val="00FB3DE1"/>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3116670-2308-4143-BD6E-13CBD442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world/natural-disasters-latin-america-and-caribbean-2000-2019"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A667-BA08-488E-BFF4-CAC36F70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5809</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2020-09-09T20:52:00Z</dcterms:created>
  <dcterms:modified xsi:type="dcterms:W3CDTF">2020-09-09T20:54:00Z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