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3" w:rsidRPr="004C5C8C" w:rsidRDefault="00FA607C" w:rsidP="000B6478">
      <w:pPr>
        <w:tabs>
          <w:tab w:val="left" w:pos="7200"/>
        </w:tabs>
        <w:ind w:right="-1080"/>
        <w:rPr>
          <w:sz w:val="22"/>
          <w:szCs w:val="22"/>
          <w:lang w:val="pt-BR"/>
        </w:rPr>
      </w:pPr>
      <w:bookmarkStart w:id="0" w:name="_top"/>
      <w:bookmarkEnd w:id="0"/>
      <w:r w:rsidRPr="00AF79E2">
        <w:rPr>
          <w:sz w:val="22"/>
          <w:szCs w:val="22"/>
          <w:lang w:val="fr-CA"/>
        </w:rPr>
        <w:tab/>
      </w:r>
      <w:r w:rsidRPr="004C5C8C">
        <w:rPr>
          <w:sz w:val="22"/>
          <w:szCs w:val="22"/>
          <w:lang w:val="pt-BR"/>
        </w:rPr>
        <w:t>OEA/</w:t>
      </w:r>
      <w:proofErr w:type="spellStart"/>
      <w:proofErr w:type="gramStart"/>
      <w:r w:rsidRPr="004C5C8C">
        <w:rPr>
          <w:sz w:val="22"/>
          <w:szCs w:val="22"/>
          <w:lang w:val="pt-BR"/>
        </w:rPr>
        <w:t>Ser.</w:t>
      </w:r>
      <w:proofErr w:type="gramEnd"/>
      <w:r w:rsidRPr="004C5C8C">
        <w:rPr>
          <w:sz w:val="22"/>
          <w:szCs w:val="22"/>
          <w:lang w:val="pt-BR"/>
        </w:rPr>
        <w:t>W</w:t>
      </w:r>
      <w:proofErr w:type="spellEnd"/>
    </w:p>
    <w:p w:rsidR="00722693" w:rsidRPr="004C5C8C" w:rsidRDefault="00FA607C" w:rsidP="000B6478">
      <w:pPr>
        <w:tabs>
          <w:tab w:val="left" w:pos="7200"/>
        </w:tabs>
        <w:ind w:right="-1080"/>
        <w:rPr>
          <w:sz w:val="22"/>
          <w:szCs w:val="22"/>
          <w:lang w:val="pt-BR"/>
        </w:rPr>
      </w:pPr>
      <w:r w:rsidRPr="004C5C8C">
        <w:rPr>
          <w:sz w:val="22"/>
          <w:szCs w:val="22"/>
          <w:lang w:val="pt-BR"/>
        </w:rPr>
        <w:tab/>
      </w:r>
      <w:proofErr w:type="spellStart"/>
      <w:r w:rsidRPr="004C5C8C">
        <w:rPr>
          <w:sz w:val="22"/>
          <w:szCs w:val="22"/>
          <w:lang w:val="pt-BR"/>
        </w:rPr>
        <w:t>CIDI</w:t>
      </w:r>
      <w:proofErr w:type="spellEnd"/>
      <w:r w:rsidRPr="004C5C8C">
        <w:rPr>
          <w:sz w:val="22"/>
          <w:szCs w:val="22"/>
          <w:lang w:val="pt-BR"/>
        </w:rPr>
        <w:t>/</w:t>
      </w:r>
      <w:proofErr w:type="spellStart"/>
      <w:r w:rsidRPr="004C5C8C">
        <w:rPr>
          <w:sz w:val="22"/>
          <w:szCs w:val="22"/>
          <w:lang w:val="pt-BR"/>
        </w:rPr>
        <w:t>INF.</w:t>
      </w:r>
      <w:r w:rsidR="00496018" w:rsidRPr="004C5C8C">
        <w:rPr>
          <w:sz w:val="22"/>
          <w:szCs w:val="22"/>
          <w:lang w:val="pt-BR"/>
        </w:rPr>
        <w:t>384</w:t>
      </w:r>
      <w:proofErr w:type="spellEnd"/>
      <w:r w:rsidRPr="004C5C8C">
        <w:rPr>
          <w:sz w:val="22"/>
          <w:szCs w:val="22"/>
          <w:lang w:val="pt-BR"/>
        </w:rPr>
        <w:t>/</w:t>
      </w:r>
      <w:r w:rsidR="000B6478" w:rsidRPr="004C5C8C">
        <w:rPr>
          <w:sz w:val="22"/>
          <w:szCs w:val="22"/>
          <w:lang w:val="pt-BR"/>
        </w:rPr>
        <w:t>20</w:t>
      </w:r>
    </w:p>
    <w:p w:rsidR="00921E9E" w:rsidRPr="00AF79E2" w:rsidRDefault="00FA607C" w:rsidP="000B6478">
      <w:pPr>
        <w:tabs>
          <w:tab w:val="left" w:pos="7200"/>
        </w:tabs>
        <w:ind w:right="-1080"/>
        <w:rPr>
          <w:sz w:val="22"/>
          <w:szCs w:val="22"/>
          <w:lang w:val="fr-CA"/>
        </w:rPr>
      </w:pPr>
      <w:r w:rsidRPr="004C5C8C">
        <w:rPr>
          <w:sz w:val="22"/>
          <w:szCs w:val="22"/>
          <w:lang w:val="pt-BR"/>
        </w:rPr>
        <w:tab/>
      </w:r>
      <w:r w:rsidR="00FB3DE1" w:rsidRPr="00AF79E2">
        <w:rPr>
          <w:sz w:val="22"/>
          <w:szCs w:val="22"/>
          <w:lang w:val="fr-CA"/>
        </w:rPr>
        <w:t>9</w:t>
      </w:r>
      <w:r w:rsidR="00AF79E2">
        <w:rPr>
          <w:sz w:val="22"/>
          <w:szCs w:val="22"/>
          <w:lang w:val="fr-CA"/>
        </w:rPr>
        <w:t xml:space="preserve"> septembre</w:t>
      </w:r>
      <w:r w:rsidR="004A7C48" w:rsidRPr="00AF79E2">
        <w:rPr>
          <w:sz w:val="22"/>
          <w:szCs w:val="22"/>
          <w:lang w:val="fr-CA"/>
        </w:rPr>
        <w:t xml:space="preserve"> 20</w:t>
      </w:r>
      <w:r w:rsidR="000B6478" w:rsidRPr="00AF79E2">
        <w:rPr>
          <w:sz w:val="22"/>
          <w:szCs w:val="22"/>
          <w:lang w:val="fr-CA"/>
        </w:rPr>
        <w:t>20</w:t>
      </w:r>
    </w:p>
    <w:p w:rsidR="00921E9E" w:rsidRPr="00AF79E2" w:rsidRDefault="00FA607C" w:rsidP="000B6478">
      <w:pPr>
        <w:pBdr>
          <w:bottom w:val="single" w:sz="12" w:space="1" w:color="auto"/>
        </w:pBdr>
        <w:tabs>
          <w:tab w:val="left" w:pos="7200"/>
        </w:tabs>
        <w:ind w:right="-389"/>
        <w:rPr>
          <w:sz w:val="22"/>
          <w:szCs w:val="22"/>
          <w:lang w:val="fr-CA"/>
        </w:rPr>
      </w:pPr>
      <w:r w:rsidRPr="00AF79E2">
        <w:rPr>
          <w:sz w:val="22"/>
          <w:szCs w:val="22"/>
          <w:lang w:val="fr-CA"/>
        </w:rPr>
        <w:tab/>
        <w:t xml:space="preserve">Original: </w:t>
      </w:r>
      <w:r w:rsidR="00AF79E2">
        <w:rPr>
          <w:sz w:val="22"/>
          <w:szCs w:val="22"/>
          <w:lang w:val="fr-CA"/>
        </w:rPr>
        <w:t>anglais</w:t>
      </w:r>
    </w:p>
    <w:p w:rsidR="00921E9E" w:rsidRPr="00AF79E2" w:rsidRDefault="00921E9E" w:rsidP="000B6478">
      <w:pPr>
        <w:pBdr>
          <w:bottom w:val="single" w:sz="12" w:space="1" w:color="auto"/>
        </w:pBdr>
        <w:tabs>
          <w:tab w:val="left" w:pos="7200"/>
        </w:tabs>
        <w:ind w:right="-389"/>
        <w:rPr>
          <w:sz w:val="22"/>
          <w:szCs w:val="22"/>
          <w:lang w:val="fr-CA"/>
        </w:rPr>
      </w:pPr>
    </w:p>
    <w:p w:rsidR="00722693" w:rsidRPr="00AF79E2" w:rsidRDefault="00722693" w:rsidP="000B6478">
      <w:pPr>
        <w:tabs>
          <w:tab w:val="left" w:pos="7200"/>
        </w:tabs>
        <w:ind w:right="-1080"/>
        <w:rPr>
          <w:sz w:val="22"/>
          <w:szCs w:val="22"/>
          <w:lang w:val="fr-CA"/>
        </w:rPr>
      </w:pPr>
    </w:p>
    <w:p w:rsidR="00AB7175" w:rsidRPr="00AF79E2" w:rsidRDefault="00AB7175" w:rsidP="000B6478">
      <w:pPr>
        <w:jc w:val="both"/>
        <w:outlineLvl w:val="0"/>
        <w:rPr>
          <w:sz w:val="22"/>
          <w:szCs w:val="22"/>
          <w:lang w:val="fr-CA"/>
        </w:rPr>
      </w:pPr>
    </w:p>
    <w:p w:rsidR="00921E9E" w:rsidRPr="00AF79E2" w:rsidRDefault="00AF79E2" w:rsidP="000B6478">
      <w:pPr>
        <w:jc w:val="center"/>
        <w:rPr>
          <w:rFonts w:eastAsia="Calibri"/>
          <w:sz w:val="22"/>
          <w:szCs w:val="22"/>
          <w:lang w:val="fr-CA"/>
        </w:rPr>
      </w:pPr>
      <w:r>
        <w:rPr>
          <w:sz w:val="22"/>
          <w:szCs w:val="22"/>
          <w:lang w:val="fr-CA"/>
        </w:rPr>
        <w:t>NOTE CONCEPTUELLE</w:t>
      </w:r>
    </w:p>
    <w:p w:rsidR="00723DE2" w:rsidRPr="00AF79E2" w:rsidRDefault="00723DE2" w:rsidP="000B6478">
      <w:pPr>
        <w:rPr>
          <w:rFonts w:eastAsia="Calibri"/>
          <w:sz w:val="22"/>
          <w:szCs w:val="22"/>
          <w:lang w:val="fr-CA"/>
        </w:rPr>
      </w:pPr>
    </w:p>
    <w:p w:rsidR="00DD0DD6" w:rsidRPr="00AF79E2" w:rsidRDefault="00FA607C" w:rsidP="000B6478">
      <w:pPr>
        <w:jc w:val="center"/>
        <w:rPr>
          <w:rFonts w:eastAsia="Calibri"/>
          <w:caps/>
          <w:sz w:val="22"/>
          <w:szCs w:val="22"/>
          <w:lang w:val="fr-CA"/>
        </w:rPr>
      </w:pPr>
      <w:r w:rsidRPr="00AF79E2">
        <w:rPr>
          <w:caps/>
          <w:sz w:val="22"/>
          <w:szCs w:val="22"/>
          <w:lang w:val="fr-CA"/>
        </w:rPr>
        <w:t>R</w:t>
      </w:r>
      <w:r w:rsidR="00AF79E2">
        <w:rPr>
          <w:caps/>
          <w:sz w:val="22"/>
          <w:szCs w:val="22"/>
          <w:lang w:val="fr-CA"/>
        </w:rPr>
        <w:t>ÉUNION ORDINAIRE DU</w:t>
      </w:r>
      <w:r w:rsidRPr="00AF79E2">
        <w:rPr>
          <w:caps/>
          <w:sz w:val="22"/>
          <w:szCs w:val="22"/>
          <w:lang w:val="fr-CA"/>
        </w:rPr>
        <w:t xml:space="preserve"> </w:t>
      </w:r>
    </w:p>
    <w:p w:rsidR="00921E9E" w:rsidRPr="00AF79E2" w:rsidRDefault="00AF79E2" w:rsidP="000B6478">
      <w:pPr>
        <w:jc w:val="center"/>
        <w:rPr>
          <w:rFonts w:eastAsia="Calibri"/>
          <w:caps/>
          <w:sz w:val="22"/>
          <w:szCs w:val="22"/>
          <w:lang w:val="fr-CA"/>
        </w:rPr>
      </w:pPr>
      <w:r>
        <w:rPr>
          <w:caps/>
          <w:sz w:val="22"/>
          <w:szCs w:val="22"/>
          <w:lang w:val="fr-CA"/>
        </w:rPr>
        <w:t>CONSEIL INTERAMÉRICAIN POUR LE DÉVELOPPEMENT INTÉGRÉ</w:t>
      </w:r>
      <w:r w:rsidR="00FA607C" w:rsidRPr="00AF79E2">
        <w:rPr>
          <w:caps/>
          <w:sz w:val="22"/>
          <w:szCs w:val="22"/>
          <w:lang w:val="fr-CA"/>
        </w:rPr>
        <w:t xml:space="preserve"> (CIDI) </w:t>
      </w:r>
    </w:p>
    <w:p w:rsidR="00921E9E" w:rsidRPr="00AF79E2" w:rsidRDefault="00723EE9" w:rsidP="000B6478">
      <w:pPr>
        <w:jc w:val="center"/>
        <w:rPr>
          <w:rFonts w:eastAsia="Calibri"/>
          <w:caps/>
          <w:sz w:val="22"/>
          <w:szCs w:val="22"/>
          <w:lang w:val="fr-CA"/>
        </w:rPr>
      </w:pPr>
      <w:r w:rsidRPr="00AF79E2">
        <w:rPr>
          <w:caps/>
          <w:sz w:val="22"/>
          <w:szCs w:val="22"/>
          <w:lang w:val="fr-CA"/>
        </w:rPr>
        <w:t>2</w:t>
      </w:r>
      <w:r w:rsidR="00AF79E2">
        <w:rPr>
          <w:caps/>
          <w:sz w:val="22"/>
          <w:szCs w:val="22"/>
          <w:lang w:val="fr-CA"/>
        </w:rPr>
        <w:t>9 SEPTEMBRE</w:t>
      </w:r>
      <w:r w:rsidR="00FB3DE1" w:rsidRPr="00AF79E2">
        <w:rPr>
          <w:caps/>
          <w:sz w:val="22"/>
          <w:szCs w:val="22"/>
          <w:lang w:val="fr-CA"/>
        </w:rPr>
        <w:t xml:space="preserve"> </w:t>
      </w:r>
      <w:r w:rsidR="00FA607C" w:rsidRPr="00AF79E2">
        <w:rPr>
          <w:caps/>
          <w:sz w:val="22"/>
          <w:szCs w:val="22"/>
          <w:lang w:val="fr-CA"/>
        </w:rPr>
        <w:t>20</w:t>
      </w:r>
      <w:r w:rsidR="000B6478" w:rsidRPr="00AF79E2">
        <w:rPr>
          <w:caps/>
          <w:sz w:val="22"/>
          <w:szCs w:val="22"/>
          <w:lang w:val="fr-CA"/>
        </w:rPr>
        <w:t>20</w:t>
      </w:r>
    </w:p>
    <w:p w:rsidR="0089063B" w:rsidRPr="00AF79E2" w:rsidRDefault="0089063B" w:rsidP="000B6478">
      <w:pPr>
        <w:rPr>
          <w:rFonts w:eastAsia="Calibri"/>
          <w:caps/>
          <w:sz w:val="22"/>
          <w:szCs w:val="22"/>
          <w:lang w:val="fr-CA"/>
        </w:rPr>
      </w:pPr>
    </w:p>
    <w:p w:rsidR="007A307C" w:rsidRPr="00AF79E2" w:rsidRDefault="00AF79E2" w:rsidP="000B6478">
      <w:pPr>
        <w:jc w:val="center"/>
        <w:rPr>
          <w:rFonts w:eastAsia="Calibri"/>
          <w:sz w:val="22"/>
          <w:szCs w:val="22"/>
          <w:lang w:val="fr-CA"/>
        </w:rPr>
      </w:pPr>
      <w:r>
        <w:rPr>
          <w:sz w:val="22"/>
          <w:szCs w:val="22"/>
          <w:lang w:val="fr-CA"/>
        </w:rPr>
        <w:t>(Préparée par le Secrétariat exécutif au développement intégré</w:t>
      </w:r>
      <w:r w:rsidR="00FA607C" w:rsidRPr="00AF79E2">
        <w:rPr>
          <w:sz w:val="22"/>
          <w:szCs w:val="22"/>
          <w:lang w:val="fr-CA"/>
        </w:rPr>
        <w:t>)</w:t>
      </w:r>
    </w:p>
    <w:p w:rsidR="00DB5D3D" w:rsidRPr="00AF79E2" w:rsidRDefault="00DB5D3D" w:rsidP="000B6478">
      <w:pPr>
        <w:rPr>
          <w:rFonts w:eastAsia="Calibri"/>
          <w:sz w:val="22"/>
          <w:szCs w:val="22"/>
          <w:lang w:val="fr-CA"/>
        </w:rPr>
      </w:pPr>
    </w:p>
    <w:p w:rsidR="007A307C" w:rsidRPr="00AF79E2" w:rsidRDefault="007A307C" w:rsidP="000B6478">
      <w:pPr>
        <w:rPr>
          <w:rFonts w:eastAsia="Calibri"/>
          <w:sz w:val="22"/>
          <w:szCs w:val="22"/>
          <w:lang w:val="fr-CA"/>
        </w:rPr>
      </w:pPr>
    </w:p>
    <w:p w:rsidR="00FB3DE1" w:rsidRPr="00AF79E2" w:rsidRDefault="00AF79E2" w:rsidP="004C5C8C">
      <w:pPr>
        <w:jc w:val="center"/>
        <w:rPr>
          <w:b/>
          <w:bCs/>
          <w:sz w:val="22"/>
          <w:szCs w:val="22"/>
          <w:lang w:val="fr-CA"/>
        </w:rPr>
      </w:pPr>
      <w:r>
        <w:rPr>
          <w:sz w:val="22"/>
          <w:szCs w:val="22"/>
          <w:lang w:val="fr-CA"/>
        </w:rPr>
        <w:t>THÈ</w:t>
      </w:r>
      <w:r w:rsidR="000B6478" w:rsidRPr="00AF79E2">
        <w:rPr>
          <w:sz w:val="22"/>
          <w:szCs w:val="22"/>
          <w:lang w:val="fr-CA"/>
        </w:rPr>
        <w:t>ME</w:t>
      </w:r>
      <w:r>
        <w:rPr>
          <w:sz w:val="22"/>
          <w:szCs w:val="22"/>
          <w:lang w:val="fr-CA"/>
        </w:rPr>
        <w:t> </w:t>
      </w:r>
      <w:r w:rsidR="00FA607C" w:rsidRPr="00AF79E2">
        <w:rPr>
          <w:sz w:val="22"/>
          <w:szCs w:val="22"/>
          <w:lang w:val="fr-CA"/>
        </w:rPr>
        <w:t>:</w:t>
      </w:r>
      <w:r w:rsidR="00FA607C" w:rsidRPr="00AF79E2">
        <w:rPr>
          <w:b/>
          <w:sz w:val="22"/>
          <w:szCs w:val="22"/>
          <w:lang w:val="fr-CA"/>
        </w:rPr>
        <w:t xml:space="preserve"> </w:t>
      </w:r>
      <w:r>
        <w:rPr>
          <w:b/>
          <w:bCs/>
          <w:sz w:val="22"/>
          <w:szCs w:val="22"/>
          <w:lang w:val="fr-CA"/>
        </w:rPr>
        <w:t>Résistance environnementale. Reconstruire</w:t>
      </w:r>
      <w:r w:rsidR="00AC73F9">
        <w:rPr>
          <w:b/>
          <w:bCs/>
          <w:sz w:val="22"/>
          <w:szCs w:val="22"/>
          <w:lang w:val="fr-CA"/>
        </w:rPr>
        <w:t xml:space="preserve"> en</w:t>
      </w:r>
      <w:r>
        <w:rPr>
          <w:b/>
          <w:bCs/>
          <w:sz w:val="22"/>
          <w:szCs w:val="22"/>
          <w:lang w:val="fr-CA"/>
        </w:rPr>
        <w:t xml:space="preserve"> mieux : la clé pour une reprise résiliente</w:t>
      </w:r>
    </w:p>
    <w:p w:rsidR="00FB3DE1" w:rsidRPr="00AF79E2" w:rsidRDefault="00FB3DE1" w:rsidP="004C5C8C">
      <w:pPr>
        <w:rPr>
          <w:b/>
          <w:bCs/>
          <w:sz w:val="22"/>
          <w:szCs w:val="22"/>
          <w:lang w:val="fr-CA"/>
        </w:rPr>
      </w:pPr>
    </w:p>
    <w:p w:rsidR="00FB3DE1" w:rsidRPr="00AF79E2" w:rsidRDefault="00AF79E2" w:rsidP="00FB3DE1">
      <w:pPr>
        <w:rPr>
          <w:b/>
          <w:bCs/>
          <w:iCs/>
          <w:sz w:val="22"/>
          <w:szCs w:val="22"/>
          <w:u w:val="single"/>
          <w:lang w:val="fr-CA"/>
        </w:rPr>
      </w:pPr>
      <w:r>
        <w:rPr>
          <w:b/>
          <w:bCs/>
          <w:iCs/>
          <w:sz w:val="22"/>
          <w:szCs w:val="22"/>
          <w:u w:val="single"/>
          <w:lang w:val="fr-CA"/>
        </w:rPr>
        <w:t>GÉNÉRALITÉS</w:t>
      </w:r>
      <w:r w:rsidR="00FB3DE1" w:rsidRPr="00AF79E2">
        <w:rPr>
          <w:b/>
          <w:bCs/>
          <w:iCs/>
          <w:sz w:val="22"/>
          <w:szCs w:val="22"/>
          <w:u w:val="single"/>
          <w:lang w:val="fr-CA"/>
        </w:rPr>
        <w:t xml:space="preserve"> </w:t>
      </w:r>
    </w:p>
    <w:p w:rsidR="00FB3DE1" w:rsidRPr="00AF79E2" w:rsidRDefault="00FB3DE1" w:rsidP="00FB3DE1">
      <w:pPr>
        <w:rPr>
          <w:b/>
          <w:bCs/>
          <w:iCs/>
          <w:sz w:val="22"/>
          <w:szCs w:val="22"/>
          <w:lang w:val="fr-CA"/>
        </w:rPr>
      </w:pPr>
    </w:p>
    <w:p w:rsidR="00FB3DE1" w:rsidRPr="00AF79E2" w:rsidRDefault="00FB3DE1" w:rsidP="00FB3DE1">
      <w:pPr>
        <w:ind w:firstLine="720"/>
        <w:jc w:val="both"/>
        <w:rPr>
          <w:iCs/>
          <w:sz w:val="22"/>
          <w:szCs w:val="22"/>
          <w:lang w:val="fr-CA"/>
        </w:rPr>
      </w:pPr>
      <w:r w:rsidRPr="00AF79E2">
        <w:rPr>
          <w:iCs/>
          <w:sz w:val="22"/>
          <w:szCs w:val="22"/>
          <w:lang w:val="fr-CA"/>
        </w:rPr>
        <w:t>L</w:t>
      </w:r>
      <w:r w:rsidR="00AF79E2">
        <w:rPr>
          <w:iCs/>
          <w:sz w:val="22"/>
          <w:szCs w:val="22"/>
          <w:lang w:val="fr-CA"/>
        </w:rPr>
        <w:t xml:space="preserve">’Amérique latine et la Caraïbe sont au nombre des 5 régions les plus propices aux catastrophes dans le monde. Au cours de la dernière décennie </w:t>
      </w:r>
      <w:r w:rsidRPr="00AF79E2">
        <w:rPr>
          <w:iCs/>
          <w:sz w:val="22"/>
          <w:szCs w:val="22"/>
          <w:lang w:val="fr-CA"/>
        </w:rPr>
        <w:t>(2000-2019), 152 million</w:t>
      </w:r>
      <w:r w:rsidR="00AF79E2">
        <w:rPr>
          <w:iCs/>
          <w:sz w:val="22"/>
          <w:szCs w:val="22"/>
          <w:lang w:val="fr-CA"/>
        </w:rPr>
        <w:t>s de personnes dans la région ont été touchées par 1 </w:t>
      </w:r>
      <w:r w:rsidRPr="00AF79E2">
        <w:rPr>
          <w:iCs/>
          <w:sz w:val="22"/>
          <w:szCs w:val="22"/>
          <w:lang w:val="fr-CA"/>
        </w:rPr>
        <w:t>205</w:t>
      </w:r>
      <w:r w:rsidR="00AF79E2">
        <w:rPr>
          <w:iCs/>
          <w:sz w:val="22"/>
          <w:szCs w:val="22"/>
          <w:lang w:val="fr-CA"/>
        </w:rPr>
        <w:t xml:space="preserve"> catastrophes, dont les suivantes :</w:t>
      </w:r>
      <w:r w:rsidRPr="00AF79E2">
        <w:rPr>
          <w:iCs/>
          <w:sz w:val="22"/>
          <w:szCs w:val="22"/>
          <w:lang w:val="fr-CA"/>
        </w:rPr>
        <w:t xml:space="preserve"> 548</w:t>
      </w:r>
      <w:r w:rsidR="00AF79E2">
        <w:rPr>
          <w:iCs/>
          <w:sz w:val="22"/>
          <w:szCs w:val="22"/>
          <w:lang w:val="fr-CA"/>
        </w:rPr>
        <w:t xml:space="preserve"> inondations, 330 tempêtes</w:t>
      </w:r>
      <w:r w:rsidRPr="00AF79E2">
        <w:rPr>
          <w:iCs/>
          <w:sz w:val="22"/>
          <w:szCs w:val="22"/>
          <w:lang w:val="fr-CA"/>
        </w:rPr>
        <w:t xml:space="preserve">, 75 </w:t>
      </w:r>
      <w:r w:rsidR="00F66730">
        <w:rPr>
          <w:iCs/>
          <w:sz w:val="22"/>
          <w:szCs w:val="22"/>
          <w:lang w:val="fr-CA"/>
        </w:rPr>
        <w:t>tremblements de terre</w:t>
      </w:r>
      <w:r w:rsidRPr="00AF79E2">
        <w:rPr>
          <w:iCs/>
          <w:sz w:val="22"/>
          <w:szCs w:val="22"/>
          <w:lang w:val="fr-CA"/>
        </w:rPr>
        <w:t xml:space="preserve">, 74 </w:t>
      </w:r>
      <w:r w:rsidR="00F66730">
        <w:rPr>
          <w:iCs/>
          <w:sz w:val="22"/>
          <w:szCs w:val="22"/>
          <w:lang w:val="fr-CA"/>
        </w:rPr>
        <w:t>sécheresses</w:t>
      </w:r>
      <w:r w:rsidRPr="00AF79E2">
        <w:rPr>
          <w:iCs/>
          <w:sz w:val="22"/>
          <w:szCs w:val="22"/>
          <w:lang w:val="fr-CA"/>
        </w:rPr>
        <w:t>,</w:t>
      </w:r>
      <w:r w:rsidRPr="00AF79E2">
        <w:rPr>
          <w:sz w:val="22"/>
          <w:szCs w:val="22"/>
          <w:lang w:val="fr-CA"/>
        </w:rPr>
        <w:t xml:space="preserve"> </w:t>
      </w:r>
      <w:r w:rsidRPr="00AF79E2">
        <w:rPr>
          <w:iCs/>
          <w:sz w:val="22"/>
          <w:szCs w:val="22"/>
          <w:lang w:val="fr-CA"/>
        </w:rPr>
        <w:t>66</w:t>
      </w:r>
      <w:r w:rsidR="00F66730">
        <w:rPr>
          <w:iCs/>
          <w:sz w:val="22"/>
          <w:szCs w:val="22"/>
          <w:lang w:val="fr-CA"/>
        </w:rPr>
        <w:t xml:space="preserve"> glissements de terrain</w:t>
      </w:r>
      <w:r w:rsidRPr="00AF79E2">
        <w:rPr>
          <w:iCs/>
          <w:sz w:val="22"/>
          <w:szCs w:val="22"/>
          <w:lang w:val="fr-CA"/>
        </w:rPr>
        <w:t>, 24</w:t>
      </w:r>
      <w:r w:rsidR="00F66730">
        <w:rPr>
          <w:iCs/>
          <w:sz w:val="22"/>
          <w:szCs w:val="22"/>
          <w:lang w:val="fr-CA"/>
        </w:rPr>
        <w:t xml:space="preserve"> feux incontrôlés</w:t>
      </w:r>
      <w:r w:rsidRPr="00AF79E2">
        <w:rPr>
          <w:iCs/>
          <w:sz w:val="22"/>
          <w:szCs w:val="22"/>
          <w:lang w:val="fr-CA"/>
        </w:rPr>
        <w:t>, 50</w:t>
      </w:r>
      <w:r w:rsidR="00F66730">
        <w:rPr>
          <w:iCs/>
          <w:sz w:val="22"/>
          <w:szCs w:val="22"/>
          <w:lang w:val="fr-CA"/>
        </w:rPr>
        <w:t xml:space="preserve"> incidents de température extrême et 38 événements volcaniques</w:t>
      </w:r>
      <w:r w:rsidRPr="00AF79E2">
        <w:rPr>
          <w:iCs/>
          <w:sz w:val="22"/>
          <w:szCs w:val="22"/>
          <w:u w:val="single"/>
          <w:vertAlign w:val="superscript"/>
          <w:lang w:val="fr-CA"/>
        </w:rPr>
        <w:footnoteReference w:id="1"/>
      </w:r>
      <w:r w:rsidRPr="00AF79E2">
        <w:rPr>
          <w:iCs/>
          <w:sz w:val="22"/>
          <w:szCs w:val="22"/>
          <w:vertAlign w:val="superscript"/>
          <w:lang w:val="fr-CA"/>
        </w:rPr>
        <w:t>/</w:t>
      </w:r>
      <w:r w:rsidRPr="00AF79E2">
        <w:rPr>
          <w:iCs/>
          <w:sz w:val="22"/>
          <w:szCs w:val="22"/>
          <w:lang w:val="fr-CA"/>
        </w:rPr>
        <w:t xml:space="preserve">. </w:t>
      </w:r>
    </w:p>
    <w:p w:rsidR="00FB3DE1" w:rsidRPr="00AF79E2" w:rsidRDefault="00FB3DE1" w:rsidP="00FB3DE1">
      <w:pPr>
        <w:jc w:val="both"/>
        <w:rPr>
          <w:iCs/>
          <w:sz w:val="22"/>
          <w:szCs w:val="22"/>
          <w:lang w:val="fr-CA"/>
        </w:rPr>
      </w:pPr>
    </w:p>
    <w:p w:rsidR="00FB3DE1" w:rsidRPr="00AF79E2" w:rsidRDefault="00F66730" w:rsidP="00FB3DE1">
      <w:pPr>
        <w:ind w:firstLine="720"/>
        <w:jc w:val="both"/>
        <w:rPr>
          <w:iCs/>
          <w:sz w:val="22"/>
          <w:szCs w:val="22"/>
          <w:lang w:val="fr-CA"/>
        </w:rPr>
      </w:pPr>
      <w:r>
        <w:rPr>
          <w:iCs/>
          <w:sz w:val="22"/>
          <w:szCs w:val="22"/>
          <w:lang w:val="fr-CA"/>
        </w:rPr>
        <w:t xml:space="preserve">Une leçon importante tirée de l’expérience de la région en matière de catastrophes </w:t>
      </w:r>
      <w:r w:rsidR="00AC73F9">
        <w:rPr>
          <w:iCs/>
          <w:sz w:val="22"/>
          <w:szCs w:val="22"/>
          <w:lang w:val="fr-CA"/>
        </w:rPr>
        <w:t>inéluctables est que « Reconstruire en mieux », - défini comme une approche multidimensionnelle à la résilience aux catastrophes qui entraine des améliorations au-delà de la situation avant la catastrophe – est plus important que l’étape de l’intervention à court terme en situation d’urgence.</w:t>
      </w:r>
      <w:r w:rsidR="000C092F">
        <w:rPr>
          <w:iCs/>
          <w:sz w:val="22"/>
          <w:szCs w:val="22"/>
          <w:lang w:val="fr-CA"/>
        </w:rPr>
        <w:t xml:space="preserve"> Plusieurs pays ont adopté cette approche pour accroitre leur résilience économique, sociale et environnementale face aux catastrophes. Toutefois, si des politiques et des stratégies efficaces en matière de résilience doivent être conçues et mises en œuvre, il faudra disposer d’un cadre de prise de décisions </w:t>
      </w:r>
      <w:r w:rsidR="00CC2D6B">
        <w:rPr>
          <w:iCs/>
          <w:sz w:val="22"/>
          <w:szCs w:val="22"/>
          <w:lang w:val="fr-CA"/>
        </w:rPr>
        <w:t>solide et qui repose sur des données factuelles pour déceler les sources d’échecs de l’infrastructure sociale et économique ainsi que du rôle que jouent des normes, des codes et des pratiques s’appuyant sur des données scientifiques dans la « reconstruction en mieux ».</w:t>
      </w:r>
      <w:r w:rsidR="00FB3DE1" w:rsidRPr="00AF79E2">
        <w:rPr>
          <w:iCs/>
          <w:sz w:val="22"/>
          <w:szCs w:val="22"/>
          <w:lang w:val="fr-CA"/>
        </w:rPr>
        <w:t xml:space="preserve"> </w:t>
      </w:r>
    </w:p>
    <w:p w:rsidR="00FB3DE1" w:rsidRPr="00AF79E2" w:rsidRDefault="00FB3DE1" w:rsidP="00FB3DE1">
      <w:pPr>
        <w:jc w:val="both"/>
        <w:rPr>
          <w:iCs/>
          <w:sz w:val="22"/>
          <w:szCs w:val="22"/>
          <w:lang w:val="fr-CA"/>
        </w:rPr>
      </w:pPr>
    </w:p>
    <w:p w:rsidR="00FB3DE1" w:rsidRPr="00AF79E2" w:rsidRDefault="00CC2D6B" w:rsidP="00FB3DE1">
      <w:pPr>
        <w:ind w:firstLine="720"/>
        <w:jc w:val="both"/>
        <w:rPr>
          <w:iCs/>
          <w:sz w:val="22"/>
          <w:szCs w:val="22"/>
          <w:lang w:val="fr-CA"/>
        </w:rPr>
      </w:pPr>
      <w:r>
        <w:rPr>
          <w:iCs/>
          <w:sz w:val="22"/>
          <w:szCs w:val="22"/>
          <w:lang w:val="fr-CA"/>
        </w:rPr>
        <w:t xml:space="preserve">Il faut également </w:t>
      </w:r>
      <w:r w:rsidR="00EB3DC9">
        <w:rPr>
          <w:iCs/>
          <w:sz w:val="22"/>
          <w:szCs w:val="22"/>
          <w:lang w:val="fr-CA"/>
        </w:rPr>
        <w:t xml:space="preserve">renforcer le rôle des citoyens et des communautés dans l’accroissement de la résilience. Les communautés ne peuvent pas être plus résilientes que les citoyens qui les composent. Aider les citoyens à tirer des leçons de leurs expériences avec des catastrophes et à appliquer cet apprentissage pour construire leur résilience à des événements à venir est une composante vitale d’une robuste culture résiliente </w:t>
      </w:r>
      <w:r w:rsidR="008F693F">
        <w:rPr>
          <w:iCs/>
          <w:sz w:val="22"/>
          <w:szCs w:val="22"/>
          <w:lang w:val="fr-CA"/>
        </w:rPr>
        <w:t>qui peut s’adapter à des circonstances à venir.</w:t>
      </w:r>
      <w:r w:rsidR="00FB3DE1" w:rsidRPr="00AF79E2">
        <w:rPr>
          <w:iCs/>
          <w:sz w:val="22"/>
          <w:szCs w:val="22"/>
          <w:lang w:val="fr-CA"/>
        </w:rPr>
        <w:t xml:space="preserve"> </w:t>
      </w:r>
    </w:p>
    <w:p w:rsidR="00FB3DE1" w:rsidRPr="00AF79E2" w:rsidRDefault="00FB3DE1" w:rsidP="00FB3DE1">
      <w:pPr>
        <w:jc w:val="both"/>
        <w:rPr>
          <w:iCs/>
          <w:sz w:val="22"/>
          <w:szCs w:val="22"/>
          <w:lang w:val="fr-CA"/>
        </w:rPr>
      </w:pPr>
    </w:p>
    <w:p w:rsidR="004C5C8C" w:rsidRDefault="004C5C8C" w:rsidP="00FB3DE1">
      <w:pPr>
        <w:jc w:val="both"/>
        <w:rPr>
          <w:b/>
          <w:bCs/>
          <w:iCs/>
          <w:sz w:val="22"/>
          <w:szCs w:val="22"/>
          <w:u w:val="single"/>
          <w:lang w:val="fr-CA"/>
        </w:rPr>
      </w:pPr>
      <w:r>
        <w:rPr>
          <w:b/>
          <w:bCs/>
          <w:iCs/>
          <w:sz w:val="22"/>
          <w:szCs w:val="22"/>
          <w:u w:val="single"/>
          <w:lang w:val="fr-CA"/>
        </w:rPr>
        <w:br w:type="page"/>
      </w:r>
    </w:p>
    <w:p w:rsidR="00FB3DE1" w:rsidRPr="00AF79E2" w:rsidRDefault="008F693F" w:rsidP="00FB3DE1">
      <w:pPr>
        <w:jc w:val="both"/>
        <w:rPr>
          <w:bCs/>
          <w:iCs/>
          <w:sz w:val="22"/>
          <w:szCs w:val="22"/>
          <w:lang w:val="fr-CA"/>
        </w:rPr>
      </w:pPr>
      <w:r>
        <w:rPr>
          <w:b/>
          <w:bCs/>
          <w:iCs/>
          <w:sz w:val="22"/>
          <w:szCs w:val="22"/>
          <w:u w:val="single"/>
          <w:lang w:val="fr-CA"/>
        </w:rPr>
        <w:lastRenderedPageBreak/>
        <w:t>BUT DE LA RÉUNION</w:t>
      </w:r>
    </w:p>
    <w:p w:rsidR="00FB3DE1" w:rsidRPr="00AF79E2" w:rsidRDefault="00FB3DE1" w:rsidP="00FB3DE1">
      <w:pPr>
        <w:jc w:val="both"/>
        <w:rPr>
          <w:bCs/>
          <w:iCs/>
          <w:sz w:val="22"/>
          <w:szCs w:val="22"/>
          <w:lang w:val="fr-CA"/>
        </w:rPr>
      </w:pPr>
    </w:p>
    <w:p w:rsidR="00FB3DE1" w:rsidRPr="00AF79E2" w:rsidRDefault="008F693F" w:rsidP="00FB3DE1">
      <w:pPr>
        <w:ind w:firstLine="720"/>
        <w:jc w:val="both"/>
        <w:rPr>
          <w:bCs/>
          <w:iCs/>
          <w:sz w:val="22"/>
          <w:szCs w:val="22"/>
          <w:lang w:val="fr-CA"/>
        </w:rPr>
      </w:pPr>
      <w:r>
        <w:rPr>
          <w:b/>
          <w:bCs/>
          <w:iCs/>
          <w:sz w:val="22"/>
          <w:szCs w:val="22"/>
          <w:lang w:val="fr-CA"/>
        </w:rPr>
        <w:t>La réunion vise les objectifs suivants :</w:t>
      </w:r>
      <w:r>
        <w:rPr>
          <w:b/>
          <w:bCs/>
          <w:iCs/>
          <w:sz w:val="22"/>
          <w:szCs w:val="22"/>
          <w:lang w:val="fr-CA"/>
        </w:rPr>
        <w:tab/>
      </w:r>
      <w:r>
        <w:rPr>
          <w:b/>
          <w:bCs/>
          <w:iCs/>
          <w:sz w:val="22"/>
          <w:szCs w:val="22"/>
          <w:lang w:val="fr-CA"/>
        </w:rPr>
        <w:tab/>
      </w:r>
      <w:r>
        <w:rPr>
          <w:b/>
          <w:bCs/>
          <w:iCs/>
          <w:sz w:val="22"/>
          <w:szCs w:val="22"/>
          <w:lang w:val="fr-CA"/>
        </w:rPr>
        <w:tab/>
      </w:r>
      <w:r>
        <w:rPr>
          <w:b/>
          <w:bCs/>
          <w:iCs/>
          <w:sz w:val="22"/>
          <w:szCs w:val="22"/>
          <w:lang w:val="fr-CA"/>
        </w:rPr>
        <w:tab/>
      </w:r>
      <w:r>
        <w:rPr>
          <w:b/>
          <w:bCs/>
          <w:iCs/>
          <w:sz w:val="22"/>
          <w:szCs w:val="22"/>
          <w:lang w:val="fr-CA"/>
        </w:rPr>
        <w:tab/>
      </w:r>
      <w:r>
        <w:rPr>
          <w:b/>
          <w:bCs/>
          <w:iCs/>
          <w:sz w:val="22"/>
          <w:szCs w:val="22"/>
          <w:lang w:val="fr-CA"/>
        </w:rPr>
        <w:tab/>
      </w:r>
      <w:r>
        <w:rPr>
          <w:b/>
          <w:bCs/>
          <w:iCs/>
          <w:sz w:val="22"/>
          <w:szCs w:val="22"/>
          <w:lang w:val="fr-CA"/>
        </w:rPr>
        <w:tab/>
      </w:r>
    </w:p>
    <w:p w:rsidR="00FB3DE1" w:rsidRPr="00AF79E2" w:rsidRDefault="00FB3DE1" w:rsidP="00FB3DE1">
      <w:pPr>
        <w:jc w:val="both"/>
        <w:rPr>
          <w:bCs/>
          <w:iCs/>
          <w:sz w:val="22"/>
          <w:szCs w:val="22"/>
          <w:lang w:val="fr-CA"/>
        </w:rPr>
      </w:pPr>
    </w:p>
    <w:p w:rsidR="00FB3DE1" w:rsidRPr="00AF79E2" w:rsidRDefault="008F693F" w:rsidP="00FB3DE1">
      <w:pPr>
        <w:pStyle w:val="ListParagraph0"/>
        <w:numPr>
          <w:ilvl w:val="0"/>
          <w:numId w:val="13"/>
        </w:numPr>
        <w:ind w:left="1440" w:hanging="720"/>
        <w:contextualSpacing/>
        <w:jc w:val="both"/>
        <w:rPr>
          <w:rFonts w:eastAsia="Times New Roman"/>
          <w:sz w:val="22"/>
          <w:szCs w:val="22"/>
          <w:lang w:val="fr-CA"/>
        </w:rPr>
      </w:pPr>
      <w:r>
        <w:rPr>
          <w:iCs/>
          <w:sz w:val="22"/>
          <w:szCs w:val="22"/>
          <w:lang w:val="fr-CA"/>
        </w:rPr>
        <w:t>Partager avec les États membres des leçons tirées afin de</w:t>
      </w:r>
      <w:r w:rsidR="00FB3DE1" w:rsidRPr="00AF79E2">
        <w:rPr>
          <w:iCs/>
          <w:sz w:val="22"/>
          <w:szCs w:val="22"/>
          <w:lang w:val="fr-CA"/>
        </w:rPr>
        <w:t xml:space="preserve"> “</w:t>
      </w:r>
      <w:r>
        <w:rPr>
          <w:iCs/>
          <w:sz w:val="22"/>
          <w:szCs w:val="22"/>
          <w:lang w:val="fr-CA"/>
        </w:rPr>
        <w:t>reconstruire en mieux</w:t>
      </w:r>
      <w:r w:rsidR="00FB3DE1" w:rsidRPr="00AF79E2">
        <w:rPr>
          <w:iCs/>
          <w:sz w:val="22"/>
          <w:szCs w:val="22"/>
          <w:lang w:val="fr-CA"/>
        </w:rPr>
        <w:t>”</w:t>
      </w:r>
      <w:r>
        <w:rPr>
          <w:iCs/>
          <w:sz w:val="22"/>
          <w:szCs w:val="22"/>
          <w:lang w:val="fr-CA"/>
        </w:rPr>
        <w:t xml:space="preserve"> en se basant sur l’expérience de la communauté en matière de catastrophes.</w:t>
      </w:r>
      <w:r w:rsidR="00FB3DE1" w:rsidRPr="00AF79E2">
        <w:rPr>
          <w:iCs/>
          <w:sz w:val="22"/>
          <w:szCs w:val="22"/>
          <w:lang w:val="fr-CA"/>
        </w:rPr>
        <w:t xml:space="preserve"> </w:t>
      </w:r>
    </w:p>
    <w:p w:rsidR="00FB3DE1" w:rsidRPr="00AF79E2" w:rsidRDefault="008F693F" w:rsidP="00FB3DE1">
      <w:pPr>
        <w:pStyle w:val="ListParagraph0"/>
        <w:numPr>
          <w:ilvl w:val="0"/>
          <w:numId w:val="13"/>
        </w:numPr>
        <w:tabs>
          <w:tab w:val="clear" w:pos="720"/>
          <w:tab w:val="num" w:pos="1440"/>
        </w:tabs>
        <w:ind w:left="1440" w:hanging="720"/>
        <w:contextualSpacing/>
        <w:jc w:val="both"/>
        <w:rPr>
          <w:rFonts w:eastAsia="Times New Roman"/>
          <w:sz w:val="22"/>
          <w:szCs w:val="22"/>
          <w:lang w:val="fr-CA"/>
        </w:rPr>
      </w:pPr>
      <w:r>
        <w:rPr>
          <w:rFonts w:eastAsia="Times New Roman"/>
          <w:sz w:val="22"/>
          <w:szCs w:val="22"/>
          <w:lang w:val="fr-CA"/>
        </w:rPr>
        <w:t xml:space="preserve">Faciliter le partage de données d’expériences, de leçons tirées et de bonnes pratiques en vue </w:t>
      </w:r>
      <w:r w:rsidR="008E7052">
        <w:rPr>
          <w:rFonts w:eastAsia="Times New Roman"/>
          <w:sz w:val="22"/>
          <w:szCs w:val="22"/>
          <w:lang w:val="fr-CA"/>
        </w:rPr>
        <w:t>de bâtir la résilience entre les États membres et au sein de chacun d’eux dans le but de permettre la coopération.</w:t>
      </w:r>
      <w:r w:rsidR="00FB3DE1" w:rsidRPr="00AF79E2">
        <w:rPr>
          <w:rFonts w:eastAsia="Times New Roman"/>
          <w:sz w:val="22"/>
          <w:szCs w:val="22"/>
          <w:lang w:val="fr-CA"/>
        </w:rPr>
        <w:t xml:space="preserve"> </w:t>
      </w:r>
    </w:p>
    <w:p w:rsidR="00FB3DE1" w:rsidRPr="004C5C8C" w:rsidRDefault="00FB3DE1" w:rsidP="004C5C8C">
      <w:pPr>
        <w:contextualSpacing/>
        <w:jc w:val="both"/>
        <w:rPr>
          <w:sz w:val="22"/>
          <w:szCs w:val="22"/>
          <w:lang w:val="fr-CA"/>
        </w:rPr>
      </w:pPr>
    </w:p>
    <w:p w:rsidR="00FB3DE1" w:rsidRPr="00AF79E2" w:rsidRDefault="00FB3DE1" w:rsidP="00FB3DE1">
      <w:pPr>
        <w:jc w:val="both"/>
        <w:rPr>
          <w:rFonts w:eastAsia="Calibri"/>
          <w:b/>
          <w:sz w:val="22"/>
          <w:szCs w:val="22"/>
          <w:lang w:val="fr-CA"/>
        </w:rPr>
      </w:pPr>
      <w:r w:rsidRPr="00AF79E2">
        <w:rPr>
          <w:rFonts w:eastAsia="Calibri"/>
          <w:b/>
          <w:sz w:val="22"/>
          <w:szCs w:val="22"/>
          <w:lang w:val="fr-CA"/>
        </w:rPr>
        <w:t>Structure</w:t>
      </w:r>
      <w:r w:rsidR="008E7052">
        <w:rPr>
          <w:rFonts w:eastAsia="Calibri"/>
          <w:b/>
          <w:sz w:val="22"/>
          <w:szCs w:val="22"/>
          <w:lang w:val="fr-CA"/>
        </w:rPr>
        <w:t xml:space="preserve"> de la réunion</w:t>
      </w:r>
    </w:p>
    <w:p w:rsidR="00FB3DE1" w:rsidRPr="00AF79E2" w:rsidRDefault="00FB3DE1" w:rsidP="004C5C8C">
      <w:pPr>
        <w:jc w:val="both"/>
        <w:rPr>
          <w:rFonts w:eastAsia="Calibri"/>
          <w:b/>
          <w:sz w:val="22"/>
          <w:szCs w:val="22"/>
          <w:lang w:val="fr-CA"/>
        </w:rPr>
      </w:pPr>
    </w:p>
    <w:p w:rsidR="00FB3DE1" w:rsidRPr="00AF79E2" w:rsidRDefault="008E7052" w:rsidP="00FB3DE1">
      <w:pPr>
        <w:ind w:firstLine="720"/>
        <w:jc w:val="both"/>
        <w:rPr>
          <w:rFonts w:eastAsia="Calibri"/>
          <w:sz w:val="22"/>
          <w:szCs w:val="22"/>
          <w:lang w:val="fr-CA"/>
        </w:rPr>
      </w:pPr>
      <w:r>
        <w:rPr>
          <w:rFonts w:eastAsia="Calibri"/>
          <w:sz w:val="22"/>
          <w:szCs w:val="22"/>
          <w:lang w:val="fr-CA"/>
        </w:rPr>
        <w:t>La réunion prendra la forme d’une discussion en séance plénière entre des panélistes experts appartenant à des institutions nationales, régionales ou internationales et dont l’expertise dans ce domaine est reconnue ainsi que des États membres. Les panélistes peuvent appartenir aux institutions et organismes suivants :</w:t>
      </w:r>
      <w:r w:rsidR="00FB3DE1" w:rsidRPr="00AF79E2">
        <w:rPr>
          <w:rFonts w:eastAsia="Calibri"/>
          <w:sz w:val="22"/>
          <w:szCs w:val="22"/>
          <w:lang w:val="fr-CA"/>
        </w:rPr>
        <w:t xml:space="preserve"> </w:t>
      </w:r>
    </w:p>
    <w:p w:rsidR="00FB3DE1" w:rsidRPr="00AF79E2" w:rsidRDefault="00FB3DE1" w:rsidP="004C5C8C">
      <w:pPr>
        <w:jc w:val="both"/>
        <w:rPr>
          <w:rFonts w:eastAsia="Calibri"/>
          <w:sz w:val="22"/>
          <w:szCs w:val="22"/>
          <w:lang w:val="fr-CA"/>
        </w:rPr>
      </w:pPr>
    </w:p>
    <w:p w:rsidR="00FB3DE1" w:rsidRPr="00AF79E2" w:rsidRDefault="008E7052" w:rsidP="00FB3DE1">
      <w:pPr>
        <w:tabs>
          <w:tab w:val="left" w:pos="1440"/>
        </w:tabs>
        <w:ind w:left="1440" w:hanging="720"/>
        <w:jc w:val="both"/>
        <w:rPr>
          <w:rFonts w:eastAsia="Calibri"/>
          <w:sz w:val="22"/>
          <w:szCs w:val="22"/>
          <w:lang w:val="fr-CA"/>
        </w:rPr>
      </w:pPr>
      <w:r>
        <w:rPr>
          <w:rFonts w:eastAsia="Calibri"/>
          <w:sz w:val="22"/>
          <w:szCs w:val="22"/>
          <w:lang w:val="fr-CA"/>
        </w:rPr>
        <w:t>•</w:t>
      </w:r>
      <w:r>
        <w:rPr>
          <w:rFonts w:eastAsia="Calibri"/>
          <w:sz w:val="22"/>
          <w:szCs w:val="22"/>
          <w:lang w:val="fr-CA"/>
        </w:rPr>
        <w:tab/>
        <w:t>Le</w:t>
      </w:r>
      <w:r w:rsidR="00FB3DE1" w:rsidRPr="00AF79E2">
        <w:rPr>
          <w:rFonts w:eastAsia="Calibri"/>
          <w:sz w:val="22"/>
          <w:szCs w:val="22"/>
          <w:lang w:val="fr-CA"/>
        </w:rPr>
        <w:t xml:space="preserve"> Boulder </w:t>
      </w:r>
      <w:r>
        <w:rPr>
          <w:rFonts w:eastAsia="Calibri"/>
          <w:sz w:val="22"/>
          <w:szCs w:val="22"/>
          <w:lang w:val="fr-CA"/>
        </w:rPr>
        <w:t xml:space="preserve">Center for </w:t>
      </w:r>
      <w:proofErr w:type="spellStart"/>
      <w:r>
        <w:rPr>
          <w:rFonts w:eastAsia="Calibri"/>
          <w:sz w:val="22"/>
          <w:szCs w:val="22"/>
          <w:lang w:val="fr-CA"/>
        </w:rPr>
        <w:t>Resilience</w:t>
      </w:r>
      <w:proofErr w:type="spellEnd"/>
      <w:r>
        <w:rPr>
          <w:rFonts w:eastAsia="Calibri"/>
          <w:sz w:val="22"/>
          <w:szCs w:val="22"/>
          <w:lang w:val="fr-CA"/>
        </w:rPr>
        <w:t xml:space="preserve"> (confirmé</w:t>
      </w:r>
      <w:r w:rsidR="00FB3DE1" w:rsidRPr="00AF79E2">
        <w:rPr>
          <w:rFonts w:eastAsia="Calibri"/>
          <w:sz w:val="22"/>
          <w:szCs w:val="22"/>
          <w:lang w:val="fr-CA"/>
        </w:rPr>
        <w:t>)</w:t>
      </w:r>
    </w:p>
    <w:p w:rsidR="00FB3DE1" w:rsidRPr="00AF79E2" w:rsidRDefault="00FB363B" w:rsidP="00FB3DE1">
      <w:pPr>
        <w:pStyle w:val="ListParagraph0"/>
        <w:numPr>
          <w:ilvl w:val="0"/>
          <w:numId w:val="14"/>
        </w:numPr>
        <w:tabs>
          <w:tab w:val="left" w:pos="1440"/>
        </w:tabs>
        <w:ind w:left="1440" w:hanging="720"/>
        <w:contextualSpacing/>
        <w:jc w:val="both"/>
        <w:rPr>
          <w:sz w:val="22"/>
          <w:szCs w:val="22"/>
          <w:lang w:val="fr-CA"/>
        </w:rPr>
      </w:pPr>
      <w:r>
        <w:rPr>
          <w:sz w:val="22"/>
          <w:szCs w:val="22"/>
          <w:lang w:val="fr-CA"/>
        </w:rPr>
        <w:t>L</w:t>
      </w:r>
      <w:r w:rsidR="00FB3DE1" w:rsidRPr="00AF79E2">
        <w:rPr>
          <w:sz w:val="22"/>
          <w:szCs w:val="22"/>
          <w:lang w:val="fr-CA"/>
        </w:rPr>
        <w:t xml:space="preserve">e National Institute of Science and </w:t>
      </w:r>
      <w:proofErr w:type="spellStart"/>
      <w:r w:rsidR="00FB3DE1" w:rsidRPr="00AF79E2">
        <w:rPr>
          <w:sz w:val="22"/>
          <w:szCs w:val="22"/>
          <w:lang w:val="fr-CA"/>
        </w:rPr>
        <w:t>Technology</w:t>
      </w:r>
      <w:proofErr w:type="spellEnd"/>
      <w:r w:rsidR="00FB3DE1" w:rsidRPr="00AF79E2">
        <w:rPr>
          <w:sz w:val="22"/>
          <w:szCs w:val="22"/>
          <w:lang w:val="fr-CA"/>
        </w:rPr>
        <w:t xml:space="preserve"> (</w:t>
      </w:r>
      <w:proofErr w:type="spellStart"/>
      <w:r w:rsidR="00FB3DE1" w:rsidRPr="00AF79E2">
        <w:rPr>
          <w:sz w:val="22"/>
          <w:szCs w:val="22"/>
          <w:lang w:val="fr-CA"/>
        </w:rPr>
        <w:t>NIST</w:t>
      </w:r>
      <w:proofErr w:type="spellEnd"/>
      <w:r w:rsidR="00FB3DE1" w:rsidRPr="00AF79E2">
        <w:rPr>
          <w:sz w:val="22"/>
          <w:szCs w:val="22"/>
          <w:lang w:val="fr-CA"/>
        </w:rPr>
        <w:t>)</w:t>
      </w:r>
      <w:r w:rsidR="008E7052">
        <w:rPr>
          <w:sz w:val="22"/>
          <w:szCs w:val="22"/>
          <w:lang w:val="fr-CA"/>
        </w:rPr>
        <w:t xml:space="preserve"> </w:t>
      </w:r>
      <w:r w:rsidR="00FB3DE1" w:rsidRPr="00AF79E2">
        <w:rPr>
          <w:sz w:val="22"/>
          <w:szCs w:val="22"/>
          <w:lang w:val="fr-CA"/>
        </w:rPr>
        <w:t>(</w:t>
      </w:r>
      <w:r w:rsidR="008E7052">
        <w:rPr>
          <w:sz w:val="22"/>
          <w:szCs w:val="22"/>
          <w:lang w:val="fr-CA"/>
        </w:rPr>
        <w:t>à confirmer</w:t>
      </w:r>
      <w:r w:rsidR="00FB3DE1" w:rsidRPr="00AF79E2">
        <w:rPr>
          <w:sz w:val="22"/>
          <w:szCs w:val="22"/>
          <w:lang w:val="fr-CA"/>
        </w:rPr>
        <w:t>)</w:t>
      </w:r>
    </w:p>
    <w:p w:rsidR="00FB3DE1" w:rsidRPr="00AF79E2" w:rsidRDefault="00FB363B" w:rsidP="00FB3DE1">
      <w:pPr>
        <w:pStyle w:val="ListParagraph0"/>
        <w:numPr>
          <w:ilvl w:val="0"/>
          <w:numId w:val="14"/>
        </w:numPr>
        <w:tabs>
          <w:tab w:val="left" w:pos="1440"/>
        </w:tabs>
        <w:ind w:left="1440" w:hanging="720"/>
        <w:contextualSpacing/>
        <w:jc w:val="both"/>
        <w:rPr>
          <w:sz w:val="22"/>
          <w:szCs w:val="22"/>
          <w:lang w:val="fr-CA"/>
        </w:rPr>
      </w:pPr>
      <w:r>
        <w:rPr>
          <w:sz w:val="22"/>
          <w:szCs w:val="22"/>
          <w:lang w:val="fr-CA"/>
        </w:rPr>
        <w:t>L’Institut interaméricain de recherche sur les changements à l’échelle mondiale</w:t>
      </w:r>
      <w:r w:rsidRPr="00AF79E2">
        <w:rPr>
          <w:sz w:val="22"/>
          <w:szCs w:val="22"/>
          <w:lang w:val="fr-CA"/>
        </w:rPr>
        <w:t xml:space="preserve"> </w:t>
      </w:r>
      <w:r>
        <w:rPr>
          <w:sz w:val="22"/>
          <w:szCs w:val="22"/>
          <w:lang w:val="fr-CA"/>
        </w:rPr>
        <w:t>(</w:t>
      </w:r>
      <w:r w:rsidR="00FB3DE1" w:rsidRPr="00AF79E2">
        <w:rPr>
          <w:sz w:val="22"/>
          <w:szCs w:val="22"/>
          <w:lang w:val="fr-CA"/>
        </w:rPr>
        <w:t>IAI</w:t>
      </w:r>
      <w:r>
        <w:rPr>
          <w:sz w:val="22"/>
          <w:szCs w:val="22"/>
          <w:lang w:val="fr-CA"/>
        </w:rPr>
        <w:t>)</w:t>
      </w:r>
      <w:r w:rsidR="008E7052">
        <w:rPr>
          <w:sz w:val="22"/>
          <w:szCs w:val="22"/>
          <w:lang w:val="fr-CA"/>
        </w:rPr>
        <w:t xml:space="preserve"> </w:t>
      </w:r>
      <w:r w:rsidR="00FB3DE1" w:rsidRPr="00AF79E2">
        <w:rPr>
          <w:sz w:val="22"/>
          <w:szCs w:val="22"/>
          <w:lang w:val="fr-CA"/>
        </w:rPr>
        <w:t>(</w:t>
      </w:r>
      <w:r w:rsidR="008E7052">
        <w:rPr>
          <w:sz w:val="22"/>
          <w:szCs w:val="22"/>
          <w:lang w:val="fr-CA"/>
        </w:rPr>
        <w:t>à confirmer</w:t>
      </w:r>
      <w:r w:rsidR="00FB3DE1" w:rsidRPr="00AF79E2">
        <w:rPr>
          <w:sz w:val="22"/>
          <w:szCs w:val="22"/>
          <w:lang w:val="fr-CA"/>
        </w:rPr>
        <w:t>)</w:t>
      </w:r>
    </w:p>
    <w:p w:rsidR="00FB3DE1" w:rsidRPr="00AF79E2" w:rsidRDefault="008E7052" w:rsidP="00FB3DE1">
      <w:pPr>
        <w:pStyle w:val="ListParagraph0"/>
        <w:numPr>
          <w:ilvl w:val="0"/>
          <w:numId w:val="14"/>
        </w:numPr>
        <w:tabs>
          <w:tab w:val="left" w:pos="1440"/>
        </w:tabs>
        <w:ind w:left="1440" w:hanging="720"/>
        <w:contextualSpacing/>
        <w:jc w:val="both"/>
        <w:rPr>
          <w:sz w:val="22"/>
          <w:szCs w:val="22"/>
          <w:lang w:val="fr-CA"/>
        </w:rPr>
      </w:pPr>
      <w:r>
        <w:rPr>
          <w:sz w:val="22"/>
          <w:szCs w:val="22"/>
          <w:lang w:val="fr-CA"/>
        </w:rPr>
        <w:t>L</w:t>
      </w:r>
      <w:r w:rsidR="00FB3DE1" w:rsidRPr="00AF79E2">
        <w:rPr>
          <w:sz w:val="22"/>
          <w:szCs w:val="22"/>
          <w:lang w:val="fr-CA"/>
        </w:rPr>
        <w:t>e Secr</w:t>
      </w:r>
      <w:r>
        <w:rPr>
          <w:sz w:val="22"/>
          <w:szCs w:val="22"/>
          <w:lang w:val="fr-CA"/>
        </w:rPr>
        <w:t>é</w:t>
      </w:r>
      <w:r w:rsidR="00FB3DE1" w:rsidRPr="00AF79E2">
        <w:rPr>
          <w:sz w:val="22"/>
          <w:szCs w:val="22"/>
          <w:lang w:val="fr-CA"/>
        </w:rPr>
        <w:t>tariat</w:t>
      </w:r>
      <w:r>
        <w:rPr>
          <w:sz w:val="22"/>
          <w:szCs w:val="22"/>
          <w:lang w:val="fr-CA"/>
        </w:rPr>
        <w:t xml:space="preserve"> au développement intégré</w:t>
      </w:r>
      <w:r w:rsidR="00FB3DE1" w:rsidRPr="00AF79E2">
        <w:rPr>
          <w:sz w:val="22"/>
          <w:szCs w:val="22"/>
          <w:lang w:val="fr-CA"/>
        </w:rPr>
        <w:t xml:space="preserve"> (SEDI)</w:t>
      </w:r>
    </w:p>
    <w:p w:rsidR="00FB3DE1" w:rsidRPr="00AF79E2" w:rsidRDefault="00FB3DE1" w:rsidP="004C5C8C">
      <w:pPr>
        <w:jc w:val="both"/>
        <w:rPr>
          <w:rFonts w:eastAsia="Calibri"/>
          <w:sz w:val="22"/>
          <w:szCs w:val="22"/>
          <w:lang w:val="fr-CA"/>
        </w:rPr>
      </w:pPr>
    </w:p>
    <w:p w:rsidR="00FB3DE1" w:rsidRPr="00AF79E2" w:rsidRDefault="00FB3DE1" w:rsidP="004C5C8C">
      <w:pPr>
        <w:jc w:val="both"/>
        <w:rPr>
          <w:rFonts w:eastAsia="Calibri"/>
          <w:sz w:val="22"/>
          <w:szCs w:val="22"/>
          <w:lang w:val="fr-CA"/>
        </w:rPr>
      </w:pPr>
    </w:p>
    <w:p w:rsidR="00FB3DE1" w:rsidRPr="00AF79E2" w:rsidRDefault="00FB363B" w:rsidP="00FB3DE1">
      <w:pPr>
        <w:jc w:val="both"/>
        <w:rPr>
          <w:rFonts w:eastAsia="Calibri"/>
          <w:b/>
          <w:sz w:val="22"/>
          <w:szCs w:val="22"/>
          <w:lang w:val="fr-CA"/>
        </w:rPr>
      </w:pPr>
      <w:r>
        <w:rPr>
          <w:rFonts w:eastAsia="Calibri"/>
          <w:b/>
          <w:sz w:val="22"/>
          <w:szCs w:val="22"/>
          <w:lang w:val="fr-CA"/>
        </w:rPr>
        <w:t>Pertinence pour le</w:t>
      </w:r>
      <w:r w:rsidR="00FB3DE1" w:rsidRPr="00AF79E2">
        <w:rPr>
          <w:rFonts w:eastAsia="Calibri"/>
          <w:b/>
          <w:sz w:val="22"/>
          <w:szCs w:val="22"/>
          <w:lang w:val="fr-CA"/>
        </w:rPr>
        <w:t xml:space="preserve"> CIDI</w:t>
      </w:r>
    </w:p>
    <w:p w:rsidR="00FB3DE1" w:rsidRPr="00AF79E2" w:rsidRDefault="00FB3DE1" w:rsidP="00FB3DE1">
      <w:pPr>
        <w:jc w:val="both"/>
        <w:rPr>
          <w:rFonts w:eastAsia="Calibri"/>
          <w:b/>
          <w:sz w:val="22"/>
          <w:szCs w:val="22"/>
          <w:lang w:val="fr-CA"/>
        </w:rPr>
      </w:pPr>
    </w:p>
    <w:p w:rsidR="00FB3DE1" w:rsidRPr="004C5C8C" w:rsidRDefault="00214A1D" w:rsidP="004C5C8C">
      <w:pPr>
        <w:pStyle w:val="NormalWeb"/>
        <w:spacing w:before="0" w:beforeAutospacing="0" w:after="0" w:afterAutospacing="0"/>
        <w:ind w:firstLine="720"/>
        <w:jc w:val="both"/>
        <w:rPr>
          <w:color w:val="000000"/>
          <w:sz w:val="22"/>
          <w:szCs w:val="22"/>
          <w:lang w:val="fr-FR"/>
        </w:rPr>
      </w:pPr>
      <w:r w:rsidRPr="007D3D62">
        <w:rPr>
          <w:rFonts w:eastAsia="Calibri"/>
          <w:sz w:val="22"/>
          <w:szCs w:val="22"/>
          <w:lang w:val="fr-CA"/>
        </w:rPr>
        <w:t xml:space="preserve">La Charte de l’OEA charge le CIDI de promouvoir la coopération entre États membres </w:t>
      </w:r>
      <w:r w:rsidR="00764080" w:rsidRPr="007D3D62">
        <w:rPr>
          <w:rFonts w:eastAsia="Calibri"/>
          <w:sz w:val="22"/>
          <w:szCs w:val="22"/>
          <w:lang w:val="fr-CA"/>
        </w:rPr>
        <w:t>de l’OEA dans le but d’atteindre le développement intégré</w:t>
      </w:r>
      <w:r w:rsidR="001B056F" w:rsidRPr="007D3D62">
        <w:rPr>
          <w:rFonts w:eastAsia="Calibri"/>
          <w:sz w:val="22"/>
          <w:szCs w:val="22"/>
          <w:lang w:val="fr-CA"/>
        </w:rPr>
        <w:t xml:space="preserve"> et, en particulier, pour aider à éliminer la pauvreté absolue. La Charte charge également le CIDI de </w:t>
      </w:r>
      <w:r w:rsidR="007D3D62" w:rsidRPr="007D3D62">
        <w:rPr>
          <w:rFonts w:eastAsia="Calibri"/>
          <w:sz w:val="22"/>
          <w:szCs w:val="22"/>
          <w:lang w:val="fr-CA"/>
        </w:rPr>
        <w:t>« </w:t>
      </w:r>
      <w:r w:rsidR="007D3D62" w:rsidRPr="007D3D62">
        <w:rPr>
          <w:color w:val="000000"/>
          <w:sz w:val="22"/>
          <w:szCs w:val="22"/>
          <w:lang w:val="fr-FR"/>
        </w:rPr>
        <w:t>Prom</w:t>
      </w:r>
      <w:r w:rsidR="007D3D62">
        <w:rPr>
          <w:color w:val="000000"/>
          <w:sz w:val="22"/>
          <w:szCs w:val="22"/>
          <w:lang w:val="fr-FR"/>
        </w:rPr>
        <w:t>ouvoir, coordonner et confier l’</w:t>
      </w:r>
      <w:r w:rsidR="007D3D62" w:rsidRPr="007D3D62">
        <w:rPr>
          <w:color w:val="000000"/>
          <w:sz w:val="22"/>
          <w:szCs w:val="22"/>
          <w:lang w:val="fr-FR"/>
        </w:rPr>
        <w:t xml:space="preserve">exécution des programmes et projets de développement aux organes subsidiaires et aux organismes pertinents, </w:t>
      </w:r>
      <w:r w:rsidR="007D3D62">
        <w:rPr>
          <w:color w:val="000000"/>
          <w:sz w:val="22"/>
          <w:szCs w:val="22"/>
          <w:lang w:val="fr-FR"/>
        </w:rPr>
        <w:t>en s’</w:t>
      </w:r>
      <w:r w:rsidR="007D3D62" w:rsidRPr="007D3D62">
        <w:rPr>
          <w:color w:val="000000"/>
          <w:sz w:val="22"/>
          <w:szCs w:val="22"/>
          <w:lang w:val="fr-FR"/>
        </w:rPr>
        <w:t>inspiran</w:t>
      </w:r>
      <w:r w:rsidR="007D3D62">
        <w:rPr>
          <w:color w:val="000000"/>
          <w:sz w:val="22"/>
          <w:szCs w:val="22"/>
          <w:lang w:val="fr-FR"/>
        </w:rPr>
        <w:t>t des priorités fixées par les É</w:t>
      </w:r>
      <w:r w:rsidR="007D3D62" w:rsidRPr="007D3D62">
        <w:rPr>
          <w:color w:val="000000"/>
          <w:sz w:val="22"/>
          <w:szCs w:val="22"/>
          <w:lang w:val="fr-FR"/>
        </w:rPr>
        <w:t>tats membres dans des domaines tels que le développement économique et social</w:t>
      </w:r>
      <w:r w:rsidR="007D3D62">
        <w:rPr>
          <w:color w:val="000000"/>
          <w:sz w:val="22"/>
          <w:szCs w:val="22"/>
          <w:lang w:val="fr-FR"/>
        </w:rPr>
        <w:t>,</w:t>
      </w:r>
      <w:r w:rsidR="007D3D62" w:rsidRPr="007D3D62">
        <w:rPr>
          <w:color w:val="000000"/>
          <w:sz w:val="22"/>
          <w:szCs w:val="22"/>
          <w:lang w:val="fr-FR"/>
        </w:rPr>
        <w:t xml:space="preserve"> y compris le </w:t>
      </w:r>
      <w:r w:rsidR="007D3D62">
        <w:rPr>
          <w:color w:val="000000"/>
          <w:sz w:val="22"/>
          <w:szCs w:val="22"/>
          <w:lang w:val="fr-FR"/>
        </w:rPr>
        <w:t>commerce, le tourisme, l’intégration et l’</w:t>
      </w:r>
      <w:r w:rsidR="007D3D62" w:rsidRPr="007D3D62">
        <w:rPr>
          <w:color w:val="000000"/>
          <w:sz w:val="22"/>
          <w:szCs w:val="22"/>
          <w:lang w:val="fr-FR"/>
        </w:rPr>
        <w:t xml:space="preserve">environnement ». </w:t>
      </w:r>
      <w:r w:rsidR="00FB3DE1" w:rsidRPr="007D3D62">
        <w:rPr>
          <w:rFonts w:eastAsia="Calibri"/>
          <w:sz w:val="22"/>
          <w:szCs w:val="22"/>
          <w:lang w:val="fr-CA"/>
        </w:rPr>
        <w:t xml:space="preserve"> </w:t>
      </w:r>
    </w:p>
    <w:p w:rsidR="00FB3DE1" w:rsidRPr="00AF79E2" w:rsidRDefault="00FB3DE1" w:rsidP="00FB3DE1">
      <w:pPr>
        <w:jc w:val="both"/>
        <w:rPr>
          <w:rFonts w:eastAsia="Calibri"/>
          <w:sz w:val="22"/>
          <w:szCs w:val="22"/>
          <w:lang w:val="fr-CA"/>
        </w:rPr>
      </w:pPr>
    </w:p>
    <w:p w:rsidR="00FB3DE1" w:rsidRPr="00AF79E2" w:rsidRDefault="007D3D62" w:rsidP="00FB3DE1">
      <w:pPr>
        <w:ind w:firstLine="720"/>
        <w:jc w:val="both"/>
        <w:rPr>
          <w:rFonts w:eastAsia="Calibri"/>
          <w:sz w:val="22"/>
          <w:szCs w:val="22"/>
          <w:lang w:val="fr-CA"/>
        </w:rPr>
      </w:pPr>
      <w:r>
        <w:rPr>
          <w:rFonts w:eastAsia="Calibri"/>
          <w:sz w:val="22"/>
          <w:szCs w:val="22"/>
          <w:lang w:val="fr-CA"/>
        </w:rPr>
        <w:t>Le Programme interaméricain de développement durable</w:t>
      </w:r>
      <w:r w:rsidR="00FB3DE1" w:rsidRPr="00AF79E2">
        <w:rPr>
          <w:rFonts w:eastAsia="Calibri"/>
          <w:sz w:val="22"/>
          <w:szCs w:val="22"/>
          <w:lang w:val="fr-CA"/>
        </w:rPr>
        <w:t xml:space="preserve"> (PIDS)</w:t>
      </w:r>
      <w:r>
        <w:rPr>
          <w:rFonts w:eastAsia="Calibri"/>
          <w:sz w:val="22"/>
          <w:szCs w:val="22"/>
          <w:lang w:val="fr-CA"/>
        </w:rPr>
        <w:t xml:space="preserve"> charge le SG/OEA de collaborer, par le truchement du</w:t>
      </w:r>
      <w:r w:rsidR="004411FA">
        <w:rPr>
          <w:rFonts w:eastAsia="Calibri"/>
          <w:sz w:val="22"/>
          <w:szCs w:val="22"/>
          <w:lang w:val="fr-CA"/>
        </w:rPr>
        <w:t xml:space="preserve"> SEDI-D</w:t>
      </w:r>
      <w:r w:rsidR="00FB3DE1" w:rsidRPr="00AF79E2">
        <w:rPr>
          <w:rFonts w:eastAsia="Calibri"/>
          <w:sz w:val="22"/>
          <w:szCs w:val="22"/>
          <w:lang w:val="fr-CA"/>
        </w:rPr>
        <w:t>D</w:t>
      </w:r>
      <w:r w:rsidR="004411FA">
        <w:rPr>
          <w:rFonts w:eastAsia="Calibri"/>
          <w:sz w:val="22"/>
          <w:szCs w:val="22"/>
          <w:lang w:val="fr-CA"/>
        </w:rPr>
        <w:t>S, avec les personnes responsables du développement durable dans les États membres et d’assurer la coordination avec d’autres entités et organisations internationales. Le PIDS établit des mesures stratégiques visant à assurer que les travaux du Secrétariat général en matière de développement durable soient conséquents la mise en œuvre du Programme de développement durable à l’horizon 2030 et avec l’Accord de Paris sur le changement climatique et que ses objectifs et ses résultats sont guidés par les ODD approuvés par les États membres et contribuent à l’atteinte de ces objectifs.</w:t>
      </w:r>
      <w:r w:rsidR="00FB3DE1" w:rsidRPr="00AF79E2">
        <w:rPr>
          <w:rFonts w:eastAsia="Calibri"/>
          <w:sz w:val="22"/>
          <w:szCs w:val="22"/>
          <w:lang w:val="fr-CA"/>
        </w:rPr>
        <w:t xml:space="preserve"> </w:t>
      </w:r>
    </w:p>
    <w:p w:rsidR="00FB3DE1" w:rsidRPr="00AF79E2" w:rsidRDefault="00FB3DE1" w:rsidP="00FB3DE1">
      <w:pPr>
        <w:jc w:val="both"/>
        <w:rPr>
          <w:rFonts w:eastAsia="Calibri"/>
          <w:sz w:val="22"/>
          <w:szCs w:val="22"/>
          <w:lang w:val="fr-CA"/>
        </w:rPr>
      </w:pPr>
    </w:p>
    <w:p w:rsidR="00FB3DE1" w:rsidRPr="00AF79E2" w:rsidRDefault="00D132F3" w:rsidP="00FB3DE1">
      <w:pPr>
        <w:ind w:firstLine="720"/>
        <w:jc w:val="both"/>
        <w:rPr>
          <w:rFonts w:eastAsia="Calibri"/>
          <w:sz w:val="22"/>
          <w:szCs w:val="22"/>
          <w:lang w:val="fr-CA"/>
        </w:rPr>
      </w:pPr>
      <w:r>
        <w:rPr>
          <w:rFonts w:eastAsia="Calibri"/>
          <w:sz w:val="22"/>
          <w:szCs w:val="22"/>
          <w:lang w:val="fr-CA"/>
        </w:rPr>
        <w:t>Selon le</w:t>
      </w:r>
      <w:r w:rsidR="00FB3DE1" w:rsidRPr="00AF79E2">
        <w:rPr>
          <w:rFonts w:eastAsia="Calibri"/>
          <w:sz w:val="22"/>
          <w:szCs w:val="22"/>
          <w:lang w:val="fr-CA"/>
        </w:rPr>
        <w:t xml:space="preserve"> PIDS,</w:t>
      </w:r>
      <w:r>
        <w:rPr>
          <w:rFonts w:eastAsia="Calibri"/>
          <w:sz w:val="22"/>
          <w:szCs w:val="22"/>
          <w:lang w:val="fr-CA"/>
        </w:rPr>
        <w:t xml:space="preserve"> les travaux du Secrétariat général devraient contribuer directement à appuyer les États membres dans les efforts qu’ils déploient pour atteindre l’ODD 11 « Faire en sorte que les villes et</w:t>
      </w:r>
      <w:r w:rsidR="00054ED3">
        <w:rPr>
          <w:rFonts w:eastAsia="Calibri"/>
          <w:sz w:val="22"/>
          <w:szCs w:val="22"/>
          <w:lang w:val="fr-CA"/>
        </w:rPr>
        <w:t xml:space="preserve"> les établissements</w:t>
      </w:r>
      <w:r>
        <w:rPr>
          <w:rFonts w:eastAsia="Calibri"/>
          <w:sz w:val="22"/>
          <w:szCs w:val="22"/>
          <w:lang w:val="fr-CA"/>
        </w:rPr>
        <w:t xml:space="preserve"> humains </w:t>
      </w:r>
      <w:r w:rsidR="00054ED3">
        <w:rPr>
          <w:rFonts w:eastAsia="Calibri"/>
          <w:sz w:val="22"/>
          <w:szCs w:val="22"/>
          <w:lang w:val="fr-CA"/>
        </w:rPr>
        <w:t>soient ouverts à tous, sûrs, résilients et durables »; l’ODD 15 « </w:t>
      </w:r>
      <w:r w:rsidR="00054ED3">
        <w:rPr>
          <w:rFonts w:cs="Arial"/>
          <w:lang w:val="fr-FR"/>
        </w:rPr>
        <w:t xml:space="preserve">Préserver et restaurer les écosystèmes terrestres, en veillant à les exploiter de façon durable, gérer durablement les forêts, lutter contre la désertification, enrayer et inverser le processus de dégradation des sols et </w:t>
      </w:r>
      <w:r w:rsidR="00054ED3">
        <w:rPr>
          <w:rFonts w:cs="Arial"/>
          <w:lang w:val="fr-FR"/>
        </w:rPr>
        <w:lastRenderedPageBreak/>
        <w:t>mettre fin à l’appauvrissement de la biodiversité »</w:t>
      </w:r>
      <w:r w:rsidR="00054ED3">
        <w:rPr>
          <w:rFonts w:eastAsia="Calibri"/>
          <w:sz w:val="22"/>
          <w:szCs w:val="22"/>
          <w:lang w:val="fr-CA"/>
        </w:rPr>
        <w:t>; et l’ODD</w:t>
      </w:r>
      <w:r w:rsidR="00FB3DE1" w:rsidRPr="00AF79E2">
        <w:rPr>
          <w:rFonts w:eastAsia="Calibri"/>
          <w:sz w:val="22"/>
          <w:szCs w:val="22"/>
          <w:lang w:val="fr-CA"/>
        </w:rPr>
        <w:t xml:space="preserve"> 7</w:t>
      </w:r>
      <w:r w:rsidR="00054ED3">
        <w:rPr>
          <w:rFonts w:eastAsia="Calibri"/>
          <w:sz w:val="22"/>
          <w:szCs w:val="22"/>
          <w:lang w:val="fr-CA"/>
        </w:rPr>
        <w:t xml:space="preserve"> « Garantir l’accès de tous à des services énergétiques fiables, </w:t>
      </w:r>
      <w:r w:rsidR="00D40CB4">
        <w:rPr>
          <w:rFonts w:eastAsia="Calibri"/>
          <w:sz w:val="22"/>
          <w:szCs w:val="22"/>
          <w:lang w:val="fr-CA"/>
        </w:rPr>
        <w:t xml:space="preserve">durables et modernes, à un cout abordable »; aussi, les buts </w:t>
      </w:r>
      <w:proofErr w:type="spellStart"/>
      <w:r w:rsidR="00D40CB4">
        <w:rPr>
          <w:rFonts w:eastAsia="Calibri"/>
          <w:sz w:val="22"/>
          <w:szCs w:val="22"/>
          <w:lang w:val="fr-CA"/>
        </w:rPr>
        <w:t>interreliés</w:t>
      </w:r>
      <w:proofErr w:type="spellEnd"/>
      <w:r w:rsidR="00D40CB4">
        <w:rPr>
          <w:rFonts w:eastAsia="Calibri"/>
          <w:sz w:val="22"/>
          <w:szCs w:val="22"/>
          <w:lang w:val="fr-CA"/>
        </w:rPr>
        <w:t xml:space="preserve"> d’autres </w:t>
      </w:r>
      <w:proofErr w:type="spellStart"/>
      <w:r w:rsidR="00D40CB4">
        <w:rPr>
          <w:rFonts w:eastAsia="Calibri"/>
          <w:sz w:val="22"/>
          <w:szCs w:val="22"/>
          <w:lang w:val="fr-CA"/>
        </w:rPr>
        <w:t>ODD</w:t>
      </w:r>
      <w:proofErr w:type="spellEnd"/>
      <w:r w:rsidR="00D40CB4">
        <w:rPr>
          <w:rFonts w:eastAsia="Calibri"/>
          <w:sz w:val="22"/>
          <w:szCs w:val="22"/>
          <w:lang w:val="fr-CA"/>
        </w:rPr>
        <w:t xml:space="preserve"> du Programme 2030 et ses éléments transversaux. </w:t>
      </w:r>
      <w:r w:rsidR="00FB3DE1" w:rsidRPr="00AF79E2">
        <w:rPr>
          <w:rFonts w:eastAsia="Calibri"/>
          <w:sz w:val="22"/>
          <w:szCs w:val="22"/>
          <w:lang w:val="fr-CA"/>
        </w:rPr>
        <w:t xml:space="preserve"> </w:t>
      </w:r>
    </w:p>
    <w:p w:rsidR="00FB3DE1" w:rsidRPr="00AF79E2" w:rsidRDefault="00FB3DE1" w:rsidP="00FB3DE1">
      <w:pPr>
        <w:jc w:val="both"/>
        <w:rPr>
          <w:rFonts w:eastAsia="Calibri"/>
          <w:sz w:val="22"/>
          <w:szCs w:val="22"/>
          <w:lang w:val="fr-CA"/>
        </w:rPr>
      </w:pPr>
    </w:p>
    <w:p w:rsidR="00FB3DE1" w:rsidRPr="00AF79E2" w:rsidRDefault="00D40CB4" w:rsidP="00FB3DE1">
      <w:pPr>
        <w:jc w:val="both"/>
        <w:rPr>
          <w:rFonts w:eastAsia="Calibri"/>
          <w:sz w:val="22"/>
          <w:szCs w:val="22"/>
          <w:lang w:val="fr-CA"/>
        </w:rPr>
      </w:pPr>
      <w:r>
        <w:rPr>
          <w:rFonts w:eastAsia="Calibri"/>
          <w:b/>
          <w:sz w:val="22"/>
          <w:szCs w:val="22"/>
          <w:u w:val="single"/>
          <w:lang w:val="fr-CA"/>
        </w:rPr>
        <w:t>RÉSULTAT DE LA RÉUNION</w:t>
      </w:r>
    </w:p>
    <w:p w:rsidR="00FB3DE1" w:rsidRPr="00AF79E2" w:rsidRDefault="00FB3DE1" w:rsidP="00FB3DE1">
      <w:pPr>
        <w:jc w:val="both"/>
        <w:rPr>
          <w:rFonts w:eastAsia="Calibri"/>
          <w:sz w:val="22"/>
          <w:szCs w:val="22"/>
          <w:lang w:val="fr-CA"/>
        </w:rPr>
      </w:pPr>
    </w:p>
    <w:p w:rsidR="00FB3DE1" w:rsidRPr="00AF79E2" w:rsidRDefault="00D40CB4" w:rsidP="00FB3DE1">
      <w:pPr>
        <w:ind w:firstLine="720"/>
        <w:jc w:val="both"/>
        <w:rPr>
          <w:rFonts w:eastAsia="Calibri"/>
          <w:iCs/>
          <w:sz w:val="22"/>
          <w:szCs w:val="22"/>
          <w:lang w:val="fr-CA"/>
        </w:rPr>
      </w:pPr>
      <w:r>
        <w:rPr>
          <w:iCs/>
          <w:sz w:val="22"/>
          <w:szCs w:val="22"/>
          <w:lang w:val="fr-CA"/>
        </w:rPr>
        <w:t xml:space="preserve">Il est prévu qu’à la fin de la réunion les délégations </w:t>
      </w:r>
      <w:r w:rsidR="000D3764">
        <w:rPr>
          <w:iCs/>
          <w:sz w:val="22"/>
          <w:szCs w:val="22"/>
          <w:lang w:val="fr-CA"/>
        </w:rPr>
        <w:t>auront fait</w:t>
      </w:r>
      <w:r>
        <w:rPr>
          <w:iCs/>
          <w:sz w:val="22"/>
          <w:szCs w:val="22"/>
          <w:lang w:val="fr-CA"/>
        </w:rPr>
        <w:t xml:space="preserve"> ce qui suit :</w:t>
      </w:r>
      <w:r w:rsidR="00FB3DE1" w:rsidRPr="00AF79E2">
        <w:rPr>
          <w:iCs/>
          <w:sz w:val="22"/>
          <w:szCs w:val="22"/>
          <w:lang w:val="fr-CA"/>
        </w:rPr>
        <w:t xml:space="preserve"> </w:t>
      </w:r>
    </w:p>
    <w:p w:rsidR="00FB3DE1" w:rsidRPr="00AF79E2" w:rsidRDefault="00FB3DE1" w:rsidP="00FB3DE1">
      <w:pPr>
        <w:jc w:val="both"/>
        <w:rPr>
          <w:iCs/>
          <w:sz w:val="22"/>
          <w:szCs w:val="22"/>
          <w:lang w:val="fr-CA"/>
        </w:rPr>
      </w:pPr>
    </w:p>
    <w:p w:rsidR="00FB3DE1" w:rsidRPr="00AF79E2" w:rsidRDefault="000D3764" w:rsidP="00FB3DE1">
      <w:pPr>
        <w:pStyle w:val="ListParagraph0"/>
        <w:numPr>
          <w:ilvl w:val="0"/>
          <w:numId w:val="15"/>
        </w:numPr>
        <w:ind w:left="1440" w:hanging="720"/>
        <w:contextualSpacing/>
        <w:jc w:val="both"/>
        <w:rPr>
          <w:iCs/>
          <w:sz w:val="22"/>
          <w:szCs w:val="22"/>
          <w:lang w:val="fr-CA"/>
        </w:rPr>
      </w:pPr>
      <w:r>
        <w:rPr>
          <w:iCs/>
          <w:sz w:val="22"/>
          <w:szCs w:val="22"/>
          <w:lang w:val="fr-CA"/>
        </w:rPr>
        <w:t xml:space="preserve">Apporter aux États membres une appréciation plus claire de la typologie des catastrophes ainsi que des façons </w:t>
      </w:r>
      <w:r w:rsidR="00A62C61">
        <w:rPr>
          <w:iCs/>
          <w:sz w:val="22"/>
          <w:szCs w:val="22"/>
          <w:lang w:val="fr-CA"/>
        </w:rPr>
        <w:t>dont la science peut utiliser, à de multiples niveaux, la destruction causée par des catastrophes dans l’élaboration</w:t>
      </w:r>
      <w:r w:rsidR="00811A12">
        <w:rPr>
          <w:iCs/>
          <w:sz w:val="22"/>
          <w:szCs w:val="22"/>
          <w:lang w:val="fr-CA"/>
        </w:rPr>
        <w:t xml:space="preserve"> de politiques et de stratégies</w:t>
      </w:r>
      <w:r w:rsidR="00A62C61">
        <w:rPr>
          <w:iCs/>
          <w:sz w:val="22"/>
          <w:szCs w:val="22"/>
          <w:lang w:val="fr-CA"/>
        </w:rPr>
        <w:t xml:space="preserve"> </w:t>
      </w:r>
      <w:r w:rsidR="00811A12">
        <w:rPr>
          <w:iCs/>
          <w:sz w:val="22"/>
          <w:szCs w:val="22"/>
          <w:lang w:val="fr-CA"/>
        </w:rPr>
        <w:t>solides en matière de renforcement de la résilience.</w:t>
      </w:r>
      <w:r>
        <w:rPr>
          <w:iCs/>
          <w:sz w:val="22"/>
          <w:szCs w:val="22"/>
          <w:lang w:val="fr-CA"/>
        </w:rPr>
        <w:t xml:space="preserve"> </w:t>
      </w:r>
    </w:p>
    <w:p w:rsidR="00FB3DE1" w:rsidRPr="00AF79E2" w:rsidRDefault="00FB3DE1" w:rsidP="00FB3DE1">
      <w:pPr>
        <w:ind w:left="1440" w:hanging="720"/>
        <w:jc w:val="both"/>
        <w:rPr>
          <w:rFonts w:eastAsia="Calibri"/>
          <w:sz w:val="22"/>
          <w:szCs w:val="22"/>
          <w:lang w:val="fr-CA"/>
        </w:rPr>
      </w:pPr>
    </w:p>
    <w:p w:rsidR="00FB3DE1" w:rsidRPr="00AF79E2" w:rsidRDefault="00811A12" w:rsidP="00FB3DE1">
      <w:pPr>
        <w:numPr>
          <w:ilvl w:val="0"/>
          <w:numId w:val="8"/>
        </w:numPr>
        <w:ind w:left="1440" w:hanging="720"/>
        <w:jc w:val="both"/>
        <w:rPr>
          <w:rFonts w:eastAsia="Calibri"/>
          <w:sz w:val="22"/>
          <w:szCs w:val="22"/>
          <w:lang w:val="fr-CA"/>
        </w:rPr>
      </w:pPr>
      <w:r>
        <w:rPr>
          <w:rFonts w:eastAsia="Calibri"/>
          <w:sz w:val="22"/>
          <w:szCs w:val="22"/>
          <w:lang w:val="fr-CA"/>
        </w:rPr>
        <w:t xml:space="preserve">Faire des recommandations relativement à des mécanismes susceptibles de contribuer à l’atteinte des ODD du Programme de développement durable à l’horizon 2030 en ce qui a trait aux économies verte, bleue et orange. </w:t>
      </w:r>
      <w:r w:rsidR="00FB3DE1" w:rsidRPr="00AF79E2">
        <w:rPr>
          <w:rFonts w:eastAsia="Calibri"/>
          <w:sz w:val="22"/>
          <w:szCs w:val="22"/>
          <w:lang w:val="fr-CA"/>
        </w:rPr>
        <w:t xml:space="preserve"> </w:t>
      </w:r>
    </w:p>
    <w:p w:rsidR="00FB3DE1" w:rsidRPr="00AF79E2" w:rsidRDefault="00FB3DE1" w:rsidP="00FB3DE1">
      <w:pPr>
        <w:ind w:left="1440" w:hanging="720"/>
        <w:jc w:val="both"/>
        <w:rPr>
          <w:rFonts w:eastAsia="Calibri"/>
          <w:sz w:val="22"/>
          <w:szCs w:val="22"/>
          <w:lang w:val="fr-CA"/>
        </w:rPr>
      </w:pPr>
    </w:p>
    <w:p w:rsidR="00FB3DE1" w:rsidRPr="00AF79E2" w:rsidRDefault="001345DC" w:rsidP="00FB3DE1">
      <w:pPr>
        <w:numPr>
          <w:ilvl w:val="0"/>
          <w:numId w:val="8"/>
        </w:numPr>
        <w:ind w:left="1440" w:hanging="720"/>
        <w:jc w:val="both"/>
        <w:rPr>
          <w:rFonts w:eastAsia="Calibri"/>
          <w:sz w:val="22"/>
          <w:szCs w:val="22"/>
          <w:lang w:val="fr-CA"/>
        </w:rPr>
      </w:pPr>
      <w:r>
        <w:rPr>
          <w:rFonts w:eastAsia="Calibri"/>
          <w:sz w:val="22"/>
          <w:szCs w:val="22"/>
          <w:lang w:val="fr-CA"/>
        </w:rPr>
        <w:t>Étayer et guider les efforts déployés par le Secrétariat au développement intégré</w:t>
      </w:r>
      <w:r w:rsidR="002E2E43">
        <w:rPr>
          <w:rFonts w:eastAsia="Calibri"/>
          <w:sz w:val="22"/>
          <w:szCs w:val="22"/>
          <w:lang w:val="fr-CA"/>
        </w:rPr>
        <w:t xml:space="preserve"> en vue de se positionner </w:t>
      </w:r>
      <w:r w:rsidR="0073718E">
        <w:rPr>
          <w:rFonts w:eastAsia="Calibri"/>
          <w:sz w:val="22"/>
          <w:szCs w:val="22"/>
          <w:lang w:val="fr-CA"/>
        </w:rPr>
        <w:t>pour appuyer l’élaboration du Plan stratégique du SEDI sur la résilience environnementale et le Programme interaméricain de développement durable</w:t>
      </w:r>
      <w:r w:rsidR="00FB3DE1" w:rsidRPr="00AF79E2">
        <w:rPr>
          <w:rFonts w:eastAsia="Calibri"/>
          <w:sz w:val="22"/>
          <w:szCs w:val="22"/>
          <w:lang w:val="fr-CA"/>
        </w:rPr>
        <w:t xml:space="preserve"> (PIDS). </w:t>
      </w:r>
    </w:p>
    <w:p w:rsidR="00FB3DE1" w:rsidRPr="00AF79E2" w:rsidRDefault="00FB3DE1" w:rsidP="00FB3DE1">
      <w:pPr>
        <w:pStyle w:val="ListParagraph0"/>
        <w:ind w:left="1440" w:hanging="720"/>
        <w:jc w:val="both"/>
        <w:rPr>
          <w:sz w:val="22"/>
          <w:szCs w:val="22"/>
          <w:lang w:val="fr-CA"/>
        </w:rPr>
      </w:pPr>
    </w:p>
    <w:p w:rsidR="00FB3DE1" w:rsidRPr="00AF79E2" w:rsidRDefault="00364830" w:rsidP="00FB3DE1">
      <w:pPr>
        <w:numPr>
          <w:ilvl w:val="0"/>
          <w:numId w:val="8"/>
        </w:numPr>
        <w:ind w:left="1440" w:hanging="720"/>
        <w:jc w:val="both"/>
        <w:rPr>
          <w:rFonts w:eastAsia="Calibri"/>
          <w:sz w:val="22"/>
          <w:szCs w:val="22"/>
          <w:lang w:val="fr-CA"/>
        </w:rPr>
      </w:pPr>
      <w:r>
        <w:rPr>
          <w:rFonts w:eastAsia="Calibri"/>
          <w:sz w:val="22"/>
          <w:szCs w:val="22"/>
          <w:lang w:val="fr-CA"/>
        </w:rPr>
        <w:t>Trouver des politiques qui appuient l’utilisation durable des ressources, encourager la consultation permanente sur les méthodologies, les outils et les opportunités qui donnent un nouvel élan au renforcement de la résilience</w:t>
      </w:r>
      <w:r w:rsidR="00FB3DE1" w:rsidRPr="00AF79E2">
        <w:rPr>
          <w:rFonts w:eastAsia="Calibri"/>
          <w:sz w:val="22"/>
          <w:szCs w:val="22"/>
          <w:lang w:val="fr-CA"/>
        </w:rPr>
        <w:t xml:space="preserve">. </w:t>
      </w:r>
    </w:p>
    <w:p w:rsidR="00FB3DE1" w:rsidRPr="00AF79E2" w:rsidRDefault="00FB3DE1" w:rsidP="00FB3DE1">
      <w:pPr>
        <w:pStyle w:val="ListParagraph0"/>
        <w:ind w:left="1440" w:hanging="720"/>
        <w:jc w:val="both"/>
        <w:rPr>
          <w:sz w:val="22"/>
          <w:szCs w:val="22"/>
          <w:lang w:val="fr-CA"/>
        </w:rPr>
      </w:pPr>
    </w:p>
    <w:p w:rsidR="00FB3DE1" w:rsidRPr="00AF79E2" w:rsidRDefault="00364830" w:rsidP="00FB3DE1">
      <w:pPr>
        <w:numPr>
          <w:ilvl w:val="0"/>
          <w:numId w:val="8"/>
        </w:numPr>
        <w:ind w:left="1440" w:hanging="720"/>
        <w:jc w:val="both"/>
        <w:rPr>
          <w:rFonts w:eastAsia="Calibri"/>
          <w:sz w:val="22"/>
          <w:szCs w:val="22"/>
          <w:lang w:val="fr-CA"/>
        </w:rPr>
      </w:pPr>
      <w:r>
        <w:rPr>
          <w:rFonts w:eastAsia="Calibri"/>
          <w:sz w:val="22"/>
          <w:szCs w:val="22"/>
          <w:lang w:val="fr-CA"/>
        </w:rPr>
        <w:t>Cerner les exigences de la résilience environnementale et conscientiser les principaux acteurs dans les Amériques à ce sujet</w:t>
      </w:r>
      <w:r w:rsidR="00C62C07" w:rsidRPr="00AF79E2">
        <w:rPr>
          <w:rFonts w:eastAsia="Calibri"/>
          <w:sz w:val="22"/>
          <w:szCs w:val="22"/>
          <w:lang w:val="fr-CA"/>
        </w:rPr>
        <w:t>.</w:t>
      </w:r>
    </w:p>
    <w:p w:rsidR="00FB3DE1" w:rsidRPr="00AF79E2" w:rsidRDefault="00FB3DE1" w:rsidP="00FB3DE1">
      <w:pPr>
        <w:pStyle w:val="ListParagraph0"/>
        <w:ind w:left="1440" w:hanging="720"/>
        <w:jc w:val="both"/>
        <w:rPr>
          <w:sz w:val="22"/>
          <w:szCs w:val="22"/>
          <w:lang w:val="fr-CA"/>
        </w:rPr>
      </w:pPr>
    </w:p>
    <w:p w:rsidR="00FB3DE1" w:rsidRPr="00AF79E2" w:rsidRDefault="00364830" w:rsidP="00FB3DE1">
      <w:pPr>
        <w:numPr>
          <w:ilvl w:val="0"/>
          <w:numId w:val="8"/>
        </w:numPr>
        <w:ind w:left="1440" w:hanging="720"/>
        <w:jc w:val="both"/>
        <w:rPr>
          <w:rFonts w:eastAsia="Calibri"/>
          <w:sz w:val="22"/>
          <w:szCs w:val="22"/>
          <w:lang w:val="fr-CA"/>
        </w:rPr>
      </w:pPr>
      <w:r>
        <w:rPr>
          <w:rFonts w:eastAsia="Calibri"/>
          <w:sz w:val="22"/>
          <w:szCs w:val="22"/>
          <w:lang w:val="fr-CA"/>
        </w:rPr>
        <w:t>Cerner les principaux choix</w:t>
      </w:r>
      <w:r w:rsidR="003E49E9">
        <w:rPr>
          <w:rFonts w:eastAsia="Calibri"/>
          <w:sz w:val="22"/>
          <w:szCs w:val="22"/>
          <w:lang w:val="fr-CA"/>
        </w:rPr>
        <w:t xml:space="preserve"> qui devront être faits en matière de politique stratégique et d’investissement afin de reconstruire en mieux, en ce qui concerne le développement des infrastructures, l’énergie, l’utilisation des terres, la gestion de la zone côtière et le transport, entre autres</w:t>
      </w:r>
      <w:r w:rsidR="00C62C07" w:rsidRPr="00AF79E2">
        <w:rPr>
          <w:rFonts w:eastAsia="Calibri"/>
          <w:sz w:val="22"/>
          <w:szCs w:val="22"/>
          <w:lang w:val="fr-CA"/>
        </w:rPr>
        <w:t>.</w:t>
      </w:r>
      <w:r w:rsidR="004C5C8C">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5751"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5751"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4C5C8C" w:rsidRPr="004C5C8C" w:rsidRDefault="004C5C8C">
                            <w:pPr>
                              <w:rPr>
                                <w:sz w:val="18"/>
                              </w:rPr>
                            </w:pPr>
                            <w:r>
                              <w:rPr>
                                <w:sz w:val="18"/>
                              </w:rPr>
                              <w:fldChar w:fldCharType="begin"/>
                            </w:r>
                            <w:r>
                              <w:rPr>
                                <w:sz w:val="18"/>
                              </w:rPr>
                              <w:instrText xml:space="preserve"> FILENAME  \* MERGEFORMAT </w:instrText>
                            </w:r>
                            <w:r>
                              <w:rPr>
                                <w:sz w:val="18"/>
                              </w:rPr>
                              <w:fldChar w:fldCharType="separate"/>
                            </w:r>
                            <w:r>
                              <w:rPr>
                                <w:noProof/>
                                <w:sz w:val="18"/>
                              </w:rPr>
                              <w:t>CIDRP02969F04</w:t>
                            </w:r>
                            <w:r>
                              <w:rPr>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6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" filled="f" stroked="f">
                <v:stroke joinstyle="round"/>
                <v:path arrowok="t"/>
                <v:textbox>
                  <w:txbxContent>
                    <w:bookmarkStart w:id="2" w:name="_GoBack"/>
                    <w:p w:rsidR="004C5C8C" w:rsidRPr="004C5C8C" w:rsidRDefault="004C5C8C">
                      <w:pPr>
                        <w:rPr>
                          <w:sz w:val="18"/>
                        </w:rPr>
                      </w:pPr>
                      <w:r>
                        <w:rPr>
                          <w:sz w:val="18"/>
                        </w:rPr>
                        <w:fldChar w:fldCharType="begin"/>
                      </w:r>
                      <w:r>
                        <w:rPr>
                          <w:sz w:val="18"/>
                        </w:rPr>
                        <w:instrText xml:space="preserve"> FILENAME  \* MERGEFORMAT </w:instrText>
                      </w:r>
                      <w:r>
                        <w:rPr>
                          <w:sz w:val="18"/>
                        </w:rPr>
                        <w:fldChar w:fldCharType="separate"/>
                      </w:r>
                      <w:r>
                        <w:rPr>
                          <w:noProof/>
                          <w:sz w:val="18"/>
                        </w:rPr>
                        <w:t>CIDRP02969F04</w:t>
                      </w:r>
                      <w:r>
                        <w:rPr>
                          <w:sz w:val="18"/>
                        </w:rPr>
                        <w:fldChar w:fldCharType="end"/>
                      </w:r>
                      <w:bookmarkEnd w:id="2"/>
                    </w:p>
                  </w:txbxContent>
                </v:textbox>
                <w10:wrap anchory="page"/>
                <w10:anchorlock/>
              </v:shape>
            </w:pict>
          </mc:Fallback>
        </mc:AlternateContent>
      </w:r>
    </w:p>
    <w:sectPr w:rsidR="00FB3DE1" w:rsidRPr="00AF79E2"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A5" w:rsidRDefault="00887DA5">
      <w:r>
        <w:separator/>
      </w:r>
    </w:p>
  </w:endnote>
  <w:endnote w:type="continuationSeparator" w:id="0">
    <w:p w:rsidR="00887DA5" w:rsidRDefault="008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A5" w:rsidRDefault="00887DA5">
      <w:r>
        <w:separator/>
      </w:r>
    </w:p>
  </w:footnote>
  <w:footnote w:type="continuationSeparator" w:id="0">
    <w:p w:rsidR="00887DA5" w:rsidRDefault="00887DA5">
      <w:r>
        <w:continuationSeparator/>
      </w:r>
    </w:p>
  </w:footnote>
  <w:footnote w:id="1">
    <w:p w:rsidR="00FB3DE1" w:rsidRDefault="00FB3DE1" w:rsidP="004C5C8C">
      <w:pPr>
        <w:pStyle w:val="FootnoteText"/>
        <w:tabs>
          <w:tab w:val="left" w:pos="360"/>
        </w:tabs>
        <w:ind w:firstLine="360"/>
      </w:pPr>
      <w:r w:rsidRPr="00FB3DE1">
        <w:rPr>
          <w:rStyle w:val="FootnoteReference"/>
          <w:vertAlign w:val="baseline"/>
        </w:rPr>
        <w:footnoteRef/>
      </w:r>
      <w:r w:rsidR="004C5C8C">
        <w:t>.</w:t>
      </w:r>
      <w:r w:rsidR="004C5C8C">
        <w:tab/>
      </w:r>
      <w:hyperlink r:id="rId1" w:history="1">
        <w:r>
          <w:rPr>
            <w:rStyle w:val="Hyperlink"/>
          </w:rPr>
          <w:t>https://reliefweb.int/report/world/natural-disasters-latin-america-and-caribbean-2000-2019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4C5C8C">
      <w:rPr>
        <w:noProof/>
        <w:sz w:val="22"/>
        <w:szCs w:val="22"/>
      </w:rPr>
      <w:t>- 2 -</w:t>
    </w:r>
    <w:r w:rsidRPr="009C75F5">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E" w:rsidRDefault="00496018">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AF79E2" w:rsidRDefault="00AF79E2" w:rsidP="00921E9E">
                          <w:pPr>
                            <w:pStyle w:val="Header"/>
                            <w:tabs>
                              <w:tab w:val="left" w:pos="900"/>
                            </w:tabs>
                            <w:spacing w:line="0" w:lineRule="atLeast"/>
                            <w:jc w:val="center"/>
                            <w:rPr>
                              <w:rFonts w:ascii="Garamond" w:hAnsi="Garamond"/>
                              <w:b/>
                              <w:sz w:val="28"/>
                              <w:lang w:val="fr-CA"/>
                            </w:rPr>
                          </w:pPr>
                          <w:r w:rsidRPr="00AF79E2">
                            <w:rPr>
                              <w:rFonts w:ascii="Garamond" w:hAnsi="Garamond"/>
                              <w:b/>
                              <w:sz w:val="28"/>
                              <w:lang w:val="fr-CA"/>
                            </w:rPr>
                            <w:t>ORGANIS</w:t>
                          </w:r>
                          <w:r w:rsidR="00FA607C" w:rsidRPr="00AF79E2">
                            <w:rPr>
                              <w:rFonts w:ascii="Garamond" w:hAnsi="Garamond"/>
                              <w:b/>
                              <w:sz w:val="28"/>
                              <w:lang w:val="fr-CA"/>
                            </w:rPr>
                            <w:t>ATION</w:t>
                          </w:r>
                          <w:r w:rsidRPr="00AF79E2">
                            <w:rPr>
                              <w:rFonts w:ascii="Garamond" w:hAnsi="Garamond"/>
                              <w:b/>
                              <w:sz w:val="28"/>
                              <w:lang w:val="fr-CA"/>
                            </w:rPr>
                            <w:t xml:space="preserve"> DES ÉTATS AMÉRICAINS</w:t>
                          </w:r>
                          <w:r w:rsidR="00FA607C" w:rsidRPr="00AF79E2">
                            <w:rPr>
                              <w:rFonts w:ascii="Garamond" w:hAnsi="Garamond"/>
                              <w:b/>
                              <w:sz w:val="28"/>
                              <w:lang w:val="fr-CA"/>
                            </w:rPr>
                            <w:t xml:space="preserve"> </w:t>
                          </w:r>
                        </w:p>
                        <w:p w:rsidR="00921E9E" w:rsidRPr="00AF79E2" w:rsidRDefault="00AF79E2" w:rsidP="00921E9E">
                          <w:pPr>
                            <w:pStyle w:val="Header"/>
                            <w:tabs>
                              <w:tab w:val="left" w:pos="900"/>
                            </w:tabs>
                            <w:spacing w:line="0" w:lineRule="atLeast"/>
                            <w:jc w:val="center"/>
                            <w:rPr>
                              <w:rFonts w:ascii="Garamond" w:hAnsi="Garamond"/>
                              <w:b/>
                              <w:szCs w:val="22"/>
                              <w:lang w:val="fr-CA"/>
                            </w:rPr>
                          </w:pPr>
                          <w:r w:rsidRPr="00AF79E2">
                            <w:rPr>
                              <w:rFonts w:ascii="Garamond" w:hAnsi="Garamond"/>
                              <w:b/>
                              <w:szCs w:val="22"/>
                              <w:lang w:val="fr-CA"/>
                            </w:rPr>
                            <w:t>Conseil interaméricain pour le développement intégré</w:t>
                          </w:r>
                          <w:r w:rsidR="00FA607C" w:rsidRPr="00AF79E2">
                            <w:rPr>
                              <w:rFonts w:ascii="Garamond" w:hAnsi="Garamond"/>
                              <w:b/>
                              <w:szCs w:val="22"/>
                              <w:lang w:val="fr-CA"/>
                            </w:rPr>
                            <w:t xml:space="preserve"> </w:t>
                          </w:r>
                        </w:p>
                        <w:p w:rsidR="00921E9E" w:rsidRPr="00AF79E2" w:rsidRDefault="00FA607C" w:rsidP="00921E9E">
                          <w:pPr>
                            <w:pStyle w:val="Header"/>
                            <w:tabs>
                              <w:tab w:val="left" w:pos="900"/>
                            </w:tabs>
                            <w:spacing w:line="0" w:lineRule="atLeast"/>
                            <w:jc w:val="center"/>
                            <w:rPr>
                              <w:b/>
                              <w:szCs w:val="22"/>
                              <w:lang w:val="fr-CA"/>
                            </w:rPr>
                          </w:pPr>
                          <w:r w:rsidRPr="00AF79E2">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921E9E" w:rsidRPr="00AF79E2" w:rsidRDefault="00AF79E2" w:rsidP="00921E9E">
                    <w:pPr>
                      <w:pStyle w:val="Header"/>
                      <w:tabs>
                        <w:tab w:val="left" w:pos="900"/>
                      </w:tabs>
                      <w:spacing w:line="0" w:lineRule="atLeast"/>
                      <w:jc w:val="center"/>
                      <w:rPr>
                        <w:rFonts w:ascii="Garamond" w:hAnsi="Garamond"/>
                        <w:b/>
                        <w:sz w:val="28"/>
                        <w:lang w:val="fr-CA"/>
                      </w:rPr>
                    </w:pPr>
                    <w:r w:rsidRPr="00AF79E2">
                      <w:rPr>
                        <w:rFonts w:ascii="Garamond" w:hAnsi="Garamond"/>
                        <w:b/>
                        <w:sz w:val="28"/>
                        <w:lang w:val="fr-CA"/>
                      </w:rPr>
                      <w:t>ORGANIS</w:t>
                    </w:r>
                    <w:r w:rsidR="00FA607C" w:rsidRPr="00AF79E2">
                      <w:rPr>
                        <w:rFonts w:ascii="Garamond" w:hAnsi="Garamond"/>
                        <w:b/>
                        <w:sz w:val="28"/>
                        <w:lang w:val="fr-CA"/>
                      </w:rPr>
                      <w:t>ATION</w:t>
                    </w:r>
                    <w:r w:rsidRPr="00AF79E2">
                      <w:rPr>
                        <w:rFonts w:ascii="Garamond" w:hAnsi="Garamond"/>
                        <w:b/>
                        <w:sz w:val="28"/>
                        <w:lang w:val="fr-CA"/>
                      </w:rPr>
                      <w:t xml:space="preserve"> DES ÉTATS AMÉRICAINS</w:t>
                    </w:r>
                    <w:r w:rsidR="00FA607C" w:rsidRPr="00AF79E2">
                      <w:rPr>
                        <w:rFonts w:ascii="Garamond" w:hAnsi="Garamond"/>
                        <w:b/>
                        <w:sz w:val="28"/>
                        <w:lang w:val="fr-CA"/>
                      </w:rPr>
                      <w:t xml:space="preserve"> </w:t>
                    </w:r>
                  </w:p>
                  <w:p w:rsidR="00921E9E" w:rsidRPr="00AF79E2" w:rsidRDefault="00AF79E2" w:rsidP="00921E9E">
                    <w:pPr>
                      <w:pStyle w:val="Header"/>
                      <w:tabs>
                        <w:tab w:val="left" w:pos="900"/>
                      </w:tabs>
                      <w:spacing w:line="0" w:lineRule="atLeast"/>
                      <w:jc w:val="center"/>
                      <w:rPr>
                        <w:rFonts w:ascii="Garamond" w:hAnsi="Garamond"/>
                        <w:b/>
                        <w:szCs w:val="22"/>
                        <w:lang w:val="fr-CA"/>
                      </w:rPr>
                    </w:pPr>
                    <w:r w:rsidRPr="00AF79E2">
                      <w:rPr>
                        <w:rFonts w:ascii="Garamond" w:hAnsi="Garamond"/>
                        <w:b/>
                        <w:szCs w:val="22"/>
                        <w:lang w:val="fr-CA"/>
                      </w:rPr>
                      <w:t>Conseil interaméricain pour le développement intégré</w:t>
                    </w:r>
                    <w:r w:rsidR="00FA607C" w:rsidRPr="00AF79E2">
                      <w:rPr>
                        <w:rFonts w:ascii="Garamond" w:hAnsi="Garamond"/>
                        <w:b/>
                        <w:szCs w:val="22"/>
                        <w:lang w:val="fr-CA"/>
                      </w:rPr>
                      <w:t xml:space="preserve"> </w:t>
                    </w:r>
                  </w:p>
                  <w:p w:rsidR="00921E9E" w:rsidRPr="00AF79E2" w:rsidRDefault="00FA607C" w:rsidP="00921E9E">
                    <w:pPr>
                      <w:pStyle w:val="Header"/>
                      <w:tabs>
                        <w:tab w:val="left" w:pos="900"/>
                      </w:tabs>
                      <w:spacing w:line="0" w:lineRule="atLeast"/>
                      <w:jc w:val="center"/>
                      <w:rPr>
                        <w:b/>
                        <w:szCs w:val="22"/>
                        <w:lang w:val="fr-CA"/>
                      </w:rPr>
                    </w:pPr>
                    <w:r w:rsidRPr="00AF79E2">
                      <w:rPr>
                        <w:rFonts w:ascii="Garamond" w:hAnsi="Garamond"/>
                        <w:b/>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496018"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Default="00496018"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3">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5">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1">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8"/>
  </w:num>
  <w:num w:numId="12">
    <w:abstractNumId w:val="1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54ED3"/>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092F"/>
    <w:rsid w:val="000C3438"/>
    <w:rsid w:val="000C344F"/>
    <w:rsid w:val="000D3764"/>
    <w:rsid w:val="000D4368"/>
    <w:rsid w:val="000D540D"/>
    <w:rsid w:val="000D6070"/>
    <w:rsid w:val="000E313E"/>
    <w:rsid w:val="000E439E"/>
    <w:rsid w:val="000E6C8E"/>
    <w:rsid w:val="00100FE1"/>
    <w:rsid w:val="001069A4"/>
    <w:rsid w:val="00106D57"/>
    <w:rsid w:val="001259E2"/>
    <w:rsid w:val="0012611C"/>
    <w:rsid w:val="0013037E"/>
    <w:rsid w:val="00133A15"/>
    <w:rsid w:val="001345DC"/>
    <w:rsid w:val="001405C9"/>
    <w:rsid w:val="00142D34"/>
    <w:rsid w:val="00146FB1"/>
    <w:rsid w:val="00150AE4"/>
    <w:rsid w:val="00152D2E"/>
    <w:rsid w:val="00153DD8"/>
    <w:rsid w:val="0016660D"/>
    <w:rsid w:val="00166C73"/>
    <w:rsid w:val="00171B89"/>
    <w:rsid w:val="00180746"/>
    <w:rsid w:val="00183C2C"/>
    <w:rsid w:val="001842C2"/>
    <w:rsid w:val="00187D59"/>
    <w:rsid w:val="001B056F"/>
    <w:rsid w:val="001B0828"/>
    <w:rsid w:val="001B0AB0"/>
    <w:rsid w:val="001C6DC5"/>
    <w:rsid w:val="001D0221"/>
    <w:rsid w:val="001D738C"/>
    <w:rsid w:val="001E3150"/>
    <w:rsid w:val="001E3C78"/>
    <w:rsid w:val="001F2739"/>
    <w:rsid w:val="0020227F"/>
    <w:rsid w:val="002024FE"/>
    <w:rsid w:val="00203839"/>
    <w:rsid w:val="0020460C"/>
    <w:rsid w:val="002050F0"/>
    <w:rsid w:val="00214A1D"/>
    <w:rsid w:val="00222AFE"/>
    <w:rsid w:val="00224C3F"/>
    <w:rsid w:val="00225597"/>
    <w:rsid w:val="00234996"/>
    <w:rsid w:val="00235CB9"/>
    <w:rsid w:val="00264202"/>
    <w:rsid w:val="0026449A"/>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2E43"/>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64830"/>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49E9"/>
    <w:rsid w:val="003E687F"/>
    <w:rsid w:val="003F023D"/>
    <w:rsid w:val="003F4FA0"/>
    <w:rsid w:val="003F6FF7"/>
    <w:rsid w:val="00413FE5"/>
    <w:rsid w:val="00414A9D"/>
    <w:rsid w:val="00421AA1"/>
    <w:rsid w:val="004279F5"/>
    <w:rsid w:val="004411FA"/>
    <w:rsid w:val="00457B19"/>
    <w:rsid w:val="00461F49"/>
    <w:rsid w:val="0046301C"/>
    <w:rsid w:val="00463A6B"/>
    <w:rsid w:val="0046512F"/>
    <w:rsid w:val="00467A8F"/>
    <w:rsid w:val="00476255"/>
    <w:rsid w:val="00490731"/>
    <w:rsid w:val="00493B12"/>
    <w:rsid w:val="00496018"/>
    <w:rsid w:val="00496643"/>
    <w:rsid w:val="00496BBC"/>
    <w:rsid w:val="004A1D26"/>
    <w:rsid w:val="004A6065"/>
    <w:rsid w:val="004A7C48"/>
    <w:rsid w:val="004B2B39"/>
    <w:rsid w:val="004B387B"/>
    <w:rsid w:val="004B5C41"/>
    <w:rsid w:val="004C5C8C"/>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94069"/>
    <w:rsid w:val="005A5372"/>
    <w:rsid w:val="005B5F61"/>
    <w:rsid w:val="005B7D03"/>
    <w:rsid w:val="005C20AF"/>
    <w:rsid w:val="005C60BA"/>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3718E"/>
    <w:rsid w:val="00743DD7"/>
    <w:rsid w:val="007443E9"/>
    <w:rsid w:val="00756232"/>
    <w:rsid w:val="00764080"/>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62"/>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1A12"/>
    <w:rsid w:val="00815A1F"/>
    <w:rsid w:val="00820F66"/>
    <w:rsid w:val="00821E7C"/>
    <w:rsid w:val="00827358"/>
    <w:rsid w:val="00836CCC"/>
    <w:rsid w:val="0084046A"/>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E7052"/>
    <w:rsid w:val="008F693F"/>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2C61"/>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3F9"/>
    <w:rsid w:val="00AC7FA2"/>
    <w:rsid w:val="00AD4B7D"/>
    <w:rsid w:val="00AD6394"/>
    <w:rsid w:val="00AE13AF"/>
    <w:rsid w:val="00AF06BC"/>
    <w:rsid w:val="00AF0C03"/>
    <w:rsid w:val="00AF79E2"/>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2C07"/>
    <w:rsid w:val="00C6456D"/>
    <w:rsid w:val="00C81A83"/>
    <w:rsid w:val="00C83711"/>
    <w:rsid w:val="00C8384A"/>
    <w:rsid w:val="00C878A5"/>
    <w:rsid w:val="00C90BA2"/>
    <w:rsid w:val="00C92818"/>
    <w:rsid w:val="00C962B2"/>
    <w:rsid w:val="00CA12D4"/>
    <w:rsid w:val="00CA2349"/>
    <w:rsid w:val="00CB0A35"/>
    <w:rsid w:val="00CB2F2F"/>
    <w:rsid w:val="00CC2D6B"/>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132F3"/>
    <w:rsid w:val="00D307BF"/>
    <w:rsid w:val="00D31989"/>
    <w:rsid w:val="00D324C0"/>
    <w:rsid w:val="00D32A6A"/>
    <w:rsid w:val="00D40CB4"/>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23A0"/>
    <w:rsid w:val="00E23168"/>
    <w:rsid w:val="00E3284A"/>
    <w:rsid w:val="00E40079"/>
    <w:rsid w:val="00E423A7"/>
    <w:rsid w:val="00E43E37"/>
    <w:rsid w:val="00E50C47"/>
    <w:rsid w:val="00E51CC2"/>
    <w:rsid w:val="00E55047"/>
    <w:rsid w:val="00E55B8A"/>
    <w:rsid w:val="00E61585"/>
    <w:rsid w:val="00E83BE7"/>
    <w:rsid w:val="00E90F30"/>
    <w:rsid w:val="00E946CB"/>
    <w:rsid w:val="00EA7DE7"/>
    <w:rsid w:val="00EB09BC"/>
    <w:rsid w:val="00EB3DC9"/>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66730"/>
    <w:rsid w:val="00F71307"/>
    <w:rsid w:val="00F76DC9"/>
    <w:rsid w:val="00F773E4"/>
    <w:rsid w:val="00F8041D"/>
    <w:rsid w:val="00F8105E"/>
    <w:rsid w:val="00F87541"/>
    <w:rsid w:val="00F91F7C"/>
    <w:rsid w:val="00F97525"/>
    <w:rsid w:val="00FA607C"/>
    <w:rsid w:val="00FA61C9"/>
    <w:rsid w:val="00FA6A04"/>
    <w:rsid w:val="00FB0853"/>
    <w:rsid w:val="00FB363B"/>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world/natural-disasters-latin-america-and-caribbean-2000-201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E6DB-B92F-460E-A42C-79032D8E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388</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6943</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Santos, Ada</cp:lastModifiedBy>
  <cp:revision>8</cp:revision>
  <cp:lastPrinted>2018-08-24T16:52:00Z</cp:lastPrinted>
  <dcterms:created xsi:type="dcterms:W3CDTF">2020-09-09T20:57:00Z</dcterms:created>
  <dcterms:modified xsi:type="dcterms:W3CDTF">2020-09-10T19:16:00Z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