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3" w:rsidRPr="00DD3609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DD3609">
        <w:rPr>
          <w:sz w:val="22"/>
        </w:rPr>
        <w:tab/>
        <w:t>OEA/Ser.W</w:t>
      </w:r>
    </w:p>
    <w:p w:rsidR="00722693" w:rsidRPr="00DD3609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DD3609">
        <w:rPr>
          <w:sz w:val="22"/>
        </w:rPr>
        <w:tab/>
        <w:t>CIDI/INF.384/20</w:t>
      </w:r>
    </w:p>
    <w:p w:rsidR="00921E9E" w:rsidRPr="00DD3609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DD3609">
        <w:rPr>
          <w:sz w:val="22"/>
        </w:rPr>
        <w:tab/>
        <w:t>9 setembro 2020</w:t>
      </w:r>
    </w:p>
    <w:p w:rsidR="00921E9E" w:rsidRPr="00DD3609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DD3609">
        <w:rPr>
          <w:sz w:val="22"/>
        </w:rPr>
        <w:tab/>
        <w:t>Original: inglês</w:t>
      </w:r>
    </w:p>
    <w:p w:rsidR="00921E9E" w:rsidRPr="00DD3609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722693" w:rsidRPr="00DD3609" w:rsidRDefault="00722693" w:rsidP="000B6478">
      <w:pPr>
        <w:tabs>
          <w:tab w:val="left" w:pos="7200"/>
        </w:tabs>
        <w:ind w:right="-1080"/>
        <w:rPr>
          <w:sz w:val="22"/>
          <w:szCs w:val="22"/>
        </w:rPr>
      </w:pPr>
    </w:p>
    <w:p w:rsidR="00AB7175" w:rsidRPr="00DD3609" w:rsidRDefault="00AB7175" w:rsidP="000B6478">
      <w:pPr>
        <w:jc w:val="both"/>
        <w:outlineLvl w:val="0"/>
        <w:rPr>
          <w:sz w:val="22"/>
          <w:szCs w:val="22"/>
        </w:rPr>
      </w:pPr>
    </w:p>
    <w:p w:rsidR="00921E9E" w:rsidRPr="00DD3609" w:rsidRDefault="00FA607C" w:rsidP="000B6478">
      <w:pPr>
        <w:jc w:val="center"/>
        <w:rPr>
          <w:rFonts w:eastAsia="Calibri"/>
          <w:sz w:val="22"/>
          <w:szCs w:val="22"/>
        </w:rPr>
      </w:pPr>
      <w:r w:rsidRPr="00DD3609">
        <w:rPr>
          <w:sz w:val="22"/>
        </w:rPr>
        <w:t>NOTA CONCEITUAL</w:t>
      </w:r>
    </w:p>
    <w:p w:rsidR="00723DE2" w:rsidRPr="00DD3609" w:rsidRDefault="00723DE2" w:rsidP="000B6478">
      <w:pPr>
        <w:rPr>
          <w:rFonts w:eastAsia="Calibri"/>
          <w:sz w:val="22"/>
          <w:szCs w:val="22"/>
        </w:rPr>
      </w:pPr>
    </w:p>
    <w:p w:rsidR="00DD0DD6" w:rsidRPr="00DD3609" w:rsidRDefault="00FA607C" w:rsidP="000B6478">
      <w:pPr>
        <w:jc w:val="center"/>
        <w:rPr>
          <w:rFonts w:eastAsia="Calibri"/>
          <w:caps/>
          <w:sz w:val="22"/>
          <w:szCs w:val="22"/>
        </w:rPr>
      </w:pPr>
      <w:r w:rsidRPr="00DD3609">
        <w:rPr>
          <w:caps/>
          <w:sz w:val="22"/>
        </w:rPr>
        <w:t xml:space="preserve">Reunião ordinária do </w:t>
      </w:r>
    </w:p>
    <w:p w:rsidR="00921E9E" w:rsidRPr="00DD3609" w:rsidRDefault="00FA607C" w:rsidP="000B6478">
      <w:pPr>
        <w:jc w:val="center"/>
        <w:rPr>
          <w:rFonts w:eastAsia="Calibri"/>
          <w:caps/>
          <w:sz w:val="22"/>
          <w:szCs w:val="22"/>
        </w:rPr>
      </w:pPr>
      <w:r w:rsidRPr="00DD3609">
        <w:rPr>
          <w:caps/>
          <w:sz w:val="22"/>
        </w:rPr>
        <w:t xml:space="preserve">Conselho Interamericano de Desenvolvimento Integral (CIDI) </w:t>
      </w:r>
    </w:p>
    <w:p w:rsidR="00921E9E" w:rsidRPr="00DD3609" w:rsidRDefault="00723EE9" w:rsidP="000B6478">
      <w:pPr>
        <w:jc w:val="center"/>
        <w:rPr>
          <w:rFonts w:eastAsia="Calibri"/>
          <w:caps/>
          <w:sz w:val="22"/>
          <w:szCs w:val="22"/>
        </w:rPr>
      </w:pPr>
      <w:r w:rsidRPr="00DD3609">
        <w:rPr>
          <w:caps/>
          <w:sz w:val="22"/>
        </w:rPr>
        <w:t xml:space="preserve">29 </w:t>
      </w:r>
      <w:r w:rsidR="00997D22" w:rsidRPr="00DD3609">
        <w:rPr>
          <w:caps/>
          <w:sz w:val="22"/>
        </w:rPr>
        <w:t xml:space="preserve">DE </w:t>
      </w:r>
      <w:r w:rsidRPr="00DD3609">
        <w:rPr>
          <w:caps/>
          <w:sz w:val="22"/>
        </w:rPr>
        <w:t xml:space="preserve">setembro </w:t>
      </w:r>
      <w:r w:rsidR="00997D22" w:rsidRPr="00DD3609">
        <w:rPr>
          <w:caps/>
          <w:sz w:val="22"/>
        </w:rPr>
        <w:t xml:space="preserve">DE </w:t>
      </w:r>
      <w:r w:rsidRPr="00DD3609">
        <w:rPr>
          <w:caps/>
          <w:sz w:val="22"/>
        </w:rPr>
        <w:t>2020</w:t>
      </w:r>
    </w:p>
    <w:p w:rsidR="0089063B" w:rsidRPr="00DD3609" w:rsidRDefault="0089063B" w:rsidP="000B6478">
      <w:pPr>
        <w:rPr>
          <w:rFonts w:eastAsia="Calibri"/>
          <w:caps/>
          <w:sz w:val="22"/>
          <w:szCs w:val="22"/>
        </w:rPr>
      </w:pPr>
    </w:p>
    <w:p w:rsidR="007A307C" w:rsidRPr="00DD3609" w:rsidRDefault="00FA607C" w:rsidP="000B6478">
      <w:pPr>
        <w:jc w:val="center"/>
        <w:rPr>
          <w:rFonts w:eastAsia="Calibri"/>
          <w:sz w:val="22"/>
          <w:szCs w:val="22"/>
        </w:rPr>
      </w:pPr>
      <w:r w:rsidRPr="00DD3609">
        <w:rPr>
          <w:sz w:val="22"/>
        </w:rPr>
        <w:t>(Elaborada pela Secretaria Executiva de Desenvolvimento Integral)</w:t>
      </w:r>
    </w:p>
    <w:p w:rsidR="00DB5D3D" w:rsidRPr="00DD3609" w:rsidRDefault="00DB5D3D" w:rsidP="000B6478">
      <w:pPr>
        <w:rPr>
          <w:rFonts w:eastAsia="Calibri"/>
          <w:sz w:val="22"/>
          <w:szCs w:val="22"/>
        </w:rPr>
      </w:pPr>
    </w:p>
    <w:p w:rsidR="007A307C" w:rsidRPr="00DD3609" w:rsidRDefault="007A307C" w:rsidP="000B6478">
      <w:pPr>
        <w:rPr>
          <w:rFonts w:eastAsia="Calibri"/>
          <w:sz w:val="22"/>
          <w:szCs w:val="22"/>
        </w:rPr>
      </w:pPr>
    </w:p>
    <w:p w:rsidR="00FB3DE1" w:rsidRPr="00DD3609" w:rsidRDefault="000B6478" w:rsidP="00F036A0">
      <w:pPr>
        <w:jc w:val="center"/>
        <w:rPr>
          <w:b/>
          <w:bCs/>
          <w:sz w:val="22"/>
          <w:szCs w:val="22"/>
        </w:rPr>
      </w:pPr>
      <w:r w:rsidRPr="00DD3609">
        <w:rPr>
          <w:sz w:val="22"/>
        </w:rPr>
        <w:t>TEMA:</w:t>
      </w:r>
      <w:r w:rsidRPr="00DD3609">
        <w:rPr>
          <w:b/>
          <w:sz w:val="22"/>
        </w:rPr>
        <w:t xml:space="preserve"> Resiliência ambiental.  Reconstruir para voltar melhor: A chave para uma recuperação resiliente</w:t>
      </w:r>
    </w:p>
    <w:p w:rsidR="00FB3DE1" w:rsidRPr="00DD3609" w:rsidRDefault="00FB3DE1" w:rsidP="00F036A0">
      <w:pPr>
        <w:rPr>
          <w:b/>
          <w:bCs/>
          <w:sz w:val="22"/>
          <w:szCs w:val="22"/>
        </w:rPr>
      </w:pPr>
    </w:p>
    <w:p w:rsidR="00FB3DE1" w:rsidRPr="00DD3609" w:rsidRDefault="00FB3DE1" w:rsidP="00FB3DE1">
      <w:pPr>
        <w:rPr>
          <w:b/>
          <w:bCs/>
          <w:iCs/>
          <w:sz w:val="22"/>
          <w:szCs w:val="22"/>
          <w:u w:val="single"/>
        </w:rPr>
      </w:pPr>
      <w:r w:rsidRPr="00DD3609">
        <w:rPr>
          <w:b/>
          <w:sz w:val="22"/>
          <w:u w:val="single"/>
        </w:rPr>
        <w:t xml:space="preserve">ANTECEDENTES </w:t>
      </w:r>
    </w:p>
    <w:p w:rsidR="00FB3DE1" w:rsidRPr="00DD3609" w:rsidRDefault="00FB3DE1" w:rsidP="00FB3DE1">
      <w:pPr>
        <w:rPr>
          <w:b/>
          <w:bCs/>
          <w:iCs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iCs/>
          <w:sz w:val="22"/>
          <w:szCs w:val="22"/>
        </w:rPr>
      </w:pPr>
      <w:r w:rsidRPr="00DD3609">
        <w:rPr>
          <w:sz w:val="22"/>
        </w:rPr>
        <w:t>A América Latina e o Caribe estão entre as cinco regiões mais propensas a desastres</w:t>
      </w:r>
      <w:r w:rsidR="00DD3609" w:rsidRPr="00DD3609">
        <w:rPr>
          <w:sz w:val="22"/>
        </w:rPr>
        <w:t xml:space="preserve"> naturais</w:t>
      </w:r>
      <w:r w:rsidRPr="00DD3609">
        <w:rPr>
          <w:sz w:val="22"/>
        </w:rPr>
        <w:t xml:space="preserve"> do mundo. Ao longo da última década (2000–2019), 152 milhões de pessoas na região foram afetadas por 1.205 desastres, a saber: 548 inundações, 330 tempestades, 75 terremotos, 74 secas, 66 deslizamentos de terra, 24 incêndios florestais, 50 eventos de temperatura extrema e 38 eventos vulcânicos</w:t>
      </w:r>
      <w:r w:rsidRPr="00DD3609">
        <w:rPr>
          <w:iCs/>
          <w:sz w:val="22"/>
          <w:szCs w:val="22"/>
          <w:u w:val="single"/>
          <w:vertAlign w:val="superscript"/>
        </w:rPr>
        <w:footnoteReference w:id="1"/>
      </w:r>
      <w:r w:rsidRPr="00DD3609">
        <w:rPr>
          <w:sz w:val="22"/>
          <w:vertAlign w:val="superscript"/>
        </w:rPr>
        <w:t>/</w:t>
      </w:r>
      <w:r w:rsidRPr="00DD3609">
        <w:rPr>
          <w:sz w:val="22"/>
        </w:rPr>
        <w:t xml:space="preserve">. </w:t>
      </w:r>
    </w:p>
    <w:p w:rsidR="00FB3DE1" w:rsidRPr="00DD3609" w:rsidRDefault="00FB3DE1" w:rsidP="00FB3DE1">
      <w:pPr>
        <w:jc w:val="both"/>
        <w:rPr>
          <w:iCs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iCs/>
          <w:sz w:val="22"/>
          <w:szCs w:val="22"/>
        </w:rPr>
      </w:pPr>
      <w:r w:rsidRPr="00DD3609">
        <w:rPr>
          <w:sz w:val="22"/>
        </w:rPr>
        <w:t>Uma grande lição da experiência da região com os desastres constantes é que “</w:t>
      </w:r>
      <w:r w:rsidR="00DD3609" w:rsidRPr="00DD3609">
        <w:rPr>
          <w:sz w:val="22"/>
        </w:rPr>
        <w:t>r</w:t>
      </w:r>
      <w:r w:rsidRPr="00DD3609">
        <w:rPr>
          <w:sz w:val="22"/>
        </w:rPr>
        <w:t xml:space="preserve">econstruir para voltar melhor” — definido como uma abordagem multidimensional da resiliência a desastres que </w:t>
      </w:r>
      <w:r w:rsidR="00DD3609" w:rsidRPr="00DD3609">
        <w:rPr>
          <w:sz w:val="22"/>
        </w:rPr>
        <w:t>resulta em</w:t>
      </w:r>
      <w:r w:rsidRPr="00DD3609">
        <w:rPr>
          <w:sz w:val="22"/>
        </w:rPr>
        <w:t xml:space="preserve"> melhorias muito superiores ao </w:t>
      </w:r>
      <w:r w:rsidRPr="00DD3609">
        <w:rPr>
          <w:i/>
          <w:iCs/>
          <w:sz w:val="22"/>
        </w:rPr>
        <w:t>status quo</w:t>
      </w:r>
      <w:r w:rsidRPr="00DD3609">
        <w:rPr>
          <w:sz w:val="22"/>
        </w:rPr>
        <w:t xml:space="preserve"> pré-catástrofe — é mais importante do que a fase de resposta a emergências de curto prazo.  Vários países adotaram essa abordagem para construir sua resiliência econômica, social e ambiental a desastres. Contudo, para que se possam conceber e implementar políticas e estratégias de resiliência eficazes, é necessária uma estrutura de tomada de decisões sólida e baseada em evidências, que identifique as raízes das falhas de infraestrutura social e econômica e o papel que os padrões, códigos e práticas cientificamente determinados desempenham na abordagem “reconstruir para voltar melhor”.</w:t>
      </w:r>
    </w:p>
    <w:p w:rsidR="00FB3DE1" w:rsidRPr="00DD3609" w:rsidRDefault="00FB3DE1" w:rsidP="00FB3DE1">
      <w:pPr>
        <w:jc w:val="both"/>
        <w:rPr>
          <w:iCs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iCs/>
          <w:sz w:val="22"/>
          <w:szCs w:val="22"/>
        </w:rPr>
      </w:pPr>
      <w:r w:rsidRPr="00DD3609">
        <w:rPr>
          <w:sz w:val="22"/>
        </w:rPr>
        <w:t xml:space="preserve">Também deve ser dada atenção ao reforço do papel dos cidadãos e das comunidades na geração de resiliência. A resiliência das comunidades depende diretamente da resiliência de seus cidadãos. Ajudar os cidadãos a tirarem lições de suas experiências com desastres e aplicarem essa aprendizagem a fim de construir resiliência para eventos futuros é um componente vital de uma cultura robusta e resiliente que pode adaptar-se a circunstâncias futuras. </w:t>
      </w:r>
    </w:p>
    <w:p w:rsidR="00FB3DE1" w:rsidRPr="00DD3609" w:rsidRDefault="00FB3DE1" w:rsidP="00FB3DE1">
      <w:pPr>
        <w:jc w:val="both"/>
        <w:rPr>
          <w:iCs/>
          <w:sz w:val="22"/>
          <w:szCs w:val="22"/>
        </w:rPr>
      </w:pPr>
    </w:p>
    <w:p w:rsidR="00F036A0" w:rsidRDefault="00F036A0" w:rsidP="00FB3DE1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FB3DE1" w:rsidRPr="00DD3609" w:rsidRDefault="00FB3DE1" w:rsidP="00FB3DE1">
      <w:pPr>
        <w:jc w:val="both"/>
        <w:rPr>
          <w:bCs/>
          <w:iCs/>
          <w:sz w:val="22"/>
          <w:szCs w:val="22"/>
        </w:rPr>
      </w:pPr>
      <w:r w:rsidRPr="00DD3609">
        <w:rPr>
          <w:b/>
          <w:sz w:val="22"/>
          <w:u w:val="single"/>
        </w:rPr>
        <w:lastRenderedPageBreak/>
        <w:t>PROPÓSITO DA SESSÃO</w:t>
      </w:r>
    </w:p>
    <w:p w:rsidR="00FB3DE1" w:rsidRPr="00DD3609" w:rsidRDefault="00FB3DE1" w:rsidP="00FB3DE1">
      <w:pPr>
        <w:jc w:val="both"/>
        <w:rPr>
          <w:bCs/>
          <w:iCs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bCs/>
          <w:iCs/>
          <w:sz w:val="22"/>
          <w:szCs w:val="22"/>
        </w:rPr>
      </w:pPr>
      <w:r w:rsidRPr="00DD3609">
        <w:rPr>
          <w:b/>
          <w:sz w:val="22"/>
        </w:rPr>
        <w:t>O objetivo da sessão é o seguinte:</w:t>
      </w:r>
    </w:p>
    <w:p w:rsidR="00FB3DE1" w:rsidRPr="00DD3609" w:rsidRDefault="00FB3DE1" w:rsidP="00FB3DE1">
      <w:pPr>
        <w:jc w:val="both"/>
        <w:rPr>
          <w:bCs/>
          <w:iCs/>
          <w:sz w:val="22"/>
          <w:szCs w:val="22"/>
        </w:rPr>
      </w:pPr>
    </w:p>
    <w:p w:rsidR="00FB3DE1" w:rsidRPr="00DD3609" w:rsidRDefault="00FB3DE1" w:rsidP="00FB3DE1">
      <w:pPr>
        <w:pStyle w:val="ListParagraph0"/>
        <w:numPr>
          <w:ilvl w:val="0"/>
          <w:numId w:val="13"/>
        </w:numPr>
        <w:ind w:left="1440" w:hanging="720"/>
        <w:contextualSpacing/>
        <w:jc w:val="both"/>
        <w:rPr>
          <w:rFonts w:eastAsia="Times New Roman"/>
          <w:sz w:val="22"/>
          <w:szCs w:val="22"/>
        </w:rPr>
      </w:pPr>
      <w:r w:rsidRPr="00DD3609">
        <w:rPr>
          <w:sz w:val="22"/>
        </w:rPr>
        <w:t xml:space="preserve">Dividir com os Estados membros lições sobre “reconstruir para voltar melhor” a partir da experiência comunitária com desastres. </w:t>
      </w:r>
    </w:p>
    <w:p w:rsidR="00FB3DE1" w:rsidRPr="00DD3609" w:rsidRDefault="00FB3DE1" w:rsidP="00FB3DE1">
      <w:pPr>
        <w:pStyle w:val="ListParagraph0"/>
        <w:numPr>
          <w:ilvl w:val="0"/>
          <w:numId w:val="13"/>
        </w:numPr>
        <w:tabs>
          <w:tab w:val="clear" w:pos="720"/>
          <w:tab w:val="num" w:pos="1440"/>
        </w:tabs>
        <w:ind w:left="1440" w:hanging="720"/>
        <w:contextualSpacing/>
        <w:jc w:val="both"/>
        <w:rPr>
          <w:rFonts w:eastAsia="Times New Roman"/>
          <w:sz w:val="22"/>
          <w:szCs w:val="22"/>
        </w:rPr>
      </w:pPr>
      <w:r w:rsidRPr="00DD3609">
        <w:rPr>
          <w:sz w:val="22"/>
        </w:rPr>
        <w:t>Facilitar o intercâmbio de experiências, lições aprendidas e boas práticas para a construção de resiliência entre os Estados membros, com o objetivo de possibilitar a cooperação.</w:t>
      </w:r>
    </w:p>
    <w:p w:rsidR="00FB3DE1" w:rsidRPr="00F036A0" w:rsidRDefault="00FB3DE1" w:rsidP="00F036A0">
      <w:pPr>
        <w:contextualSpacing/>
        <w:jc w:val="both"/>
        <w:rPr>
          <w:sz w:val="22"/>
          <w:szCs w:val="22"/>
        </w:rPr>
      </w:pPr>
    </w:p>
    <w:p w:rsidR="00FB3DE1" w:rsidRPr="00DD3609" w:rsidRDefault="00FB3DE1" w:rsidP="00FB3DE1">
      <w:pPr>
        <w:jc w:val="both"/>
        <w:rPr>
          <w:rFonts w:eastAsia="Calibri"/>
          <w:b/>
          <w:sz w:val="22"/>
          <w:szCs w:val="22"/>
        </w:rPr>
      </w:pPr>
      <w:r w:rsidRPr="00DD3609">
        <w:rPr>
          <w:b/>
          <w:sz w:val="22"/>
        </w:rPr>
        <w:t>Estrutura da sessão</w:t>
      </w:r>
    </w:p>
    <w:p w:rsidR="00FB3DE1" w:rsidRPr="00DD3609" w:rsidRDefault="00FB3DE1" w:rsidP="00F036A0">
      <w:pPr>
        <w:jc w:val="both"/>
        <w:rPr>
          <w:rFonts w:eastAsia="Calibri"/>
          <w:b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>A sessão será em formato de debate em plenário entre peritos de instituições nacionais, regionais e internacionais com um histórico de realizações na matéria, bem como peritos dos Estados membros. Os painelistas podem ser escolhidos dentre as seguintes instituições e agências:</w:t>
      </w:r>
    </w:p>
    <w:p w:rsidR="00FB3DE1" w:rsidRPr="00DD3609" w:rsidRDefault="00FB3DE1" w:rsidP="00FB3DE1">
      <w:pPr>
        <w:ind w:firstLine="360"/>
        <w:jc w:val="both"/>
        <w:rPr>
          <w:rFonts w:eastAsia="Calibri"/>
          <w:sz w:val="22"/>
          <w:szCs w:val="22"/>
        </w:rPr>
      </w:pPr>
    </w:p>
    <w:p w:rsidR="00FB3DE1" w:rsidRPr="00F036A0" w:rsidRDefault="00FB3DE1" w:rsidP="00FB3DE1">
      <w:p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en-US"/>
        </w:rPr>
      </w:pPr>
      <w:r w:rsidRPr="00F036A0">
        <w:rPr>
          <w:sz w:val="22"/>
          <w:lang w:val="en-US"/>
        </w:rPr>
        <w:t>•</w:t>
      </w:r>
      <w:r w:rsidRPr="00F036A0">
        <w:rPr>
          <w:sz w:val="22"/>
          <w:lang w:val="en-US"/>
        </w:rPr>
        <w:tab/>
        <w:t>The Boulder Center for Resilience (</w:t>
      </w:r>
      <w:proofErr w:type="spellStart"/>
      <w:r w:rsidRPr="00F036A0">
        <w:rPr>
          <w:sz w:val="22"/>
          <w:lang w:val="en-US"/>
        </w:rPr>
        <w:t>confirmado</w:t>
      </w:r>
      <w:proofErr w:type="spellEnd"/>
      <w:r w:rsidRPr="00F036A0">
        <w:rPr>
          <w:sz w:val="22"/>
          <w:lang w:val="en-US"/>
        </w:rPr>
        <w:t>)</w:t>
      </w:r>
    </w:p>
    <w:p w:rsidR="00FB3DE1" w:rsidRPr="00F036A0" w:rsidRDefault="00FB3DE1" w:rsidP="00FB3DE1">
      <w:pPr>
        <w:pStyle w:val="ListParagraph0"/>
        <w:numPr>
          <w:ilvl w:val="0"/>
          <w:numId w:val="14"/>
        </w:numPr>
        <w:tabs>
          <w:tab w:val="left" w:pos="1440"/>
        </w:tabs>
        <w:ind w:left="1440" w:hanging="720"/>
        <w:contextualSpacing/>
        <w:jc w:val="both"/>
        <w:rPr>
          <w:sz w:val="22"/>
          <w:szCs w:val="22"/>
          <w:lang w:val="en-US"/>
        </w:rPr>
      </w:pPr>
      <w:r w:rsidRPr="00F036A0">
        <w:rPr>
          <w:sz w:val="22"/>
          <w:lang w:val="en-US"/>
        </w:rPr>
        <w:t>The National Institute of Standards and Technology (</w:t>
      </w:r>
      <w:proofErr w:type="spellStart"/>
      <w:r w:rsidRPr="00F036A0">
        <w:rPr>
          <w:sz w:val="22"/>
          <w:lang w:val="en-US"/>
        </w:rPr>
        <w:t>NIST</w:t>
      </w:r>
      <w:proofErr w:type="spellEnd"/>
      <w:r w:rsidRPr="00F036A0">
        <w:rPr>
          <w:sz w:val="22"/>
          <w:lang w:val="en-US"/>
        </w:rPr>
        <w:t>)</w:t>
      </w:r>
      <w:r w:rsidR="00DD3609" w:rsidRPr="00F036A0">
        <w:rPr>
          <w:sz w:val="22"/>
          <w:lang w:val="en-US"/>
        </w:rPr>
        <w:t xml:space="preserve"> </w:t>
      </w:r>
      <w:r w:rsidRPr="00F036A0">
        <w:rPr>
          <w:sz w:val="22"/>
          <w:lang w:val="en-US"/>
        </w:rPr>
        <w:t xml:space="preserve">(a </w:t>
      </w:r>
      <w:proofErr w:type="spellStart"/>
      <w:r w:rsidRPr="00F036A0">
        <w:rPr>
          <w:sz w:val="22"/>
          <w:lang w:val="en-US"/>
        </w:rPr>
        <w:t>confirmar</w:t>
      </w:r>
      <w:proofErr w:type="spellEnd"/>
      <w:r w:rsidRPr="00F036A0">
        <w:rPr>
          <w:sz w:val="22"/>
          <w:lang w:val="en-US"/>
        </w:rPr>
        <w:t>)</w:t>
      </w:r>
    </w:p>
    <w:p w:rsidR="00FB3DE1" w:rsidRPr="00DD3609" w:rsidRDefault="00FB3DE1" w:rsidP="00FB3DE1">
      <w:pPr>
        <w:pStyle w:val="ListParagraph0"/>
        <w:numPr>
          <w:ilvl w:val="0"/>
          <w:numId w:val="14"/>
        </w:numPr>
        <w:tabs>
          <w:tab w:val="left" w:pos="1440"/>
        </w:tabs>
        <w:ind w:left="1440" w:hanging="720"/>
        <w:contextualSpacing/>
        <w:jc w:val="both"/>
        <w:rPr>
          <w:sz w:val="22"/>
          <w:szCs w:val="22"/>
        </w:rPr>
      </w:pPr>
      <w:r w:rsidRPr="00DD3609">
        <w:rPr>
          <w:sz w:val="22"/>
        </w:rPr>
        <w:t>Instituto Interamericano para Pesquisa em Mudanças Globais (IAI) (a confirmar)</w:t>
      </w:r>
    </w:p>
    <w:p w:rsidR="00FB3DE1" w:rsidRPr="00DD3609" w:rsidRDefault="00FB3DE1" w:rsidP="00FB3DE1">
      <w:pPr>
        <w:pStyle w:val="ListParagraph0"/>
        <w:numPr>
          <w:ilvl w:val="0"/>
          <w:numId w:val="14"/>
        </w:numPr>
        <w:tabs>
          <w:tab w:val="left" w:pos="1440"/>
        </w:tabs>
        <w:ind w:left="1440" w:hanging="720"/>
        <w:contextualSpacing/>
        <w:jc w:val="both"/>
        <w:rPr>
          <w:sz w:val="22"/>
          <w:szCs w:val="22"/>
        </w:rPr>
      </w:pPr>
      <w:r w:rsidRPr="00DD3609">
        <w:rPr>
          <w:sz w:val="22"/>
        </w:rPr>
        <w:t>Secretaria Executiva de Desenvolvimento Integral (SEDI)</w:t>
      </w:r>
    </w:p>
    <w:p w:rsidR="00FB3DE1" w:rsidRPr="00DD3609" w:rsidRDefault="00FB3DE1" w:rsidP="00F036A0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036A0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jc w:val="both"/>
        <w:rPr>
          <w:rFonts w:eastAsia="Calibri"/>
          <w:b/>
          <w:sz w:val="22"/>
          <w:szCs w:val="22"/>
        </w:rPr>
      </w:pPr>
      <w:r w:rsidRPr="00DD3609">
        <w:rPr>
          <w:b/>
          <w:sz w:val="22"/>
        </w:rPr>
        <w:t>Relevância para o CIDI</w:t>
      </w:r>
    </w:p>
    <w:p w:rsidR="00FB3DE1" w:rsidRPr="00DD3609" w:rsidRDefault="00FB3DE1" w:rsidP="00FB3DE1">
      <w:pPr>
        <w:jc w:val="both"/>
        <w:rPr>
          <w:rFonts w:eastAsia="Calibri"/>
          <w:b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>A Carta da OEA encarrega o CIDI de promover a cooperação entre os Estados membros da OEA, a fim de alcançar o desenvolvimento integral e, em particular, ajudar a eliminar a pobreza extrema. A Carta também orienta o CIDI a “promover, coordenar e encomendar a execução de programas e projetos de desenvolvimento aos órgãos subsidiários e organismos correspondentes, com base nas prioridades determinadas pelos Estados membros, em áreas tais como a de desenvolvimento econômico e social, inclusive o comércio, o turismo, a integração e o meio ambiente”.</w:t>
      </w:r>
    </w:p>
    <w:p w:rsidR="00FB3DE1" w:rsidRPr="00DD3609" w:rsidRDefault="00FB3DE1" w:rsidP="00FB3DE1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>O Programa Interamericano de Desenvolvimento Sustentável (PIDS) encarrega a SG/OEA de, por intermédio da SEDI-DDS, colaborar com as autoridades de desenvolvimento sustentável dos Estados membros e coordenar atividades com outras entidades e organizações internacionais. O PIDS estabelece ações estratégicas para assegurar que o trabalho da Secretaria-Geral em desenvolvimento sustentável se alinhe com a implementação da Agenda 2030 para o Desenvolvimento Sustentável e o Acordo de Paris sobre Mudança do Clima e que os seus objetivos e resultados sejam guiados pelos ODS aprovados pelos Estados membros e contribuam para alcançá-los.</w:t>
      </w:r>
    </w:p>
    <w:p w:rsidR="00FB3DE1" w:rsidRPr="00DD3609" w:rsidRDefault="00FB3DE1" w:rsidP="00FB3DE1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 xml:space="preserve">Segundo o PIDS, o trabalho da Secretaria-Geral deve contribuir diretamente para apoiar os Estados membros em seus esforços para atender os seguintes ODS: ODS 11 “Tornar as cidades e os assentamentos humanos inclusivos, seguros, resistentes e sustentáveis”; ODS 15 “Proteger, recuperar e promover o uso sustentável dos ecossistemas terrestres, gerir de forma sustentável as florestas, combater a desertificação, deter e reverter a degradação da terra e deter a perda de biodiversidade”; e ODS 7 “Assegurar o acesso confiável, sustentável, moderno e a preço acessível à energia para todas e todos”, assim como as metas inter-relacionadas de outros ODS da Agenda 2030 e seus elementos transversais. </w:t>
      </w:r>
    </w:p>
    <w:p w:rsidR="00FB3DE1" w:rsidRPr="00DD3609" w:rsidRDefault="00FB3DE1" w:rsidP="00FB3DE1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jc w:val="both"/>
        <w:rPr>
          <w:rFonts w:eastAsia="Calibri"/>
          <w:sz w:val="22"/>
          <w:szCs w:val="22"/>
        </w:rPr>
      </w:pPr>
      <w:r w:rsidRPr="00DD3609">
        <w:rPr>
          <w:b/>
          <w:sz w:val="22"/>
          <w:u w:val="single"/>
        </w:rPr>
        <w:lastRenderedPageBreak/>
        <w:t>RESULTADO DA SESSÃO:</w:t>
      </w:r>
    </w:p>
    <w:p w:rsidR="00FB3DE1" w:rsidRPr="00DD3609" w:rsidRDefault="00FB3DE1" w:rsidP="00FB3DE1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ind w:firstLine="720"/>
        <w:jc w:val="both"/>
        <w:rPr>
          <w:rFonts w:eastAsia="Calibri"/>
          <w:iCs/>
          <w:sz w:val="22"/>
          <w:szCs w:val="22"/>
        </w:rPr>
      </w:pPr>
      <w:r w:rsidRPr="00DD3609">
        <w:rPr>
          <w:sz w:val="22"/>
        </w:rPr>
        <w:t>Prevê-se que até ao final da sessão as delegações terão produzido os seguintes resultados:</w:t>
      </w:r>
    </w:p>
    <w:p w:rsidR="00FB3DE1" w:rsidRPr="00DD3609" w:rsidRDefault="00FB3DE1" w:rsidP="00FB3DE1">
      <w:pPr>
        <w:jc w:val="both"/>
        <w:rPr>
          <w:iCs/>
          <w:sz w:val="22"/>
          <w:szCs w:val="22"/>
        </w:rPr>
      </w:pPr>
    </w:p>
    <w:p w:rsidR="00FB3DE1" w:rsidRPr="00DD3609" w:rsidRDefault="00FB3DE1" w:rsidP="00FB3DE1">
      <w:pPr>
        <w:pStyle w:val="ListParagraph0"/>
        <w:numPr>
          <w:ilvl w:val="0"/>
          <w:numId w:val="15"/>
        </w:numPr>
        <w:ind w:left="1440" w:hanging="720"/>
        <w:contextualSpacing/>
        <w:jc w:val="both"/>
        <w:rPr>
          <w:iCs/>
          <w:sz w:val="22"/>
          <w:szCs w:val="22"/>
        </w:rPr>
      </w:pPr>
      <w:r w:rsidRPr="00DD3609">
        <w:rPr>
          <w:sz w:val="22"/>
        </w:rPr>
        <w:t>Proporcionar aos Estados membros um entendimento mais claro da tipologia dos desastres e das formas como a ciência multinível pode usar o conhecimento sobre a destruição causada pelos desastres para embasar políticas e estratégias sólidas de construção de resiliência.</w:t>
      </w:r>
    </w:p>
    <w:p w:rsidR="00FB3DE1" w:rsidRPr="00DD3609" w:rsidRDefault="00FB3DE1" w:rsidP="00F036A0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numPr>
          <w:ilvl w:val="0"/>
          <w:numId w:val="8"/>
        </w:numPr>
        <w:ind w:left="1440" w:hanging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>Produzir recomendações sobre mecanismos que possam contribuir para a consecução da Agenda para o Desenvolvimento Sustentável de 2030 e dos ODS no que diz respeito às economias verde, azul e laranja.</w:t>
      </w:r>
    </w:p>
    <w:p w:rsidR="00FB3DE1" w:rsidRPr="00DD3609" w:rsidRDefault="00FB3DE1" w:rsidP="00F036A0">
      <w:pPr>
        <w:jc w:val="both"/>
        <w:rPr>
          <w:rFonts w:eastAsia="Calibri"/>
          <w:sz w:val="22"/>
          <w:szCs w:val="22"/>
        </w:rPr>
      </w:pPr>
    </w:p>
    <w:p w:rsidR="00FB3DE1" w:rsidRPr="00DD3609" w:rsidRDefault="00FB3DE1" w:rsidP="00FB3DE1">
      <w:pPr>
        <w:numPr>
          <w:ilvl w:val="0"/>
          <w:numId w:val="8"/>
        </w:numPr>
        <w:ind w:left="1440" w:hanging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 xml:space="preserve">Embasar e orientar os esforços da Secretaria de Desenvolvimento Integral para posicionar-se como apoiadora do desenvolvimento de resiliência ambiental no contexto do Plano Estratégico da SEDI e do Programa Interamericano de Desenvolvimento Sustentável (PIDS). </w:t>
      </w:r>
    </w:p>
    <w:p w:rsidR="00FB3DE1" w:rsidRPr="00F036A0" w:rsidRDefault="00FB3DE1" w:rsidP="00F036A0">
      <w:pPr>
        <w:jc w:val="both"/>
        <w:rPr>
          <w:sz w:val="22"/>
          <w:szCs w:val="22"/>
        </w:rPr>
      </w:pPr>
    </w:p>
    <w:p w:rsidR="00FB3DE1" w:rsidRPr="00DD3609" w:rsidRDefault="00FB3DE1" w:rsidP="00FB3DE1">
      <w:pPr>
        <w:numPr>
          <w:ilvl w:val="0"/>
          <w:numId w:val="8"/>
        </w:numPr>
        <w:ind w:left="1440" w:hanging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 xml:space="preserve">Identificar políticas que apoiem o uso sustentável dos recursos naturais e encorajar a consulta contínua sobre metodologias, ferramentas e oportunidades que deem novo impulso à construção da resiliência. </w:t>
      </w:r>
    </w:p>
    <w:p w:rsidR="00FB3DE1" w:rsidRPr="00F036A0" w:rsidRDefault="00FB3DE1" w:rsidP="00F036A0">
      <w:pPr>
        <w:jc w:val="both"/>
        <w:rPr>
          <w:sz w:val="22"/>
          <w:szCs w:val="22"/>
        </w:rPr>
      </w:pPr>
    </w:p>
    <w:p w:rsidR="00FB3DE1" w:rsidRPr="00DD3609" w:rsidRDefault="00FB3DE1" w:rsidP="00FB3DE1">
      <w:pPr>
        <w:numPr>
          <w:ilvl w:val="0"/>
          <w:numId w:val="8"/>
        </w:numPr>
        <w:ind w:left="1440" w:hanging="720"/>
        <w:jc w:val="both"/>
        <w:rPr>
          <w:rFonts w:eastAsia="Calibri"/>
          <w:sz w:val="22"/>
          <w:szCs w:val="22"/>
        </w:rPr>
      </w:pPr>
      <w:r w:rsidRPr="00DD3609">
        <w:rPr>
          <w:sz w:val="22"/>
        </w:rPr>
        <w:t>Identificar e conscientizar os principais atores das Américas sobre os imperativos da resiliência ambiental.</w:t>
      </w:r>
    </w:p>
    <w:p w:rsidR="00FB3DE1" w:rsidRPr="00F036A0" w:rsidRDefault="00FB3DE1" w:rsidP="00F036A0">
      <w:pPr>
        <w:jc w:val="both"/>
        <w:rPr>
          <w:sz w:val="22"/>
          <w:szCs w:val="22"/>
        </w:rPr>
      </w:pPr>
    </w:p>
    <w:p w:rsidR="00FB3DE1" w:rsidRPr="00DD3609" w:rsidRDefault="00E223A0" w:rsidP="00FB3DE1">
      <w:pPr>
        <w:numPr>
          <w:ilvl w:val="0"/>
          <w:numId w:val="8"/>
        </w:numPr>
        <w:ind w:left="1440" w:hanging="720"/>
        <w:jc w:val="both"/>
        <w:rPr>
          <w:rFonts w:eastAsia="Calibri"/>
          <w:sz w:val="22"/>
          <w:szCs w:val="22"/>
        </w:rPr>
      </w:pPr>
      <w:r w:rsidRPr="00DD3609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78D767" wp14:editId="70EC41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223A0" w:rsidRPr="00E223A0" w:rsidRDefault="00E223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97D22">
                              <w:rPr>
                                <w:noProof/>
                                <w:sz w:val="18"/>
                              </w:rPr>
                              <w:t>CIDRP02969P0</w:t>
                            </w:r>
                            <w:r w:rsidR="00F036A0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E223A0" w:rsidRPr="00E223A0" w:rsidRDefault="00E223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97D22">
                        <w:rPr>
                          <w:noProof/>
                          <w:sz w:val="18"/>
                        </w:rPr>
                        <w:t>CIDRP02969P0</w:t>
                      </w:r>
                      <w:r w:rsidR="00F036A0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D3609">
        <w:rPr>
          <w:sz w:val="22"/>
        </w:rPr>
        <w:t xml:space="preserve">Identificar as principais opções estratégicas de política e investimento que serão necessárias para </w:t>
      </w:r>
      <w:r w:rsidR="00DD3609" w:rsidRPr="00DD3609">
        <w:rPr>
          <w:sz w:val="22"/>
        </w:rPr>
        <w:t>“</w:t>
      </w:r>
      <w:r w:rsidRPr="00DD3609">
        <w:rPr>
          <w:sz w:val="22"/>
        </w:rPr>
        <w:t>reconstruir para voltar melhor</w:t>
      </w:r>
      <w:r w:rsidR="00DD3609" w:rsidRPr="00DD3609">
        <w:rPr>
          <w:sz w:val="22"/>
        </w:rPr>
        <w:t>”</w:t>
      </w:r>
      <w:r w:rsidRPr="00DD3609">
        <w:rPr>
          <w:sz w:val="22"/>
        </w:rPr>
        <w:t xml:space="preserve"> no que diz respeito ao desenvolvimento de infraestrutura, energia, uso do solo, gestão de zonas costeiras e tra</w:t>
      </w:r>
      <w:bookmarkStart w:id="1" w:name="_GoBack"/>
      <w:bookmarkEnd w:id="1"/>
      <w:r w:rsidRPr="00DD3609">
        <w:rPr>
          <w:sz w:val="22"/>
        </w:rPr>
        <w:t>nsportes, entre outros.</w:t>
      </w:r>
    </w:p>
    <w:sectPr w:rsidR="00FB3DE1" w:rsidRPr="00DD3609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0D" w:rsidRDefault="00B57D0D">
      <w:r>
        <w:separator/>
      </w:r>
    </w:p>
  </w:endnote>
  <w:endnote w:type="continuationSeparator" w:id="0">
    <w:p w:rsidR="00B57D0D" w:rsidRDefault="00B5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0D" w:rsidRDefault="00B57D0D">
      <w:r>
        <w:separator/>
      </w:r>
    </w:p>
  </w:footnote>
  <w:footnote w:type="continuationSeparator" w:id="0">
    <w:p w:rsidR="00B57D0D" w:rsidRDefault="00B57D0D">
      <w:r>
        <w:continuationSeparator/>
      </w:r>
    </w:p>
  </w:footnote>
  <w:footnote w:id="1">
    <w:p w:rsidR="00FB3DE1" w:rsidRDefault="00FB3DE1" w:rsidP="00FB3DE1">
      <w:pPr>
        <w:pStyle w:val="FootnoteText"/>
        <w:tabs>
          <w:tab w:val="left" w:pos="1080"/>
        </w:tabs>
        <w:ind w:firstLine="72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 </w:t>
      </w:r>
      <w:hyperlink r:id="rId1" w:history="1">
        <w:r>
          <w:rPr>
            <w:rStyle w:val="Hyperlink"/>
          </w:rPr>
          <w:t>https://reliefweb.int/report/world/natural-disasters-latin-america-and-caribbean-2000-2019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F036A0">
      <w:rPr>
        <w:noProof/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49601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" stroked="f">
              <v:textbox>
                <w:txbxContent>
                  <w:p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496018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496018" w:rsidP="00AB7175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018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4E3C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BB7"/>
    <w:rsid w:val="00860083"/>
    <w:rsid w:val="00860DE1"/>
    <w:rsid w:val="00865686"/>
    <w:rsid w:val="00865B5C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D6F7B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97D22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02BD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57D0D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2C07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3609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36A0"/>
    <w:rsid w:val="00F0479A"/>
    <w:rsid w:val="00F103CE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7525"/>
    <w:rsid w:val="00FA607C"/>
    <w:rsid w:val="00FA61C9"/>
    <w:rsid w:val="00FA6A04"/>
    <w:rsid w:val="00FB0853"/>
    <w:rsid w:val="00FB3DE1"/>
    <w:rsid w:val="00FB6445"/>
    <w:rsid w:val="00FC16EC"/>
    <w:rsid w:val="00FC73C7"/>
    <w:rsid w:val="00FD02D9"/>
    <w:rsid w:val="00FD4F65"/>
    <w:rsid w:val="00FE356F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liefweb.int/report/world/natural-disasters-latin-america-and-caribbean-2000-2019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4705-C2A3-4E3E-8E4B-A12A506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6304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5</cp:revision>
  <cp:lastPrinted>2018-08-24T16:52:00Z</cp:lastPrinted>
  <dcterms:created xsi:type="dcterms:W3CDTF">2020-09-11T15:00:00Z</dcterms:created>
  <dcterms:modified xsi:type="dcterms:W3CDTF">2020-09-11T21:43:00Z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