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984E" w14:textId="77777777" w:rsidR="0040128C" w:rsidRPr="00BB5066" w:rsidRDefault="0040128C" w:rsidP="0040128C">
      <w:pPr>
        <w:tabs>
          <w:tab w:val="left" w:pos="7200"/>
        </w:tabs>
        <w:ind w:right="-1080"/>
        <w:rPr>
          <w:noProof/>
          <w:sz w:val="22"/>
          <w:szCs w:val="22"/>
          <w:lang w:val="pt-BR"/>
        </w:rPr>
      </w:pPr>
      <w:r>
        <w:rPr>
          <w:sz w:val="22"/>
        </w:rPr>
        <w:tab/>
      </w:r>
      <w:r w:rsidRPr="00BB5066">
        <w:rPr>
          <w:sz w:val="22"/>
          <w:lang w:val="pt-BR"/>
        </w:rPr>
        <w:t>OEA/</w:t>
      </w:r>
      <w:proofErr w:type="spellStart"/>
      <w:proofErr w:type="gramStart"/>
      <w:r w:rsidRPr="00BB5066">
        <w:rPr>
          <w:sz w:val="22"/>
          <w:lang w:val="pt-BR"/>
        </w:rPr>
        <w:t>Ser.</w:t>
      </w:r>
      <w:proofErr w:type="gramEnd"/>
      <w:r w:rsidRPr="00BB5066">
        <w:rPr>
          <w:sz w:val="22"/>
          <w:lang w:val="pt-BR"/>
        </w:rPr>
        <w:t>W</w:t>
      </w:r>
      <w:proofErr w:type="spellEnd"/>
    </w:p>
    <w:p w14:paraId="3D43C001" w14:textId="77777777" w:rsidR="0040128C" w:rsidRPr="00BB5066" w:rsidRDefault="0040128C" w:rsidP="0040128C">
      <w:pPr>
        <w:tabs>
          <w:tab w:val="left" w:pos="7200"/>
        </w:tabs>
        <w:ind w:right="-1080"/>
        <w:rPr>
          <w:noProof/>
          <w:sz w:val="22"/>
          <w:szCs w:val="22"/>
          <w:lang w:val="pt-BR"/>
        </w:rPr>
      </w:pPr>
      <w:r w:rsidRPr="00BB5066">
        <w:rPr>
          <w:sz w:val="22"/>
          <w:lang w:val="pt-BR"/>
        </w:rPr>
        <w:tab/>
      </w:r>
      <w:proofErr w:type="spellStart"/>
      <w:r w:rsidRPr="00BB5066">
        <w:rPr>
          <w:sz w:val="22"/>
          <w:lang w:val="pt-BR"/>
        </w:rPr>
        <w:t>CIDI</w:t>
      </w:r>
      <w:proofErr w:type="spellEnd"/>
      <w:r w:rsidRPr="00BB5066">
        <w:rPr>
          <w:sz w:val="22"/>
          <w:lang w:val="pt-BR"/>
        </w:rPr>
        <w:t>/</w:t>
      </w:r>
      <w:proofErr w:type="spellStart"/>
      <w:r w:rsidRPr="00BB5066">
        <w:rPr>
          <w:sz w:val="22"/>
          <w:lang w:val="pt-BR"/>
        </w:rPr>
        <w:t>INF.384</w:t>
      </w:r>
      <w:proofErr w:type="spellEnd"/>
      <w:r w:rsidRPr="00BB5066">
        <w:rPr>
          <w:sz w:val="22"/>
          <w:lang w:val="pt-BR"/>
        </w:rPr>
        <w:t>/20</w:t>
      </w:r>
    </w:p>
    <w:p w14:paraId="6B29ADC5" w14:textId="77777777" w:rsidR="0040128C" w:rsidRPr="0040128C" w:rsidRDefault="0040128C" w:rsidP="0040128C">
      <w:pPr>
        <w:tabs>
          <w:tab w:val="left" w:pos="7200"/>
        </w:tabs>
        <w:ind w:right="-1080"/>
        <w:rPr>
          <w:noProof/>
          <w:sz w:val="22"/>
          <w:szCs w:val="22"/>
        </w:rPr>
      </w:pPr>
      <w:r w:rsidRPr="00BB5066">
        <w:rPr>
          <w:sz w:val="22"/>
          <w:lang w:val="pt-BR"/>
        </w:rPr>
        <w:tab/>
      </w:r>
      <w:r>
        <w:rPr>
          <w:sz w:val="22"/>
        </w:rPr>
        <w:t>9 septiembre 2020</w:t>
      </w:r>
    </w:p>
    <w:p w14:paraId="38FC3C61" w14:textId="77777777" w:rsidR="0040128C" w:rsidRPr="0040128C" w:rsidRDefault="0040128C" w:rsidP="0040128C">
      <w:pPr>
        <w:pBdr>
          <w:bottom w:val="single" w:sz="12" w:space="1" w:color="auto"/>
        </w:pBdr>
        <w:tabs>
          <w:tab w:val="left" w:pos="7200"/>
        </w:tabs>
        <w:ind w:right="-389"/>
        <w:rPr>
          <w:noProof/>
          <w:sz w:val="22"/>
          <w:szCs w:val="22"/>
        </w:rPr>
      </w:pPr>
      <w:r>
        <w:rPr>
          <w:sz w:val="22"/>
        </w:rPr>
        <w:tab/>
        <w:t>Original: inglés</w:t>
      </w:r>
    </w:p>
    <w:p w14:paraId="3FA51899" w14:textId="77777777" w:rsidR="0040128C" w:rsidRPr="0040128C" w:rsidRDefault="0040128C" w:rsidP="0040128C">
      <w:pPr>
        <w:pBdr>
          <w:bottom w:val="single" w:sz="12" w:space="1" w:color="auto"/>
        </w:pBdr>
        <w:tabs>
          <w:tab w:val="left" w:pos="7200"/>
        </w:tabs>
        <w:ind w:right="-389"/>
        <w:rPr>
          <w:noProof/>
          <w:sz w:val="22"/>
          <w:szCs w:val="22"/>
        </w:rPr>
      </w:pPr>
    </w:p>
    <w:p w14:paraId="3BAD8ABC" w14:textId="77777777" w:rsidR="0040128C" w:rsidRPr="0040128C" w:rsidRDefault="0040128C" w:rsidP="0040128C">
      <w:pPr>
        <w:tabs>
          <w:tab w:val="left" w:pos="7200"/>
        </w:tabs>
        <w:ind w:right="-1080"/>
        <w:rPr>
          <w:noProof/>
          <w:sz w:val="22"/>
          <w:szCs w:val="22"/>
        </w:rPr>
      </w:pPr>
    </w:p>
    <w:p w14:paraId="0BB03062" w14:textId="77777777" w:rsidR="0040128C" w:rsidRPr="0040128C" w:rsidRDefault="0040128C" w:rsidP="0040128C">
      <w:pPr>
        <w:jc w:val="both"/>
        <w:outlineLvl w:val="0"/>
        <w:rPr>
          <w:noProof/>
          <w:sz w:val="22"/>
          <w:szCs w:val="22"/>
        </w:rPr>
      </w:pPr>
    </w:p>
    <w:p w14:paraId="013CCA2A" w14:textId="77777777" w:rsidR="0040128C" w:rsidRPr="0040128C" w:rsidRDefault="0040128C" w:rsidP="0040128C">
      <w:pPr>
        <w:jc w:val="center"/>
        <w:rPr>
          <w:rFonts w:eastAsia="Calibri"/>
          <w:noProof/>
          <w:sz w:val="22"/>
          <w:szCs w:val="22"/>
        </w:rPr>
      </w:pPr>
      <w:r>
        <w:rPr>
          <w:sz w:val="22"/>
        </w:rPr>
        <w:t>NOTA CONCEPTUAL</w:t>
      </w:r>
    </w:p>
    <w:p w14:paraId="14246755" w14:textId="77777777" w:rsidR="0040128C" w:rsidRPr="0040128C" w:rsidRDefault="0040128C" w:rsidP="0040128C">
      <w:pPr>
        <w:rPr>
          <w:rFonts w:eastAsia="Calibri"/>
          <w:noProof/>
          <w:sz w:val="22"/>
          <w:szCs w:val="22"/>
        </w:rPr>
      </w:pPr>
    </w:p>
    <w:p w14:paraId="539CD297" w14:textId="77777777" w:rsidR="0040128C" w:rsidRPr="0040128C" w:rsidRDefault="0040128C" w:rsidP="0040128C">
      <w:pPr>
        <w:jc w:val="center"/>
        <w:rPr>
          <w:rFonts w:eastAsia="Calibri"/>
          <w:caps/>
          <w:noProof/>
          <w:sz w:val="22"/>
          <w:szCs w:val="22"/>
        </w:rPr>
      </w:pPr>
      <w:r>
        <w:rPr>
          <w:caps/>
          <w:sz w:val="22"/>
        </w:rPr>
        <w:t xml:space="preserve">Reunión ordinaria del </w:t>
      </w:r>
    </w:p>
    <w:p w14:paraId="4247BE5D" w14:textId="77777777" w:rsidR="0040128C" w:rsidRPr="0040128C" w:rsidRDefault="0040128C" w:rsidP="0040128C">
      <w:pPr>
        <w:jc w:val="center"/>
        <w:rPr>
          <w:rFonts w:eastAsia="Calibri"/>
          <w:caps/>
          <w:noProof/>
          <w:sz w:val="22"/>
          <w:szCs w:val="22"/>
        </w:rPr>
      </w:pPr>
      <w:r>
        <w:rPr>
          <w:caps/>
          <w:sz w:val="22"/>
        </w:rPr>
        <w:t>Consejo Interamericano para el Desarrollo Integral (</w:t>
      </w:r>
      <w:proofErr w:type="spellStart"/>
      <w:r>
        <w:rPr>
          <w:caps/>
          <w:sz w:val="22"/>
        </w:rPr>
        <w:t>CIDI</w:t>
      </w:r>
      <w:proofErr w:type="spellEnd"/>
      <w:r>
        <w:rPr>
          <w:caps/>
          <w:sz w:val="22"/>
        </w:rPr>
        <w:t xml:space="preserve">) </w:t>
      </w:r>
    </w:p>
    <w:p w14:paraId="555ECD4D" w14:textId="77777777" w:rsidR="0040128C" w:rsidRPr="0040128C" w:rsidRDefault="0040128C" w:rsidP="0040128C">
      <w:pPr>
        <w:jc w:val="center"/>
        <w:rPr>
          <w:rFonts w:eastAsia="Calibri"/>
          <w:caps/>
          <w:noProof/>
          <w:sz w:val="22"/>
          <w:szCs w:val="22"/>
        </w:rPr>
      </w:pPr>
      <w:r>
        <w:rPr>
          <w:caps/>
          <w:sz w:val="22"/>
        </w:rPr>
        <w:t>29 DE SEPTIEMBRE DE 2020</w:t>
      </w:r>
    </w:p>
    <w:p w14:paraId="30F6E2CF" w14:textId="77777777" w:rsidR="0040128C" w:rsidRPr="0040128C" w:rsidRDefault="0040128C" w:rsidP="0040128C">
      <w:pPr>
        <w:rPr>
          <w:rFonts w:eastAsia="Calibri"/>
          <w:caps/>
          <w:noProof/>
          <w:sz w:val="22"/>
          <w:szCs w:val="22"/>
        </w:rPr>
      </w:pPr>
    </w:p>
    <w:p w14:paraId="0A67DEE4" w14:textId="77777777" w:rsidR="0040128C" w:rsidRPr="0040128C" w:rsidRDefault="0040128C" w:rsidP="0040128C">
      <w:pPr>
        <w:jc w:val="center"/>
        <w:rPr>
          <w:rFonts w:eastAsia="Calibri"/>
          <w:noProof/>
          <w:sz w:val="22"/>
          <w:szCs w:val="22"/>
        </w:rPr>
      </w:pPr>
      <w:r>
        <w:rPr>
          <w:sz w:val="22"/>
        </w:rPr>
        <w:t>(Preparado por la Secretaría Ejecutiva para el Desarrollo Integral)</w:t>
      </w:r>
    </w:p>
    <w:p w14:paraId="4DDE9370" w14:textId="77777777" w:rsidR="0040128C" w:rsidRPr="0040128C" w:rsidRDefault="0040128C" w:rsidP="0040128C">
      <w:pPr>
        <w:rPr>
          <w:rFonts w:eastAsia="Calibri"/>
          <w:noProof/>
          <w:sz w:val="22"/>
          <w:szCs w:val="22"/>
        </w:rPr>
      </w:pPr>
    </w:p>
    <w:p w14:paraId="6ECB1BE2" w14:textId="77777777" w:rsidR="0040128C" w:rsidRPr="0040128C" w:rsidRDefault="0040128C" w:rsidP="0040128C">
      <w:pPr>
        <w:rPr>
          <w:rFonts w:eastAsia="Calibri"/>
          <w:noProof/>
          <w:sz w:val="22"/>
          <w:szCs w:val="22"/>
        </w:rPr>
      </w:pPr>
    </w:p>
    <w:p w14:paraId="00F99209" w14:textId="77777777" w:rsidR="0040128C" w:rsidRPr="0040128C" w:rsidRDefault="0040128C" w:rsidP="0040128C">
      <w:pPr>
        <w:ind w:left="1440" w:hanging="1440"/>
        <w:jc w:val="center"/>
        <w:rPr>
          <w:b/>
          <w:bCs/>
          <w:noProof/>
          <w:sz w:val="22"/>
          <w:szCs w:val="22"/>
        </w:rPr>
      </w:pPr>
      <w:r>
        <w:rPr>
          <w:sz w:val="22"/>
        </w:rPr>
        <w:t xml:space="preserve">TEMA: </w:t>
      </w:r>
      <w:proofErr w:type="spellStart"/>
      <w:r>
        <w:rPr>
          <w:b/>
          <w:sz w:val="22"/>
        </w:rPr>
        <w:t>Resiliencia</w:t>
      </w:r>
      <w:proofErr w:type="spellEnd"/>
      <w:r>
        <w:rPr>
          <w:b/>
          <w:sz w:val="22"/>
        </w:rPr>
        <w:t xml:space="preserve"> ambiental.  Reconstruir mejor: la clave para una recuperación </w:t>
      </w:r>
      <w:proofErr w:type="spellStart"/>
      <w:r>
        <w:rPr>
          <w:b/>
          <w:sz w:val="22"/>
        </w:rPr>
        <w:t>resiliente</w:t>
      </w:r>
      <w:proofErr w:type="spellEnd"/>
    </w:p>
    <w:p w14:paraId="01640A29" w14:textId="77777777" w:rsidR="0040128C" w:rsidRPr="0040128C" w:rsidRDefault="0040128C" w:rsidP="00BB5066">
      <w:pPr>
        <w:rPr>
          <w:b/>
          <w:bCs/>
          <w:noProof/>
          <w:sz w:val="22"/>
          <w:szCs w:val="22"/>
        </w:rPr>
      </w:pPr>
    </w:p>
    <w:p w14:paraId="75E684C9" w14:textId="77777777" w:rsidR="0040128C" w:rsidRPr="0040128C" w:rsidRDefault="0040128C" w:rsidP="0040128C">
      <w:pPr>
        <w:rPr>
          <w:b/>
          <w:bCs/>
          <w:iCs/>
          <w:noProof/>
          <w:sz w:val="22"/>
          <w:szCs w:val="22"/>
          <w:u w:val="single"/>
        </w:rPr>
      </w:pPr>
      <w:r>
        <w:rPr>
          <w:b/>
          <w:sz w:val="22"/>
          <w:u w:val="single"/>
        </w:rPr>
        <w:t xml:space="preserve">ANTECEDENTES </w:t>
      </w:r>
    </w:p>
    <w:p w14:paraId="2780F9B5" w14:textId="77777777" w:rsidR="0040128C" w:rsidRPr="0040128C" w:rsidRDefault="0040128C" w:rsidP="0040128C">
      <w:pPr>
        <w:rPr>
          <w:b/>
          <w:bCs/>
          <w:iCs/>
          <w:noProof/>
          <w:sz w:val="22"/>
          <w:szCs w:val="22"/>
        </w:rPr>
      </w:pPr>
    </w:p>
    <w:p w14:paraId="19F86874" w14:textId="77777777" w:rsidR="0040128C" w:rsidRPr="0040128C" w:rsidRDefault="0040128C" w:rsidP="0040128C">
      <w:pPr>
        <w:ind w:firstLine="720"/>
        <w:jc w:val="both"/>
        <w:rPr>
          <w:iCs/>
          <w:noProof/>
          <w:sz w:val="22"/>
          <w:szCs w:val="22"/>
        </w:rPr>
      </w:pPr>
      <w:r>
        <w:rPr>
          <w:sz w:val="22"/>
        </w:rPr>
        <w:t>La región de América Latina y el Caribe se encuentra entre las cinco zonas más propensas a desastres en el mundo. Durante el último decenio (2000-2019), 152 millones de personas de la región se vieron afectadas por unos 1205 desastres, entre los que se incluyeron 548 inundaciones, 330 tormentas, 75 terremotos, 74 sequías, 66 deslizamientos de tierra, 24 incendios forestales, 50 eventos de temperatura extrema y 38 eventos volcánicos</w:t>
      </w:r>
      <w:r w:rsidRPr="0040128C">
        <w:rPr>
          <w:iCs/>
          <w:noProof/>
          <w:sz w:val="22"/>
          <w:szCs w:val="22"/>
          <w:u w:val="single"/>
          <w:vertAlign w:val="superscript"/>
        </w:rPr>
        <w:footnoteReference w:id="1"/>
      </w:r>
      <w:r>
        <w:rPr>
          <w:sz w:val="22"/>
          <w:vertAlign w:val="superscript"/>
        </w:rPr>
        <w:t>/</w:t>
      </w:r>
      <w:r>
        <w:rPr>
          <w:sz w:val="22"/>
        </w:rPr>
        <w:t xml:space="preserve">. </w:t>
      </w:r>
    </w:p>
    <w:p w14:paraId="69CBD97E" w14:textId="77777777" w:rsidR="0040128C" w:rsidRPr="0040128C" w:rsidRDefault="0040128C" w:rsidP="0040128C">
      <w:pPr>
        <w:jc w:val="both"/>
        <w:rPr>
          <w:iCs/>
          <w:noProof/>
          <w:sz w:val="22"/>
          <w:szCs w:val="22"/>
        </w:rPr>
      </w:pPr>
    </w:p>
    <w:p w14:paraId="4C63AF2F" w14:textId="237C1F09" w:rsidR="0040128C" w:rsidRPr="0040128C" w:rsidRDefault="0040128C" w:rsidP="0040128C">
      <w:pPr>
        <w:ind w:firstLine="720"/>
        <w:jc w:val="both"/>
        <w:rPr>
          <w:iCs/>
          <w:noProof/>
          <w:sz w:val="22"/>
          <w:szCs w:val="22"/>
        </w:rPr>
      </w:pPr>
      <w:r>
        <w:rPr>
          <w:sz w:val="22"/>
        </w:rPr>
        <w:t xml:space="preserve">Una lección importante derivada de la experiencia de estos incesantes desastres es que </w:t>
      </w:r>
      <w:r w:rsidR="006B0DF6">
        <w:rPr>
          <w:sz w:val="22"/>
        </w:rPr>
        <w:t>“</w:t>
      </w:r>
      <w:r>
        <w:rPr>
          <w:sz w:val="22"/>
        </w:rPr>
        <w:t>reconstruir mejor</w:t>
      </w:r>
      <w:r w:rsidR="006B0DF6">
        <w:rPr>
          <w:sz w:val="22"/>
        </w:rPr>
        <w:t>”</w:t>
      </w:r>
      <w:r>
        <w:rPr>
          <w:sz w:val="22"/>
        </w:rPr>
        <w:t xml:space="preserve"> —definido como un planteamiento multidimensional de la </w:t>
      </w:r>
      <w:proofErr w:type="spellStart"/>
      <w:r>
        <w:rPr>
          <w:sz w:val="22"/>
        </w:rPr>
        <w:t>resiliencia</w:t>
      </w:r>
      <w:proofErr w:type="spellEnd"/>
      <w:r>
        <w:rPr>
          <w:sz w:val="22"/>
        </w:rPr>
        <w:t xml:space="preserve"> a los desastres que conduce a mejoras por encima y más allá del statu quo anterior al desastre— es más importante que una respuesta de emergencia de corto plazo.  Varios países han adoptado esta estrategia para aumentar su </w:t>
      </w:r>
      <w:proofErr w:type="spellStart"/>
      <w:r>
        <w:rPr>
          <w:sz w:val="22"/>
        </w:rPr>
        <w:t>resiliencia</w:t>
      </w:r>
      <w:proofErr w:type="spellEnd"/>
      <w:r>
        <w:rPr>
          <w:sz w:val="22"/>
        </w:rPr>
        <w:t xml:space="preserve"> económica, social y ambiental a los desastres. Sin embargo, si lo que se propone es diseñar e implementar políticas y estrategias de </w:t>
      </w:r>
      <w:proofErr w:type="spellStart"/>
      <w:r>
        <w:rPr>
          <w:sz w:val="22"/>
        </w:rPr>
        <w:t>resiliencia</w:t>
      </w:r>
      <w:proofErr w:type="spellEnd"/>
      <w:r>
        <w:rPr>
          <w:sz w:val="22"/>
        </w:rPr>
        <w:t xml:space="preserve"> eficaces, se requiere un marco sólido y basado en evidencias para la toma de decisiones, en el que se tomen en cuenta el origen de las fallas en la infraestructura social y económica y el papel de las normas, códigos y prácticas de base científica para </w:t>
      </w:r>
      <w:r w:rsidR="006B0DF6">
        <w:rPr>
          <w:sz w:val="22"/>
        </w:rPr>
        <w:t>“</w:t>
      </w:r>
      <w:r>
        <w:rPr>
          <w:sz w:val="22"/>
        </w:rPr>
        <w:t>reconstruir mejor</w:t>
      </w:r>
      <w:r w:rsidR="006B0DF6">
        <w:rPr>
          <w:sz w:val="22"/>
        </w:rPr>
        <w:t>”</w:t>
      </w:r>
      <w:r>
        <w:rPr>
          <w:sz w:val="22"/>
        </w:rPr>
        <w:t>.</w:t>
      </w:r>
    </w:p>
    <w:p w14:paraId="274473F2" w14:textId="77777777" w:rsidR="0040128C" w:rsidRPr="0040128C" w:rsidRDefault="0040128C" w:rsidP="0040128C">
      <w:pPr>
        <w:jc w:val="both"/>
        <w:rPr>
          <w:iCs/>
          <w:noProof/>
          <w:sz w:val="22"/>
          <w:szCs w:val="22"/>
        </w:rPr>
      </w:pPr>
    </w:p>
    <w:p w14:paraId="0820C48A" w14:textId="77777777" w:rsidR="0040128C" w:rsidRPr="0040128C" w:rsidRDefault="0040128C" w:rsidP="0040128C">
      <w:pPr>
        <w:ind w:firstLine="720"/>
        <w:jc w:val="both"/>
        <w:rPr>
          <w:iCs/>
          <w:noProof/>
          <w:sz w:val="22"/>
          <w:szCs w:val="22"/>
        </w:rPr>
      </w:pPr>
      <w:r>
        <w:rPr>
          <w:sz w:val="22"/>
        </w:rPr>
        <w:t xml:space="preserve">También debe prestarse atención al fortalecimiento del papel de los ciudadanos y las comunidades en el fomento de la capacidad de </w:t>
      </w:r>
      <w:proofErr w:type="spellStart"/>
      <w:r>
        <w:rPr>
          <w:sz w:val="22"/>
        </w:rPr>
        <w:t>resiliencia</w:t>
      </w:r>
      <w:proofErr w:type="spellEnd"/>
      <w:r>
        <w:rPr>
          <w:sz w:val="22"/>
        </w:rPr>
        <w:t xml:space="preserve">. Las comunidades son tan </w:t>
      </w:r>
      <w:proofErr w:type="spellStart"/>
      <w:r>
        <w:rPr>
          <w:sz w:val="22"/>
        </w:rPr>
        <w:t>resilientes</w:t>
      </w:r>
      <w:proofErr w:type="spellEnd"/>
      <w:r>
        <w:rPr>
          <w:sz w:val="22"/>
        </w:rPr>
        <w:t xml:space="preserve"> como lo son sus ciudadanos. El ayudar a los ciudadanos a aprender de sus experiencias con los desastres y aplicar este aprendizaje para aumentar su capacidad de </w:t>
      </w:r>
      <w:proofErr w:type="spellStart"/>
      <w:r>
        <w:rPr>
          <w:sz w:val="22"/>
        </w:rPr>
        <w:t>resiliencia</w:t>
      </w:r>
      <w:proofErr w:type="spellEnd"/>
      <w:r>
        <w:rPr>
          <w:sz w:val="22"/>
        </w:rPr>
        <w:t xml:space="preserve"> ante futuros acontecimientos es un componente vital de una cultura sólida y </w:t>
      </w:r>
      <w:proofErr w:type="spellStart"/>
      <w:r>
        <w:rPr>
          <w:sz w:val="22"/>
        </w:rPr>
        <w:t>resiliente</w:t>
      </w:r>
      <w:proofErr w:type="spellEnd"/>
      <w:r>
        <w:rPr>
          <w:sz w:val="22"/>
        </w:rPr>
        <w:t xml:space="preserve"> que pueda adaptarse a las circunstancias futuras. </w:t>
      </w:r>
    </w:p>
    <w:p w14:paraId="6C208965" w14:textId="77777777" w:rsidR="0040128C" w:rsidRPr="0040128C" w:rsidRDefault="0040128C" w:rsidP="0040128C">
      <w:pPr>
        <w:jc w:val="both"/>
        <w:rPr>
          <w:iCs/>
          <w:noProof/>
          <w:sz w:val="22"/>
          <w:szCs w:val="22"/>
        </w:rPr>
      </w:pPr>
    </w:p>
    <w:p w14:paraId="36CF500F" w14:textId="77777777" w:rsidR="00BB5066" w:rsidRDefault="00BB5066" w:rsidP="0040128C">
      <w:pPr>
        <w:jc w:val="both"/>
        <w:rPr>
          <w:b/>
          <w:sz w:val="22"/>
          <w:u w:val="single"/>
        </w:rPr>
      </w:pPr>
      <w:r>
        <w:rPr>
          <w:b/>
          <w:sz w:val="22"/>
          <w:u w:val="single"/>
        </w:rPr>
        <w:br w:type="page"/>
      </w:r>
    </w:p>
    <w:p w14:paraId="3743C86D" w14:textId="221911DF" w:rsidR="0040128C" w:rsidRPr="0040128C" w:rsidRDefault="0040128C" w:rsidP="0040128C">
      <w:pPr>
        <w:jc w:val="both"/>
        <w:rPr>
          <w:b/>
          <w:bCs/>
          <w:iCs/>
          <w:noProof/>
          <w:sz w:val="22"/>
          <w:szCs w:val="22"/>
          <w:u w:val="single"/>
        </w:rPr>
      </w:pPr>
      <w:r>
        <w:rPr>
          <w:b/>
          <w:sz w:val="22"/>
          <w:u w:val="single"/>
        </w:rPr>
        <w:t>OBJETIVO DE LA REUNIÓN</w:t>
      </w:r>
    </w:p>
    <w:p w14:paraId="3E6CC441" w14:textId="77777777" w:rsidR="0040128C" w:rsidRPr="0040128C" w:rsidRDefault="0040128C" w:rsidP="0040128C">
      <w:pPr>
        <w:jc w:val="both"/>
        <w:rPr>
          <w:bCs/>
          <w:iCs/>
          <w:noProof/>
          <w:sz w:val="22"/>
          <w:szCs w:val="22"/>
        </w:rPr>
      </w:pPr>
    </w:p>
    <w:p w14:paraId="6DB1D677" w14:textId="77777777" w:rsidR="0040128C" w:rsidRPr="0040128C" w:rsidRDefault="0040128C" w:rsidP="0040128C">
      <w:pPr>
        <w:ind w:firstLine="720"/>
        <w:jc w:val="both"/>
        <w:rPr>
          <w:b/>
          <w:bCs/>
          <w:iCs/>
          <w:noProof/>
          <w:sz w:val="22"/>
          <w:szCs w:val="22"/>
        </w:rPr>
      </w:pPr>
      <w:r>
        <w:rPr>
          <w:b/>
          <w:sz w:val="22"/>
        </w:rPr>
        <w:t>Los objetivos que se persiguen son:</w:t>
      </w:r>
    </w:p>
    <w:p w14:paraId="5A7D7FCD" w14:textId="77777777" w:rsidR="0040128C" w:rsidRPr="0040128C" w:rsidRDefault="0040128C" w:rsidP="0040128C">
      <w:pPr>
        <w:jc w:val="both"/>
        <w:rPr>
          <w:bCs/>
          <w:iCs/>
          <w:noProof/>
          <w:sz w:val="22"/>
          <w:szCs w:val="22"/>
        </w:rPr>
      </w:pPr>
    </w:p>
    <w:p w14:paraId="1B9CBCF5" w14:textId="69D30633" w:rsidR="0040128C" w:rsidRPr="0040128C" w:rsidRDefault="0040128C" w:rsidP="0040128C">
      <w:pPr>
        <w:pStyle w:val="ListParagraph0"/>
        <w:numPr>
          <w:ilvl w:val="0"/>
          <w:numId w:val="13"/>
        </w:numPr>
        <w:ind w:left="1440" w:hanging="720"/>
        <w:contextualSpacing/>
        <w:jc w:val="both"/>
        <w:rPr>
          <w:iCs/>
          <w:noProof/>
          <w:sz w:val="22"/>
          <w:szCs w:val="22"/>
        </w:rPr>
      </w:pPr>
      <w:r>
        <w:rPr>
          <w:sz w:val="22"/>
        </w:rPr>
        <w:lastRenderedPageBreak/>
        <w:t xml:space="preserve">Compartir con los Estados Miembros lecciones para </w:t>
      </w:r>
      <w:r w:rsidR="006B0DF6">
        <w:rPr>
          <w:sz w:val="22"/>
        </w:rPr>
        <w:t>“</w:t>
      </w:r>
      <w:r>
        <w:rPr>
          <w:sz w:val="22"/>
        </w:rPr>
        <w:t>reconstruir mejor</w:t>
      </w:r>
      <w:r w:rsidR="006B0DF6">
        <w:rPr>
          <w:sz w:val="22"/>
        </w:rPr>
        <w:t>”</w:t>
      </w:r>
      <w:r>
        <w:rPr>
          <w:sz w:val="22"/>
        </w:rPr>
        <w:t xml:space="preserve"> a partir de la experiencia de la comunidad en materia de desastres. </w:t>
      </w:r>
    </w:p>
    <w:p w14:paraId="6709C28B" w14:textId="77777777" w:rsidR="0040128C" w:rsidRPr="0040128C" w:rsidRDefault="0040128C" w:rsidP="0040128C">
      <w:pPr>
        <w:pStyle w:val="ListParagraph0"/>
        <w:numPr>
          <w:ilvl w:val="0"/>
          <w:numId w:val="13"/>
        </w:numPr>
        <w:tabs>
          <w:tab w:val="clear" w:pos="720"/>
          <w:tab w:val="num" w:pos="1440"/>
        </w:tabs>
        <w:ind w:left="1440" w:hanging="720"/>
        <w:contextualSpacing/>
        <w:jc w:val="both"/>
        <w:rPr>
          <w:rFonts w:eastAsia="Times New Roman"/>
          <w:noProof/>
          <w:sz w:val="22"/>
          <w:szCs w:val="22"/>
        </w:rPr>
      </w:pPr>
      <w:r>
        <w:rPr>
          <w:sz w:val="22"/>
        </w:rPr>
        <w:t xml:space="preserve">Facilitar el intercambio de experiencias, lecciones aprendidas y buenas prácticas para el fomento de la capacidad de </w:t>
      </w:r>
      <w:proofErr w:type="spellStart"/>
      <w:r>
        <w:rPr>
          <w:sz w:val="22"/>
        </w:rPr>
        <w:t>resiliencia</w:t>
      </w:r>
      <w:proofErr w:type="spellEnd"/>
      <w:r>
        <w:rPr>
          <w:sz w:val="22"/>
        </w:rPr>
        <w:t xml:space="preserve"> entre los Estados Miembros con miras a facilitar la cooperación.</w:t>
      </w:r>
    </w:p>
    <w:p w14:paraId="7C792988" w14:textId="77777777" w:rsidR="0040128C" w:rsidRPr="00BB5066" w:rsidRDefault="0040128C" w:rsidP="00BB5066">
      <w:pPr>
        <w:contextualSpacing/>
        <w:jc w:val="both"/>
        <w:rPr>
          <w:noProof/>
          <w:sz w:val="22"/>
          <w:szCs w:val="22"/>
        </w:rPr>
      </w:pPr>
    </w:p>
    <w:p w14:paraId="4F3B3AD8" w14:textId="77777777" w:rsidR="0040128C" w:rsidRPr="0040128C" w:rsidRDefault="0040128C" w:rsidP="0040128C">
      <w:pPr>
        <w:jc w:val="both"/>
        <w:rPr>
          <w:rFonts w:eastAsia="Calibri"/>
          <w:b/>
          <w:noProof/>
          <w:sz w:val="22"/>
          <w:szCs w:val="22"/>
        </w:rPr>
      </w:pPr>
      <w:r>
        <w:rPr>
          <w:b/>
          <w:sz w:val="22"/>
        </w:rPr>
        <w:t>Estructura de la reunión</w:t>
      </w:r>
    </w:p>
    <w:p w14:paraId="2E4D54CD" w14:textId="77777777" w:rsidR="0040128C" w:rsidRPr="0040128C" w:rsidRDefault="0040128C" w:rsidP="00BB5066">
      <w:pPr>
        <w:jc w:val="both"/>
        <w:rPr>
          <w:rFonts w:eastAsia="Calibri"/>
          <w:b/>
          <w:noProof/>
          <w:sz w:val="22"/>
          <w:szCs w:val="22"/>
        </w:rPr>
      </w:pPr>
    </w:p>
    <w:p w14:paraId="67BAF843" w14:textId="77777777" w:rsidR="0040128C" w:rsidRPr="0040128C" w:rsidRDefault="0040128C" w:rsidP="0040128C">
      <w:pPr>
        <w:ind w:firstLine="720"/>
        <w:jc w:val="both"/>
        <w:rPr>
          <w:rFonts w:eastAsia="Calibri"/>
          <w:noProof/>
          <w:sz w:val="22"/>
          <w:szCs w:val="22"/>
        </w:rPr>
      </w:pPr>
      <w:r>
        <w:rPr>
          <w:sz w:val="22"/>
        </w:rPr>
        <w:t>La reunión se llevará a cabo como un debate plenario entre los expertos de instituciones internacionales, nacionales y regionales, con experiencia en la materia, y los Estados Miembros. Los panelistas podrían provenir de las siguientes instituciones y entidades:</w:t>
      </w:r>
    </w:p>
    <w:p w14:paraId="0AD32099" w14:textId="77777777" w:rsidR="0040128C" w:rsidRPr="0040128C" w:rsidRDefault="0040128C" w:rsidP="00BB5066">
      <w:pPr>
        <w:jc w:val="both"/>
        <w:rPr>
          <w:rFonts w:eastAsia="Calibri"/>
          <w:noProof/>
          <w:sz w:val="22"/>
          <w:szCs w:val="22"/>
        </w:rPr>
      </w:pPr>
    </w:p>
    <w:p w14:paraId="60964387" w14:textId="77777777" w:rsidR="0040128C" w:rsidRPr="00BB5066" w:rsidRDefault="0040128C" w:rsidP="0040128C">
      <w:pPr>
        <w:tabs>
          <w:tab w:val="left" w:pos="1440"/>
        </w:tabs>
        <w:ind w:left="1440" w:hanging="720"/>
        <w:jc w:val="both"/>
        <w:rPr>
          <w:rFonts w:eastAsia="Calibri"/>
          <w:noProof/>
          <w:sz w:val="22"/>
          <w:szCs w:val="22"/>
          <w:lang w:val="en-US"/>
        </w:rPr>
      </w:pPr>
      <w:r w:rsidRPr="00BB5066">
        <w:rPr>
          <w:sz w:val="28"/>
          <w:szCs w:val="28"/>
          <w:lang w:val="en-US"/>
        </w:rPr>
        <w:t>•</w:t>
      </w:r>
      <w:r w:rsidRPr="00BB5066">
        <w:rPr>
          <w:sz w:val="22"/>
          <w:lang w:val="en-US"/>
        </w:rPr>
        <w:tab/>
        <w:t>The Boulder Center for Resilience (</w:t>
      </w:r>
      <w:proofErr w:type="spellStart"/>
      <w:r w:rsidRPr="00BB5066">
        <w:rPr>
          <w:sz w:val="22"/>
          <w:lang w:val="en-US"/>
        </w:rPr>
        <w:t>confirmado</w:t>
      </w:r>
      <w:proofErr w:type="spellEnd"/>
      <w:r w:rsidRPr="00BB5066">
        <w:rPr>
          <w:sz w:val="22"/>
          <w:lang w:val="en-US"/>
        </w:rPr>
        <w:t>)</w:t>
      </w:r>
    </w:p>
    <w:p w14:paraId="7FA989DA" w14:textId="77777777" w:rsidR="0040128C" w:rsidRPr="00BB5066" w:rsidRDefault="0040128C" w:rsidP="0040128C">
      <w:pPr>
        <w:pStyle w:val="ListParagraph0"/>
        <w:numPr>
          <w:ilvl w:val="0"/>
          <w:numId w:val="14"/>
        </w:numPr>
        <w:tabs>
          <w:tab w:val="left" w:pos="1440"/>
        </w:tabs>
        <w:ind w:left="1440" w:hanging="720"/>
        <w:contextualSpacing/>
        <w:jc w:val="both"/>
        <w:rPr>
          <w:noProof/>
          <w:sz w:val="22"/>
          <w:szCs w:val="22"/>
          <w:lang w:val="en-US"/>
        </w:rPr>
      </w:pPr>
      <w:r w:rsidRPr="00BB5066">
        <w:rPr>
          <w:sz w:val="22"/>
          <w:lang w:val="en-US"/>
        </w:rPr>
        <w:t>National Institute of Standards and Technology (</w:t>
      </w:r>
      <w:proofErr w:type="spellStart"/>
      <w:r w:rsidRPr="00BB5066">
        <w:rPr>
          <w:sz w:val="22"/>
          <w:lang w:val="en-US"/>
        </w:rPr>
        <w:t>NIST</w:t>
      </w:r>
      <w:proofErr w:type="spellEnd"/>
      <w:r w:rsidRPr="00BB5066">
        <w:rPr>
          <w:sz w:val="22"/>
          <w:lang w:val="en-US"/>
        </w:rPr>
        <w:t>) (</w:t>
      </w:r>
      <w:proofErr w:type="spellStart"/>
      <w:r w:rsidRPr="00BB5066">
        <w:rPr>
          <w:sz w:val="22"/>
          <w:lang w:val="en-US"/>
        </w:rPr>
        <w:t>por</w:t>
      </w:r>
      <w:proofErr w:type="spellEnd"/>
      <w:r w:rsidRPr="00BB5066">
        <w:rPr>
          <w:sz w:val="22"/>
          <w:lang w:val="en-US"/>
        </w:rPr>
        <w:t xml:space="preserve"> </w:t>
      </w:r>
      <w:proofErr w:type="spellStart"/>
      <w:r w:rsidRPr="00BB5066">
        <w:rPr>
          <w:sz w:val="22"/>
          <w:lang w:val="en-US"/>
        </w:rPr>
        <w:t>confirmar</w:t>
      </w:r>
      <w:proofErr w:type="spellEnd"/>
      <w:r w:rsidRPr="00BB5066">
        <w:rPr>
          <w:sz w:val="22"/>
          <w:lang w:val="en-US"/>
        </w:rPr>
        <w:t>)</w:t>
      </w:r>
    </w:p>
    <w:p w14:paraId="261A5B0C" w14:textId="77777777" w:rsidR="0040128C" w:rsidRPr="0040128C" w:rsidRDefault="0040128C" w:rsidP="0040128C">
      <w:pPr>
        <w:pStyle w:val="ListParagraph0"/>
        <w:numPr>
          <w:ilvl w:val="0"/>
          <w:numId w:val="14"/>
        </w:numPr>
        <w:tabs>
          <w:tab w:val="left" w:pos="1440"/>
        </w:tabs>
        <w:ind w:left="1440" w:hanging="720"/>
        <w:contextualSpacing/>
        <w:jc w:val="both"/>
        <w:rPr>
          <w:noProof/>
          <w:sz w:val="22"/>
          <w:szCs w:val="22"/>
        </w:rPr>
      </w:pPr>
      <w:r>
        <w:rPr>
          <w:sz w:val="22"/>
        </w:rPr>
        <w:t>Instituto Interamericano para la Investigación del Cambio Global (</w:t>
      </w:r>
      <w:proofErr w:type="spellStart"/>
      <w:r>
        <w:rPr>
          <w:sz w:val="22"/>
        </w:rPr>
        <w:t>IAI</w:t>
      </w:r>
      <w:proofErr w:type="spellEnd"/>
      <w:r>
        <w:rPr>
          <w:sz w:val="22"/>
        </w:rPr>
        <w:t>) (por confirmar)</w:t>
      </w:r>
    </w:p>
    <w:p w14:paraId="5C238FBC" w14:textId="77777777" w:rsidR="0040128C" w:rsidRPr="0040128C" w:rsidRDefault="0040128C" w:rsidP="0040128C">
      <w:pPr>
        <w:pStyle w:val="ListParagraph0"/>
        <w:numPr>
          <w:ilvl w:val="0"/>
          <w:numId w:val="14"/>
        </w:numPr>
        <w:tabs>
          <w:tab w:val="left" w:pos="1440"/>
        </w:tabs>
        <w:ind w:left="1440" w:hanging="720"/>
        <w:contextualSpacing/>
        <w:jc w:val="both"/>
        <w:rPr>
          <w:noProof/>
          <w:sz w:val="22"/>
          <w:szCs w:val="22"/>
        </w:rPr>
      </w:pPr>
      <w:r>
        <w:rPr>
          <w:sz w:val="22"/>
        </w:rPr>
        <w:t>Secretaría Ejecutiva para el Desarrollo Integral (</w:t>
      </w:r>
      <w:proofErr w:type="spellStart"/>
      <w:r>
        <w:rPr>
          <w:sz w:val="22"/>
        </w:rPr>
        <w:t>SEDI</w:t>
      </w:r>
      <w:proofErr w:type="spellEnd"/>
      <w:r>
        <w:rPr>
          <w:sz w:val="22"/>
        </w:rPr>
        <w:t>)</w:t>
      </w:r>
    </w:p>
    <w:p w14:paraId="5B4DF7DC" w14:textId="77777777" w:rsidR="0040128C" w:rsidRPr="0040128C" w:rsidRDefault="0040128C" w:rsidP="00BB5066">
      <w:pPr>
        <w:jc w:val="both"/>
        <w:rPr>
          <w:rFonts w:eastAsia="Calibri"/>
          <w:noProof/>
          <w:sz w:val="22"/>
          <w:szCs w:val="22"/>
        </w:rPr>
      </w:pPr>
    </w:p>
    <w:p w14:paraId="592AA796" w14:textId="77777777" w:rsidR="0040128C" w:rsidRPr="0040128C" w:rsidRDefault="0040128C" w:rsidP="00BB5066">
      <w:pPr>
        <w:jc w:val="both"/>
        <w:rPr>
          <w:rFonts w:eastAsia="Calibri"/>
          <w:noProof/>
          <w:sz w:val="22"/>
          <w:szCs w:val="22"/>
        </w:rPr>
      </w:pPr>
    </w:p>
    <w:p w14:paraId="546BF836" w14:textId="77777777" w:rsidR="0040128C" w:rsidRPr="0040128C" w:rsidRDefault="0040128C" w:rsidP="0040128C">
      <w:pPr>
        <w:jc w:val="both"/>
        <w:rPr>
          <w:rFonts w:eastAsia="Calibri"/>
          <w:b/>
          <w:noProof/>
          <w:sz w:val="22"/>
          <w:szCs w:val="22"/>
        </w:rPr>
      </w:pPr>
      <w:r>
        <w:rPr>
          <w:b/>
          <w:sz w:val="22"/>
        </w:rPr>
        <w:t xml:space="preserve">Pertinencia para el </w:t>
      </w:r>
      <w:proofErr w:type="spellStart"/>
      <w:r>
        <w:rPr>
          <w:b/>
          <w:sz w:val="22"/>
        </w:rPr>
        <w:t>CIDI</w:t>
      </w:r>
      <w:proofErr w:type="spellEnd"/>
    </w:p>
    <w:p w14:paraId="4D1E1DD6" w14:textId="77777777" w:rsidR="0040128C" w:rsidRPr="0040128C" w:rsidRDefault="0040128C" w:rsidP="0040128C">
      <w:pPr>
        <w:jc w:val="both"/>
        <w:rPr>
          <w:rFonts w:eastAsia="Calibri"/>
          <w:b/>
          <w:noProof/>
          <w:sz w:val="22"/>
          <w:szCs w:val="22"/>
        </w:rPr>
      </w:pPr>
    </w:p>
    <w:p w14:paraId="176B7C00" w14:textId="461D250D" w:rsidR="0040128C" w:rsidRPr="0040128C" w:rsidRDefault="0040128C" w:rsidP="0040128C">
      <w:pPr>
        <w:ind w:firstLine="720"/>
        <w:jc w:val="both"/>
        <w:rPr>
          <w:rFonts w:eastAsia="Calibri"/>
          <w:noProof/>
          <w:sz w:val="22"/>
          <w:szCs w:val="22"/>
        </w:rPr>
      </w:pPr>
      <w:r>
        <w:rPr>
          <w:sz w:val="22"/>
        </w:rPr>
        <w:t xml:space="preserve">La Carta de la Organización de los Estados Americanos establece que el </w:t>
      </w:r>
      <w:proofErr w:type="spellStart"/>
      <w:r>
        <w:rPr>
          <w:sz w:val="22"/>
        </w:rPr>
        <w:t>CIDI</w:t>
      </w:r>
      <w:proofErr w:type="spellEnd"/>
      <w:r>
        <w:rPr>
          <w:sz w:val="22"/>
        </w:rPr>
        <w:t xml:space="preserve"> tiene como finalidad promover la cooperación entre los Estados Miembros con el propósito de lograr su desarrollo integral y, en particular, contribuir a eliminar la pobreza extrema. Dispone además que el </w:t>
      </w:r>
      <w:proofErr w:type="spellStart"/>
      <w:r>
        <w:rPr>
          <w:sz w:val="22"/>
        </w:rPr>
        <w:t>CIDI</w:t>
      </w:r>
      <w:proofErr w:type="spellEnd"/>
      <w:r>
        <w:rPr>
          <w:sz w:val="22"/>
        </w:rPr>
        <w:t xml:space="preserve"> habrá de </w:t>
      </w:r>
      <w:r w:rsidR="006B0DF6">
        <w:rPr>
          <w:sz w:val="22"/>
        </w:rPr>
        <w:t>“</w:t>
      </w:r>
      <w:r>
        <w:rPr>
          <w:sz w:val="22"/>
        </w:rPr>
        <w:t>[p]</w:t>
      </w:r>
      <w:proofErr w:type="spellStart"/>
      <w:r>
        <w:rPr>
          <w:sz w:val="22"/>
        </w:rPr>
        <w:t>romover</w:t>
      </w:r>
      <w:proofErr w:type="spellEnd"/>
      <w:r>
        <w:rPr>
          <w:sz w:val="22"/>
        </w:rPr>
        <w:t>, coordinar y responsabilizar de la ejecución de programas y proyectos de desarrollo a los órganos subsidiarios y organismos correspondientes, con base en las prioridades determinadas por los Estados Miembros, en áreas tales como: desarrollo económico y social, incluyendo el comercio, el turismo, la integración y el medio ambiente</w:t>
      </w:r>
      <w:r w:rsidR="006B0DF6">
        <w:rPr>
          <w:sz w:val="22"/>
        </w:rPr>
        <w:t>”</w:t>
      </w:r>
      <w:r>
        <w:rPr>
          <w:sz w:val="22"/>
        </w:rPr>
        <w:t>.</w:t>
      </w:r>
    </w:p>
    <w:p w14:paraId="1180DD00" w14:textId="77777777" w:rsidR="0040128C" w:rsidRPr="0040128C" w:rsidRDefault="0040128C" w:rsidP="0040128C">
      <w:pPr>
        <w:jc w:val="both"/>
        <w:rPr>
          <w:rFonts w:eastAsia="Calibri"/>
          <w:noProof/>
          <w:sz w:val="22"/>
          <w:szCs w:val="22"/>
        </w:rPr>
      </w:pPr>
    </w:p>
    <w:p w14:paraId="17AB0A0A" w14:textId="4C5C4AC1" w:rsidR="0040128C" w:rsidRPr="0040128C" w:rsidRDefault="0040128C" w:rsidP="0040128C">
      <w:pPr>
        <w:ind w:firstLine="720"/>
        <w:jc w:val="both"/>
        <w:rPr>
          <w:rFonts w:eastAsia="Calibri"/>
          <w:noProof/>
          <w:sz w:val="22"/>
          <w:szCs w:val="22"/>
        </w:rPr>
      </w:pPr>
      <w:r>
        <w:rPr>
          <w:sz w:val="22"/>
        </w:rPr>
        <w:t>El Programa Interamericano para el Desarrollo Sostenible (</w:t>
      </w:r>
      <w:proofErr w:type="spellStart"/>
      <w:r>
        <w:rPr>
          <w:sz w:val="22"/>
        </w:rPr>
        <w:t>PIDS</w:t>
      </w:r>
      <w:proofErr w:type="spellEnd"/>
      <w:r>
        <w:rPr>
          <w:sz w:val="22"/>
        </w:rPr>
        <w:t xml:space="preserve">) encomienda a la SG/OEA, por conducto del </w:t>
      </w:r>
      <w:proofErr w:type="spellStart"/>
      <w:r>
        <w:rPr>
          <w:sz w:val="22"/>
        </w:rPr>
        <w:t>SEDI</w:t>
      </w:r>
      <w:proofErr w:type="spellEnd"/>
      <w:r>
        <w:rPr>
          <w:sz w:val="22"/>
        </w:rPr>
        <w:t>/</w:t>
      </w:r>
      <w:proofErr w:type="spellStart"/>
      <w:r>
        <w:rPr>
          <w:sz w:val="22"/>
        </w:rPr>
        <w:t>DDS</w:t>
      </w:r>
      <w:proofErr w:type="spellEnd"/>
      <w:r>
        <w:rPr>
          <w:sz w:val="22"/>
        </w:rPr>
        <w:t xml:space="preserve">, que colabore con las autoridades de desarrollo sostenible de los Estados Miembros y que se coordine con otras entidades y organizaciones internacionales. El </w:t>
      </w:r>
      <w:proofErr w:type="spellStart"/>
      <w:r>
        <w:rPr>
          <w:sz w:val="22"/>
        </w:rPr>
        <w:t>PIDS</w:t>
      </w:r>
      <w:proofErr w:type="spellEnd"/>
      <w:r>
        <w:rPr>
          <w:sz w:val="22"/>
        </w:rPr>
        <w:t xml:space="preserve"> establece acciones estratégicas para asegurar que la labor de la Secretaría General en materia de desarrollo sostenible esté alineada con la implementación de la Agenda 2030 para el Desarrollo Sostenible y el Acuerdo de París sobre el Cambio Climático, y que sus objetivos y resultados se guíen por los objetivos de desarrollo sostenible (</w:t>
      </w:r>
      <w:proofErr w:type="spellStart"/>
      <w:r>
        <w:rPr>
          <w:sz w:val="22"/>
        </w:rPr>
        <w:t>ODS</w:t>
      </w:r>
      <w:proofErr w:type="spellEnd"/>
      <w:r>
        <w:rPr>
          <w:sz w:val="22"/>
        </w:rPr>
        <w:t>)</w:t>
      </w:r>
      <w:r w:rsidR="00B22BF3">
        <w:rPr>
          <w:sz w:val="22"/>
        </w:rPr>
        <w:t xml:space="preserve"> </w:t>
      </w:r>
      <w:r>
        <w:rPr>
          <w:sz w:val="22"/>
        </w:rPr>
        <w:t xml:space="preserve">aprobados por los Estados </w:t>
      </w:r>
      <w:r w:rsidR="00B22BF3">
        <w:rPr>
          <w:sz w:val="22"/>
        </w:rPr>
        <w:t>M</w:t>
      </w:r>
      <w:r>
        <w:rPr>
          <w:sz w:val="22"/>
        </w:rPr>
        <w:t>iembros y contribuyan a su consecución.</w:t>
      </w:r>
    </w:p>
    <w:p w14:paraId="17ACEE96" w14:textId="77777777" w:rsidR="0040128C" w:rsidRPr="0040128C" w:rsidRDefault="0040128C" w:rsidP="0040128C">
      <w:pPr>
        <w:jc w:val="both"/>
        <w:rPr>
          <w:rFonts w:eastAsia="Calibri"/>
          <w:noProof/>
          <w:sz w:val="22"/>
          <w:szCs w:val="22"/>
        </w:rPr>
      </w:pPr>
    </w:p>
    <w:p w14:paraId="6049B8DF" w14:textId="24C8C404" w:rsidR="0040128C" w:rsidRPr="0040128C" w:rsidRDefault="0040128C" w:rsidP="0040128C">
      <w:pPr>
        <w:ind w:firstLine="720"/>
        <w:jc w:val="both"/>
        <w:rPr>
          <w:rFonts w:eastAsia="Calibri"/>
          <w:noProof/>
          <w:sz w:val="22"/>
          <w:szCs w:val="22"/>
        </w:rPr>
      </w:pPr>
      <w:r>
        <w:rPr>
          <w:sz w:val="22"/>
        </w:rPr>
        <w:t xml:space="preserve">Según el </w:t>
      </w:r>
      <w:proofErr w:type="spellStart"/>
      <w:r>
        <w:rPr>
          <w:sz w:val="22"/>
        </w:rPr>
        <w:t>PIDS</w:t>
      </w:r>
      <w:proofErr w:type="spellEnd"/>
      <w:r>
        <w:rPr>
          <w:sz w:val="22"/>
        </w:rPr>
        <w:t xml:space="preserve">, la labor de la Secretaría General debería contribuir directamente a apoyar a los Estados Miembros en sus esfuerzos encaminados a cumplir los siguientes objetivos: </w:t>
      </w:r>
      <w:proofErr w:type="spellStart"/>
      <w:r>
        <w:rPr>
          <w:sz w:val="22"/>
        </w:rPr>
        <w:t>ODS</w:t>
      </w:r>
      <w:proofErr w:type="spellEnd"/>
      <w:r>
        <w:rPr>
          <w:sz w:val="22"/>
        </w:rPr>
        <w:t xml:space="preserve"> #11 </w:t>
      </w:r>
      <w:r w:rsidR="006B0DF6">
        <w:rPr>
          <w:sz w:val="22"/>
        </w:rPr>
        <w:t>“</w:t>
      </w:r>
      <w:r>
        <w:rPr>
          <w:sz w:val="22"/>
        </w:rPr>
        <w:t xml:space="preserve">Lograr que las ciudades y los asentamientos humanos sean inclusivos, seguros, </w:t>
      </w:r>
      <w:proofErr w:type="spellStart"/>
      <w:r>
        <w:rPr>
          <w:sz w:val="22"/>
        </w:rPr>
        <w:t>resilientes</w:t>
      </w:r>
      <w:proofErr w:type="spellEnd"/>
      <w:r>
        <w:rPr>
          <w:sz w:val="22"/>
        </w:rPr>
        <w:t xml:space="preserve"> y sostenibles</w:t>
      </w:r>
      <w:r w:rsidR="006B0DF6">
        <w:rPr>
          <w:sz w:val="22"/>
        </w:rPr>
        <w:t>”</w:t>
      </w:r>
      <w:r>
        <w:rPr>
          <w:sz w:val="22"/>
        </w:rPr>
        <w:t xml:space="preserve">; </w:t>
      </w:r>
      <w:proofErr w:type="spellStart"/>
      <w:r>
        <w:rPr>
          <w:sz w:val="22"/>
        </w:rPr>
        <w:t>ODS</w:t>
      </w:r>
      <w:proofErr w:type="spellEnd"/>
      <w:r>
        <w:rPr>
          <w:sz w:val="22"/>
        </w:rPr>
        <w:t xml:space="preserve"> #15 </w:t>
      </w:r>
      <w:r w:rsidR="006B0DF6">
        <w:rPr>
          <w:sz w:val="22"/>
        </w:rPr>
        <w:t>“</w:t>
      </w:r>
      <w:r>
        <w:rPr>
          <w:sz w:val="22"/>
        </w:rPr>
        <w:t>Proteger, restablecer y promover el uso sostenible de los ecosistemas terrestres, gestionar sosteniblemente los bosques, luchar contra la desertificación, detener e invertir la degradación de las tierras y detener la pérdida de biodiversidad</w:t>
      </w:r>
      <w:r w:rsidR="006B0DF6">
        <w:rPr>
          <w:sz w:val="22"/>
        </w:rPr>
        <w:t>”</w:t>
      </w:r>
      <w:r>
        <w:rPr>
          <w:sz w:val="22"/>
        </w:rPr>
        <w:t xml:space="preserve">, y </w:t>
      </w:r>
      <w:proofErr w:type="spellStart"/>
      <w:r>
        <w:rPr>
          <w:sz w:val="22"/>
        </w:rPr>
        <w:t>ODS</w:t>
      </w:r>
      <w:proofErr w:type="spellEnd"/>
      <w:r>
        <w:rPr>
          <w:sz w:val="22"/>
        </w:rPr>
        <w:t xml:space="preserve"> #7 </w:t>
      </w:r>
      <w:r w:rsidR="006B0DF6">
        <w:rPr>
          <w:sz w:val="22"/>
        </w:rPr>
        <w:t>“</w:t>
      </w:r>
      <w:r>
        <w:rPr>
          <w:sz w:val="22"/>
        </w:rPr>
        <w:t>Garantizar el acceso a una energía asequible, fiable, sostenible y moderna para todos</w:t>
      </w:r>
      <w:r w:rsidR="006B0DF6">
        <w:rPr>
          <w:sz w:val="22"/>
        </w:rPr>
        <w:t>”</w:t>
      </w:r>
      <w:r>
        <w:rPr>
          <w:sz w:val="22"/>
        </w:rPr>
        <w:t xml:space="preserve">, así como las metas conexas de otros </w:t>
      </w:r>
      <w:proofErr w:type="spellStart"/>
      <w:r>
        <w:rPr>
          <w:sz w:val="22"/>
        </w:rPr>
        <w:t>ODS</w:t>
      </w:r>
      <w:proofErr w:type="spellEnd"/>
      <w:r>
        <w:rPr>
          <w:sz w:val="22"/>
        </w:rPr>
        <w:t xml:space="preserve"> de la Agenda 2030 y sus elementos transversales. </w:t>
      </w:r>
    </w:p>
    <w:p w14:paraId="07462EB0" w14:textId="77777777" w:rsidR="0040128C" w:rsidRPr="0040128C" w:rsidRDefault="0040128C" w:rsidP="0040128C">
      <w:pPr>
        <w:jc w:val="both"/>
        <w:rPr>
          <w:rFonts w:eastAsia="Calibri"/>
          <w:noProof/>
          <w:sz w:val="22"/>
          <w:szCs w:val="22"/>
        </w:rPr>
      </w:pPr>
    </w:p>
    <w:p w14:paraId="2A79CA17" w14:textId="77777777" w:rsidR="0040128C" w:rsidRPr="0040128C" w:rsidRDefault="0040128C" w:rsidP="0040128C">
      <w:pPr>
        <w:jc w:val="both"/>
        <w:rPr>
          <w:rFonts w:eastAsia="Calibri"/>
          <w:b/>
          <w:noProof/>
          <w:sz w:val="22"/>
          <w:szCs w:val="22"/>
          <w:u w:val="single"/>
        </w:rPr>
      </w:pPr>
      <w:r>
        <w:rPr>
          <w:b/>
          <w:sz w:val="22"/>
          <w:u w:val="single"/>
        </w:rPr>
        <w:t>RESULTADO DE LA REUNIÓN</w:t>
      </w:r>
    </w:p>
    <w:p w14:paraId="1D4A9805" w14:textId="77777777" w:rsidR="0040128C" w:rsidRPr="0040128C" w:rsidRDefault="0040128C" w:rsidP="0040128C">
      <w:pPr>
        <w:jc w:val="both"/>
        <w:rPr>
          <w:rFonts w:eastAsia="Calibri"/>
          <w:noProof/>
          <w:sz w:val="22"/>
          <w:szCs w:val="22"/>
        </w:rPr>
      </w:pPr>
    </w:p>
    <w:p w14:paraId="51B6AC1E" w14:textId="7CFA2851" w:rsidR="0040128C" w:rsidRPr="0040128C" w:rsidRDefault="0040128C" w:rsidP="0040128C">
      <w:pPr>
        <w:ind w:firstLine="720"/>
        <w:jc w:val="both"/>
        <w:rPr>
          <w:iCs/>
          <w:noProof/>
          <w:sz w:val="22"/>
          <w:szCs w:val="22"/>
        </w:rPr>
      </w:pPr>
      <w:r>
        <w:rPr>
          <w:sz w:val="22"/>
        </w:rPr>
        <w:t>Se prevé que al final de esta reunión los Estados Miembros estarán en posibilidades de:</w:t>
      </w:r>
    </w:p>
    <w:p w14:paraId="67F5CC7E" w14:textId="77777777" w:rsidR="0040128C" w:rsidRPr="0040128C" w:rsidRDefault="0040128C" w:rsidP="0040128C">
      <w:pPr>
        <w:jc w:val="both"/>
        <w:rPr>
          <w:iCs/>
          <w:noProof/>
          <w:sz w:val="22"/>
          <w:szCs w:val="22"/>
        </w:rPr>
      </w:pPr>
    </w:p>
    <w:p w14:paraId="5BB2F68E" w14:textId="77777777" w:rsidR="0040128C" w:rsidRPr="0040128C" w:rsidRDefault="0040128C" w:rsidP="0040128C">
      <w:pPr>
        <w:pStyle w:val="ListParagraph0"/>
        <w:numPr>
          <w:ilvl w:val="0"/>
          <w:numId w:val="15"/>
        </w:numPr>
        <w:ind w:left="1440" w:hanging="720"/>
        <w:contextualSpacing/>
        <w:jc w:val="both"/>
        <w:rPr>
          <w:iCs/>
          <w:noProof/>
          <w:sz w:val="22"/>
          <w:szCs w:val="22"/>
        </w:rPr>
      </w:pPr>
      <w:r>
        <w:rPr>
          <w:sz w:val="22"/>
        </w:rPr>
        <w:t xml:space="preserve">Tener una idea más clara de la tipología de los desastres y de la forma en que la ciencia puede aprovechar la destrucción provocada por los desastres para fundamentar políticas y estrategias sólidas encaminadas al fomento de la capacidad de </w:t>
      </w:r>
      <w:proofErr w:type="spellStart"/>
      <w:r>
        <w:rPr>
          <w:sz w:val="22"/>
        </w:rPr>
        <w:t>resiliencia</w:t>
      </w:r>
      <w:proofErr w:type="spellEnd"/>
      <w:r>
        <w:rPr>
          <w:sz w:val="22"/>
        </w:rPr>
        <w:t>.</w:t>
      </w:r>
    </w:p>
    <w:p w14:paraId="7BA99E4B" w14:textId="77777777" w:rsidR="0040128C" w:rsidRPr="0040128C" w:rsidRDefault="0040128C" w:rsidP="0040128C">
      <w:pPr>
        <w:ind w:left="1440" w:hanging="720"/>
        <w:jc w:val="both"/>
        <w:rPr>
          <w:rFonts w:eastAsia="Calibri"/>
          <w:noProof/>
          <w:sz w:val="22"/>
          <w:szCs w:val="22"/>
        </w:rPr>
      </w:pPr>
    </w:p>
    <w:p w14:paraId="352A94FD" w14:textId="77777777" w:rsidR="0040128C" w:rsidRPr="0040128C" w:rsidRDefault="0040128C" w:rsidP="0040128C">
      <w:pPr>
        <w:numPr>
          <w:ilvl w:val="0"/>
          <w:numId w:val="8"/>
        </w:numPr>
        <w:ind w:left="1440" w:hanging="720"/>
        <w:jc w:val="both"/>
        <w:rPr>
          <w:rFonts w:eastAsia="Calibri"/>
          <w:noProof/>
          <w:sz w:val="22"/>
          <w:szCs w:val="22"/>
        </w:rPr>
      </w:pPr>
      <w:r>
        <w:rPr>
          <w:sz w:val="22"/>
        </w:rPr>
        <w:t xml:space="preserve">Plantear recomendaciones sobre mecanismos que puedan contribuir al logro de la Agenda 2030 para el Desarrollo Sostenible y los </w:t>
      </w:r>
      <w:proofErr w:type="spellStart"/>
      <w:r>
        <w:rPr>
          <w:sz w:val="22"/>
        </w:rPr>
        <w:t>ODS</w:t>
      </w:r>
      <w:proofErr w:type="spellEnd"/>
      <w:r>
        <w:rPr>
          <w:sz w:val="22"/>
        </w:rPr>
        <w:t xml:space="preserve"> y su vinculación con las economías verde, azul y naranja.</w:t>
      </w:r>
    </w:p>
    <w:p w14:paraId="3DA27D8F" w14:textId="77777777" w:rsidR="0040128C" w:rsidRPr="0040128C" w:rsidRDefault="0040128C" w:rsidP="0040128C">
      <w:pPr>
        <w:ind w:left="1440" w:hanging="720"/>
        <w:jc w:val="both"/>
        <w:rPr>
          <w:rFonts w:eastAsia="Calibri"/>
          <w:noProof/>
          <w:sz w:val="22"/>
          <w:szCs w:val="22"/>
        </w:rPr>
      </w:pPr>
    </w:p>
    <w:p w14:paraId="1DB7B403" w14:textId="77777777" w:rsidR="0040128C" w:rsidRPr="0040128C" w:rsidRDefault="0040128C" w:rsidP="0040128C">
      <w:pPr>
        <w:numPr>
          <w:ilvl w:val="0"/>
          <w:numId w:val="8"/>
        </w:numPr>
        <w:ind w:left="1440" w:hanging="720"/>
        <w:jc w:val="both"/>
        <w:rPr>
          <w:rFonts w:eastAsia="Calibri"/>
          <w:noProof/>
          <w:sz w:val="22"/>
          <w:szCs w:val="22"/>
        </w:rPr>
      </w:pPr>
      <w:r>
        <w:rPr>
          <w:sz w:val="22"/>
        </w:rPr>
        <w:t xml:space="preserve">Fomentar y orientar los esfuerzos de la </w:t>
      </w:r>
      <w:proofErr w:type="spellStart"/>
      <w:r>
        <w:rPr>
          <w:sz w:val="22"/>
        </w:rPr>
        <w:t>SEDI</w:t>
      </w:r>
      <w:proofErr w:type="spellEnd"/>
      <w:r>
        <w:rPr>
          <w:sz w:val="22"/>
        </w:rPr>
        <w:t xml:space="preserve"> para posicionarse en su rol de apoyo al fomento de la </w:t>
      </w:r>
      <w:proofErr w:type="spellStart"/>
      <w:r>
        <w:rPr>
          <w:sz w:val="22"/>
        </w:rPr>
        <w:t>resiliencia</w:t>
      </w:r>
      <w:proofErr w:type="spellEnd"/>
      <w:r>
        <w:rPr>
          <w:sz w:val="22"/>
        </w:rPr>
        <w:t xml:space="preserve"> ambiental en el contexto de su Plan Estratégico y del </w:t>
      </w:r>
      <w:proofErr w:type="spellStart"/>
      <w:r>
        <w:rPr>
          <w:sz w:val="22"/>
        </w:rPr>
        <w:t>PIDS</w:t>
      </w:r>
      <w:proofErr w:type="spellEnd"/>
      <w:r>
        <w:rPr>
          <w:sz w:val="22"/>
        </w:rPr>
        <w:t xml:space="preserve">. </w:t>
      </w:r>
    </w:p>
    <w:p w14:paraId="2B81A17F" w14:textId="77777777" w:rsidR="0040128C" w:rsidRPr="0040128C" w:rsidRDefault="0040128C" w:rsidP="0040128C">
      <w:pPr>
        <w:pStyle w:val="ListParagraph0"/>
        <w:ind w:left="1440" w:hanging="720"/>
        <w:jc w:val="both"/>
        <w:rPr>
          <w:noProof/>
          <w:sz w:val="22"/>
          <w:szCs w:val="22"/>
        </w:rPr>
      </w:pPr>
    </w:p>
    <w:p w14:paraId="271D46C7" w14:textId="77777777" w:rsidR="0040128C" w:rsidRPr="0040128C" w:rsidRDefault="0040128C" w:rsidP="0040128C">
      <w:pPr>
        <w:numPr>
          <w:ilvl w:val="0"/>
          <w:numId w:val="8"/>
        </w:numPr>
        <w:ind w:left="1440" w:hanging="720"/>
        <w:jc w:val="both"/>
        <w:rPr>
          <w:rFonts w:eastAsia="Calibri"/>
          <w:noProof/>
          <w:sz w:val="22"/>
          <w:szCs w:val="22"/>
        </w:rPr>
      </w:pPr>
      <w:r>
        <w:rPr>
          <w:sz w:val="22"/>
        </w:rPr>
        <w:t xml:space="preserve">Identificar políticas que apoyen el uso de recursos sostenibles y fomentarán las consultas sobre metodologías, herramientas y oportunidades que fomentan la creación de </w:t>
      </w:r>
      <w:proofErr w:type="spellStart"/>
      <w:r>
        <w:rPr>
          <w:sz w:val="22"/>
        </w:rPr>
        <w:t>resiliencia</w:t>
      </w:r>
      <w:proofErr w:type="spellEnd"/>
      <w:r>
        <w:rPr>
          <w:sz w:val="22"/>
        </w:rPr>
        <w:t xml:space="preserve">. </w:t>
      </w:r>
    </w:p>
    <w:p w14:paraId="2930F844" w14:textId="77777777" w:rsidR="0040128C" w:rsidRPr="0040128C" w:rsidRDefault="0040128C" w:rsidP="0040128C">
      <w:pPr>
        <w:pStyle w:val="ListParagraph0"/>
        <w:ind w:left="1440" w:hanging="720"/>
        <w:jc w:val="both"/>
        <w:rPr>
          <w:noProof/>
          <w:sz w:val="22"/>
          <w:szCs w:val="22"/>
        </w:rPr>
      </w:pPr>
    </w:p>
    <w:p w14:paraId="56B1167A" w14:textId="77777777" w:rsidR="0040128C" w:rsidRPr="0040128C" w:rsidRDefault="0040128C" w:rsidP="0040128C">
      <w:pPr>
        <w:numPr>
          <w:ilvl w:val="0"/>
          <w:numId w:val="8"/>
        </w:numPr>
        <w:ind w:left="1440" w:hanging="720"/>
        <w:jc w:val="both"/>
        <w:rPr>
          <w:rFonts w:eastAsia="Calibri"/>
          <w:noProof/>
          <w:sz w:val="22"/>
          <w:szCs w:val="22"/>
        </w:rPr>
      </w:pPr>
      <w:r>
        <w:rPr>
          <w:sz w:val="22"/>
        </w:rPr>
        <w:t xml:space="preserve">Identificar y concienciar a los principales actores de las Américas sobre los imperativos de la </w:t>
      </w:r>
      <w:proofErr w:type="spellStart"/>
      <w:r>
        <w:rPr>
          <w:sz w:val="22"/>
        </w:rPr>
        <w:t>resiliencia</w:t>
      </w:r>
      <w:proofErr w:type="spellEnd"/>
      <w:r>
        <w:rPr>
          <w:sz w:val="22"/>
        </w:rPr>
        <w:t xml:space="preserve"> ambiental.</w:t>
      </w:r>
    </w:p>
    <w:p w14:paraId="62B834FD" w14:textId="77777777" w:rsidR="0040128C" w:rsidRPr="0040128C" w:rsidRDefault="0040128C" w:rsidP="0040128C">
      <w:pPr>
        <w:pStyle w:val="ListParagraph0"/>
        <w:ind w:left="1440" w:hanging="720"/>
        <w:jc w:val="both"/>
        <w:rPr>
          <w:noProof/>
          <w:sz w:val="22"/>
          <w:szCs w:val="22"/>
        </w:rPr>
      </w:pPr>
    </w:p>
    <w:p w14:paraId="4FD5B29D" w14:textId="52E93995" w:rsidR="0040128C" w:rsidRPr="0040128C" w:rsidRDefault="0040128C" w:rsidP="0040128C">
      <w:pPr>
        <w:numPr>
          <w:ilvl w:val="0"/>
          <w:numId w:val="8"/>
        </w:numPr>
        <w:ind w:left="1440" w:hanging="720"/>
        <w:jc w:val="both"/>
        <w:rPr>
          <w:rFonts w:eastAsia="Calibri"/>
          <w:noProof/>
          <w:sz w:val="22"/>
          <w:szCs w:val="22"/>
        </w:rPr>
      </w:pPr>
      <w:r>
        <w:rPr>
          <w:sz w:val="22"/>
        </w:rPr>
        <w:t>Identificar las principales opciones estratégicas de política e inversión que se necesitarán para reconstruir mejor con respecto al desarrollo de la infraestructura, la energía, el uso de la tierra, la gestión de las zonas costeras y el transporte, entre otros.</w:t>
      </w:r>
      <w:r w:rsidR="00BB5066">
        <w:rPr>
          <w:rFonts w:eastAsia="Calibri"/>
          <w:noProof/>
          <w:sz w:val="22"/>
          <w:szCs w:val="22"/>
          <w:lang w:val="en-US"/>
        </w:rPr>
        <mc:AlternateContent>
          <mc:Choice Requires="wps">
            <w:drawing>
              <wp:anchor distT="0" distB="0" distL="114300" distR="114300" simplePos="0" relativeHeight="251659264" behindDoc="0" locked="1" layoutInCell="1" allowOverlap="1" wp14:anchorId="5852FD44" wp14:editId="12FE34BA">
                <wp:simplePos x="0" y="0"/>
                <wp:positionH relativeFrom="column">
                  <wp:posOffset>-91440</wp:posOffset>
                </wp:positionH>
                <wp:positionV relativeFrom="page">
                  <wp:posOffset>9144000</wp:posOffset>
                </wp:positionV>
                <wp:extent cx="338455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46D8C4B0" w14:textId="289D4322" w:rsidR="00BB5066" w:rsidRPr="00BB5066" w:rsidRDefault="00BB5066">
                            <w:pPr>
                              <w:rPr>
                                <w:sz w:val="18"/>
                              </w:rPr>
                            </w:pPr>
                            <w:r>
                              <w:rPr>
                                <w:sz w:val="18"/>
                              </w:rPr>
                              <w:fldChar w:fldCharType="begin"/>
                            </w:r>
                            <w:r>
                              <w:rPr>
                                <w:sz w:val="18"/>
                              </w:rPr>
                              <w:instrText xml:space="preserve"> FILENAME  \* MERGEFORMAT </w:instrText>
                            </w:r>
                            <w:r>
                              <w:rPr>
                                <w:sz w:val="18"/>
                              </w:rPr>
                              <w:fldChar w:fldCharType="separate"/>
                            </w:r>
                            <w:r>
                              <w:rPr>
                                <w:noProof/>
                                <w:sz w:val="18"/>
                              </w:rPr>
                              <w:t>CIDRP02969S04</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" filled="f" stroked="f">
                <v:stroke joinstyle="round"/>
                <v:path arrowok="t"/>
                <v:textbox>
                  <w:txbxContent>
                    <w:bookmarkStart w:id="1" w:name="_GoBack"/>
                    <w:p w14:paraId="46D8C4B0" w14:textId="289D4322" w:rsidR="00BB5066" w:rsidRPr="00BB5066" w:rsidRDefault="00BB5066">
                      <w:pPr>
                        <w:rPr>
                          <w:sz w:val="18"/>
                        </w:rPr>
                      </w:pPr>
                      <w:r>
                        <w:rPr>
                          <w:sz w:val="18"/>
                        </w:rPr>
                        <w:fldChar w:fldCharType="begin"/>
                      </w:r>
                      <w:r>
                        <w:rPr>
                          <w:sz w:val="18"/>
                        </w:rPr>
                        <w:instrText xml:space="preserve"> FILENAME  \* MERGEFORMAT </w:instrText>
                      </w:r>
                      <w:r>
                        <w:rPr>
                          <w:sz w:val="18"/>
                        </w:rPr>
                        <w:fldChar w:fldCharType="separate"/>
                      </w:r>
                      <w:r>
                        <w:rPr>
                          <w:noProof/>
                          <w:sz w:val="18"/>
                        </w:rPr>
                        <w:t>CIDRP02969S04</w:t>
                      </w:r>
                      <w:r>
                        <w:rPr>
                          <w:sz w:val="18"/>
                        </w:rPr>
                        <w:fldChar w:fldCharType="end"/>
                      </w:r>
                      <w:bookmarkEnd w:id="1"/>
                    </w:p>
                  </w:txbxContent>
                </v:textbox>
                <w10:wrap anchory="page"/>
                <w10:anchorlock/>
              </v:shape>
            </w:pict>
          </mc:Fallback>
        </mc:AlternateContent>
      </w:r>
    </w:p>
    <w:sectPr w:rsidR="0040128C" w:rsidRPr="0040128C"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A0EF1" w14:textId="77777777" w:rsidR="00582AAE" w:rsidRPr="0040128C" w:rsidRDefault="00582AAE">
      <w:pPr>
        <w:rPr>
          <w:noProof/>
        </w:rPr>
      </w:pPr>
      <w:r w:rsidRPr="0040128C">
        <w:rPr>
          <w:noProof/>
        </w:rPr>
        <w:separator/>
      </w:r>
    </w:p>
  </w:endnote>
  <w:endnote w:type="continuationSeparator" w:id="0">
    <w:p w14:paraId="6FFA82BF" w14:textId="77777777" w:rsidR="00582AAE" w:rsidRPr="0040128C" w:rsidRDefault="00582AAE">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A9CC9" w14:textId="77777777" w:rsidR="00582AAE" w:rsidRPr="0040128C" w:rsidRDefault="00582AAE">
      <w:pPr>
        <w:rPr>
          <w:noProof/>
        </w:rPr>
      </w:pPr>
      <w:r w:rsidRPr="0040128C">
        <w:rPr>
          <w:noProof/>
        </w:rPr>
        <w:separator/>
      </w:r>
    </w:p>
  </w:footnote>
  <w:footnote w:type="continuationSeparator" w:id="0">
    <w:p w14:paraId="3C85F3C8" w14:textId="77777777" w:rsidR="00582AAE" w:rsidRPr="0040128C" w:rsidRDefault="00582AAE">
      <w:pPr>
        <w:rPr>
          <w:noProof/>
        </w:rPr>
      </w:pPr>
      <w:r w:rsidRPr="0040128C">
        <w:rPr>
          <w:noProof/>
        </w:rPr>
        <w:continuationSeparator/>
      </w:r>
    </w:p>
  </w:footnote>
  <w:footnote w:id="1">
    <w:p w14:paraId="71E0EFC0" w14:textId="2B5FD5A4" w:rsidR="0040128C" w:rsidRDefault="0040128C" w:rsidP="00BB5066">
      <w:pPr>
        <w:pStyle w:val="FootnoteText"/>
        <w:tabs>
          <w:tab w:val="left" w:pos="360"/>
        </w:tabs>
        <w:ind w:firstLine="360"/>
      </w:pPr>
      <w:r>
        <w:rPr>
          <w:rStyle w:val="FootnoteReference"/>
          <w:noProof/>
          <w:vertAlign w:val="baseline"/>
        </w:rPr>
        <w:footnoteRef/>
      </w:r>
      <w:r w:rsidR="00BB5066">
        <w:t>.</w:t>
      </w:r>
      <w:r w:rsidR="00BB5066">
        <w:tab/>
      </w:r>
      <w:hyperlink r:id="rId1" w:history="1">
        <w:r w:rsidR="00BB5066" w:rsidRPr="0092474F">
          <w:rPr>
            <w:rStyle w:val="Hyperlink"/>
          </w:rPr>
          <w:t>https://reliefweb.int/report/world/natural-disasters-latin-america-and-caribbean-2000-2019</w:t>
        </w:r>
      </w:hyperlink>
    </w:p>
    <w:p w14:paraId="38697969" w14:textId="77777777" w:rsidR="00BB5066" w:rsidRPr="0040128C" w:rsidRDefault="00BB5066" w:rsidP="00BB5066">
      <w:pPr>
        <w:pStyle w:val="FootnoteText"/>
        <w:tabs>
          <w:tab w:val="left" w:pos="360"/>
        </w:tabs>
        <w:rPr>
          <w:noProo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AB96" w14:textId="77777777"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BB5066">
      <w:rPr>
        <w:noProof/>
        <w:sz w:val="22"/>
      </w:rPr>
      <w:t>- 2 -</w:t>
    </w:r>
    <w:r w:rsidRPr="0040128C">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3675"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091C525B" wp14:editId="1E901A8B">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w:t>
                          </w:r>
                          <w:proofErr w:type="spellStart"/>
                          <w:r>
                            <w:rPr>
                              <w:rFonts w:ascii="Garamond" w:hAnsi="Garamond"/>
                              <w:b/>
                            </w:rPr>
                            <w:t>CIDI</w:t>
                          </w:r>
                          <w:proofErr w:type="spellEnd"/>
                          <w:r>
                            <w:rPr>
                              <w:rFonts w:ascii="Garamond" w:hAnsi="Garamond"/>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1C525B"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34EEDD8A" w14:textId="77777777" w:rsidR="00921E9E" w:rsidRPr="0040128C" w:rsidRDefault="00FA607C" w:rsidP="00921E9E">
                    <w:pPr>
                      <w:pStyle w:val="Header"/>
                      <w:tabs>
                        <w:tab w:val="left" w:pos="900"/>
                      </w:tabs>
                      <w:spacing w:line="0" w:lineRule="atLeast"/>
                      <w:jc w:val="center"/>
                      <w:rPr>
                        <w:b/>
                        <w:sz w:val="28"/>
                        <w:rFonts w:ascii="Garamond" w:hAnsi="Garamond"/>
                      </w:rPr>
                    </w:pPr>
                    <w:r>
                      <w:rPr>
                        <w:b/>
                        <w:sz w:val="28"/>
                        <w:rFonts w:ascii="Garamond" w:hAnsi="Garamond"/>
                      </w:rPr>
                      <w:t xml:space="preserve">ORGANIZACIÓN DE LOS ESTADOS AMERICANOS</w:t>
                    </w:r>
                    <w:r>
                      <w:rPr>
                        <w:b/>
                        <w:sz w:val="28"/>
                        <w:rFonts w:ascii="Garamond" w:hAnsi="Garamond"/>
                      </w:rPr>
                      <w:t xml:space="preserve"> </w:t>
                    </w:r>
                  </w:p>
                  <w:p w14:paraId="4AB5B8C5" w14:textId="77777777" w:rsidR="00921E9E" w:rsidRPr="0040128C" w:rsidRDefault="00FA607C" w:rsidP="00921E9E">
                    <w:pPr>
                      <w:pStyle w:val="Header"/>
                      <w:tabs>
                        <w:tab w:val="left" w:pos="900"/>
                      </w:tabs>
                      <w:spacing w:line="0" w:lineRule="atLeast"/>
                      <w:jc w:val="center"/>
                      <w:rPr>
                        <w:b/>
                        <w:szCs w:val="22"/>
                        <w:rFonts w:ascii="Garamond" w:hAnsi="Garamond"/>
                      </w:rPr>
                    </w:pPr>
                    <w:r>
                      <w:rPr>
                        <w:b/>
                        <w:rFonts w:ascii="Garamond" w:hAnsi="Garamond"/>
                      </w:rPr>
                      <w:t xml:space="preserve">Consejo Interamericano para el Desarrollo Integral</w:t>
                    </w:r>
                    <w:r>
                      <w:rPr>
                        <w:b/>
                        <w:rFonts w:ascii="Garamond" w:hAnsi="Garamond"/>
                      </w:rPr>
                      <w:t xml:space="preserve"> </w:t>
                    </w:r>
                  </w:p>
                  <w:p w14:paraId="387E3BE7" w14:textId="77777777" w:rsidR="00921E9E" w:rsidRPr="0040128C" w:rsidRDefault="00FA607C" w:rsidP="00921E9E">
                    <w:pPr>
                      <w:pStyle w:val="Header"/>
                      <w:tabs>
                        <w:tab w:val="left" w:pos="900"/>
                      </w:tabs>
                      <w:spacing w:line="0" w:lineRule="atLeast"/>
                      <w:jc w:val="center"/>
                      <w:rPr>
                        <w:b/>
                        <w:szCs w:val="22"/>
                        <w:rFonts w:ascii="Garamond" w:hAnsi="Garamond"/>
                      </w:rPr>
                    </w:pPr>
                    <w:r>
                      <w:rPr>
                        <w:b/>
                        <w:rFonts w:ascii="Garamond" w:hAnsi="Garamond"/>
                      </w:rPr>
                      <w:t xml:space="preserve">(CIDI)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703CA"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6EEA6F9" w14:textId="77777777" w:rsidR="0073480E" w:rsidRPr="0040128C" w:rsidRDefault="00496018" w:rsidP="00AB7175">
                    <w:pPr>
                      <w:ind w:right="-130"/>
                    </w:pPr>
                    <w: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3">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5">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1">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7"/>
  </w:num>
  <w:num w:numId="11">
    <w:abstractNumId w:val="8"/>
  </w:num>
  <w:num w:numId="12">
    <w:abstractNumId w:val="1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C66C7B-D19B-4968-9C96-237E7201A00D}"/>
    <w:docVar w:name="dgnword-eventsink" w:val="2482307158944"/>
  </w:docVars>
  <w:rsids>
    <w:rsidRoot w:val="007F2774"/>
    <w:rsid w:val="00011272"/>
    <w:rsid w:val="000129E8"/>
    <w:rsid w:val="000205EC"/>
    <w:rsid w:val="00023A84"/>
    <w:rsid w:val="000427B5"/>
    <w:rsid w:val="00042B84"/>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64202"/>
    <w:rsid w:val="0026449A"/>
    <w:rsid w:val="00267E1B"/>
    <w:rsid w:val="0027412E"/>
    <w:rsid w:val="00277682"/>
    <w:rsid w:val="002822E7"/>
    <w:rsid w:val="0028278B"/>
    <w:rsid w:val="00282ED9"/>
    <w:rsid w:val="0028696A"/>
    <w:rsid w:val="00286D8C"/>
    <w:rsid w:val="002A03E9"/>
    <w:rsid w:val="002A1985"/>
    <w:rsid w:val="002A1CB2"/>
    <w:rsid w:val="002A3CB5"/>
    <w:rsid w:val="002A63EC"/>
    <w:rsid w:val="002B0598"/>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0128C"/>
    <w:rsid w:val="00413FE5"/>
    <w:rsid w:val="00414A9D"/>
    <w:rsid w:val="00421AA1"/>
    <w:rsid w:val="004279F5"/>
    <w:rsid w:val="00457B19"/>
    <w:rsid w:val="00461F49"/>
    <w:rsid w:val="0046301C"/>
    <w:rsid w:val="00463A6B"/>
    <w:rsid w:val="0046512F"/>
    <w:rsid w:val="00467A8F"/>
    <w:rsid w:val="00476255"/>
    <w:rsid w:val="00490731"/>
    <w:rsid w:val="00493B12"/>
    <w:rsid w:val="00496018"/>
    <w:rsid w:val="00496643"/>
    <w:rsid w:val="00496BBC"/>
    <w:rsid w:val="004A1D26"/>
    <w:rsid w:val="004A437D"/>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2AAE"/>
    <w:rsid w:val="0058420A"/>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0DF6"/>
    <w:rsid w:val="006B21AD"/>
    <w:rsid w:val="006B3BA2"/>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4E3C"/>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45BB7"/>
    <w:rsid w:val="00860083"/>
    <w:rsid w:val="00860DE1"/>
    <w:rsid w:val="00865686"/>
    <w:rsid w:val="00865B5C"/>
    <w:rsid w:val="008814B8"/>
    <w:rsid w:val="008819DA"/>
    <w:rsid w:val="00887A65"/>
    <w:rsid w:val="00887DA5"/>
    <w:rsid w:val="0089063B"/>
    <w:rsid w:val="00890C34"/>
    <w:rsid w:val="008917B9"/>
    <w:rsid w:val="00896014"/>
    <w:rsid w:val="008A2F14"/>
    <w:rsid w:val="008B4134"/>
    <w:rsid w:val="008B5AF8"/>
    <w:rsid w:val="008C254E"/>
    <w:rsid w:val="008D2C52"/>
    <w:rsid w:val="008D57AD"/>
    <w:rsid w:val="008D6F7B"/>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2BF3"/>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5066"/>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2C07"/>
    <w:rsid w:val="00C6456D"/>
    <w:rsid w:val="00C81A8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23A0"/>
    <w:rsid w:val="00E23168"/>
    <w:rsid w:val="00E3284A"/>
    <w:rsid w:val="00E40079"/>
    <w:rsid w:val="00E423A7"/>
    <w:rsid w:val="00E50C47"/>
    <w:rsid w:val="00E51CC2"/>
    <w:rsid w:val="00E55047"/>
    <w:rsid w:val="00E55B8A"/>
    <w:rsid w:val="00E61585"/>
    <w:rsid w:val="00E83BE7"/>
    <w:rsid w:val="00E90F30"/>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7525"/>
    <w:rsid w:val="00FA607C"/>
    <w:rsid w:val="00FA61C9"/>
    <w:rsid w:val="00FA6A04"/>
    <w:rsid w:val="00FB0853"/>
    <w:rsid w:val="00FB3DE1"/>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6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world/natural-disasters-latin-america-and-caribbean-2000-201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89E4-AED8-4DAC-A4B2-EE1F3340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6459</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Santos, Ada</cp:lastModifiedBy>
  <cp:revision>2</cp:revision>
  <cp:lastPrinted>2018-08-24T16:52:00Z</cp:lastPrinted>
  <dcterms:created xsi:type="dcterms:W3CDTF">2020-09-09T20:57:00Z</dcterms:created>
  <dcterms:modified xsi:type="dcterms:W3CDTF">2020-09-11T17:14:00Z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