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793CE" w14:textId="2496D92C" w:rsidR="00722693" w:rsidRPr="00EF14FB" w:rsidRDefault="000F3CEA" w:rsidP="00A97082">
      <w:pPr>
        <w:tabs>
          <w:tab w:val="left" w:pos="7200"/>
        </w:tabs>
        <w:ind w:right="-1080"/>
        <w:jc w:val="both"/>
        <w:rPr>
          <w:sz w:val="22"/>
          <w:szCs w:val="22"/>
        </w:rPr>
      </w:pPr>
      <w:bookmarkStart w:id="0" w:name="_top"/>
      <w:bookmarkEnd w:id="0"/>
      <w:r>
        <w:rPr>
          <w:sz w:val="22"/>
        </w:rPr>
        <w:t xml:space="preserve"> </w:t>
      </w:r>
      <w:r w:rsidR="00FA607C">
        <w:rPr>
          <w:sz w:val="22"/>
        </w:rPr>
        <w:tab/>
        <w:t>OEA/Ser.W</w:t>
      </w:r>
    </w:p>
    <w:p w14:paraId="0CDE3662" w14:textId="40C25E77" w:rsidR="00722693" w:rsidRPr="00EF14FB" w:rsidRDefault="00FA607C" w:rsidP="00A97082">
      <w:pPr>
        <w:tabs>
          <w:tab w:val="left" w:pos="7200"/>
        </w:tabs>
        <w:ind w:right="-1080"/>
        <w:jc w:val="both"/>
        <w:rPr>
          <w:sz w:val="22"/>
          <w:szCs w:val="22"/>
        </w:rPr>
      </w:pPr>
      <w:r>
        <w:rPr>
          <w:sz w:val="22"/>
        </w:rPr>
        <w:tab/>
        <w:t>CIDI/INF.</w:t>
      </w:r>
      <w:r w:rsidR="00C416A2">
        <w:rPr>
          <w:sz w:val="22"/>
        </w:rPr>
        <w:t>393</w:t>
      </w:r>
      <w:r>
        <w:rPr>
          <w:sz w:val="22"/>
        </w:rPr>
        <w:t>/20</w:t>
      </w:r>
    </w:p>
    <w:p w14:paraId="43D8FA55" w14:textId="77777777" w:rsidR="00921E9E" w:rsidRPr="00EF14FB" w:rsidRDefault="00FA607C" w:rsidP="00A97082">
      <w:pPr>
        <w:tabs>
          <w:tab w:val="left" w:pos="7200"/>
        </w:tabs>
        <w:ind w:right="-1080"/>
        <w:jc w:val="both"/>
        <w:rPr>
          <w:sz w:val="22"/>
          <w:szCs w:val="22"/>
        </w:rPr>
      </w:pPr>
      <w:r>
        <w:rPr>
          <w:sz w:val="22"/>
        </w:rPr>
        <w:tab/>
        <w:t>4 novembro 2020</w:t>
      </w:r>
    </w:p>
    <w:p w14:paraId="76087993" w14:textId="77777777" w:rsidR="00921E9E" w:rsidRPr="00EF14FB" w:rsidRDefault="00FA607C" w:rsidP="00A97082">
      <w:pPr>
        <w:pBdr>
          <w:bottom w:val="single" w:sz="12" w:space="1" w:color="auto"/>
        </w:pBdr>
        <w:tabs>
          <w:tab w:val="left" w:pos="7200"/>
        </w:tabs>
        <w:ind w:right="-389"/>
        <w:jc w:val="both"/>
        <w:rPr>
          <w:sz w:val="22"/>
          <w:szCs w:val="22"/>
        </w:rPr>
      </w:pPr>
      <w:r>
        <w:rPr>
          <w:sz w:val="22"/>
        </w:rPr>
        <w:tab/>
        <w:t>Original: inglês</w:t>
      </w:r>
    </w:p>
    <w:p w14:paraId="3E2CEF6B" w14:textId="77777777" w:rsidR="00722693" w:rsidRPr="00EF14FB" w:rsidRDefault="00722693" w:rsidP="00A97082">
      <w:pPr>
        <w:tabs>
          <w:tab w:val="left" w:pos="7200"/>
        </w:tabs>
        <w:ind w:right="-1080"/>
        <w:jc w:val="both"/>
        <w:rPr>
          <w:sz w:val="22"/>
          <w:szCs w:val="22"/>
        </w:rPr>
      </w:pPr>
    </w:p>
    <w:p w14:paraId="5CE9AED1" w14:textId="04E87DDC" w:rsidR="00415C84" w:rsidRPr="00EF14FB" w:rsidRDefault="00415C84" w:rsidP="005E3FA9">
      <w:pPr>
        <w:jc w:val="center"/>
        <w:rPr>
          <w:b/>
          <w:sz w:val="22"/>
          <w:szCs w:val="22"/>
        </w:rPr>
      </w:pPr>
      <w:r>
        <w:rPr>
          <w:b/>
          <w:sz w:val="22"/>
        </w:rPr>
        <w:t>Conselho Interamericano de Desenvolvimento Integral (CIDI)</w:t>
      </w:r>
    </w:p>
    <w:p w14:paraId="0BE464B1" w14:textId="77777777" w:rsidR="00415C84" w:rsidRPr="00EF14FB" w:rsidRDefault="00283ABA" w:rsidP="005E3FA9">
      <w:pPr>
        <w:jc w:val="center"/>
        <w:rPr>
          <w:b/>
          <w:sz w:val="22"/>
          <w:szCs w:val="22"/>
        </w:rPr>
      </w:pPr>
      <w:r>
        <w:rPr>
          <w:b/>
          <w:sz w:val="22"/>
        </w:rPr>
        <w:t>Tema: Inovação e tecnologia para a diversificação econômica e resiliência</w:t>
      </w:r>
    </w:p>
    <w:p w14:paraId="53F788D5" w14:textId="77777777" w:rsidR="00283ABA" w:rsidRPr="00602B4F" w:rsidRDefault="00283ABA" w:rsidP="005E3FA9">
      <w:pPr>
        <w:jc w:val="center"/>
        <w:rPr>
          <w:b/>
          <w:sz w:val="22"/>
          <w:szCs w:val="22"/>
        </w:rPr>
      </w:pPr>
    </w:p>
    <w:p w14:paraId="5A492580" w14:textId="77777777" w:rsidR="00415C84" w:rsidRPr="00EF14FB" w:rsidRDefault="00415C84" w:rsidP="005E3FA9">
      <w:pPr>
        <w:jc w:val="center"/>
        <w:rPr>
          <w:b/>
          <w:sz w:val="22"/>
          <w:szCs w:val="22"/>
        </w:rPr>
      </w:pPr>
      <w:r>
        <w:rPr>
          <w:b/>
          <w:sz w:val="22"/>
        </w:rPr>
        <w:t>Nota conceitual</w:t>
      </w:r>
    </w:p>
    <w:p w14:paraId="43307C56" w14:textId="77777777" w:rsidR="009F372A" w:rsidRPr="00EF14FB" w:rsidRDefault="009F372A" w:rsidP="005E3FA9">
      <w:pPr>
        <w:jc w:val="center"/>
        <w:rPr>
          <w:b/>
          <w:sz w:val="22"/>
          <w:szCs w:val="22"/>
        </w:rPr>
      </w:pPr>
      <w:r>
        <w:rPr>
          <w:b/>
          <w:sz w:val="22"/>
        </w:rPr>
        <w:t>17 de novembro de 2020</w:t>
      </w:r>
    </w:p>
    <w:p w14:paraId="361ECB1B" w14:textId="77777777" w:rsidR="00415C84" w:rsidRPr="00602B4F" w:rsidRDefault="00415C84" w:rsidP="00A97082">
      <w:pPr>
        <w:jc w:val="both"/>
        <w:rPr>
          <w:b/>
          <w:sz w:val="22"/>
          <w:szCs w:val="22"/>
        </w:rPr>
      </w:pPr>
    </w:p>
    <w:p w14:paraId="566298CF" w14:textId="77777777" w:rsidR="00283ABA" w:rsidRPr="00EF14FB" w:rsidRDefault="00283ABA" w:rsidP="00A97082">
      <w:pPr>
        <w:ind w:left="1440" w:hanging="1440"/>
        <w:jc w:val="both"/>
        <w:rPr>
          <w:rFonts w:eastAsia="Calibri"/>
          <w:b/>
          <w:bCs/>
          <w:sz w:val="22"/>
          <w:szCs w:val="22"/>
        </w:rPr>
      </w:pPr>
      <w:r>
        <w:rPr>
          <w:b/>
          <w:sz w:val="22"/>
        </w:rPr>
        <w:t>INTRODUÇÃO</w:t>
      </w:r>
    </w:p>
    <w:p w14:paraId="1F8D1A6A" w14:textId="77777777" w:rsidR="00283ABA" w:rsidRPr="00EF14FB" w:rsidRDefault="00283ABA" w:rsidP="00A97082">
      <w:pPr>
        <w:tabs>
          <w:tab w:val="left" w:pos="720"/>
          <w:tab w:val="left" w:pos="1440"/>
        </w:tabs>
        <w:jc w:val="both"/>
        <w:rPr>
          <w:sz w:val="22"/>
          <w:szCs w:val="22"/>
        </w:rPr>
      </w:pPr>
    </w:p>
    <w:p w14:paraId="033B067D" w14:textId="3CFCE4B1" w:rsidR="00E17764" w:rsidRPr="00EF14FB" w:rsidRDefault="00A97082" w:rsidP="00A97082">
      <w:pPr>
        <w:tabs>
          <w:tab w:val="left" w:pos="720"/>
          <w:tab w:val="left" w:pos="1440"/>
        </w:tabs>
        <w:jc w:val="both"/>
        <w:rPr>
          <w:sz w:val="22"/>
          <w:szCs w:val="22"/>
        </w:rPr>
      </w:pPr>
      <w:r>
        <w:rPr>
          <w:sz w:val="22"/>
        </w:rPr>
        <w:tab/>
        <w:t xml:space="preserve">A reunião do Conselho Interamericano de Desenvolvimento integral (CIDI) explorará o papel </w:t>
      </w:r>
      <w:r w:rsidR="006864B0">
        <w:rPr>
          <w:sz w:val="22"/>
        </w:rPr>
        <w:t xml:space="preserve">que </w:t>
      </w:r>
      <w:r w:rsidR="00973E76">
        <w:rPr>
          <w:sz w:val="22"/>
        </w:rPr>
        <w:t xml:space="preserve">pode ser desempenhado pela </w:t>
      </w:r>
      <w:r w:rsidR="006864B0">
        <w:rPr>
          <w:sz w:val="22"/>
        </w:rPr>
        <w:t>OEA no apoio a</w:t>
      </w:r>
      <w:r>
        <w:rPr>
          <w:sz w:val="22"/>
        </w:rPr>
        <w:t xml:space="preserve">os esforços </w:t>
      </w:r>
      <w:r w:rsidR="006864B0">
        <w:rPr>
          <w:sz w:val="22"/>
        </w:rPr>
        <w:t>de seus</w:t>
      </w:r>
      <w:r>
        <w:rPr>
          <w:sz w:val="22"/>
        </w:rPr>
        <w:t xml:space="preserve"> Estados membros para diversificar suas economias e abordar vulnerabilidades, que se aprofundaram devido à pandemia de covid-19. Especificamente, as apresentações demonstrarão a importância de se conectarem comunidades e empreendedores com oportunidades econômicas sustentáveis e voltadas para a inovação. </w:t>
      </w:r>
      <w:r w:rsidR="00805FF3">
        <w:rPr>
          <w:sz w:val="22"/>
        </w:rPr>
        <w:t>O fortalecimento</w:t>
      </w:r>
      <w:r>
        <w:rPr>
          <w:sz w:val="22"/>
        </w:rPr>
        <w:t xml:space="preserve"> e a conexão de capacidades em inovação e tecnologia, o apoio ao intercâmbio de conhecimentos, boas práticas e mentoria</w:t>
      </w:r>
      <w:r w:rsidR="00805FF3">
        <w:rPr>
          <w:sz w:val="22"/>
        </w:rPr>
        <w:t xml:space="preserve"> e</w:t>
      </w:r>
      <w:r>
        <w:rPr>
          <w:sz w:val="22"/>
        </w:rPr>
        <w:t xml:space="preserve"> a vinculação da educação com a economia estão entre os objetivos dos programas de capacitação da Comissão Interamericana de Ciência e Tecnologia (COMCYT).</w:t>
      </w:r>
    </w:p>
    <w:p w14:paraId="0A74A2CF" w14:textId="77777777" w:rsidR="00283ABA" w:rsidRPr="00EF14FB" w:rsidRDefault="00283ABA" w:rsidP="00A97082">
      <w:pPr>
        <w:ind w:left="1440" w:hanging="1440"/>
        <w:jc w:val="both"/>
        <w:rPr>
          <w:rFonts w:eastAsia="Calibri"/>
          <w:bCs/>
          <w:sz w:val="22"/>
          <w:szCs w:val="22"/>
        </w:rPr>
      </w:pPr>
    </w:p>
    <w:p w14:paraId="379697EC" w14:textId="77777777" w:rsidR="00283ABA" w:rsidRPr="00EF14FB" w:rsidRDefault="00283ABA" w:rsidP="005E3FA9">
      <w:pPr>
        <w:numPr>
          <w:ilvl w:val="0"/>
          <w:numId w:val="10"/>
        </w:numPr>
        <w:ind w:left="720" w:hanging="720"/>
        <w:jc w:val="both"/>
        <w:rPr>
          <w:rFonts w:eastAsia="Calibri"/>
          <w:b/>
          <w:sz w:val="22"/>
          <w:szCs w:val="22"/>
        </w:rPr>
      </w:pPr>
      <w:r>
        <w:rPr>
          <w:b/>
          <w:sz w:val="22"/>
        </w:rPr>
        <w:t>Antecedentes</w:t>
      </w:r>
    </w:p>
    <w:p w14:paraId="274F1676" w14:textId="77777777" w:rsidR="00415C84" w:rsidRPr="00EF14FB" w:rsidRDefault="00415C84" w:rsidP="00A97082">
      <w:pPr>
        <w:ind w:left="360"/>
        <w:jc w:val="both"/>
        <w:rPr>
          <w:b/>
          <w:sz w:val="22"/>
          <w:szCs w:val="22"/>
          <w:lang w:val="en-GB"/>
        </w:rPr>
      </w:pPr>
    </w:p>
    <w:p w14:paraId="201D8057" w14:textId="77777777" w:rsidR="00CB1CD2" w:rsidRDefault="00CB1CD2" w:rsidP="00A97082">
      <w:pPr>
        <w:ind w:firstLine="720"/>
        <w:jc w:val="both"/>
        <w:rPr>
          <w:sz w:val="22"/>
          <w:szCs w:val="22"/>
        </w:rPr>
      </w:pPr>
      <w:r>
        <w:rPr>
          <w:sz w:val="22"/>
        </w:rPr>
        <w:t>O fortalecimento da inovação e do ecossistema empresarial é um componente fundamental para promover economias competitivas e inclusivas, uma das linhas estratégicas aprovadas pelos Estados membros da OEA como prioridade para o desenvolvimento integral no Plano Estratégico da OEA de 2016-2020.</w:t>
      </w:r>
    </w:p>
    <w:p w14:paraId="26D14A6C" w14:textId="77777777" w:rsidR="00A97082" w:rsidRPr="00EF14FB" w:rsidRDefault="00A97082" w:rsidP="00A97082">
      <w:pPr>
        <w:ind w:firstLine="720"/>
        <w:jc w:val="both"/>
        <w:rPr>
          <w:sz w:val="22"/>
          <w:szCs w:val="22"/>
        </w:rPr>
      </w:pPr>
    </w:p>
    <w:p w14:paraId="4620C948" w14:textId="77777777" w:rsidR="00CB1CD2" w:rsidRDefault="00CB1CD2" w:rsidP="00A97082">
      <w:pPr>
        <w:ind w:firstLine="720"/>
        <w:jc w:val="both"/>
        <w:rPr>
          <w:sz w:val="22"/>
          <w:szCs w:val="22"/>
          <w:vertAlign w:val="superscript"/>
        </w:rPr>
      </w:pPr>
      <w:r>
        <w:rPr>
          <w:sz w:val="22"/>
        </w:rPr>
        <w:t>Existe um amplo reconhecimento de que a inovação é um fator essencial para a criação de valor, crescimento econômico e empregos de qualidade, o que exige transformar ideias em negócios bem-sucedidos com recursos e investimentos oportunos. No entanto, os indicadores mostram que a América Latina e o Caribe (ALC) estão atrasados nessas áreas em relação aos países desenvolvidos e outros países emergentes.</w:t>
      </w:r>
      <w:r w:rsidRPr="00A97082">
        <w:rPr>
          <w:rStyle w:val="FootnoteReference"/>
          <w:sz w:val="22"/>
          <w:szCs w:val="22"/>
          <w:u w:val="single"/>
        </w:rPr>
        <w:footnoteReference w:id="1"/>
      </w:r>
    </w:p>
    <w:p w14:paraId="72D6A3E6" w14:textId="77777777" w:rsidR="00A97082" w:rsidRPr="00EF14FB" w:rsidRDefault="00A97082" w:rsidP="00A97082">
      <w:pPr>
        <w:ind w:firstLine="720"/>
        <w:jc w:val="both"/>
        <w:rPr>
          <w:sz w:val="22"/>
          <w:szCs w:val="22"/>
        </w:rPr>
      </w:pPr>
    </w:p>
    <w:p w14:paraId="2F5A991B" w14:textId="6FE5DE9F" w:rsidR="00A97082" w:rsidRDefault="00CB1CD2" w:rsidP="00A97082">
      <w:pPr>
        <w:ind w:firstLine="720"/>
        <w:jc w:val="both"/>
        <w:rPr>
          <w:sz w:val="22"/>
          <w:szCs w:val="22"/>
          <w:vertAlign w:val="superscript"/>
        </w:rPr>
      </w:pPr>
      <w:r>
        <w:rPr>
          <w:sz w:val="22"/>
        </w:rPr>
        <w:t>A situação será ainda mais desafiadora em 2020 devido à pandemia de covid-19. Um relatório recente da Comissão Econômica para a América Latina e o</w:t>
      </w:r>
      <w:r w:rsidR="00893C4E">
        <w:rPr>
          <w:sz w:val="22"/>
        </w:rPr>
        <w:t xml:space="preserve"> </w:t>
      </w:r>
      <w:r>
        <w:rPr>
          <w:sz w:val="22"/>
        </w:rPr>
        <w:t xml:space="preserve">Caribe (CEPAL) </w:t>
      </w:r>
      <w:r w:rsidR="0025592C">
        <w:rPr>
          <w:sz w:val="22"/>
        </w:rPr>
        <w:t xml:space="preserve">das Nações Unidas </w:t>
      </w:r>
      <w:r>
        <w:rPr>
          <w:sz w:val="22"/>
        </w:rPr>
        <w:t>estima que a crise econômica e social gerada pela covid-19 na ALC resultará em uma contração de pelo menos 9,1% do produto interno bruto (PIB) da região.</w:t>
      </w:r>
      <w:r w:rsidRPr="00A97082">
        <w:rPr>
          <w:rStyle w:val="FootnoteReference"/>
          <w:sz w:val="22"/>
          <w:szCs w:val="22"/>
          <w:u w:val="single"/>
        </w:rPr>
        <w:footnoteReference w:id="2"/>
      </w:r>
    </w:p>
    <w:p w14:paraId="41B05FAC" w14:textId="77777777" w:rsidR="00A97082" w:rsidRDefault="00A97082" w:rsidP="00A97082">
      <w:pPr>
        <w:ind w:firstLine="720"/>
        <w:jc w:val="both"/>
        <w:rPr>
          <w:sz w:val="22"/>
          <w:szCs w:val="22"/>
        </w:rPr>
      </w:pPr>
    </w:p>
    <w:p w14:paraId="26533289" w14:textId="77777777" w:rsidR="00CB1CD2" w:rsidRDefault="00625DA8" w:rsidP="00A97082">
      <w:pPr>
        <w:ind w:firstLine="720"/>
        <w:jc w:val="both"/>
        <w:rPr>
          <w:sz w:val="22"/>
          <w:szCs w:val="22"/>
        </w:rPr>
      </w:pPr>
      <w:r>
        <w:rPr>
          <w:sz w:val="22"/>
        </w:rPr>
        <w:t>A pandemia agravou as desigualdades existentes e ampliou as lacunas tecnológicas e sociais devido ao acesso limitado de segmentos da sociedade às competências e ferramentas necessárias para a economia digital.</w:t>
      </w:r>
    </w:p>
    <w:p w14:paraId="60C67E92" w14:textId="77777777" w:rsidR="00A97082" w:rsidRPr="00EF14FB" w:rsidRDefault="00A97082" w:rsidP="00A97082">
      <w:pPr>
        <w:ind w:firstLine="720"/>
        <w:jc w:val="both"/>
        <w:rPr>
          <w:sz w:val="22"/>
          <w:szCs w:val="22"/>
        </w:rPr>
      </w:pPr>
    </w:p>
    <w:p w14:paraId="39F287D9" w14:textId="282C891F" w:rsidR="00CB1CD2" w:rsidRDefault="008B6543" w:rsidP="00A97082">
      <w:pPr>
        <w:ind w:firstLine="720"/>
        <w:jc w:val="both"/>
        <w:rPr>
          <w:sz w:val="22"/>
          <w:szCs w:val="22"/>
        </w:rPr>
      </w:pPr>
      <w:r>
        <w:rPr>
          <w:sz w:val="22"/>
        </w:rPr>
        <w:t xml:space="preserve">A pesquisa e o desenvolvimento (P&amp;D) representam cerca de 0,5% do PIB da </w:t>
      </w:r>
      <w:r w:rsidR="00A91439">
        <w:rPr>
          <w:sz w:val="22"/>
        </w:rPr>
        <w:t>ALC</w:t>
      </w:r>
      <w:r>
        <w:rPr>
          <w:sz w:val="22"/>
        </w:rPr>
        <w:t>, bem abaixo do padr</w:t>
      </w:r>
      <w:r w:rsidR="007A6A09">
        <w:rPr>
          <w:sz w:val="22"/>
        </w:rPr>
        <w:t>ão</w:t>
      </w:r>
      <w:r>
        <w:rPr>
          <w:sz w:val="22"/>
        </w:rPr>
        <w:t xml:space="preserve"> dos países desenvolvidos e dos países emergentes que fizeram a transição d</w:t>
      </w:r>
      <w:r w:rsidR="00C530A4">
        <w:rPr>
          <w:sz w:val="22"/>
        </w:rPr>
        <w:t>e uma economia de</w:t>
      </w:r>
      <w:r>
        <w:rPr>
          <w:sz w:val="22"/>
        </w:rPr>
        <w:t xml:space="preserve"> produção tradicional para </w:t>
      </w:r>
      <w:r w:rsidR="00C530A4">
        <w:rPr>
          <w:sz w:val="22"/>
        </w:rPr>
        <w:t>uma economia</w:t>
      </w:r>
      <w:r>
        <w:rPr>
          <w:sz w:val="22"/>
        </w:rPr>
        <w:t xml:space="preserve"> impulsionada pela inovação. O setor público é responsável por mais de 80% do investimento em P&amp;D, que é primordialmente dirigido às universidades públicas para a realização de pesquisas básicas</w:t>
      </w:r>
      <w:r w:rsidR="00F9037E">
        <w:rPr>
          <w:sz w:val="22"/>
        </w:rPr>
        <w:t xml:space="preserve"> principalmente </w:t>
      </w:r>
      <w:r w:rsidR="00C530A4">
        <w:rPr>
          <w:sz w:val="22"/>
        </w:rPr>
        <w:t>—</w:t>
      </w:r>
      <w:r>
        <w:rPr>
          <w:sz w:val="22"/>
        </w:rPr>
        <w:t xml:space="preserve"> algo importante, mas não suficiente para melhorar a competitividade. A participação do setor privado (tanto de grandes como de pequenas e médias empresas) é muito baixa</w:t>
      </w:r>
      <w:r w:rsidR="00CB1CD2" w:rsidRPr="00A97082">
        <w:rPr>
          <w:rStyle w:val="FootnoteReference"/>
          <w:sz w:val="22"/>
          <w:szCs w:val="22"/>
          <w:u w:val="single"/>
        </w:rPr>
        <w:footnoteReference w:id="3"/>
      </w:r>
      <w:r>
        <w:rPr>
          <w:sz w:val="22"/>
          <w:vertAlign w:val="superscript"/>
        </w:rPr>
        <w:t>/</w:t>
      </w:r>
      <w:r>
        <w:rPr>
          <w:sz w:val="22"/>
        </w:rPr>
        <w:t>.</w:t>
      </w:r>
    </w:p>
    <w:p w14:paraId="28525D62" w14:textId="77777777" w:rsidR="00A97082" w:rsidRPr="00EF14FB" w:rsidRDefault="00A97082" w:rsidP="00A97082">
      <w:pPr>
        <w:ind w:firstLine="720"/>
        <w:jc w:val="both"/>
        <w:rPr>
          <w:sz w:val="22"/>
          <w:szCs w:val="22"/>
        </w:rPr>
      </w:pPr>
    </w:p>
    <w:p w14:paraId="7AD5525D" w14:textId="6965D2CB" w:rsidR="00CB1CD2" w:rsidRPr="00EF14FB" w:rsidRDefault="00CB1CD2" w:rsidP="00A97082">
      <w:pPr>
        <w:ind w:firstLine="720"/>
        <w:jc w:val="both"/>
        <w:rPr>
          <w:sz w:val="22"/>
          <w:szCs w:val="22"/>
        </w:rPr>
      </w:pPr>
      <w:r>
        <w:rPr>
          <w:sz w:val="22"/>
        </w:rPr>
        <w:t xml:space="preserve">Os sistemas nacionais de inovação na América Latina e no Caribe ainda não conectaram ciência, tecnologia e P&amp;D com os mercados. Com algumas exceções, a pontuação média dos países da ALC em inovação </w:t>
      </w:r>
      <w:r w:rsidR="00490E58">
        <w:rPr>
          <w:sz w:val="22"/>
        </w:rPr>
        <w:t>está</w:t>
      </w:r>
      <w:r>
        <w:rPr>
          <w:sz w:val="22"/>
        </w:rPr>
        <w:t xml:space="preserve"> 10 pontos (ou mais) abaixo de sua classificação de competitividade</w:t>
      </w:r>
      <w:r w:rsidR="00E1039C">
        <w:rPr>
          <w:sz w:val="22"/>
        </w:rPr>
        <w:t xml:space="preserve"> geral</w:t>
      </w:r>
      <w:r>
        <w:rPr>
          <w:sz w:val="22"/>
        </w:rPr>
        <w:t xml:space="preserve">. Os problemas presentes nos sistemas nacionais de inovação da região </w:t>
      </w:r>
      <w:r w:rsidR="001A61AE">
        <w:rPr>
          <w:sz w:val="22"/>
        </w:rPr>
        <w:t>repercutem</w:t>
      </w:r>
      <w:r>
        <w:rPr>
          <w:sz w:val="22"/>
        </w:rPr>
        <w:t xml:space="preserve"> na baixa capacidade de inovação de todas as unidades produtivas e, especialmente, das pequenas e médias empresas (PMEs). </w:t>
      </w:r>
      <w:r w:rsidR="007D0019">
        <w:rPr>
          <w:sz w:val="22"/>
        </w:rPr>
        <w:t>Desse modo</w:t>
      </w:r>
      <w:r>
        <w:rPr>
          <w:sz w:val="22"/>
        </w:rPr>
        <w:t>, a ALC precisa urgentemente promover colaboração e parcerias com as partes interessadas das universidades, da indústria e dos governos a fim de impulsionar suas capacidades</w:t>
      </w:r>
      <w:r w:rsidR="007D0019">
        <w:rPr>
          <w:sz w:val="22"/>
        </w:rPr>
        <w:t>, devendo considerar</w:t>
      </w:r>
      <w:r>
        <w:rPr>
          <w:sz w:val="22"/>
        </w:rPr>
        <w:t xml:space="preserve"> </w:t>
      </w:r>
      <w:r w:rsidR="007D0019">
        <w:rPr>
          <w:sz w:val="22"/>
        </w:rPr>
        <w:t>especialmente</w:t>
      </w:r>
      <w:r>
        <w:rPr>
          <w:sz w:val="22"/>
        </w:rPr>
        <w:t xml:space="preserve"> o impacto esperado de tecnologias transformadoras, como a inteligência artificial, </w:t>
      </w:r>
      <w:r>
        <w:rPr>
          <w:i/>
          <w:iCs/>
          <w:sz w:val="22"/>
        </w:rPr>
        <w:t>big data</w:t>
      </w:r>
      <w:r>
        <w:rPr>
          <w:sz w:val="22"/>
        </w:rPr>
        <w:t xml:space="preserve">, novos materiais e bioengenharia. </w:t>
      </w:r>
    </w:p>
    <w:p w14:paraId="64C5AADA" w14:textId="77777777" w:rsidR="00A97082" w:rsidRDefault="00A97082" w:rsidP="00A97082">
      <w:pPr>
        <w:ind w:firstLine="720"/>
        <w:jc w:val="both"/>
        <w:rPr>
          <w:sz w:val="22"/>
          <w:szCs w:val="22"/>
        </w:rPr>
      </w:pPr>
    </w:p>
    <w:p w14:paraId="0E384AC9" w14:textId="4D0FDB21" w:rsidR="00CB1CD2" w:rsidRDefault="00CB1CD2" w:rsidP="00A97082">
      <w:pPr>
        <w:ind w:firstLine="720"/>
        <w:jc w:val="both"/>
        <w:rPr>
          <w:sz w:val="22"/>
          <w:szCs w:val="22"/>
        </w:rPr>
      </w:pPr>
      <w:r>
        <w:rPr>
          <w:sz w:val="22"/>
        </w:rPr>
        <w:t>O índice de competitividade global de 2019 do Fórum Econômico Mundial considera a classificação média dos países da ALC como sendo 90 de 141. A maioria permaneceu estagnada nos últimos anos, e não houve países com desempenho excelente. Os países mais bem posicionados são Chile</w:t>
      </w:r>
      <w:r w:rsidR="00EF6A1B">
        <w:rPr>
          <w:sz w:val="22"/>
        </w:rPr>
        <w:t xml:space="preserve"> (</w:t>
      </w:r>
      <w:r>
        <w:rPr>
          <w:sz w:val="22"/>
        </w:rPr>
        <w:t>33</w:t>
      </w:r>
      <w:r w:rsidR="00EF6A1B">
        <w:rPr>
          <w:sz w:val="22"/>
        </w:rPr>
        <w:t>)</w:t>
      </w:r>
      <w:r>
        <w:rPr>
          <w:sz w:val="22"/>
        </w:rPr>
        <w:t>, México</w:t>
      </w:r>
      <w:r w:rsidR="00EF6A1B">
        <w:rPr>
          <w:sz w:val="22"/>
        </w:rPr>
        <w:t xml:space="preserve"> (</w:t>
      </w:r>
      <w:r>
        <w:rPr>
          <w:sz w:val="22"/>
        </w:rPr>
        <w:t>48</w:t>
      </w:r>
      <w:r w:rsidR="00EF6A1B">
        <w:rPr>
          <w:sz w:val="22"/>
        </w:rPr>
        <w:t>)</w:t>
      </w:r>
      <w:r>
        <w:rPr>
          <w:sz w:val="22"/>
        </w:rPr>
        <w:t>, Uruguai</w:t>
      </w:r>
      <w:r w:rsidR="00EF6A1B">
        <w:rPr>
          <w:sz w:val="22"/>
        </w:rPr>
        <w:t xml:space="preserve"> (</w:t>
      </w:r>
      <w:r>
        <w:rPr>
          <w:sz w:val="22"/>
        </w:rPr>
        <w:t>54</w:t>
      </w:r>
      <w:r w:rsidR="00EF6A1B">
        <w:rPr>
          <w:sz w:val="22"/>
        </w:rPr>
        <w:t>)</w:t>
      </w:r>
      <w:r>
        <w:rPr>
          <w:sz w:val="22"/>
        </w:rPr>
        <w:t>, Colômbia</w:t>
      </w:r>
      <w:r w:rsidR="00EF6A1B">
        <w:rPr>
          <w:sz w:val="22"/>
        </w:rPr>
        <w:t xml:space="preserve"> (</w:t>
      </w:r>
      <w:r>
        <w:rPr>
          <w:sz w:val="22"/>
        </w:rPr>
        <w:t>57</w:t>
      </w:r>
      <w:r w:rsidR="00EF6A1B">
        <w:rPr>
          <w:sz w:val="22"/>
        </w:rPr>
        <w:t>)</w:t>
      </w:r>
      <w:r>
        <w:rPr>
          <w:sz w:val="22"/>
        </w:rPr>
        <w:t>, Peru</w:t>
      </w:r>
      <w:r w:rsidR="00EF6A1B">
        <w:rPr>
          <w:sz w:val="22"/>
        </w:rPr>
        <w:t xml:space="preserve"> (</w:t>
      </w:r>
      <w:r>
        <w:rPr>
          <w:sz w:val="22"/>
        </w:rPr>
        <w:t>65</w:t>
      </w:r>
      <w:r w:rsidR="00EF6A1B">
        <w:rPr>
          <w:sz w:val="22"/>
        </w:rPr>
        <w:t>)</w:t>
      </w:r>
      <w:r>
        <w:rPr>
          <w:sz w:val="22"/>
        </w:rPr>
        <w:t>, Panamá</w:t>
      </w:r>
      <w:r w:rsidR="00EF6A1B">
        <w:rPr>
          <w:sz w:val="22"/>
        </w:rPr>
        <w:t xml:space="preserve"> (</w:t>
      </w:r>
      <w:r>
        <w:rPr>
          <w:sz w:val="22"/>
        </w:rPr>
        <w:t>66</w:t>
      </w:r>
      <w:r w:rsidR="00EF6A1B">
        <w:rPr>
          <w:sz w:val="22"/>
        </w:rPr>
        <w:t>)</w:t>
      </w:r>
      <w:r>
        <w:rPr>
          <w:sz w:val="22"/>
        </w:rPr>
        <w:t xml:space="preserve"> e Costa Rica</w:t>
      </w:r>
      <w:r w:rsidR="00EF6A1B">
        <w:rPr>
          <w:sz w:val="22"/>
        </w:rPr>
        <w:t xml:space="preserve"> (</w:t>
      </w:r>
      <w:r>
        <w:rPr>
          <w:sz w:val="22"/>
        </w:rPr>
        <w:t>62</w:t>
      </w:r>
      <w:r w:rsidR="00EF6A1B">
        <w:rPr>
          <w:sz w:val="22"/>
        </w:rPr>
        <w:t>)</w:t>
      </w:r>
      <w:r>
        <w:rPr>
          <w:sz w:val="22"/>
        </w:rPr>
        <w:t xml:space="preserve">. Apenas quatro países do Caribe são considerados neste índice. Algumas das principais recomendações para a região defendem a diversificação das economias para além das </w:t>
      </w:r>
      <w:r w:rsidRPr="00A92A2D">
        <w:rPr>
          <w:i/>
          <w:iCs/>
          <w:sz w:val="22"/>
        </w:rPr>
        <w:t>commodities</w:t>
      </w:r>
      <w:r>
        <w:rPr>
          <w:sz w:val="22"/>
        </w:rPr>
        <w:t xml:space="preserve"> a fim de desenvolver uma força de trabalho mais qualificada para a economia do século XXI e da quarta revolução industrial. Uma missão importante é abordar temas relacionados à distribuição e à desigualdade de renda.</w:t>
      </w:r>
      <w:r w:rsidR="00E33DF4" w:rsidRPr="00A97082">
        <w:rPr>
          <w:rStyle w:val="FootnoteReference"/>
          <w:sz w:val="22"/>
          <w:szCs w:val="22"/>
          <w:u w:val="single"/>
        </w:rPr>
        <w:footnoteReference w:id="4"/>
      </w:r>
    </w:p>
    <w:p w14:paraId="2099AF7A" w14:textId="77777777" w:rsidR="00A97082" w:rsidRPr="00EF14FB" w:rsidRDefault="00A97082" w:rsidP="00A97082">
      <w:pPr>
        <w:ind w:firstLine="720"/>
        <w:jc w:val="both"/>
        <w:rPr>
          <w:sz w:val="22"/>
          <w:szCs w:val="22"/>
        </w:rPr>
      </w:pPr>
    </w:p>
    <w:p w14:paraId="42EDA679" w14:textId="017D76BD" w:rsidR="00CB1CD2" w:rsidRPr="00EF14FB" w:rsidRDefault="00CB1CD2" w:rsidP="00A97082">
      <w:pPr>
        <w:ind w:firstLine="720"/>
        <w:jc w:val="both"/>
        <w:rPr>
          <w:sz w:val="22"/>
          <w:szCs w:val="22"/>
        </w:rPr>
      </w:pPr>
      <w:r>
        <w:rPr>
          <w:sz w:val="22"/>
        </w:rPr>
        <w:t xml:space="preserve">O </w:t>
      </w:r>
      <w:r>
        <w:rPr>
          <w:i/>
          <w:iCs/>
          <w:sz w:val="22"/>
        </w:rPr>
        <w:t>Global Innovation Index</w:t>
      </w:r>
      <w:r>
        <w:rPr>
          <w:sz w:val="22"/>
        </w:rPr>
        <w:t xml:space="preserve"> (GII), publicado pela Organização Mundial da Propriedade Intelectual, INSEAD e Cornell, destaca que </w:t>
      </w:r>
      <w:r w:rsidR="00F128E7">
        <w:rPr>
          <w:sz w:val="22"/>
        </w:rPr>
        <w:t>nenhuma</w:t>
      </w:r>
      <w:r w:rsidR="00B95207">
        <w:rPr>
          <w:sz w:val="22"/>
        </w:rPr>
        <w:t xml:space="preserve"> </w:t>
      </w:r>
      <w:r w:rsidR="00F128E7">
        <w:rPr>
          <w:sz w:val="22"/>
        </w:rPr>
        <w:t>d</w:t>
      </w:r>
      <w:r>
        <w:rPr>
          <w:sz w:val="22"/>
        </w:rPr>
        <w:t xml:space="preserve">as economias da ALC </w:t>
      </w:r>
      <w:r w:rsidR="00B95207">
        <w:rPr>
          <w:sz w:val="22"/>
        </w:rPr>
        <w:t>se encontra</w:t>
      </w:r>
      <w:r>
        <w:rPr>
          <w:sz w:val="22"/>
        </w:rPr>
        <w:t xml:space="preserve"> </w:t>
      </w:r>
      <w:r w:rsidR="00F128E7">
        <w:rPr>
          <w:sz w:val="22"/>
        </w:rPr>
        <w:t>entre as</w:t>
      </w:r>
      <w:r>
        <w:rPr>
          <w:sz w:val="22"/>
        </w:rPr>
        <w:t xml:space="preserve"> 50 mais bem avaliadas na classificação do índice GII. De acordo com o GII, os pontos fracos do potencial de inovação da região são os ativos e </w:t>
      </w:r>
      <w:r w:rsidR="004652E2">
        <w:rPr>
          <w:sz w:val="22"/>
        </w:rPr>
        <w:t>os</w:t>
      </w:r>
      <w:r>
        <w:rPr>
          <w:sz w:val="22"/>
        </w:rPr>
        <w:t xml:space="preserve"> insumos</w:t>
      </w:r>
      <w:r w:rsidR="004652E2">
        <w:rPr>
          <w:sz w:val="22"/>
        </w:rPr>
        <w:t xml:space="preserve"> disponíveis</w:t>
      </w:r>
      <w:r>
        <w:rPr>
          <w:sz w:val="22"/>
        </w:rPr>
        <w:t xml:space="preserve"> (ou </w:t>
      </w:r>
      <w:r w:rsidR="00927E73">
        <w:rPr>
          <w:sz w:val="22"/>
        </w:rPr>
        <w:t>inexistentes</w:t>
      </w:r>
      <w:r>
        <w:rPr>
          <w:sz w:val="22"/>
        </w:rPr>
        <w:t>)</w:t>
      </w:r>
      <w:r w:rsidR="00DD4FAE">
        <w:rPr>
          <w:sz w:val="22"/>
        </w:rPr>
        <w:t xml:space="preserve"> — </w:t>
      </w:r>
      <w:r>
        <w:rPr>
          <w:sz w:val="22"/>
        </w:rPr>
        <w:t>especificamente no que se refere ao clima empresarial, ao capital e talento humanos, bem como à infraestrutura</w:t>
      </w:r>
      <w:r w:rsidR="00DD4FAE">
        <w:rPr>
          <w:sz w:val="22"/>
        </w:rPr>
        <w:t xml:space="preserve"> </w:t>
      </w:r>
      <w:r w:rsidR="00D93A9D">
        <w:rPr>
          <w:sz w:val="22"/>
        </w:rPr>
        <w:t>—</w:t>
      </w:r>
      <w:r w:rsidR="00B875BF">
        <w:rPr>
          <w:sz w:val="22"/>
        </w:rPr>
        <w:t xml:space="preserve">, que determinam </w:t>
      </w:r>
      <w:r>
        <w:rPr>
          <w:sz w:val="22"/>
        </w:rPr>
        <w:t>a produtividade.</w:t>
      </w:r>
      <w:r w:rsidR="00E33DF4" w:rsidRPr="00A97082">
        <w:rPr>
          <w:rStyle w:val="FootnoteReference"/>
          <w:sz w:val="22"/>
          <w:szCs w:val="22"/>
          <w:u w:val="single"/>
        </w:rPr>
        <w:footnoteReference w:id="5"/>
      </w:r>
    </w:p>
    <w:p w14:paraId="321850EA" w14:textId="77777777" w:rsidR="00A97082" w:rsidRDefault="00A97082" w:rsidP="00A97082">
      <w:pPr>
        <w:ind w:firstLine="720"/>
        <w:jc w:val="both"/>
        <w:rPr>
          <w:sz w:val="22"/>
          <w:szCs w:val="22"/>
        </w:rPr>
      </w:pPr>
    </w:p>
    <w:p w14:paraId="69E4FC7E" w14:textId="0440ADCA" w:rsidR="00CB1CD2" w:rsidRPr="00A97082" w:rsidRDefault="00CB1CD2" w:rsidP="00A97082">
      <w:pPr>
        <w:ind w:firstLine="720"/>
        <w:jc w:val="both"/>
        <w:rPr>
          <w:sz w:val="22"/>
          <w:szCs w:val="22"/>
          <w:vertAlign w:val="superscript"/>
        </w:rPr>
      </w:pPr>
      <w:r>
        <w:rPr>
          <w:sz w:val="22"/>
        </w:rPr>
        <w:t xml:space="preserve">Um relatório recente do Fundo Monetário Internacional concluiu que o sucesso das economias de alto crescimento depende </w:t>
      </w:r>
      <w:r w:rsidR="006E64F8">
        <w:rPr>
          <w:sz w:val="22"/>
        </w:rPr>
        <w:t>de</w:t>
      </w:r>
      <w:r>
        <w:rPr>
          <w:sz w:val="22"/>
        </w:rPr>
        <w:t xml:space="preserve"> políticas que enfatiz</w:t>
      </w:r>
      <w:r w:rsidR="005E60AD">
        <w:rPr>
          <w:sz w:val="22"/>
        </w:rPr>
        <w:t>e</w:t>
      </w:r>
      <w:r>
        <w:rPr>
          <w:sz w:val="22"/>
        </w:rPr>
        <w:t>m a inovação e a tecnologia em cada fase do processo de desenvolvimento</w:t>
      </w:r>
      <w:r w:rsidR="005E60AD">
        <w:rPr>
          <w:sz w:val="22"/>
        </w:rPr>
        <w:t xml:space="preserve">, o que </w:t>
      </w:r>
      <w:r>
        <w:rPr>
          <w:sz w:val="22"/>
        </w:rPr>
        <w:t>requer a diversificação dos setores comercializáveis, das capacidades e dos ativos de uma região.</w:t>
      </w:r>
      <w:r w:rsidR="00E33DF4" w:rsidRPr="00A97082">
        <w:rPr>
          <w:rStyle w:val="FootnoteReference"/>
          <w:sz w:val="22"/>
          <w:szCs w:val="22"/>
          <w:u w:val="single"/>
        </w:rPr>
        <w:footnoteReference w:id="6"/>
      </w:r>
      <w:r>
        <w:rPr>
          <w:sz w:val="22"/>
        </w:rPr>
        <w:t xml:space="preserve"> Por isso, para poder sustentar o crescimento, um país precisa </w:t>
      </w:r>
      <w:r>
        <w:rPr>
          <w:sz w:val="22"/>
        </w:rPr>
        <w:lastRenderedPageBreak/>
        <w:t xml:space="preserve">constantemente introduzir novos bens e adotar e desenvolver novas tecnologias. A fim de aumentar de forma sustentável a produtividade e aspirar </w:t>
      </w:r>
      <w:r w:rsidR="00AA1917">
        <w:rPr>
          <w:sz w:val="22"/>
        </w:rPr>
        <w:t>por melhorar a</w:t>
      </w:r>
      <w:r>
        <w:rPr>
          <w:sz w:val="22"/>
        </w:rPr>
        <w:t xml:space="preserve"> renda </w:t>
      </w:r>
      <w:r>
        <w:rPr>
          <w:i/>
          <w:iCs/>
          <w:sz w:val="22"/>
        </w:rPr>
        <w:t>per capita</w:t>
      </w:r>
      <w:r>
        <w:rPr>
          <w:sz w:val="22"/>
        </w:rPr>
        <w:t xml:space="preserve">, os países </w:t>
      </w:r>
      <w:r w:rsidR="00974157">
        <w:rPr>
          <w:sz w:val="22"/>
        </w:rPr>
        <w:t>precisam de</w:t>
      </w:r>
      <w:r>
        <w:rPr>
          <w:sz w:val="22"/>
        </w:rPr>
        <w:t xml:space="preserve"> inovação (novas ideias, métodos, processos e tecnologia) e </w:t>
      </w:r>
      <w:r w:rsidR="00974157">
        <w:rPr>
          <w:sz w:val="22"/>
        </w:rPr>
        <w:t xml:space="preserve">de </w:t>
      </w:r>
      <w:r w:rsidR="00D75BC2">
        <w:rPr>
          <w:sz w:val="22"/>
        </w:rPr>
        <w:t>avanços na</w:t>
      </w:r>
      <w:r>
        <w:rPr>
          <w:sz w:val="22"/>
        </w:rPr>
        <w:t xml:space="preserve"> qualidade e sofisticação.</w:t>
      </w:r>
      <w:r w:rsidR="00E33DF4" w:rsidRPr="00A97082">
        <w:rPr>
          <w:rStyle w:val="FootnoteReference"/>
          <w:sz w:val="22"/>
          <w:szCs w:val="22"/>
          <w:u w:val="single"/>
        </w:rPr>
        <w:footnoteReference w:id="7"/>
      </w:r>
    </w:p>
    <w:p w14:paraId="10B765A9" w14:textId="77777777" w:rsidR="00A97082" w:rsidRDefault="00A97082" w:rsidP="00A97082">
      <w:pPr>
        <w:ind w:firstLine="720"/>
        <w:jc w:val="both"/>
        <w:rPr>
          <w:sz w:val="22"/>
          <w:szCs w:val="22"/>
        </w:rPr>
      </w:pPr>
    </w:p>
    <w:p w14:paraId="66C3CFD8" w14:textId="0C6CEA9C" w:rsidR="00CB1CD2" w:rsidRPr="00EF14FB" w:rsidRDefault="00723359" w:rsidP="00A97082">
      <w:pPr>
        <w:ind w:firstLine="720"/>
        <w:jc w:val="both"/>
        <w:rPr>
          <w:sz w:val="22"/>
          <w:szCs w:val="22"/>
        </w:rPr>
      </w:pPr>
      <w:r>
        <w:rPr>
          <w:sz w:val="22"/>
        </w:rPr>
        <w:t xml:space="preserve">Vários estudos de organizações multilaterais, portanto, oferecem recomendações políticas coincidentes para a ALC. O foco deve ser a geração de bens e serviços de valor agregado para diversificar as economias e ultrapassar um crescimento determinado por </w:t>
      </w:r>
      <w:r>
        <w:rPr>
          <w:i/>
          <w:iCs/>
          <w:sz w:val="22"/>
        </w:rPr>
        <w:t>commodities</w:t>
      </w:r>
      <w:r>
        <w:rPr>
          <w:sz w:val="22"/>
        </w:rPr>
        <w:t>. A missão é ainda mais crucial como resposta à pandemia e é preciso que haja resiliência de longo prazo para as economias e sociedades, adotando</w:t>
      </w:r>
      <w:r w:rsidR="00756AC9">
        <w:rPr>
          <w:sz w:val="22"/>
        </w:rPr>
        <w:t>-se</w:t>
      </w:r>
      <w:r>
        <w:rPr>
          <w:sz w:val="22"/>
        </w:rPr>
        <w:t xml:space="preserve"> soluções e novas oportunidades por meio de tecnologias transformadoras e novas capacidades.</w:t>
      </w:r>
    </w:p>
    <w:p w14:paraId="01098E4E" w14:textId="77777777" w:rsidR="00A97082" w:rsidRDefault="00A97082" w:rsidP="00A97082">
      <w:pPr>
        <w:ind w:firstLine="720"/>
        <w:jc w:val="both"/>
        <w:rPr>
          <w:sz w:val="22"/>
          <w:szCs w:val="22"/>
        </w:rPr>
      </w:pPr>
    </w:p>
    <w:p w14:paraId="66A4EAF9" w14:textId="49CCE806" w:rsidR="00CB1CD2" w:rsidRPr="00EF14FB" w:rsidRDefault="00CB1CD2" w:rsidP="00A97082">
      <w:pPr>
        <w:ind w:firstLine="720"/>
        <w:jc w:val="both"/>
        <w:rPr>
          <w:sz w:val="22"/>
          <w:szCs w:val="22"/>
        </w:rPr>
      </w:pPr>
      <w:r>
        <w:rPr>
          <w:sz w:val="22"/>
        </w:rPr>
        <w:t xml:space="preserve">Além </w:t>
      </w:r>
      <w:r w:rsidR="00661EB3">
        <w:rPr>
          <w:sz w:val="22"/>
        </w:rPr>
        <w:t>desses</w:t>
      </w:r>
      <w:r>
        <w:rPr>
          <w:sz w:val="22"/>
        </w:rPr>
        <w:t xml:space="preserve"> desafios e novas dimensões</w:t>
      </w:r>
      <w:r w:rsidR="00661EB3">
        <w:rPr>
          <w:sz w:val="22"/>
        </w:rPr>
        <w:t xml:space="preserve"> </w:t>
      </w:r>
      <w:r>
        <w:rPr>
          <w:sz w:val="22"/>
        </w:rPr>
        <w:t>mencionados</w:t>
      </w:r>
      <w:r w:rsidR="00661EB3">
        <w:rPr>
          <w:sz w:val="22"/>
        </w:rPr>
        <w:t>,</w:t>
      </w:r>
      <w:r>
        <w:rPr>
          <w:sz w:val="22"/>
        </w:rPr>
        <w:t xml:space="preserve"> que moldam o desempenho econômico, os obstáculos ao desenvolvimento vão além do atual quadro </w:t>
      </w:r>
      <w:r w:rsidR="00184775">
        <w:rPr>
          <w:sz w:val="22"/>
        </w:rPr>
        <w:t>de políticas</w:t>
      </w:r>
      <w:r>
        <w:rPr>
          <w:sz w:val="22"/>
        </w:rPr>
        <w:t xml:space="preserve"> e estão relacionados a todos os fatores, regras, valores e orientações que definem as interações entre os grupos de interesse e cada comunidade. O foco não deve </w:t>
      </w:r>
      <w:r w:rsidR="00184775">
        <w:rPr>
          <w:sz w:val="22"/>
        </w:rPr>
        <w:t>estar</w:t>
      </w:r>
      <w:r>
        <w:rPr>
          <w:sz w:val="22"/>
        </w:rPr>
        <w:t xml:space="preserve"> apenas nas tecnologias em si, mas nas etapas necessárias para melhorar a capacidade tecnológica de uma comunidade ou região, o que depende de sua capacidade absortiva de experimentar novas ideias e integrar e aproveitar o progresso tecnológico. </w:t>
      </w:r>
      <w:r w:rsidR="009F6BE1">
        <w:rPr>
          <w:sz w:val="22"/>
        </w:rPr>
        <w:t>Ademais</w:t>
      </w:r>
      <w:r w:rsidR="004D2F4C">
        <w:rPr>
          <w:sz w:val="22"/>
        </w:rPr>
        <w:t>, “o</w:t>
      </w:r>
      <w:r>
        <w:rPr>
          <w:sz w:val="22"/>
        </w:rPr>
        <w:t>rganizações que apoiem a experimentação, a busca de novas ideias e a descoberta de diferentes aplicações de novas ideias são tão importantes quanto as próprias tecnologias”.</w:t>
      </w:r>
      <w:r w:rsidR="00E33DF4" w:rsidRPr="00A97082">
        <w:rPr>
          <w:rStyle w:val="FootnoteReference"/>
          <w:sz w:val="22"/>
          <w:szCs w:val="22"/>
          <w:u w:val="single"/>
        </w:rPr>
        <w:footnoteReference w:id="8"/>
      </w:r>
      <w:r>
        <w:rPr>
          <w:sz w:val="22"/>
        </w:rPr>
        <w:t xml:space="preserve"> </w:t>
      </w:r>
    </w:p>
    <w:p w14:paraId="5FD74BD7" w14:textId="77777777" w:rsidR="00A97082" w:rsidRDefault="00A97082" w:rsidP="00A97082">
      <w:pPr>
        <w:ind w:firstLine="720"/>
        <w:jc w:val="both"/>
        <w:rPr>
          <w:sz w:val="22"/>
          <w:szCs w:val="22"/>
        </w:rPr>
      </w:pPr>
    </w:p>
    <w:p w14:paraId="6185664C" w14:textId="08A0B7BC" w:rsidR="005F5970" w:rsidRDefault="00CB1CD2" w:rsidP="00A97082">
      <w:pPr>
        <w:ind w:firstLine="720"/>
        <w:jc w:val="both"/>
        <w:rPr>
          <w:sz w:val="22"/>
          <w:szCs w:val="22"/>
        </w:rPr>
      </w:pPr>
      <w:r>
        <w:rPr>
          <w:sz w:val="22"/>
        </w:rPr>
        <w:t xml:space="preserve">Cada país, região ou comunidade cria sua própria narrativa e compreensão </w:t>
      </w:r>
      <w:r w:rsidR="00100226">
        <w:rPr>
          <w:sz w:val="22"/>
        </w:rPr>
        <w:t>referente a</w:t>
      </w:r>
      <w:r>
        <w:rPr>
          <w:sz w:val="22"/>
        </w:rPr>
        <w:t xml:space="preserve"> temas como inovação, empreendedorismo, tecnologia e desenvolvimento econômico. Assim, todos os elementos de um ecossistema precisam ser desenvolvidos para que uma região possa ter um progresso considerável. As estruturas físicas e sociais podem moldar ou dificultar a inovação e a mudança. Nas sociedades onde a estratificação social é rígida, como acontece na maioria dos países em desenvolvimento, a interação com diversos grupos da sociedade e a expansão da base de apoio com novos atores e mecanismos para influenciar a mudança de perspectivas exigem </w:t>
      </w:r>
      <w:r w:rsidR="00C43456">
        <w:rPr>
          <w:sz w:val="22"/>
        </w:rPr>
        <w:t>estimular os</w:t>
      </w:r>
      <w:r>
        <w:rPr>
          <w:sz w:val="22"/>
        </w:rPr>
        <w:t xml:space="preserve"> processos de aprendizagem entre as partes interessadas, gerando entre elas líderes e influenciadores mais abertos à expansão e </w:t>
      </w:r>
      <w:r w:rsidR="00C43456">
        <w:rPr>
          <w:sz w:val="22"/>
        </w:rPr>
        <w:t xml:space="preserve">à </w:t>
      </w:r>
      <w:r>
        <w:rPr>
          <w:sz w:val="22"/>
        </w:rPr>
        <w:t>exploração de novas oportunidades. É fundamental melhorar a capacidade de uma comunidade para fortalecer a confiança e desenvolver interações de qualidade.</w:t>
      </w:r>
      <w:r w:rsidR="00E33DF4" w:rsidRPr="00A97082">
        <w:rPr>
          <w:rStyle w:val="FootnoteReference"/>
          <w:sz w:val="22"/>
          <w:szCs w:val="22"/>
          <w:u w:val="single"/>
        </w:rPr>
        <w:footnoteReference w:id="9"/>
      </w:r>
      <w:r>
        <w:rPr>
          <w:sz w:val="22"/>
          <w:u w:val="single"/>
          <w:vertAlign w:val="superscript"/>
        </w:rPr>
        <w:t xml:space="preserve"> </w:t>
      </w:r>
    </w:p>
    <w:p w14:paraId="55B260BA" w14:textId="77777777" w:rsidR="00A97082" w:rsidRDefault="00A97082" w:rsidP="00A97082">
      <w:pPr>
        <w:ind w:firstLine="720"/>
        <w:jc w:val="both"/>
        <w:rPr>
          <w:sz w:val="22"/>
          <w:szCs w:val="22"/>
        </w:rPr>
      </w:pPr>
    </w:p>
    <w:p w14:paraId="3735A7B9" w14:textId="3BE1B84A" w:rsidR="005F44FD" w:rsidRDefault="00CB1CD2" w:rsidP="00A97082">
      <w:pPr>
        <w:ind w:firstLine="720"/>
        <w:jc w:val="both"/>
        <w:rPr>
          <w:sz w:val="22"/>
          <w:szCs w:val="22"/>
        </w:rPr>
      </w:pPr>
      <w:r>
        <w:rPr>
          <w:sz w:val="22"/>
        </w:rPr>
        <w:t>É</w:t>
      </w:r>
      <w:r w:rsidR="00C43456">
        <w:rPr>
          <w:sz w:val="22"/>
        </w:rPr>
        <w:t xml:space="preserve">, portanto, </w:t>
      </w:r>
      <w:r>
        <w:rPr>
          <w:sz w:val="22"/>
        </w:rPr>
        <w:t xml:space="preserve">uma tarefa permanente </w:t>
      </w:r>
      <w:r w:rsidR="00C43456">
        <w:rPr>
          <w:sz w:val="22"/>
        </w:rPr>
        <w:t>d</w:t>
      </w:r>
      <w:r>
        <w:rPr>
          <w:sz w:val="22"/>
        </w:rPr>
        <w:t xml:space="preserve">as economias da </w:t>
      </w:r>
      <w:r w:rsidR="00C43456">
        <w:rPr>
          <w:sz w:val="22"/>
        </w:rPr>
        <w:t>ALC</w:t>
      </w:r>
      <w:r>
        <w:rPr>
          <w:sz w:val="22"/>
        </w:rPr>
        <w:t xml:space="preserve"> incorporar, no nível comunitário, capacidades e habilidades institucionais para promover a inovação, a tecnologia e o empreendedorismo, como meio de gerar bens e serviços de valor agregado e diversificar as economias </w:t>
      </w:r>
      <w:r w:rsidR="00730B51">
        <w:rPr>
          <w:sz w:val="22"/>
        </w:rPr>
        <w:t>para</w:t>
      </w:r>
      <w:r>
        <w:rPr>
          <w:sz w:val="22"/>
        </w:rPr>
        <w:t xml:space="preserve"> </w:t>
      </w:r>
      <w:r w:rsidR="00730B51">
        <w:rPr>
          <w:sz w:val="22"/>
        </w:rPr>
        <w:t>superar</w:t>
      </w:r>
      <w:r>
        <w:rPr>
          <w:sz w:val="22"/>
        </w:rPr>
        <w:t xml:space="preserve"> um crescimento determinado por </w:t>
      </w:r>
      <w:r>
        <w:rPr>
          <w:i/>
          <w:iCs/>
          <w:sz w:val="22"/>
        </w:rPr>
        <w:t>commodities</w:t>
      </w:r>
      <w:r>
        <w:rPr>
          <w:sz w:val="22"/>
        </w:rPr>
        <w:t xml:space="preserve">. </w:t>
      </w:r>
    </w:p>
    <w:p w14:paraId="0A0C866F" w14:textId="708E8FB8" w:rsidR="00CB1CD2" w:rsidRPr="00EF14FB" w:rsidRDefault="00C624E8" w:rsidP="00A97082">
      <w:pPr>
        <w:ind w:firstLine="720"/>
        <w:jc w:val="both"/>
        <w:rPr>
          <w:sz w:val="22"/>
          <w:szCs w:val="22"/>
        </w:rPr>
      </w:pPr>
      <w:r>
        <w:rPr>
          <w:sz w:val="22"/>
        </w:rPr>
        <w:t xml:space="preserve">Os Estados membros da OEA </w:t>
      </w:r>
      <w:r w:rsidR="00EB7AB1">
        <w:rPr>
          <w:sz w:val="22"/>
        </w:rPr>
        <w:t>enfrenta</w:t>
      </w:r>
      <w:r w:rsidR="006A452B">
        <w:rPr>
          <w:sz w:val="22"/>
        </w:rPr>
        <w:t>rão</w:t>
      </w:r>
      <w:r w:rsidR="00EB7AB1">
        <w:rPr>
          <w:sz w:val="22"/>
        </w:rPr>
        <w:t xml:space="preserve"> </w:t>
      </w:r>
      <w:r w:rsidR="00CB1CD2">
        <w:rPr>
          <w:sz w:val="22"/>
        </w:rPr>
        <w:t>riscos pós-covid</w:t>
      </w:r>
      <w:r w:rsidR="00EB7AB1">
        <w:rPr>
          <w:sz w:val="22"/>
        </w:rPr>
        <w:t xml:space="preserve">, como </w:t>
      </w:r>
      <w:r w:rsidR="00CB1CD2">
        <w:rPr>
          <w:sz w:val="22"/>
        </w:rPr>
        <w:t>o impacto econômico e social</w:t>
      </w:r>
      <w:r w:rsidR="00D22541">
        <w:rPr>
          <w:sz w:val="22"/>
        </w:rPr>
        <w:t xml:space="preserve"> resultante</w:t>
      </w:r>
      <w:r w:rsidR="00CB1CD2">
        <w:rPr>
          <w:sz w:val="22"/>
        </w:rPr>
        <w:t xml:space="preserve">, cortes </w:t>
      </w:r>
      <w:r w:rsidR="00EB7AB1">
        <w:rPr>
          <w:sz w:val="22"/>
        </w:rPr>
        <w:t>no</w:t>
      </w:r>
      <w:r w:rsidR="00CB1CD2">
        <w:rPr>
          <w:sz w:val="22"/>
        </w:rPr>
        <w:t xml:space="preserve"> orçamento e </w:t>
      </w:r>
      <w:r w:rsidR="006A452B">
        <w:rPr>
          <w:sz w:val="22"/>
        </w:rPr>
        <w:t>limitação da capacidade</w:t>
      </w:r>
      <w:r w:rsidR="00CB1CD2">
        <w:rPr>
          <w:sz w:val="22"/>
        </w:rPr>
        <w:t xml:space="preserve"> dos líderes </w:t>
      </w:r>
      <w:r w:rsidR="006A452B">
        <w:rPr>
          <w:sz w:val="22"/>
        </w:rPr>
        <w:t>de</w:t>
      </w:r>
      <w:r w:rsidR="00CB1CD2">
        <w:rPr>
          <w:sz w:val="22"/>
        </w:rPr>
        <w:t xml:space="preserve"> se concentrarem na inovação e no empreendedorismo</w:t>
      </w:r>
      <w:r w:rsidR="00EF58E4">
        <w:rPr>
          <w:sz w:val="22"/>
        </w:rPr>
        <w:t xml:space="preserve"> devido </w:t>
      </w:r>
      <w:r w:rsidR="00927E73">
        <w:rPr>
          <w:sz w:val="22"/>
        </w:rPr>
        <w:t>a</w:t>
      </w:r>
      <w:r w:rsidR="00EF58E4">
        <w:rPr>
          <w:sz w:val="22"/>
        </w:rPr>
        <w:t xml:space="preserve"> demandas</w:t>
      </w:r>
      <w:r w:rsidR="00CB1CD2">
        <w:rPr>
          <w:sz w:val="22"/>
        </w:rPr>
        <w:t xml:space="preserve"> da saúde e da emergência econômica. </w:t>
      </w:r>
    </w:p>
    <w:p w14:paraId="1D8E1962" w14:textId="330272E0" w:rsidR="00D37790" w:rsidRDefault="00D37790" w:rsidP="00A97082">
      <w:pPr>
        <w:jc w:val="both"/>
        <w:rPr>
          <w:b/>
          <w:bCs/>
          <w:sz w:val="22"/>
          <w:szCs w:val="22"/>
          <w:lang w:eastAsia="en-GB"/>
        </w:rPr>
      </w:pPr>
      <w:r>
        <w:rPr>
          <w:b/>
          <w:bCs/>
          <w:sz w:val="22"/>
          <w:szCs w:val="22"/>
          <w:lang w:eastAsia="en-GB"/>
        </w:rPr>
        <w:br w:type="page"/>
      </w:r>
    </w:p>
    <w:p w14:paraId="7FFDBE82" w14:textId="77777777" w:rsidR="00415C84" w:rsidRPr="00A538F8" w:rsidRDefault="00415C84" w:rsidP="00A97082">
      <w:pPr>
        <w:jc w:val="both"/>
        <w:rPr>
          <w:b/>
          <w:bCs/>
          <w:sz w:val="22"/>
          <w:szCs w:val="22"/>
          <w:lang w:eastAsia="en-GB"/>
        </w:rPr>
      </w:pPr>
    </w:p>
    <w:p w14:paraId="6F707BE5" w14:textId="77777777" w:rsidR="00415C84" w:rsidRPr="005E3FA9" w:rsidRDefault="005E3FA9" w:rsidP="005E3FA9">
      <w:pPr>
        <w:pStyle w:val="ListParagraph0"/>
        <w:numPr>
          <w:ilvl w:val="0"/>
          <w:numId w:val="10"/>
        </w:numPr>
        <w:tabs>
          <w:tab w:val="left" w:pos="720"/>
        </w:tabs>
        <w:ind w:left="1440" w:hanging="1440"/>
        <w:contextualSpacing/>
        <w:jc w:val="both"/>
        <w:rPr>
          <w:b/>
          <w:sz w:val="22"/>
          <w:szCs w:val="22"/>
        </w:rPr>
      </w:pPr>
      <w:r>
        <w:rPr>
          <w:b/>
          <w:sz w:val="22"/>
        </w:rPr>
        <w:t>Relevância para os mandatos da OEA</w:t>
      </w:r>
    </w:p>
    <w:p w14:paraId="494E0257" w14:textId="77777777" w:rsidR="00415C84" w:rsidRPr="00EF14FB" w:rsidRDefault="00415C84" w:rsidP="00A97082">
      <w:pPr>
        <w:jc w:val="both"/>
        <w:rPr>
          <w:sz w:val="22"/>
          <w:szCs w:val="22"/>
        </w:rPr>
      </w:pPr>
    </w:p>
    <w:p w14:paraId="50BCB113" w14:textId="178AA116" w:rsidR="006E697C" w:rsidRDefault="006E697C" w:rsidP="00A97082">
      <w:pPr>
        <w:ind w:firstLine="720"/>
        <w:jc w:val="both"/>
        <w:rPr>
          <w:sz w:val="22"/>
          <w:szCs w:val="22"/>
        </w:rPr>
      </w:pPr>
      <w:r>
        <w:rPr>
          <w:sz w:val="22"/>
        </w:rPr>
        <w:t xml:space="preserve">Promover economias inclusivas e competitivas é uma das linhas estratégicas do </w:t>
      </w:r>
      <w:r w:rsidR="00964C8A">
        <w:rPr>
          <w:sz w:val="22"/>
        </w:rPr>
        <w:t xml:space="preserve">desenvolvimento integral </w:t>
      </w:r>
      <w:r w:rsidR="00D801BB">
        <w:rPr>
          <w:sz w:val="22"/>
        </w:rPr>
        <w:t>constante do</w:t>
      </w:r>
      <w:r>
        <w:rPr>
          <w:sz w:val="22"/>
        </w:rPr>
        <w:t xml:space="preserve"> Plano Estratégico Integral da OEA </w:t>
      </w:r>
      <w:r>
        <w:rPr>
          <w:color w:val="171717"/>
          <w:sz w:val="22"/>
        </w:rPr>
        <w:t>(AG/RES.1 (LI-E/16)</w:t>
      </w:r>
      <w:r w:rsidR="00964C8A">
        <w:rPr>
          <w:color w:val="171717"/>
          <w:sz w:val="22"/>
        </w:rPr>
        <w:t xml:space="preserve">, </w:t>
      </w:r>
      <w:r w:rsidR="00515ED7">
        <w:rPr>
          <w:sz w:val="22"/>
        </w:rPr>
        <w:t>cujos objetivos encontram-se a seguir</w:t>
      </w:r>
      <w:r>
        <w:rPr>
          <w:sz w:val="22"/>
        </w:rPr>
        <w:t>:</w:t>
      </w:r>
    </w:p>
    <w:p w14:paraId="71E20E33" w14:textId="77777777" w:rsidR="00A97082" w:rsidRDefault="00A97082" w:rsidP="00A97082">
      <w:pPr>
        <w:ind w:firstLine="720"/>
        <w:jc w:val="both"/>
        <w:rPr>
          <w:color w:val="171717"/>
          <w:sz w:val="22"/>
          <w:szCs w:val="22"/>
        </w:rPr>
      </w:pPr>
    </w:p>
    <w:p w14:paraId="0847B4BD" w14:textId="0EED339A" w:rsidR="006E697C" w:rsidRPr="00F41BDD" w:rsidRDefault="00F41BDD" w:rsidP="00F41BDD">
      <w:pPr>
        <w:ind w:left="1440" w:hanging="720"/>
        <w:jc w:val="both"/>
        <w:rPr>
          <w:color w:val="171717"/>
          <w:sz w:val="22"/>
          <w:szCs w:val="22"/>
        </w:rPr>
      </w:pPr>
      <w:r>
        <w:rPr>
          <w:color w:val="171717"/>
          <w:sz w:val="22"/>
          <w:szCs w:val="22"/>
        </w:rPr>
        <w:t>“1.1</w:t>
      </w:r>
      <w:r>
        <w:rPr>
          <w:color w:val="171717"/>
          <w:sz w:val="22"/>
          <w:szCs w:val="22"/>
        </w:rPr>
        <w:tab/>
      </w:r>
      <w:r w:rsidR="006E697C" w:rsidRPr="00F41BDD">
        <w:rPr>
          <w:sz w:val="22"/>
        </w:rPr>
        <w:t>Fortalecer a capacidade das instituições dos Estados membros que apoiam a elaboração e a implementação de políticas e programas que incentivem a produtividade, o empreendedorismo, a inovação e a internacionalização das micro, pequenas e médias empresas (MPMEs), bem como de cooperativas e outras unidades produtivas.</w:t>
      </w:r>
    </w:p>
    <w:p w14:paraId="41ED7407" w14:textId="77777777" w:rsidR="00A97082" w:rsidRPr="00A97082" w:rsidRDefault="00A97082" w:rsidP="00F41BDD">
      <w:pPr>
        <w:widowControl w:val="0"/>
        <w:tabs>
          <w:tab w:val="left" w:pos="1440"/>
        </w:tabs>
        <w:ind w:left="1440" w:hanging="720"/>
        <w:jc w:val="both"/>
        <w:rPr>
          <w:sz w:val="22"/>
          <w:szCs w:val="22"/>
        </w:rPr>
      </w:pPr>
    </w:p>
    <w:p w14:paraId="4D890151" w14:textId="63273673" w:rsidR="003E2C93" w:rsidRDefault="006E697C" w:rsidP="00F41BDD">
      <w:pPr>
        <w:pStyle w:val="ListParagraph0"/>
        <w:widowControl w:val="0"/>
        <w:numPr>
          <w:ilvl w:val="1"/>
          <w:numId w:val="25"/>
        </w:numPr>
        <w:tabs>
          <w:tab w:val="left" w:pos="1440"/>
        </w:tabs>
        <w:ind w:left="1440" w:hanging="720"/>
        <w:jc w:val="both"/>
        <w:rPr>
          <w:sz w:val="22"/>
          <w:szCs w:val="22"/>
        </w:rPr>
      </w:pPr>
      <w:r>
        <w:rPr>
          <w:sz w:val="22"/>
        </w:rPr>
        <w:t xml:space="preserve">Aumentar a cooperação regional, o intercâmbio de conhecimentos, a transferência de tecnologia com termos e condições mutuamente acordados e a colaboração intersetorial entre os Estados membros e dentro deles nas áreas de competitividade, produtividade e inovação. </w:t>
      </w:r>
    </w:p>
    <w:p w14:paraId="1C0452ED" w14:textId="77777777" w:rsidR="00A97082" w:rsidRPr="00A97082" w:rsidRDefault="00A97082" w:rsidP="00F41BDD">
      <w:pPr>
        <w:pStyle w:val="ListParagraph0"/>
        <w:tabs>
          <w:tab w:val="left" w:pos="1440"/>
        </w:tabs>
        <w:ind w:left="1440" w:hanging="720"/>
        <w:rPr>
          <w:sz w:val="22"/>
          <w:szCs w:val="22"/>
        </w:rPr>
      </w:pPr>
    </w:p>
    <w:p w14:paraId="6CEE010C" w14:textId="237F447F" w:rsidR="006E697C" w:rsidRPr="00EF14FB" w:rsidRDefault="006E697C" w:rsidP="00F41BDD">
      <w:pPr>
        <w:pStyle w:val="ListParagraph0"/>
        <w:widowControl w:val="0"/>
        <w:numPr>
          <w:ilvl w:val="1"/>
          <w:numId w:val="25"/>
        </w:numPr>
        <w:tabs>
          <w:tab w:val="left" w:pos="1440"/>
        </w:tabs>
        <w:ind w:left="1440" w:hanging="720"/>
        <w:jc w:val="both"/>
        <w:rPr>
          <w:sz w:val="22"/>
          <w:szCs w:val="22"/>
        </w:rPr>
      </w:pPr>
      <w:r>
        <w:rPr>
          <w:sz w:val="22"/>
        </w:rPr>
        <w:t>Aumentar a cooperação para o fortalecimento das capacidades institucionais dos Estados membros na incorporação da inovação e da tecnologia transformadora para criar valor agregado e diversificação em suas economias de forma sustentável e inclusiva.</w:t>
      </w:r>
      <w:r w:rsidR="00F41BDD">
        <w:rPr>
          <w:sz w:val="22"/>
        </w:rPr>
        <w:t>”</w:t>
      </w:r>
    </w:p>
    <w:p w14:paraId="01AB16FC" w14:textId="77777777" w:rsidR="006E697C" w:rsidRPr="00EF14FB" w:rsidRDefault="006E697C" w:rsidP="00A97082">
      <w:pPr>
        <w:jc w:val="both"/>
        <w:rPr>
          <w:sz w:val="22"/>
          <w:szCs w:val="22"/>
        </w:rPr>
      </w:pPr>
    </w:p>
    <w:p w14:paraId="1B9D6B22" w14:textId="4EFA09FB" w:rsidR="003E2C93" w:rsidRDefault="003E2C93" w:rsidP="00A97082">
      <w:pPr>
        <w:ind w:firstLine="720"/>
        <w:jc w:val="both"/>
        <w:rPr>
          <w:color w:val="171717"/>
          <w:sz w:val="22"/>
          <w:szCs w:val="22"/>
        </w:rPr>
      </w:pPr>
      <w:r>
        <w:rPr>
          <w:sz w:val="22"/>
        </w:rPr>
        <w:t xml:space="preserve">A </w:t>
      </w:r>
      <w:hyperlink r:id="rId8" w:history="1">
        <w:r>
          <w:rPr>
            <w:rStyle w:val="Hyperlink"/>
            <w:sz w:val="22"/>
          </w:rPr>
          <w:t>Declaração de Medellín</w:t>
        </w:r>
      </w:hyperlink>
      <w:r>
        <w:rPr>
          <w:sz w:val="22"/>
        </w:rPr>
        <w:t>, adotada na Colômbia em novembro de 2017 com o tema “Ciência, tecnologia e inovação como pilares da transformação nas Américas”</w:t>
      </w:r>
      <w:r w:rsidR="005136AE">
        <w:rPr>
          <w:sz w:val="22"/>
        </w:rPr>
        <w:t>,</w:t>
      </w:r>
      <w:r>
        <w:rPr>
          <w:sz w:val="22"/>
        </w:rPr>
        <w:t xml:space="preserve"> </w:t>
      </w:r>
      <w:r w:rsidR="005136AE">
        <w:rPr>
          <w:sz w:val="22"/>
        </w:rPr>
        <w:t>e</w:t>
      </w:r>
      <w:r>
        <w:rPr>
          <w:sz w:val="22"/>
        </w:rPr>
        <w:t xml:space="preserve"> o </w:t>
      </w:r>
      <w:hyperlink r:id="rId9" w:history="1">
        <w:r>
          <w:rPr>
            <w:rStyle w:val="Hyperlink"/>
            <w:sz w:val="22"/>
          </w:rPr>
          <w:t>Plano de Trabalho da COMCYT 2018-2020</w:t>
        </w:r>
      </w:hyperlink>
      <w:r>
        <w:rPr>
          <w:sz w:val="22"/>
        </w:rPr>
        <w:t xml:space="preserve">, </w:t>
      </w:r>
      <w:r w:rsidR="005B16FC">
        <w:rPr>
          <w:sz w:val="22"/>
        </w:rPr>
        <w:t>prorrogado</w:t>
      </w:r>
      <w:r>
        <w:rPr>
          <w:sz w:val="22"/>
        </w:rPr>
        <w:t xml:space="preserve"> até 2021 pelas autoridades da COMCYT em 15 de julho de 2020,</w:t>
      </w:r>
      <w:r>
        <w:rPr>
          <w:b/>
          <w:sz w:val="22"/>
        </w:rPr>
        <w:t xml:space="preserve"> </w:t>
      </w:r>
      <w:r>
        <w:rPr>
          <w:color w:val="171717"/>
          <w:sz w:val="22"/>
        </w:rPr>
        <w:t xml:space="preserve">fornecem um roteiro detalhado (com atividades, datas, </w:t>
      </w:r>
      <w:r w:rsidR="00871561">
        <w:rPr>
          <w:color w:val="171717"/>
          <w:sz w:val="22"/>
        </w:rPr>
        <w:t>sedes</w:t>
      </w:r>
      <w:r>
        <w:rPr>
          <w:color w:val="171717"/>
          <w:sz w:val="22"/>
        </w:rPr>
        <w:t>, fontes de financiamento e indicadores para medir o progresso e os resultados</w:t>
      </w:r>
      <w:r w:rsidR="00871561">
        <w:rPr>
          <w:color w:val="171717"/>
          <w:sz w:val="22"/>
        </w:rPr>
        <w:t>) para o cumprimento d</w:t>
      </w:r>
      <w:r>
        <w:rPr>
          <w:color w:val="171717"/>
          <w:sz w:val="22"/>
        </w:rPr>
        <w:t xml:space="preserve">os mandatos e compromissos constantes do </w:t>
      </w:r>
      <w:hyperlink r:id="rId10" w:history="1">
        <w:r>
          <w:rPr>
            <w:rStyle w:val="Hyperlink"/>
            <w:sz w:val="22"/>
          </w:rPr>
          <w:t>Plano de Ação da Guatemala 2016-2020</w:t>
        </w:r>
      </w:hyperlink>
      <w:r>
        <w:rPr>
          <w:color w:val="171717"/>
          <w:sz w:val="22"/>
        </w:rPr>
        <w:t>, adotado na Quarta Reunião de Ministros e Altas Autoridades de Ciência e Tecnologia (REMCYT), realizada na Cidade da Guatemala, Guatemala, em março de 2015.</w:t>
      </w:r>
    </w:p>
    <w:p w14:paraId="0123C9EE" w14:textId="77777777" w:rsidR="00EF14FB" w:rsidRDefault="00EF14FB" w:rsidP="00A97082">
      <w:pPr>
        <w:jc w:val="both"/>
        <w:rPr>
          <w:sz w:val="22"/>
          <w:szCs w:val="22"/>
        </w:rPr>
      </w:pPr>
    </w:p>
    <w:p w14:paraId="55065A05" w14:textId="77777777" w:rsidR="00EF14FB" w:rsidRPr="00EF14FB" w:rsidRDefault="00D67CAD" w:rsidP="00A97082">
      <w:pPr>
        <w:ind w:firstLine="720"/>
        <w:jc w:val="both"/>
        <w:rPr>
          <w:sz w:val="22"/>
          <w:szCs w:val="22"/>
        </w:rPr>
      </w:pPr>
      <w:r>
        <w:rPr>
          <w:sz w:val="22"/>
        </w:rPr>
        <w:t>A Declaração de Medellín encarregou “o Grupo de Trabalho 4 a continuar trabalhando nos programas de formação de profissionais de transferência de tecnologia na região e fortalecendo o HUB de Comercialização e Transferência de Tecnologia para as Américas, com edições itinerantes nos países da região, com base na capacidade e no interesse dos Estados membros da OEA de patrocinar o programa, e realizar oficinas de capacitação online e capacitações adaptadas às necessidades e tecnologias de cada sub-região”.</w:t>
      </w:r>
    </w:p>
    <w:p w14:paraId="6FB8523F" w14:textId="77777777" w:rsidR="003E2C93" w:rsidRPr="00EF14FB" w:rsidRDefault="003E2C93" w:rsidP="00A97082">
      <w:pPr>
        <w:tabs>
          <w:tab w:val="left" w:pos="360"/>
          <w:tab w:val="left" w:pos="9270"/>
          <w:tab w:val="left" w:pos="9900"/>
        </w:tabs>
        <w:ind w:right="-90"/>
        <w:jc w:val="both"/>
        <w:rPr>
          <w:rStyle w:val="longtext"/>
          <w:sz w:val="22"/>
          <w:szCs w:val="22"/>
        </w:rPr>
      </w:pPr>
    </w:p>
    <w:p w14:paraId="0D383DCA" w14:textId="77777777" w:rsidR="003E2C93" w:rsidRPr="00EF14FB" w:rsidRDefault="003E2C93" w:rsidP="00A97082">
      <w:pPr>
        <w:tabs>
          <w:tab w:val="left" w:pos="1440"/>
        </w:tabs>
        <w:contextualSpacing/>
        <w:jc w:val="both"/>
        <w:rPr>
          <w:b/>
          <w:color w:val="171717"/>
          <w:sz w:val="22"/>
          <w:szCs w:val="22"/>
          <w:u w:val="single"/>
        </w:rPr>
      </w:pPr>
      <w:r>
        <w:rPr>
          <w:b/>
          <w:color w:val="171717"/>
          <w:sz w:val="22"/>
          <w:u w:val="single"/>
        </w:rPr>
        <w:t xml:space="preserve">HUB de Comercialização e Transferência de Tecnologia para as Américas e Plataforma de mentoria COMUNITT </w:t>
      </w:r>
    </w:p>
    <w:p w14:paraId="41A72E72" w14:textId="77777777" w:rsidR="003E2C93" w:rsidRPr="00EF14FB" w:rsidRDefault="003E2C93" w:rsidP="00A97082">
      <w:pPr>
        <w:tabs>
          <w:tab w:val="left" w:pos="1440"/>
        </w:tabs>
        <w:ind w:left="720"/>
        <w:jc w:val="both"/>
        <w:rPr>
          <w:b/>
          <w:color w:val="171717"/>
          <w:sz w:val="22"/>
          <w:szCs w:val="22"/>
          <w:u w:val="single"/>
        </w:rPr>
      </w:pPr>
    </w:p>
    <w:p w14:paraId="45ADB0DE" w14:textId="293D5CCF" w:rsidR="003E2C93" w:rsidRPr="00EF14FB" w:rsidRDefault="00A97082" w:rsidP="00A97082">
      <w:pPr>
        <w:tabs>
          <w:tab w:val="left" w:pos="720"/>
          <w:tab w:val="left" w:pos="1440"/>
        </w:tabs>
        <w:jc w:val="both"/>
        <w:rPr>
          <w:color w:val="171717"/>
          <w:sz w:val="22"/>
          <w:szCs w:val="22"/>
        </w:rPr>
      </w:pPr>
      <w:r>
        <w:rPr>
          <w:color w:val="171717"/>
          <w:sz w:val="22"/>
        </w:rPr>
        <w:tab/>
        <w:t xml:space="preserve">O HUB é um programa de mentoria e aceleração de duas semanas de duração sobre transferência de tecnologia, propriedade intelectual, patentes, licenças, protótipos, marketing, financiamento e outros aspectos práticos necessários para que as tecnologias e soluções deixem de ser ideias e </w:t>
      </w:r>
      <w:r w:rsidR="00AE4786">
        <w:rPr>
          <w:color w:val="171717"/>
          <w:sz w:val="22"/>
        </w:rPr>
        <w:t>ganhem o</w:t>
      </w:r>
      <w:r>
        <w:rPr>
          <w:color w:val="171717"/>
          <w:sz w:val="22"/>
        </w:rPr>
        <w:t xml:space="preserve"> mercado. Por meio de um processo competitivo, 40 participantes são selecionados e ganham acesso a peritos e mentores de alto nível para acelerar sua tecnologia desde um estágio inicial até a comercialização. O programa existe no âmbito do Grupo de Trabalho da COMCYT para o </w:t>
      </w:r>
      <w:r>
        <w:rPr>
          <w:color w:val="171717"/>
          <w:sz w:val="22"/>
        </w:rPr>
        <w:lastRenderedPageBreak/>
        <w:t>Desenvolvimento Tecnológico</w:t>
      </w:r>
      <w:r w:rsidR="000872D6">
        <w:rPr>
          <w:color w:val="171717"/>
          <w:sz w:val="22"/>
        </w:rPr>
        <w:t>,</w:t>
      </w:r>
      <w:r>
        <w:rPr>
          <w:color w:val="171717"/>
          <w:sz w:val="22"/>
        </w:rPr>
        <w:t xml:space="preserve"> com o apoio da CONACYT do México</w:t>
      </w:r>
      <w:r w:rsidR="00F20BE1">
        <w:rPr>
          <w:color w:val="171717"/>
          <w:sz w:val="22"/>
        </w:rPr>
        <w:t>,</w:t>
      </w:r>
      <w:r>
        <w:rPr>
          <w:color w:val="171717"/>
          <w:sz w:val="22"/>
        </w:rPr>
        <w:t xml:space="preserve"> por intermédio do </w:t>
      </w:r>
      <w:r w:rsidR="007C6565">
        <w:rPr>
          <w:sz w:val="22"/>
        </w:rPr>
        <w:t>Centro de Pesquisas Biológica do Noroeste</w:t>
      </w:r>
      <w:r>
        <w:rPr>
          <w:sz w:val="22"/>
        </w:rPr>
        <w:t xml:space="preserve"> (CIBNOR)</w:t>
      </w:r>
      <w:r>
        <w:rPr>
          <w:color w:val="171717"/>
          <w:sz w:val="22"/>
        </w:rPr>
        <w:t xml:space="preserve">. </w:t>
      </w:r>
    </w:p>
    <w:p w14:paraId="33670C3E" w14:textId="77777777" w:rsidR="003E2C93" w:rsidRPr="00EF14FB" w:rsidRDefault="003E2C93" w:rsidP="00A97082">
      <w:pPr>
        <w:tabs>
          <w:tab w:val="left" w:pos="720"/>
          <w:tab w:val="left" w:pos="1440"/>
        </w:tabs>
        <w:ind w:left="720"/>
        <w:jc w:val="both"/>
        <w:rPr>
          <w:color w:val="171717"/>
          <w:sz w:val="22"/>
          <w:szCs w:val="22"/>
        </w:rPr>
      </w:pPr>
    </w:p>
    <w:p w14:paraId="134D66F7" w14:textId="37B3F203" w:rsidR="003E2C93" w:rsidRPr="00EF14FB" w:rsidRDefault="00A97082" w:rsidP="00A97082">
      <w:pPr>
        <w:tabs>
          <w:tab w:val="left" w:pos="720"/>
          <w:tab w:val="left" w:pos="1440"/>
        </w:tabs>
        <w:jc w:val="both"/>
        <w:rPr>
          <w:color w:val="171717"/>
          <w:sz w:val="22"/>
          <w:szCs w:val="22"/>
        </w:rPr>
      </w:pPr>
      <w:r>
        <w:rPr>
          <w:color w:val="171717"/>
          <w:sz w:val="22"/>
        </w:rPr>
        <w:tab/>
      </w:r>
      <w:r w:rsidR="00F20BE1">
        <w:rPr>
          <w:color w:val="171717"/>
          <w:sz w:val="22"/>
        </w:rPr>
        <w:t>As e</w:t>
      </w:r>
      <w:r>
        <w:rPr>
          <w:color w:val="171717"/>
          <w:sz w:val="22"/>
        </w:rPr>
        <w:t>dições anteriores do HUB foram realizadas no México (de 2014 a 2017), Chile (2018), Panamá (2019), Colômbia (2019) e Dominica (2020). A próxima edição do HUB está planejada para ter lugar em Lima, Peru, no primeiro semestre de 2021, faltando ainda confirmar se essa atividade ocorrerá pessoalmente ou virtualmente,  dependendo da evolução da pandemia de covid-19.</w:t>
      </w:r>
    </w:p>
    <w:p w14:paraId="1B73CD4D" w14:textId="77777777" w:rsidR="00297197" w:rsidRDefault="00297197" w:rsidP="00A97082">
      <w:pPr>
        <w:tabs>
          <w:tab w:val="left" w:pos="720"/>
          <w:tab w:val="left" w:pos="1440"/>
        </w:tabs>
        <w:jc w:val="both"/>
        <w:rPr>
          <w:color w:val="171717"/>
          <w:sz w:val="22"/>
          <w:szCs w:val="22"/>
        </w:rPr>
      </w:pPr>
    </w:p>
    <w:p w14:paraId="4497C5F5" w14:textId="0D778470" w:rsidR="00297197" w:rsidRPr="00297197" w:rsidRDefault="00A97082" w:rsidP="00A97082">
      <w:pPr>
        <w:tabs>
          <w:tab w:val="left" w:pos="720"/>
          <w:tab w:val="left" w:pos="1440"/>
        </w:tabs>
        <w:jc w:val="both"/>
        <w:rPr>
          <w:color w:val="171717"/>
          <w:sz w:val="22"/>
          <w:szCs w:val="22"/>
        </w:rPr>
      </w:pPr>
      <w:r>
        <w:rPr>
          <w:color w:val="171717"/>
          <w:sz w:val="22"/>
        </w:rPr>
        <w:tab/>
      </w:r>
      <w:r w:rsidR="00230512">
        <w:rPr>
          <w:color w:val="171717"/>
          <w:sz w:val="22"/>
        </w:rPr>
        <w:t xml:space="preserve">A </w:t>
      </w:r>
      <w:r>
        <w:rPr>
          <w:color w:val="171717"/>
          <w:sz w:val="22"/>
        </w:rPr>
        <w:t>Dominica sediou o primeiro HUB de Empreendedorismo e Inovação no Caribe</w:t>
      </w:r>
      <w:r w:rsidR="00F20BE1">
        <w:rPr>
          <w:color w:val="171717"/>
          <w:sz w:val="22"/>
        </w:rPr>
        <w:t>,</w:t>
      </w:r>
      <w:r>
        <w:rPr>
          <w:color w:val="171717"/>
          <w:sz w:val="22"/>
        </w:rPr>
        <w:t xml:space="preserve"> em outubro de 2020. </w:t>
      </w:r>
      <w:r w:rsidR="00B760CA">
        <w:rPr>
          <w:color w:val="171717"/>
          <w:sz w:val="22"/>
        </w:rPr>
        <w:t>Com</w:t>
      </w:r>
      <w:r>
        <w:rPr>
          <w:color w:val="171717"/>
          <w:sz w:val="22"/>
        </w:rPr>
        <w:t xml:space="preserve"> uma modalidade híbrida</w:t>
      </w:r>
      <w:r w:rsidR="00B760CA">
        <w:rPr>
          <w:color w:val="171717"/>
          <w:sz w:val="22"/>
        </w:rPr>
        <w:t xml:space="preserve"> virtual</w:t>
      </w:r>
      <w:r>
        <w:rPr>
          <w:color w:val="171717"/>
          <w:sz w:val="22"/>
        </w:rPr>
        <w:t xml:space="preserve">/presencial, o HUB apoiou 31 empreendedores com habilidades e ferramentas de negócios relevantes para criar modelos de negócios mais resilientes e inovadores. No programa, os jovens empreendedores trabalharam com um grupo diversificado de mentores de locais e internacionais para acelerar sete projetos empresariais inovadores, entrar em contato com experiências de ponta relevantes e inspiradoras e facilitar o </w:t>
      </w:r>
      <w:r>
        <w:rPr>
          <w:i/>
          <w:iCs/>
          <w:color w:val="171717"/>
          <w:sz w:val="22"/>
        </w:rPr>
        <w:t>networking</w:t>
      </w:r>
      <w:r>
        <w:rPr>
          <w:color w:val="171717"/>
          <w:sz w:val="22"/>
        </w:rPr>
        <w:t xml:space="preserve">. O HUB foi uma colaboração com o gabinete do Primeiro-Ministro e do Governo da </w:t>
      </w:r>
      <w:r>
        <w:rPr>
          <w:i/>
          <w:iCs/>
          <w:color w:val="171717"/>
          <w:sz w:val="22"/>
        </w:rPr>
        <w:t>Commonwealth</w:t>
      </w:r>
      <w:r>
        <w:rPr>
          <w:color w:val="171717"/>
          <w:sz w:val="22"/>
        </w:rPr>
        <w:t xml:space="preserve"> d</w:t>
      </w:r>
      <w:r w:rsidR="00230512">
        <w:rPr>
          <w:color w:val="171717"/>
          <w:sz w:val="22"/>
        </w:rPr>
        <w:t>a</w:t>
      </w:r>
      <w:r>
        <w:rPr>
          <w:color w:val="171717"/>
          <w:sz w:val="22"/>
        </w:rPr>
        <w:t xml:space="preserve"> Dominica, a Organização dos Estados Americanos e a Associação da Indústria e do Comércio da Dominica. O programa </w:t>
      </w:r>
      <w:r w:rsidR="00E13A52">
        <w:rPr>
          <w:color w:val="171717"/>
          <w:sz w:val="22"/>
        </w:rPr>
        <w:t>estava voltado</w:t>
      </w:r>
      <w:r>
        <w:rPr>
          <w:color w:val="171717"/>
          <w:sz w:val="22"/>
        </w:rPr>
        <w:t xml:space="preserve"> para a capacitação de empresas locais </w:t>
      </w:r>
      <w:r w:rsidR="00E13A52">
        <w:rPr>
          <w:color w:val="171717"/>
          <w:sz w:val="22"/>
        </w:rPr>
        <w:t>a fim de</w:t>
      </w:r>
      <w:r>
        <w:rPr>
          <w:color w:val="171717"/>
          <w:sz w:val="22"/>
        </w:rPr>
        <w:t xml:space="preserve"> impulsionar a atividade econômica e </w:t>
      </w:r>
      <w:r w:rsidR="00F4570C">
        <w:rPr>
          <w:color w:val="171717"/>
          <w:sz w:val="22"/>
        </w:rPr>
        <w:t>oferecia</w:t>
      </w:r>
      <w:r>
        <w:rPr>
          <w:color w:val="171717"/>
          <w:sz w:val="22"/>
        </w:rPr>
        <w:t xml:space="preserve"> conteúdo e recursos </w:t>
      </w:r>
      <w:r w:rsidR="00F4570C">
        <w:rPr>
          <w:color w:val="171717"/>
          <w:sz w:val="22"/>
        </w:rPr>
        <w:t>referentes a</w:t>
      </w:r>
      <w:r>
        <w:rPr>
          <w:color w:val="171717"/>
          <w:sz w:val="22"/>
        </w:rPr>
        <w:t xml:space="preserve"> componentes importantes da educação empreendedora e da inovação para o desenvolvimento de negócios e </w:t>
      </w:r>
      <w:r w:rsidR="00262EED">
        <w:rPr>
          <w:color w:val="171717"/>
          <w:sz w:val="22"/>
        </w:rPr>
        <w:t>o</w:t>
      </w:r>
      <w:r w:rsidR="0079136D">
        <w:rPr>
          <w:color w:val="171717"/>
          <w:sz w:val="22"/>
        </w:rPr>
        <w:t xml:space="preserve"> </w:t>
      </w:r>
      <w:r>
        <w:rPr>
          <w:color w:val="171717"/>
          <w:sz w:val="22"/>
        </w:rPr>
        <w:t>crescimento continuado</w:t>
      </w:r>
      <w:r w:rsidR="00262EED">
        <w:rPr>
          <w:color w:val="171717"/>
          <w:sz w:val="22"/>
        </w:rPr>
        <w:t>,</w:t>
      </w:r>
      <w:r>
        <w:rPr>
          <w:color w:val="171717"/>
          <w:sz w:val="22"/>
        </w:rPr>
        <w:t xml:space="preserve"> </w:t>
      </w:r>
      <w:r w:rsidR="00262EED">
        <w:rPr>
          <w:color w:val="171717"/>
          <w:sz w:val="22"/>
        </w:rPr>
        <w:t>promovendo a</w:t>
      </w:r>
      <w:r>
        <w:rPr>
          <w:color w:val="171717"/>
          <w:sz w:val="22"/>
        </w:rPr>
        <w:t xml:space="preserve"> transformação digital e a resiliência.</w:t>
      </w:r>
    </w:p>
    <w:p w14:paraId="0D9230AF" w14:textId="77777777" w:rsidR="003E2C93" w:rsidRPr="00EF14FB" w:rsidRDefault="003E2C93" w:rsidP="00A97082">
      <w:pPr>
        <w:tabs>
          <w:tab w:val="left" w:pos="1440"/>
        </w:tabs>
        <w:jc w:val="both"/>
        <w:rPr>
          <w:color w:val="171717"/>
          <w:sz w:val="22"/>
          <w:szCs w:val="22"/>
        </w:rPr>
      </w:pPr>
    </w:p>
    <w:p w14:paraId="3C625389" w14:textId="59FCF24E" w:rsidR="00297197" w:rsidRDefault="00A97082" w:rsidP="00A97082">
      <w:pPr>
        <w:tabs>
          <w:tab w:val="left" w:pos="720"/>
          <w:tab w:val="left" w:pos="1440"/>
        </w:tabs>
        <w:jc w:val="both"/>
        <w:rPr>
          <w:sz w:val="22"/>
          <w:szCs w:val="22"/>
        </w:rPr>
      </w:pPr>
      <w:r>
        <w:rPr>
          <w:color w:val="171717"/>
          <w:sz w:val="22"/>
        </w:rPr>
        <w:tab/>
        <w:t xml:space="preserve">O HUB tem uma rede de mais de 300 graduados, de 19 países das Américas, que </w:t>
      </w:r>
      <w:r w:rsidR="00230512">
        <w:rPr>
          <w:color w:val="171717"/>
          <w:sz w:val="22"/>
        </w:rPr>
        <w:t>mantêm</w:t>
      </w:r>
      <w:r>
        <w:rPr>
          <w:color w:val="171717"/>
          <w:sz w:val="22"/>
        </w:rPr>
        <w:t xml:space="preserve"> contato regular e que manifestaram interesse em continuar a aprender, colaborar e obter oportunidades de mentoria e outras dicas de aceleração tecnológica. Conforme anunciado na Nona Reunião da COMCYT, a Secretaria Técnica está trabalhando atualmente na elaboração de uma plataforma de mentoria virtual para complementar o programa HUB, denominada COMUNITT, em colaboração com a Universidade da Califórnia em Riverside e outros parceiros do HUB. Essa plataforma proporcionará um fórum, artigos de referência e outras ferramentas, oportunidades de treinamento e acesso a mentores para consultas específicas, a fim de acelerar tecnologias que buscam resolver problemas reais nas comunidades das Américas. </w:t>
      </w:r>
      <w:r>
        <w:rPr>
          <w:sz w:val="22"/>
        </w:rPr>
        <w:t xml:space="preserve">O portal disponibilizará treinamento, mentoria e colaboração em certos temas para agentes de transferência de tecnologia, gerentes de incubadoras e profissionais de toda a região.  </w:t>
      </w:r>
    </w:p>
    <w:p w14:paraId="232B7DD2" w14:textId="77777777" w:rsidR="003E2C93" w:rsidRPr="00EF14FB" w:rsidRDefault="003E2C93" w:rsidP="00A97082">
      <w:pPr>
        <w:jc w:val="both"/>
        <w:rPr>
          <w:sz w:val="22"/>
          <w:szCs w:val="22"/>
        </w:rPr>
      </w:pPr>
    </w:p>
    <w:p w14:paraId="5686ACF7" w14:textId="77777777" w:rsidR="006E697C" w:rsidRPr="005E3FA9" w:rsidRDefault="006E697C" w:rsidP="005E3FA9">
      <w:pPr>
        <w:pStyle w:val="ListParagraph0"/>
        <w:numPr>
          <w:ilvl w:val="0"/>
          <w:numId w:val="10"/>
        </w:numPr>
        <w:tabs>
          <w:tab w:val="left" w:pos="720"/>
        </w:tabs>
        <w:ind w:left="720" w:hanging="720"/>
        <w:jc w:val="both"/>
        <w:rPr>
          <w:b/>
          <w:sz w:val="22"/>
          <w:szCs w:val="22"/>
        </w:rPr>
      </w:pPr>
      <w:r>
        <w:rPr>
          <w:b/>
          <w:sz w:val="22"/>
        </w:rPr>
        <w:t xml:space="preserve">Objetivo da reunião </w:t>
      </w:r>
    </w:p>
    <w:p w14:paraId="07A66B1B" w14:textId="77777777" w:rsidR="006E697C" w:rsidRPr="00EF14FB" w:rsidRDefault="006E697C" w:rsidP="00A97082">
      <w:pPr>
        <w:jc w:val="both"/>
        <w:rPr>
          <w:rFonts w:eastAsia="Calibri"/>
          <w:b/>
          <w:sz w:val="22"/>
          <w:szCs w:val="22"/>
        </w:rPr>
      </w:pPr>
    </w:p>
    <w:p w14:paraId="1667A974" w14:textId="0FCFB7EE" w:rsidR="003E2C93" w:rsidRPr="00EF14FB" w:rsidRDefault="006E697C" w:rsidP="00A97082">
      <w:pPr>
        <w:ind w:firstLine="720"/>
        <w:jc w:val="both"/>
        <w:rPr>
          <w:rFonts w:eastAsia="Calibri"/>
          <w:sz w:val="22"/>
          <w:szCs w:val="22"/>
        </w:rPr>
      </w:pPr>
      <w:r>
        <w:rPr>
          <w:sz w:val="22"/>
        </w:rPr>
        <w:t xml:space="preserve">O objetivo da reunião é </w:t>
      </w:r>
      <w:r w:rsidR="00E03F7B">
        <w:rPr>
          <w:sz w:val="22"/>
        </w:rPr>
        <w:t>examinar</w:t>
      </w:r>
      <w:r>
        <w:rPr>
          <w:sz w:val="22"/>
        </w:rPr>
        <w:t xml:space="preserve"> a implementação dos mandatos do CIDI sobre ciência e tecnologia, especialmente aqueles relacionados à inovação e à tecnologia </w:t>
      </w:r>
      <w:r w:rsidR="00CC290C">
        <w:rPr>
          <w:sz w:val="22"/>
        </w:rPr>
        <w:t>para</w:t>
      </w:r>
      <w:r>
        <w:rPr>
          <w:sz w:val="22"/>
        </w:rPr>
        <w:t xml:space="preserve"> promover a diversificação da economia e a resiliência. </w:t>
      </w:r>
    </w:p>
    <w:p w14:paraId="21DC74ED" w14:textId="77777777" w:rsidR="003E2C93" w:rsidRPr="00EF14FB" w:rsidRDefault="003E2C93" w:rsidP="00A97082">
      <w:pPr>
        <w:ind w:firstLine="720"/>
        <w:jc w:val="both"/>
        <w:rPr>
          <w:rFonts w:eastAsia="Calibri"/>
          <w:sz w:val="22"/>
          <w:szCs w:val="22"/>
        </w:rPr>
      </w:pPr>
    </w:p>
    <w:p w14:paraId="217E5AE7" w14:textId="77777777" w:rsidR="00E17764" w:rsidRDefault="00E17764" w:rsidP="00A97082">
      <w:pPr>
        <w:jc w:val="both"/>
        <w:rPr>
          <w:sz w:val="22"/>
          <w:szCs w:val="22"/>
        </w:rPr>
      </w:pPr>
      <w:r>
        <w:rPr>
          <w:sz w:val="22"/>
        </w:rPr>
        <w:t>Esta sessão examinará alguns dos temas ou perguntas a seguir:</w:t>
      </w:r>
    </w:p>
    <w:p w14:paraId="0772093E" w14:textId="77777777" w:rsidR="00A97082" w:rsidRPr="00EF14FB" w:rsidRDefault="00A97082" w:rsidP="00A97082">
      <w:pPr>
        <w:jc w:val="both"/>
        <w:rPr>
          <w:sz w:val="22"/>
          <w:szCs w:val="22"/>
        </w:rPr>
      </w:pPr>
    </w:p>
    <w:p w14:paraId="3CD94147" w14:textId="77777777" w:rsidR="00E17764" w:rsidRPr="00EF14FB" w:rsidRDefault="00E17764" w:rsidP="00A97082">
      <w:pPr>
        <w:numPr>
          <w:ilvl w:val="0"/>
          <w:numId w:val="15"/>
        </w:numPr>
        <w:tabs>
          <w:tab w:val="clear" w:pos="720"/>
          <w:tab w:val="num" w:pos="1440"/>
        </w:tabs>
        <w:ind w:left="1440" w:hanging="720"/>
        <w:jc w:val="both"/>
        <w:rPr>
          <w:sz w:val="22"/>
          <w:szCs w:val="22"/>
        </w:rPr>
      </w:pPr>
      <w:r>
        <w:rPr>
          <w:sz w:val="22"/>
        </w:rPr>
        <w:t>Que medidas podem ser tomadas para diversificar a base econômica dos Estados membros?</w:t>
      </w:r>
    </w:p>
    <w:p w14:paraId="75AA0BA5" w14:textId="32DD1B45" w:rsidR="00E17764" w:rsidRPr="00EF14FB" w:rsidRDefault="00E17764" w:rsidP="00A97082">
      <w:pPr>
        <w:numPr>
          <w:ilvl w:val="0"/>
          <w:numId w:val="15"/>
        </w:numPr>
        <w:tabs>
          <w:tab w:val="clear" w:pos="720"/>
          <w:tab w:val="num" w:pos="1440"/>
        </w:tabs>
        <w:ind w:left="1440" w:hanging="720"/>
        <w:jc w:val="both"/>
        <w:rPr>
          <w:sz w:val="22"/>
          <w:szCs w:val="22"/>
        </w:rPr>
      </w:pPr>
      <w:r>
        <w:rPr>
          <w:sz w:val="22"/>
        </w:rPr>
        <w:t xml:space="preserve">Que assistência pode ser oferecida para que as empresas </w:t>
      </w:r>
      <w:r w:rsidR="00D86435">
        <w:rPr>
          <w:sz w:val="22"/>
        </w:rPr>
        <w:t>compreendam</w:t>
      </w:r>
      <w:r>
        <w:rPr>
          <w:sz w:val="22"/>
        </w:rPr>
        <w:t xml:space="preserve"> suas vulnerabilidades</w:t>
      </w:r>
      <w:r w:rsidR="002D2EBE">
        <w:rPr>
          <w:sz w:val="22"/>
        </w:rPr>
        <w:t xml:space="preserve"> </w:t>
      </w:r>
      <w:r>
        <w:rPr>
          <w:sz w:val="22"/>
        </w:rPr>
        <w:t>face às interrupções</w:t>
      </w:r>
      <w:r w:rsidR="002D2EBE">
        <w:rPr>
          <w:sz w:val="22"/>
        </w:rPr>
        <w:t xml:space="preserve">, inclusive nas cadeias de suprimentos, </w:t>
      </w:r>
      <w:r>
        <w:rPr>
          <w:sz w:val="22"/>
        </w:rPr>
        <w:t>e adotem as ações necessárias para a retomada das operações?</w:t>
      </w:r>
    </w:p>
    <w:p w14:paraId="178DA464" w14:textId="77777777" w:rsidR="00E17764" w:rsidRPr="00EF14FB" w:rsidRDefault="00E17764" w:rsidP="00A97082">
      <w:pPr>
        <w:numPr>
          <w:ilvl w:val="0"/>
          <w:numId w:val="15"/>
        </w:numPr>
        <w:tabs>
          <w:tab w:val="clear" w:pos="720"/>
          <w:tab w:val="num" w:pos="1440"/>
        </w:tabs>
        <w:ind w:left="1440" w:hanging="720"/>
        <w:contextualSpacing/>
        <w:jc w:val="both"/>
        <w:rPr>
          <w:sz w:val="22"/>
          <w:szCs w:val="22"/>
        </w:rPr>
      </w:pPr>
      <w:r>
        <w:rPr>
          <w:sz w:val="22"/>
        </w:rPr>
        <w:lastRenderedPageBreak/>
        <w:t>Que abordagens inovadoras podem ser adotadas para reforçar o desenvolvimento da força de trabalho, o investimento em tecnologia, o apoio a empreendedores locais e a expansão dos ativos econômicos tradicionais?</w:t>
      </w:r>
    </w:p>
    <w:p w14:paraId="2FE85616" w14:textId="77777777" w:rsidR="00E17764" w:rsidRPr="00EF14FB" w:rsidRDefault="00E17764" w:rsidP="00A97082">
      <w:pPr>
        <w:numPr>
          <w:ilvl w:val="0"/>
          <w:numId w:val="15"/>
        </w:numPr>
        <w:tabs>
          <w:tab w:val="clear" w:pos="720"/>
          <w:tab w:val="num" w:pos="1440"/>
        </w:tabs>
        <w:ind w:left="1440" w:hanging="720"/>
        <w:jc w:val="both"/>
        <w:rPr>
          <w:sz w:val="22"/>
          <w:szCs w:val="22"/>
        </w:rPr>
      </w:pPr>
      <w:r>
        <w:rPr>
          <w:sz w:val="22"/>
        </w:rPr>
        <w:t xml:space="preserve">Que tecnologias transformacionais são cruciais para respaldar a implementação de uma agenda de fortalecimento da resiliência? </w:t>
      </w:r>
    </w:p>
    <w:p w14:paraId="7F3B67F3" w14:textId="3092A59E" w:rsidR="00E17764" w:rsidRPr="00EF14FB" w:rsidRDefault="00E17764" w:rsidP="00A97082">
      <w:pPr>
        <w:numPr>
          <w:ilvl w:val="0"/>
          <w:numId w:val="15"/>
        </w:numPr>
        <w:tabs>
          <w:tab w:val="clear" w:pos="720"/>
          <w:tab w:val="num" w:pos="1440"/>
        </w:tabs>
        <w:ind w:left="1440" w:hanging="720"/>
        <w:jc w:val="both"/>
        <w:rPr>
          <w:sz w:val="22"/>
          <w:szCs w:val="22"/>
        </w:rPr>
      </w:pPr>
      <w:r>
        <w:rPr>
          <w:sz w:val="22"/>
        </w:rPr>
        <w:t xml:space="preserve">Que políticas, estratégias e qualificações laborais podem ajudar a criar uma força de trabalho resiliente que possa </w:t>
      </w:r>
      <w:r w:rsidR="00973E76">
        <w:rPr>
          <w:sz w:val="22"/>
        </w:rPr>
        <w:t>trocar</w:t>
      </w:r>
      <w:r>
        <w:rPr>
          <w:sz w:val="22"/>
        </w:rPr>
        <w:t xml:space="preserve"> mais facilmente de emprego ou de setor quando houver choques internos e externos?</w:t>
      </w:r>
    </w:p>
    <w:p w14:paraId="250FCCF1" w14:textId="77777777" w:rsidR="00E17764" w:rsidRPr="00EF14FB" w:rsidRDefault="00E17764" w:rsidP="00A97082">
      <w:pPr>
        <w:numPr>
          <w:ilvl w:val="0"/>
          <w:numId w:val="15"/>
        </w:numPr>
        <w:tabs>
          <w:tab w:val="clear" w:pos="720"/>
          <w:tab w:val="num" w:pos="1440"/>
        </w:tabs>
        <w:ind w:left="1440" w:hanging="720"/>
        <w:jc w:val="both"/>
        <w:rPr>
          <w:sz w:val="22"/>
          <w:szCs w:val="22"/>
        </w:rPr>
      </w:pPr>
      <w:r>
        <w:rPr>
          <w:sz w:val="22"/>
        </w:rPr>
        <w:t>Que papel a OEA pode desempenhar no fortalecimento e aprimoramento da inovação e do empreendedorismo nas Américas?</w:t>
      </w:r>
    </w:p>
    <w:p w14:paraId="6A35F02C" w14:textId="3A1B9877" w:rsidR="00E17764" w:rsidRPr="00EF14FB" w:rsidRDefault="00E17764" w:rsidP="00A97082">
      <w:pPr>
        <w:numPr>
          <w:ilvl w:val="0"/>
          <w:numId w:val="15"/>
        </w:numPr>
        <w:tabs>
          <w:tab w:val="clear" w:pos="720"/>
          <w:tab w:val="num" w:pos="1440"/>
        </w:tabs>
        <w:ind w:left="1440" w:hanging="720"/>
        <w:jc w:val="both"/>
        <w:rPr>
          <w:sz w:val="22"/>
          <w:szCs w:val="22"/>
        </w:rPr>
      </w:pPr>
      <w:r>
        <w:rPr>
          <w:sz w:val="22"/>
        </w:rPr>
        <w:t xml:space="preserve">Que papel a OEA pode desempenhar no fortalecimento dos ativos </w:t>
      </w:r>
      <w:r w:rsidR="00DB4096">
        <w:rPr>
          <w:sz w:val="22"/>
        </w:rPr>
        <w:t>singulares</w:t>
      </w:r>
      <w:r>
        <w:rPr>
          <w:sz w:val="22"/>
        </w:rPr>
        <w:t xml:space="preserve"> e das fortalezas competitivas da região e no auxílio às empresas durante a recuperação econômica após a crise?</w:t>
      </w:r>
    </w:p>
    <w:p w14:paraId="324BB1C9" w14:textId="7061EC18" w:rsidR="0022464A" w:rsidRPr="00EF14FB" w:rsidRDefault="0022464A" w:rsidP="00A97082">
      <w:pPr>
        <w:numPr>
          <w:ilvl w:val="0"/>
          <w:numId w:val="15"/>
        </w:numPr>
        <w:tabs>
          <w:tab w:val="clear" w:pos="720"/>
          <w:tab w:val="num" w:pos="1440"/>
        </w:tabs>
        <w:ind w:left="1440" w:hanging="720"/>
        <w:jc w:val="both"/>
        <w:rPr>
          <w:sz w:val="22"/>
          <w:szCs w:val="22"/>
        </w:rPr>
      </w:pPr>
      <w:r>
        <w:rPr>
          <w:sz w:val="22"/>
        </w:rPr>
        <w:t xml:space="preserve">Como o HUB pode ser aprimorado para </w:t>
      </w:r>
      <w:r w:rsidR="009800E0">
        <w:rPr>
          <w:sz w:val="22"/>
        </w:rPr>
        <w:t>contar com a participação de</w:t>
      </w:r>
      <w:r>
        <w:rPr>
          <w:sz w:val="22"/>
        </w:rPr>
        <w:t xml:space="preserve"> mais Estados membros e </w:t>
      </w:r>
      <w:r w:rsidR="009800E0">
        <w:rPr>
          <w:sz w:val="22"/>
        </w:rPr>
        <w:t>conectar</w:t>
      </w:r>
      <w:r>
        <w:rPr>
          <w:sz w:val="22"/>
        </w:rPr>
        <w:t xml:space="preserve"> as comunidades e os ecossistemas de inovação e empreendedorismo?</w:t>
      </w:r>
    </w:p>
    <w:p w14:paraId="1CF031C8" w14:textId="77777777" w:rsidR="00E17764" w:rsidRPr="00EF14FB" w:rsidRDefault="00E17764" w:rsidP="00A97082">
      <w:pPr>
        <w:ind w:firstLine="720"/>
        <w:jc w:val="both"/>
        <w:rPr>
          <w:rFonts w:eastAsia="Calibri"/>
          <w:sz w:val="22"/>
          <w:szCs w:val="22"/>
        </w:rPr>
      </w:pPr>
    </w:p>
    <w:p w14:paraId="45B27D41" w14:textId="49BFC66B" w:rsidR="006E697C" w:rsidRDefault="006E697C" w:rsidP="00A97082">
      <w:pPr>
        <w:ind w:firstLine="720"/>
        <w:jc w:val="both"/>
        <w:rPr>
          <w:rFonts w:eastAsia="Calibri"/>
          <w:sz w:val="22"/>
          <w:szCs w:val="22"/>
        </w:rPr>
      </w:pPr>
      <w:r>
        <w:rPr>
          <w:sz w:val="22"/>
        </w:rPr>
        <w:t>Para esta Reunião, a Secretaria-Geral da OEA, em nome d</w:t>
      </w:r>
      <w:r w:rsidR="002E5390">
        <w:rPr>
          <w:sz w:val="22"/>
        </w:rPr>
        <w:t>a</w:t>
      </w:r>
      <w:r>
        <w:rPr>
          <w:sz w:val="22"/>
        </w:rPr>
        <w:t xml:space="preserve"> </w:t>
      </w:r>
      <w:r w:rsidR="002E5390">
        <w:rPr>
          <w:sz w:val="22"/>
        </w:rPr>
        <w:t>Presidência</w:t>
      </w:r>
      <w:r>
        <w:rPr>
          <w:sz w:val="22"/>
        </w:rPr>
        <w:t xml:space="preserve"> do CIDI, convid</w:t>
      </w:r>
      <w:r w:rsidR="00E95ABE">
        <w:rPr>
          <w:sz w:val="22"/>
        </w:rPr>
        <w:t>ou os seguintes oradores</w:t>
      </w:r>
      <w:r>
        <w:rPr>
          <w:sz w:val="22"/>
        </w:rPr>
        <w:t>:</w:t>
      </w:r>
    </w:p>
    <w:p w14:paraId="6B7BF7E8" w14:textId="77777777" w:rsidR="00A97082" w:rsidRDefault="00A97082" w:rsidP="00A97082">
      <w:pPr>
        <w:ind w:firstLine="720"/>
        <w:jc w:val="both"/>
        <w:rPr>
          <w:rFonts w:eastAsia="Calibri"/>
          <w:sz w:val="22"/>
          <w:szCs w:val="22"/>
        </w:rPr>
      </w:pPr>
    </w:p>
    <w:p w14:paraId="0DE2828F" w14:textId="77777777" w:rsidR="00D67CAD" w:rsidRPr="00C4613D" w:rsidRDefault="00D67CAD" w:rsidP="00A97082">
      <w:pPr>
        <w:numPr>
          <w:ilvl w:val="0"/>
          <w:numId w:val="15"/>
        </w:numPr>
        <w:tabs>
          <w:tab w:val="clear" w:pos="720"/>
          <w:tab w:val="num" w:pos="1440"/>
        </w:tabs>
        <w:ind w:left="1440" w:hanging="720"/>
        <w:jc w:val="both"/>
        <w:rPr>
          <w:sz w:val="22"/>
          <w:szCs w:val="22"/>
        </w:rPr>
      </w:pPr>
      <w:r>
        <w:rPr>
          <w:sz w:val="22"/>
        </w:rPr>
        <w:t>Kenneth Green, Sócio-Diretor, Advance Global Partners, Dominica</w:t>
      </w:r>
    </w:p>
    <w:p w14:paraId="45B7646B" w14:textId="77777777" w:rsidR="00D67CAD" w:rsidRPr="00C4613D" w:rsidRDefault="00D67CAD" w:rsidP="00A97082">
      <w:pPr>
        <w:numPr>
          <w:ilvl w:val="0"/>
          <w:numId w:val="15"/>
        </w:numPr>
        <w:tabs>
          <w:tab w:val="clear" w:pos="720"/>
          <w:tab w:val="num" w:pos="1440"/>
        </w:tabs>
        <w:ind w:left="1440" w:hanging="720"/>
        <w:jc w:val="both"/>
        <w:rPr>
          <w:sz w:val="22"/>
          <w:szCs w:val="22"/>
        </w:rPr>
      </w:pPr>
      <w:r>
        <w:rPr>
          <w:sz w:val="22"/>
        </w:rPr>
        <w:t>Pablo Zamora, Empreendedor e Cofundador da NotCo., Chile</w:t>
      </w:r>
    </w:p>
    <w:p w14:paraId="279426C1" w14:textId="77777777" w:rsidR="006E697C" w:rsidRDefault="006E697C" w:rsidP="00F41BDD">
      <w:pPr>
        <w:jc w:val="both"/>
        <w:rPr>
          <w:rFonts w:eastAsia="Calibri"/>
          <w:sz w:val="22"/>
          <w:szCs w:val="22"/>
        </w:rPr>
      </w:pPr>
    </w:p>
    <w:p w14:paraId="6EB6482A" w14:textId="77777777" w:rsidR="00F41BDD" w:rsidRPr="00D67CAD" w:rsidRDefault="00F41BDD" w:rsidP="00F41BDD">
      <w:pPr>
        <w:jc w:val="both"/>
        <w:rPr>
          <w:rFonts w:eastAsia="Calibri"/>
          <w:sz w:val="22"/>
          <w:szCs w:val="22"/>
        </w:rPr>
      </w:pPr>
    </w:p>
    <w:p w14:paraId="799F7155" w14:textId="7997E85C" w:rsidR="006E697C" w:rsidRPr="00EF14FB" w:rsidRDefault="006E697C" w:rsidP="005E3FA9">
      <w:pPr>
        <w:numPr>
          <w:ilvl w:val="0"/>
          <w:numId w:val="10"/>
        </w:numPr>
        <w:ind w:left="0" w:firstLine="0"/>
        <w:jc w:val="both"/>
        <w:rPr>
          <w:rFonts w:eastAsia="Calibri"/>
          <w:b/>
          <w:sz w:val="22"/>
          <w:szCs w:val="22"/>
        </w:rPr>
      </w:pPr>
      <w:r>
        <w:rPr>
          <w:b/>
          <w:sz w:val="22"/>
        </w:rPr>
        <w:t xml:space="preserve">Resultado da </w:t>
      </w:r>
      <w:r w:rsidR="004F4517">
        <w:rPr>
          <w:b/>
          <w:sz w:val="22"/>
        </w:rPr>
        <w:t>r</w:t>
      </w:r>
      <w:r>
        <w:rPr>
          <w:b/>
          <w:sz w:val="22"/>
        </w:rPr>
        <w:t xml:space="preserve">eunião </w:t>
      </w:r>
    </w:p>
    <w:p w14:paraId="74CBC50F" w14:textId="77777777" w:rsidR="006E697C" w:rsidRPr="00EF14FB" w:rsidRDefault="006E697C" w:rsidP="00A97082">
      <w:pPr>
        <w:jc w:val="both"/>
        <w:rPr>
          <w:rFonts w:eastAsia="Calibri"/>
          <w:b/>
          <w:sz w:val="22"/>
          <w:szCs w:val="22"/>
        </w:rPr>
      </w:pPr>
    </w:p>
    <w:p w14:paraId="4853C1F7" w14:textId="77777777" w:rsidR="00583B01" w:rsidRDefault="006E697C" w:rsidP="00A97082">
      <w:pPr>
        <w:ind w:firstLine="720"/>
        <w:jc w:val="both"/>
        <w:rPr>
          <w:sz w:val="22"/>
          <w:szCs w:val="22"/>
        </w:rPr>
      </w:pPr>
      <w:r>
        <w:rPr>
          <w:sz w:val="22"/>
        </w:rPr>
        <w:t>Espera-se que a sessão contribua para dar aos Estados membros da OEA a oportunidade de:</w:t>
      </w:r>
    </w:p>
    <w:p w14:paraId="504501C3" w14:textId="77777777" w:rsidR="00A97082" w:rsidRDefault="00A97082" w:rsidP="00A97082">
      <w:pPr>
        <w:ind w:firstLine="720"/>
        <w:jc w:val="both"/>
        <w:rPr>
          <w:sz w:val="22"/>
          <w:szCs w:val="22"/>
        </w:rPr>
      </w:pPr>
    </w:p>
    <w:p w14:paraId="0261784D" w14:textId="2E032EA4" w:rsidR="00583B01" w:rsidRDefault="00583B01" w:rsidP="00A97082">
      <w:pPr>
        <w:numPr>
          <w:ilvl w:val="0"/>
          <w:numId w:val="18"/>
        </w:numPr>
        <w:ind w:left="1440" w:hanging="720"/>
        <w:contextualSpacing/>
        <w:jc w:val="both"/>
        <w:rPr>
          <w:sz w:val="22"/>
          <w:szCs w:val="22"/>
        </w:rPr>
      </w:pPr>
      <w:r>
        <w:rPr>
          <w:sz w:val="22"/>
        </w:rPr>
        <w:t xml:space="preserve">Participar de uma discussão significativa sobre </w:t>
      </w:r>
      <w:r w:rsidR="00FC3DAA">
        <w:rPr>
          <w:sz w:val="22"/>
        </w:rPr>
        <w:t>os</w:t>
      </w:r>
      <w:r>
        <w:rPr>
          <w:sz w:val="22"/>
        </w:rPr>
        <w:t xml:space="preserve"> objetivos e desafios compartilhados </w:t>
      </w:r>
      <w:r w:rsidR="00FC3DAA">
        <w:rPr>
          <w:sz w:val="22"/>
        </w:rPr>
        <w:t>na diversificação de</w:t>
      </w:r>
      <w:r>
        <w:rPr>
          <w:sz w:val="22"/>
        </w:rPr>
        <w:t xml:space="preserve"> suas economias e </w:t>
      </w:r>
      <w:r w:rsidR="00FC3DAA">
        <w:rPr>
          <w:sz w:val="22"/>
        </w:rPr>
        <w:t>redução de suas</w:t>
      </w:r>
      <w:r>
        <w:rPr>
          <w:sz w:val="22"/>
        </w:rPr>
        <w:t xml:space="preserve"> vulnerabilidades, especialmente no contexto da pandemia.</w:t>
      </w:r>
    </w:p>
    <w:p w14:paraId="7050C902" w14:textId="77777777" w:rsidR="00A97082" w:rsidRPr="00EF14FB" w:rsidRDefault="00A97082" w:rsidP="00A97082">
      <w:pPr>
        <w:ind w:left="1440"/>
        <w:contextualSpacing/>
        <w:jc w:val="both"/>
        <w:rPr>
          <w:sz w:val="22"/>
          <w:szCs w:val="22"/>
        </w:rPr>
      </w:pPr>
    </w:p>
    <w:p w14:paraId="663C43EB" w14:textId="34AAD0E3" w:rsidR="00583B01" w:rsidRDefault="00583B01" w:rsidP="00A97082">
      <w:pPr>
        <w:numPr>
          <w:ilvl w:val="0"/>
          <w:numId w:val="18"/>
        </w:numPr>
        <w:ind w:left="1440" w:hanging="720"/>
        <w:contextualSpacing/>
        <w:jc w:val="both"/>
        <w:rPr>
          <w:sz w:val="22"/>
          <w:szCs w:val="22"/>
        </w:rPr>
      </w:pPr>
      <w:r>
        <w:rPr>
          <w:sz w:val="22"/>
        </w:rPr>
        <w:t xml:space="preserve">Identificar passos concretos que possam dar início ou continuar, no nível nacional e regional, </w:t>
      </w:r>
      <w:r w:rsidR="00E11822">
        <w:rPr>
          <w:sz w:val="22"/>
        </w:rPr>
        <w:t>o apoio à</w:t>
      </w:r>
      <w:r>
        <w:rPr>
          <w:sz w:val="22"/>
        </w:rPr>
        <w:t xml:space="preserve"> inovação e </w:t>
      </w:r>
      <w:r w:rsidR="00E11822">
        <w:rPr>
          <w:sz w:val="22"/>
        </w:rPr>
        <w:t xml:space="preserve">à </w:t>
      </w:r>
      <w:r>
        <w:rPr>
          <w:sz w:val="22"/>
        </w:rPr>
        <w:t>tecnologia por meio do HUB e de outras iniciativas da COMCYT e da SEDI; e</w:t>
      </w:r>
    </w:p>
    <w:p w14:paraId="6D565417" w14:textId="77777777" w:rsidR="00563E58" w:rsidRDefault="00563E58" w:rsidP="00A97082">
      <w:pPr>
        <w:ind w:left="1440"/>
        <w:contextualSpacing/>
        <w:jc w:val="both"/>
        <w:rPr>
          <w:sz w:val="22"/>
        </w:rPr>
      </w:pPr>
    </w:p>
    <w:p w14:paraId="31067865" w14:textId="19193D63" w:rsidR="00283ABA" w:rsidRPr="00F41BDD" w:rsidRDefault="00587DDA" w:rsidP="00F41BDD">
      <w:pPr>
        <w:pStyle w:val="ListParagraph0"/>
        <w:numPr>
          <w:ilvl w:val="0"/>
          <w:numId w:val="18"/>
        </w:numPr>
        <w:ind w:left="1440" w:hanging="720"/>
        <w:contextualSpacing/>
        <w:jc w:val="both"/>
        <w:rPr>
          <w:sz w:val="22"/>
        </w:rPr>
      </w:pPr>
      <w:r w:rsidRPr="00F41BDD">
        <w:rPr>
          <w:sz w:val="22"/>
        </w:rPr>
        <w:t>Acordar as ações multilaterais de cooperação e de parceria para o fortalecimento da resiliência por meio da inovação, da tecnologia e do empreendedorismo, a fim de evitar ou diminuir o impacto dos choques internos e externos nos Estados membros.</w:t>
      </w:r>
    </w:p>
    <w:p w14:paraId="22E3973B" w14:textId="0AF26702" w:rsidR="00AE5DBA" w:rsidRDefault="00D37790" w:rsidP="00A97082">
      <w:pPr>
        <w:ind w:left="1440"/>
        <w:contextualSpacing/>
        <w:jc w:val="both"/>
        <w:rPr>
          <w:sz w:val="22"/>
        </w:rPr>
      </w:pPr>
      <w:bookmarkStart w:id="1" w:name="_GoBack"/>
      <w:bookmarkEnd w:id="1"/>
      <w:r>
        <w:rPr>
          <w:noProof/>
          <w:sz w:val="22"/>
          <w:lang w:val="en-US"/>
        </w:rPr>
        <mc:AlternateContent>
          <mc:Choice Requires="wps">
            <w:drawing>
              <wp:anchor distT="0" distB="0" distL="114300" distR="114300" simplePos="0" relativeHeight="251659264" behindDoc="0" locked="1" layoutInCell="1" allowOverlap="1" wp14:anchorId="10665D58" wp14:editId="02851547">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406D314" w14:textId="4B8DB98A" w:rsidR="00D37790" w:rsidRPr="00D37790" w:rsidRDefault="00D37790">
                            <w:pPr>
                              <w:rPr>
                                <w:sz w:val="18"/>
                              </w:rPr>
                            </w:pPr>
                            <w:r>
                              <w:rPr>
                                <w:sz w:val="18"/>
                              </w:rPr>
                              <w:fldChar w:fldCharType="begin"/>
                            </w:r>
                            <w:r>
                              <w:rPr>
                                <w:sz w:val="18"/>
                              </w:rPr>
                              <w:instrText xml:space="preserve"> FILENAME  \* MERGEFORMAT </w:instrText>
                            </w:r>
                            <w:r>
                              <w:rPr>
                                <w:sz w:val="18"/>
                              </w:rPr>
                              <w:fldChar w:fldCharType="separate"/>
                            </w:r>
                            <w:r>
                              <w:rPr>
                                <w:noProof/>
                                <w:sz w:val="18"/>
                              </w:rPr>
                              <w:t>CIDI04799P01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0665D58"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r5fgIAAAIFAAAOAAAAZHJzL2Uyb0RvYy54bWysVMFu2zAMvQ/YPwi6r07cp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" filled="f" stroked="f">
                <v:stroke joinstyle="round"/>
                <v:path arrowok="t"/>
                <v:textbox>
                  <w:txbxContent>
                    <w:p w14:paraId="2406D314" w14:textId="4B8DB98A" w:rsidR="00D37790" w:rsidRPr="00D37790" w:rsidRDefault="00D37790">
                      <w:pPr>
                        <w:rPr>
                          <w:sz w:val="18"/>
                        </w:rPr>
                      </w:pPr>
                      <w:r>
                        <w:rPr>
                          <w:sz w:val="18"/>
                        </w:rPr>
                        <w:fldChar w:fldCharType="begin"/>
                      </w:r>
                      <w:r>
                        <w:rPr>
                          <w:sz w:val="18"/>
                        </w:rPr>
                        <w:instrText xml:space="preserve"> FILENAME  \* MERGEFORMAT </w:instrText>
                      </w:r>
                      <w:r>
                        <w:rPr>
                          <w:sz w:val="18"/>
                        </w:rPr>
                        <w:fldChar w:fldCharType="separate"/>
                      </w:r>
                      <w:r>
                        <w:rPr>
                          <w:noProof/>
                          <w:sz w:val="18"/>
                        </w:rPr>
                        <w:t>CIDI04799P01</w:t>
                      </w:r>
                      <w:r>
                        <w:rPr>
                          <w:sz w:val="18"/>
                        </w:rPr>
                        <w:fldChar w:fldCharType="end"/>
                      </w:r>
                    </w:p>
                  </w:txbxContent>
                </v:textbox>
                <w10:wrap anchory="page"/>
                <w10:anchorlock/>
              </v:shape>
            </w:pict>
          </mc:Fallback>
        </mc:AlternateContent>
      </w:r>
    </w:p>
    <w:sectPr w:rsidR="00AE5DBA" w:rsidSect="00A870BA">
      <w:headerReference w:type="default" r:id="rId11"/>
      <w:headerReference w:type="first" r:id="rId12"/>
      <w:type w:val="continuous"/>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B9F2A" w14:textId="77777777" w:rsidR="000B1FCD" w:rsidRDefault="000B1FCD">
      <w:r>
        <w:separator/>
      </w:r>
    </w:p>
  </w:endnote>
  <w:endnote w:type="continuationSeparator" w:id="0">
    <w:p w14:paraId="13464055" w14:textId="77777777" w:rsidR="000B1FCD" w:rsidRDefault="000B1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3C517" w14:textId="77777777" w:rsidR="000B1FCD" w:rsidRDefault="000B1FCD">
      <w:r>
        <w:separator/>
      </w:r>
    </w:p>
  </w:footnote>
  <w:footnote w:type="continuationSeparator" w:id="0">
    <w:p w14:paraId="685F6C3C" w14:textId="77777777" w:rsidR="000B1FCD" w:rsidRDefault="000B1FCD">
      <w:r>
        <w:continuationSeparator/>
      </w:r>
    </w:p>
  </w:footnote>
  <w:footnote w:id="1">
    <w:p w14:paraId="696CA634" w14:textId="77777777" w:rsidR="005F5970" w:rsidRPr="00D67CAD" w:rsidRDefault="00A97082" w:rsidP="00A97082">
      <w:pPr>
        <w:pStyle w:val="FootnoteText"/>
        <w:tabs>
          <w:tab w:val="left" w:pos="360"/>
          <w:tab w:val="left" w:pos="720"/>
        </w:tabs>
        <w:ind w:left="720" w:hanging="720"/>
        <w:jc w:val="both"/>
        <w:rPr>
          <w:color w:val="000000" w:themeColor="text1"/>
        </w:rPr>
      </w:pPr>
      <w:r>
        <w:rPr>
          <w:color w:val="000000" w:themeColor="text1"/>
        </w:rPr>
        <w:tab/>
      </w:r>
      <w:r>
        <w:rPr>
          <w:rStyle w:val="FootnoteReference"/>
          <w:color w:val="000000" w:themeColor="text1"/>
          <w:vertAlign w:val="baseline"/>
        </w:rPr>
        <w:footnoteRef/>
      </w:r>
      <w:r>
        <w:rPr>
          <w:color w:val="000000" w:themeColor="text1"/>
        </w:rPr>
        <w:t xml:space="preserve">. </w:t>
      </w:r>
      <w:r>
        <w:rPr>
          <w:color w:val="000000" w:themeColor="text1"/>
        </w:rPr>
        <w:tab/>
        <w:t xml:space="preserve">Banco Mundial na América Latina e no Caribe, Panorama Geral (2019) https://www.worldbank.org/en/region/lac/overview </w:t>
      </w:r>
      <w:hyperlink r:id="rId1" w:history="1">
        <w:r>
          <w:rPr>
            <w:rStyle w:val="Hyperlink"/>
            <w:color w:val="000000" w:themeColor="text1"/>
          </w:rPr>
          <w:t>.</w:t>
        </w:r>
      </w:hyperlink>
    </w:p>
  </w:footnote>
  <w:footnote w:id="2">
    <w:p w14:paraId="083104CB" w14:textId="3B0EC1FA" w:rsidR="005F5970" w:rsidRPr="00D67CAD" w:rsidRDefault="00A97082" w:rsidP="00A97082">
      <w:pPr>
        <w:pStyle w:val="FootnoteText"/>
        <w:tabs>
          <w:tab w:val="left" w:pos="360"/>
          <w:tab w:val="left" w:pos="720"/>
        </w:tabs>
        <w:ind w:left="720" w:hanging="720"/>
        <w:jc w:val="both"/>
        <w:rPr>
          <w:color w:val="000000" w:themeColor="text1"/>
        </w:rPr>
      </w:pPr>
      <w:r>
        <w:rPr>
          <w:color w:val="000000" w:themeColor="text1"/>
        </w:rPr>
        <w:tab/>
      </w:r>
      <w:r>
        <w:rPr>
          <w:rStyle w:val="FootnoteReference"/>
          <w:color w:val="000000" w:themeColor="text1"/>
          <w:vertAlign w:val="baseline"/>
        </w:rPr>
        <w:footnoteRef/>
      </w:r>
      <w:r>
        <w:rPr>
          <w:color w:val="000000" w:themeColor="text1"/>
        </w:rPr>
        <w:t xml:space="preserve"> </w:t>
      </w:r>
      <w:r>
        <w:rPr>
          <w:color w:val="000000" w:themeColor="text1"/>
        </w:rPr>
        <w:tab/>
      </w:r>
      <w:r>
        <w:rPr>
          <w:color w:val="000000" w:themeColor="text1"/>
        </w:rPr>
        <w:t>CEPAL</w:t>
      </w:r>
      <w:r>
        <w:rPr>
          <w:b/>
          <w:color w:val="000000" w:themeColor="text1"/>
        </w:rPr>
        <w:t xml:space="preserve">, </w:t>
      </w:r>
      <w:hyperlink r:id="rId2" w:history="1">
        <w:r>
          <w:rPr>
            <w:rStyle w:val="Strong"/>
            <w:b w:val="0"/>
            <w:color w:val="000000" w:themeColor="text1"/>
          </w:rPr>
          <w:t>Estudo Econômico da América Latina e do Caribe 2020.</w:t>
        </w:r>
      </w:hyperlink>
      <w:hyperlink r:id="rId3" w:history="1">
        <w:r>
          <w:rPr>
            <w:rStyle w:val="Strong"/>
            <w:b w:val="0"/>
            <w:color w:val="000000" w:themeColor="text1"/>
          </w:rPr>
          <w:t xml:space="preserve"> Principais condicionantes das políticas fiscal e monetária na era pós-pandemia de covid-19 (tradução livre</w:t>
        </w:r>
        <w:r w:rsidR="00927E73">
          <w:rPr>
            <w:rStyle w:val="Strong"/>
            <w:b w:val="0"/>
            <w:color w:val="000000" w:themeColor="text1"/>
          </w:rPr>
          <w:t xml:space="preserve"> do título</w:t>
        </w:r>
        <w:r>
          <w:rPr>
            <w:rStyle w:val="Strong"/>
            <w:b w:val="0"/>
            <w:color w:val="000000" w:themeColor="text1"/>
          </w:rPr>
          <w:t>)</w:t>
        </w:r>
      </w:hyperlink>
      <w:r>
        <w:rPr>
          <w:color w:val="000000" w:themeColor="text1"/>
        </w:rPr>
        <w:t>, outubro de 2020.</w:t>
      </w:r>
    </w:p>
  </w:footnote>
  <w:footnote w:id="3">
    <w:p w14:paraId="5B918270" w14:textId="77777777" w:rsidR="005F5970" w:rsidRPr="00A97082" w:rsidRDefault="005F5970" w:rsidP="00A97082">
      <w:pPr>
        <w:pStyle w:val="FootnoteText"/>
        <w:ind w:left="720" w:hanging="360"/>
        <w:jc w:val="both"/>
        <w:rPr>
          <w:color w:val="000000" w:themeColor="text1"/>
        </w:rPr>
      </w:pPr>
      <w:r>
        <w:rPr>
          <w:rStyle w:val="FootnoteReference"/>
          <w:color w:val="000000" w:themeColor="text1"/>
          <w:vertAlign w:val="baseline"/>
        </w:rPr>
        <w:footnoteRef/>
      </w:r>
      <w:r>
        <w:rPr>
          <w:color w:val="000000" w:themeColor="text1"/>
        </w:rPr>
        <w:t>.</w:t>
      </w:r>
      <w:r>
        <w:rPr>
          <w:color w:val="000000" w:themeColor="text1"/>
        </w:rPr>
        <w:tab/>
      </w:r>
      <w:r>
        <w:rPr>
          <w:color w:val="000000" w:themeColor="text1"/>
        </w:rPr>
        <w:t xml:space="preserve">Indicadores de ciência e tecnologia atualizados (2018) </w:t>
      </w:r>
      <w:hyperlink r:id="rId4" w:history="1">
        <w:r>
          <w:rPr>
            <w:rStyle w:val="Hyperlink"/>
            <w:color w:val="000000" w:themeColor="text1"/>
          </w:rPr>
          <w:t>http://www.ricyt.org/en/</w:t>
        </w:r>
      </w:hyperlink>
    </w:p>
  </w:footnote>
  <w:footnote w:id="4">
    <w:p w14:paraId="7845E058" w14:textId="77777777" w:rsidR="005F5970" w:rsidRPr="00A97082" w:rsidRDefault="005F5970" w:rsidP="00A97082">
      <w:pPr>
        <w:ind w:left="720" w:hanging="360"/>
        <w:jc w:val="both"/>
        <w:rPr>
          <w:color w:val="000000" w:themeColor="text1"/>
        </w:rPr>
      </w:pPr>
      <w:r>
        <w:rPr>
          <w:rStyle w:val="FootnoteReference"/>
          <w:color w:val="000000" w:themeColor="text1"/>
          <w:vertAlign w:val="baseline"/>
        </w:rPr>
        <w:footnoteRef/>
      </w:r>
      <w:r>
        <w:rPr>
          <w:color w:val="000000" w:themeColor="text1"/>
        </w:rPr>
        <w:t>.</w:t>
      </w:r>
      <w:r>
        <w:rPr>
          <w:color w:val="000000" w:themeColor="text1"/>
        </w:rPr>
        <w:tab/>
      </w:r>
      <w:hyperlink r:id="rId5" w:history="1">
        <w:r>
          <w:rPr>
            <w:rStyle w:val="Hyperlink"/>
            <w:color w:val="000000" w:themeColor="text1"/>
          </w:rPr>
          <w:t>http://www3.weforum.org/docs/WEF_TheGlobalCompetitivenessReport2019.pdf</w:t>
        </w:r>
      </w:hyperlink>
      <w:r>
        <w:rPr>
          <w:color w:val="000000" w:themeColor="text1"/>
        </w:rPr>
        <w:t xml:space="preserve">  </w:t>
      </w:r>
    </w:p>
  </w:footnote>
  <w:footnote w:id="5">
    <w:p w14:paraId="2BBC921F" w14:textId="0CB4E5B0" w:rsidR="005F5970" w:rsidRPr="00A97082" w:rsidRDefault="005F5970" w:rsidP="00A97082">
      <w:pPr>
        <w:pStyle w:val="FootnoteText"/>
        <w:ind w:left="720" w:hanging="360"/>
        <w:jc w:val="both"/>
        <w:rPr>
          <w:color w:val="000000" w:themeColor="text1"/>
        </w:rPr>
      </w:pPr>
      <w:r>
        <w:rPr>
          <w:rStyle w:val="FootnoteReference"/>
          <w:color w:val="000000" w:themeColor="text1"/>
          <w:vertAlign w:val="baseline"/>
        </w:rPr>
        <w:footnoteRef/>
      </w:r>
      <w:r w:rsidRPr="00602B4F">
        <w:rPr>
          <w:color w:val="000000" w:themeColor="text1"/>
          <w:lang w:val="en-US"/>
        </w:rPr>
        <w:t>.</w:t>
      </w:r>
      <w:r w:rsidRPr="00602B4F">
        <w:rPr>
          <w:color w:val="000000" w:themeColor="text1"/>
          <w:lang w:val="en-US"/>
        </w:rPr>
        <w:tab/>
        <w:t>2019 Global Innovation Index (GII</w:t>
      </w:r>
      <w:proofErr w:type="gramStart"/>
      <w:r w:rsidRPr="00602B4F">
        <w:rPr>
          <w:color w:val="000000" w:themeColor="text1"/>
          <w:lang w:val="en-US"/>
        </w:rPr>
        <w:t xml:space="preserve">) </w:t>
      </w:r>
      <w:proofErr w:type="gramEnd"/>
      <w:hyperlink r:id="rId6" w:history="1">
        <w:r w:rsidRPr="00602B4F">
          <w:rPr>
            <w:rStyle w:val="Hyperlink"/>
            <w:color w:val="000000" w:themeColor="text1"/>
            <w:lang w:val="en-US"/>
          </w:rPr>
          <w:t>, https://www.globalinnovationindex.org/Home</w:t>
        </w:r>
      </w:hyperlink>
      <w:r w:rsidRPr="00602B4F">
        <w:rPr>
          <w:color w:val="000000" w:themeColor="text1"/>
          <w:lang w:val="en-US"/>
        </w:rPr>
        <w:t xml:space="preserve">. </w:t>
      </w:r>
      <w:r>
        <w:t xml:space="preserve">As três economias da região mais bem avaliadas são o Chile (51), seguido </w:t>
      </w:r>
      <w:r w:rsidR="00002954">
        <w:t>da</w:t>
      </w:r>
      <w:r>
        <w:t xml:space="preserve"> Costa Rica (55) e  </w:t>
      </w:r>
      <w:r w:rsidR="00002954">
        <w:t xml:space="preserve">do </w:t>
      </w:r>
      <w:r>
        <w:t>México (56). Após esse grupo, estão o Uruguai (62), o Brasil (66) e a Colômbia (67). Apesar das melhorias gradativas e das iniciativas animadoras, o GII observa que “não há sinais claros de uma aceleração considerável” e que o potencial de inovação da ALC permanece amplamente inexplorado.</w:t>
      </w:r>
    </w:p>
  </w:footnote>
  <w:footnote w:id="6">
    <w:p w14:paraId="7C3E765E" w14:textId="742CD272" w:rsidR="005F5970" w:rsidRPr="00A97082" w:rsidRDefault="005F5970" w:rsidP="00A97082">
      <w:pPr>
        <w:pStyle w:val="FootnoteText"/>
        <w:ind w:left="720" w:hanging="360"/>
        <w:jc w:val="both"/>
        <w:rPr>
          <w:color w:val="000000" w:themeColor="text1"/>
        </w:rPr>
      </w:pPr>
      <w:r>
        <w:rPr>
          <w:rStyle w:val="FootnoteReference"/>
          <w:color w:val="000000" w:themeColor="text1"/>
          <w:vertAlign w:val="baseline"/>
        </w:rPr>
        <w:footnoteRef/>
      </w:r>
      <w:r>
        <w:rPr>
          <w:color w:val="000000" w:themeColor="text1"/>
        </w:rPr>
        <w:t>.</w:t>
      </w:r>
      <w:r>
        <w:rPr>
          <w:color w:val="000000" w:themeColor="text1"/>
        </w:rPr>
        <w:tab/>
      </w:r>
      <w:r>
        <w:rPr>
          <w:color w:val="000000" w:themeColor="text1"/>
        </w:rPr>
        <w:t>Cherif &amp; Hasanov, O retorno da política fiscal que não deve ser nomeada: Princípios da política industrial (tradução livre</w:t>
      </w:r>
      <w:r w:rsidR="00927E73">
        <w:rPr>
          <w:color w:val="000000" w:themeColor="text1"/>
        </w:rPr>
        <w:t xml:space="preserve"> do título</w:t>
      </w:r>
      <w:r>
        <w:rPr>
          <w:color w:val="000000" w:themeColor="text1"/>
        </w:rPr>
        <w:t xml:space="preserve">), FMI WP/19/74 (2019), </w:t>
      </w:r>
      <w:hyperlink r:id="rId7" w:history="1">
        <w:r>
          <w:rPr>
            <w:rStyle w:val="Hyperlink"/>
            <w:color w:val="000000" w:themeColor="text1"/>
          </w:rPr>
          <w:t>https://www.imf.org/en/Publications/WP/Issues/2019/03/26/The-Return-of-the-Policy-That-Shall-Not-Be-Named-Principles-of-Industrial-Policy-46710</w:t>
        </w:r>
      </w:hyperlink>
    </w:p>
  </w:footnote>
  <w:footnote w:id="7">
    <w:p w14:paraId="034FDC74" w14:textId="77777777" w:rsidR="005F5970" w:rsidRPr="00A97082" w:rsidRDefault="005F5970" w:rsidP="00A97082">
      <w:pPr>
        <w:pStyle w:val="FootnoteText"/>
        <w:ind w:left="720" w:hanging="360"/>
        <w:rPr>
          <w:color w:val="000000" w:themeColor="text1"/>
        </w:rPr>
      </w:pPr>
      <w:r>
        <w:rPr>
          <w:rStyle w:val="FootnoteReference"/>
          <w:color w:val="000000" w:themeColor="text1"/>
          <w:vertAlign w:val="baseline"/>
        </w:rPr>
        <w:footnoteRef/>
      </w:r>
      <w:r>
        <w:rPr>
          <w:color w:val="000000" w:themeColor="text1"/>
        </w:rPr>
        <w:t>.</w:t>
      </w:r>
      <w:r>
        <w:rPr>
          <w:color w:val="000000" w:themeColor="text1"/>
        </w:rPr>
        <w:tab/>
      </w:r>
      <w:r>
        <w:rPr>
          <w:color w:val="000000" w:themeColor="text1"/>
        </w:rPr>
        <w:t>Id.</w:t>
      </w:r>
    </w:p>
  </w:footnote>
  <w:footnote w:id="8">
    <w:p w14:paraId="29C8FBA0" w14:textId="026B0E4E" w:rsidR="005F5970" w:rsidRPr="00A97082" w:rsidRDefault="005E3FA9" w:rsidP="005E3FA9">
      <w:pPr>
        <w:pStyle w:val="FootnoteText"/>
        <w:tabs>
          <w:tab w:val="left" w:pos="360"/>
          <w:tab w:val="left" w:pos="720"/>
        </w:tabs>
        <w:ind w:left="720" w:hanging="720"/>
        <w:jc w:val="both"/>
        <w:rPr>
          <w:color w:val="000000" w:themeColor="text1"/>
        </w:rPr>
      </w:pPr>
      <w:r>
        <w:rPr>
          <w:color w:val="000000" w:themeColor="text1"/>
        </w:rPr>
        <w:tab/>
      </w:r>
      <w:r>
        <w:rPr>
          <w:rStyle w:val="FootnoteReference"/>
          <w:color w:val="000000" w:themeColor="text1"/>
          <w:vertAlign w:val="baseline"/>
        </w:rPr>
        <w:footnoteRef/>
      </w:r>
      <w:r>
        <w:rPr>
          <w:color w:val="000000" w:themeColor="text1"/>
        </w:rPr>
        <w:t xml:space="preserve">. </w:t>
      </w:r>
      <w:r>
        <w:rPr>
          <w:color w:val="000000" w:themeColor="text1"/>
        </w:rPr>
        <w:tab/>
      </w:r>
      <w:r>
        <w:rPr>
          <w:color w:val="000000" w:themeColor="text1"/>
        </w:rPr>
        <w:t>Análise da mudança descontínua por meio da lente da competitividade sistêmica (tradução livre</w:t>
      </w:r>
      <w:r w:rsidR="00927E73">
        <w:rPr>
          <w:color w:val="000000" w:themeColor="text1"/>
        </w:rPr>
        <w:t xml:space="preserve"> do título</w:t>
      </w:r>
      <w:r>
        <w:rPr>
          <w:color w:val="000000" w:themeColor="text1"/>
        </w:rPr>
        <w:t>), https://www.mesopartner.com/fileadmin/media_center/Annual_Reflections/AR2018_ENG_Art8_01.pdf</w:t>
      </w:r>
    </w:p>
  </w:footnote>
  <w:footnote w:id="9">
    <w:p w14:paraId="1E69E66C" w14:textId="77777777" w:rsidR="005F5970" w:rsidRPr="00A97082" w:rsidRDefault="005E3FA9" w:rsidP="005E3FA9">
      <w:pPr>
        <w:pStyle w:val="FootnoteText"/>
        <w:tabs>
          <w:tab w:val="left" w:pos="360"/>
          <w:tab w:val="left" w:pos="720"/>
        </w:tabs>
        <w:rPr>
          <w:color w:val="000000" w:themeColor="text1"/>
        </w:rPr>
      </w:pPr>
      <w:r>
        <w:rPr>
          <w:color w:val="000000" w:themeColor="text1"/>
        </w:rPr>
        <w:tab/>
      </w:r>
      <w:r>
        <w:rPr>
          <w:rStyle w:val="FootnoteReference"/>
          <w:color w:val="000000" w:themeColor="text1"/>
          <w:vertAlign w:val="baseline"/>
        </w:rPr>
        <w:footnoteRef/>
      </w:r>
      <w:r>
        <w:rPr>
          <w:color w:val="000000" w:themeColor="text1"/>
        </w:rPr>
        <w:t>.</w:t>
      </w:r>
      <w:r>
        <w:rPr>
          <w:color w:val="000000" w:themeColor="text1"/>
        </w:rPr>
        <w:tab/>
      </w:r>
      <w:r>
        <w:rPr>
          <w:color w:val="000000" w:themeColor="text1"/>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3D0EF" w14:textId="716F3472" w:rsidR="005F5970" w:rsidRPr="009C75F5" w:rsidRDefault="005F5970">
    <w:pPr>
      <w:pStyle w:val="Header"/>
      <w:jc w:val="center"/>
      <w:rPr>
        <w:sz w:val="22"/>
        <w:szCs w:val="22"/>
      </w:rPr>
    </w:pPr>
    <w:r w:rsidRPr="009C75F5">
      <w:rPr>
        <w:sz w:val="22"/>
      </w:rPr>
      <w:fldChar w:fldCharType="begin"/>
    </w:r>
    <w:r w:rsidRPr="009C75F5">
      <w:rPr>
        <w:sz w:val="22"/>
      </w:rPr>
      <w:instrText xml:space="preserve"> PAGE   \* MERGEFORMAT </w:instrText>
    </w:r>
    <w:r w:rsidRPr="009C75F5">
      <w:rPr>
        <w:sz w:val="22"/>
      </w:rPr>
      <w:fldChar w:fldCharType="separate"/>
    </w:r>
    <w:r w:rsidR="00D37790">
      <w:rPr>
        <w:noProof/>
        <w:sz w:val="22"/>
      </w:rPr>
      <w:t>- 6 -</w:t>
    </w:r>
    <w:r w:rsidRPr="009C75F5">
      <w:rPr>
        <w:sz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FA70F" w14:textId="77777777" w:rsidR="005F5970" w:rsidRDefault="005F5970">
    <w:pPr>
      <w:pStyle w:val="Header"/>
    </w:pPr>
    <w:r>
      <w:rPr>
        <w:noProof/>
        <w:lang w:val="en-US"/>
      </w:rPr>
      <mc:AlternateContent>
        <mc:Choice Requires="wps">
          <w:drawing>
            <wp:anchor distT="0" distB="0" distL="114300" distR="114300" simplePos="0" relativeHeight="251658752" behindDoc="0" locked="0" layoutInCell="1" allowOverlap="1" wp14:anchorId="42476325" wp14:editId="47B368B8">
              <wp:simplePos x="0" y="0"/>
              <wp:positionH relativeFrom="column">
                <wp:posOffset>440690</wp:posOffset>
              </wp:positionH>
              <wp:positionV relativeFrom="paragraph">
                <wp:posOffset>-501650</wp:posOffset>
              </wp:positionV>
              <wp:extent cx="4728845" cy="8432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40CA9A" w14:textId="77777777" w:rsidR="005F5970" w:rsidRPr="00133A15" w:rsidRDefault="005F5970" w:rsidP="00921E9E">
                          <w:pPr>
                            <w:pStyle w:val="Header"/>
                            <w:tabs>
                              <w:tab w:val="left" w:pos="900"/>
                            </w:tabs>
                            <w:spacing w:line="0" w:lineRule="atLeast"/>
                            <w:jc w:val="center"/>
                            <w:rPr>
                              <w:rFonts w:ascii="Garamond" w:hAnsi="Garamond"/>
                              <w:b/>
                              <w:sz w:val="28"/>
                            </w:rPr>
                          </w:pPr>
                          <w:r>
                            <w:rPr>
                              <w:rFonts w:ascii="Garamond" w:hAnsi="Garamond"/>
                              <w:b/>
                              <w:sz w:val="28"/>
                            </w:rPr>
                            <w:t xml:space="preserve">ORGANIZAÇÃO DOS ESTADOS AMERICANOS </w:t>
                          </w:r>
                        </w:p>
                        <w:p w14:paraId="49A943CC" w14:textId="77777777" w:rsidR="005F5970" w:rsidRPr="00133A15" w:rsidRDefault="005F5970" w:rsidP="00921E9E">
                          <w:pPr>
                            <w:pStyle w:val="Header"/>
                            <w:tabs>
                              <w:tab w:val="left" w:pos="900"/>
                            </w:tabs>
                            <w:spacing w:line="0" w:lineRule="atLeast"/>
                            <w:jc w:val="center"/>
                            <w:rPr>
                              <w:rFonts w:ascii="Garamond" w:hAnsi="Garamond"/>
                              <w:b/>
                              <w:szCs w:val="22"/>
                            </w:rPr>
                          </w:pPr>
                          <w:r>
                            <w:rPr>
                              <w:rFonts w:ascii="Garamond" w:hAnsi="Garamond"/>
                              <w:b/>
                            </w:rPr>
                            <w:t xml:space="preserve">Conselho Interamericano de Desenvolvimento Integral </w:t>
                          </w:r>
                        </w:p>
                        <w:p w14:paraId="7D9AB861" w14:textId="77777777" w:rsidR="005F5970" w:rsidRPr="00EA7DE7" w:rsidRDefault="005F5970" w:rsidP="00921E9E">
                          <w:pPr>
                            <w:pStyle w:val="Header"/>
                            <w:tabs>
                              <w:tab w:val="left" w:pos="900"/>
                            </w:tabs>
                            <w:spacing w:line="0" w:lineRule="atLeast"/>
                            <w:jc w:val="center"/>
                            <w:rPr>
                              <w:b/>
                              <w:szCs w:val="22"/>
                            </w:rPr>
                          </w:pPr>
                          <w:r>
                            <w:rPr>
                              <w:rFonts w:ascii="Garamond" w:hAnsi="Garamond"/>
                              <w:b/>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476325" id="_x0000_t202" coordsize="21600,21600" o:spt="202" path="m,l,21600r21600,l21600,xe">
              <v:stroke joinstyle="miter"/>
              <v:path gradientshapeok="t" o:connecttype="rect"/>
            </v:shapetype>
            <v:shape id="Text Box 1" o:spid="_x0000_s1027" type="#_x0000_t202" style="position:absolute;margin-left:34.7pt;margin-top:-39.5pt;width:372.35pt;height:6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" stroked="f">
              <v:textbox>
                <w:txbxContent>
                  <w:p w14:paraId="4D40CA9A" w14:textId="77777777" w:rsidR="005F5970" w:rsidRPr="00133A15" w:rsidRDefault="005F5970" w:rsidP="00921E9E">
                    <w:pPr>
                      <w:pStyle w:val="Header"/>
                      <w:tabs>
                        <w:tab w:val="left" w:pos="900"/>
                      </w:tabs>
                      <w:spacing w:line="0" w:lineRule="atLeast"/>
                      <w:jc w:val="center"/>
                      <w:rPr>
                        <w:rFonts w:ascii="Garamond" w:hAnsi="Garamond"/>
                        <w:b/>
                        <w:sz w:val="28"/>
                      </w:rPr>
                    </w:pPr>
                    <w:r>
                      <w:rPr>
                        <w:rFonts w:ascii="Garamond" w:hAnsi="Garamond"/>
                        <w:b/>
                        <w:sz w:val="28"/>
                      </w:rPr>
                      <w:t xml:space="preserve">ORGANIZAÇÃO DOS ESTADOS AMERICANOS </w:t>
                    </w:r>
                  </w:p>
                  <w:p w14:paraId="49A943CC" w14:textId="77777777" w:rsidR="005F5970" w:rsidRPr="00133A15" w:rsidRDefault="005F5970" w:rsidP="00921E9E">
                    <w:pPr>
                      <w:pStyle w:val="Header"/>
                      <w:tabs>
                        <w:tab w:val="left" w:pos="900"/>
                      </w:tabs>
                      <w:spacing w:line="0" w:lineRule="atLeast"/>
                      <w:jc w:val="center"/>
                      <w:rPr>
                        <w:rFonts w:ascii="Garamond" w:hAnsi="Garamond"/>
                        <w:b/>
                        <w:szCs w:val="22"/>
                      </w:rPr>
                    </w:pPr>
                    <w:r>
                      <w:rPr>
                        <w:rFonts w:ascii="Garamond" w:hAnsi="Garamond"/>
                        <w:b/>
                      </w:rPr>
                      <w:t xml:space="preserve">Conselho Interamericano de Desenvolvimento Integral </w:t>
                    </w:r>
                  </w:p>
                  <w:p w14:paraId="7D9AB861" w14:textId="77777777" w:rsidR="005F5970" w:rsidRPr="00EA7DE7" w:rsidRDefault="005F5970" w:rsidP="00921E9E">
                    <w:pPr>
                      <w:pStyle w:val="Header"/>
                      <w:tabs>
                        <w:tab w:val="left" w:pos="900"/>
                      </w:tabs>
                      <w:spacing w:line="0" w:lineRule="atLeast"/>
                      <w:jc w:val="center"/>
                      <w:rPr>
                        <w:b/>
                        <w:szCs w:val="22"/>
                      </w:rPr>
                    </w:pPr>
                    <w:r>
                      <w:rPr>
                        <w:rFonts w:ascii="Garamond" w:hAnsi="Garamond"/>
                        <w:b/>
                      </w:rPr>
                      <w:t>(CIDI)</w:t>
                    </w:r>
                  </w:p>
                </w:txbxContent>
              </v:textbox>
            </v:shape>
          </w:pict>
        </mc:Fallback>
      </mc:AlternateContent>
    </w:r>
    <w:r>
      <w:rPr>
        <w:noProof/>
        <w:lang w:val="en-US"/>
      </w:rPr>
      <mc:AlternateContent>
        <mc:Choice Requires="wps">
          <w:drawing>
            <wp:anchor distT="0" distB="0" distL="114300" distR="114300" simplePos="0" relativeHeight="251657728" behindDoc="0" locked="0" layoutInCell="1" allowOverlap="1" wp14:anchorId="48C5325C" wp14:editId="5029D341">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C9B229" w14:textId="77777777" w:rsidR="005F5970" w:rsidRDefault="005F5970" w:rsidP="00AB7175">
                          <w:pPr>
                            <w:ind w:right="-130"/>
                          </w:pPr>
                          <w:r>
                            <w:rPr>
                              <w:rFonts w:ascii="News Gothic MT" w:hAnsi="News Gothic MT"/>
                              <w:noProof/>
                              <w:color w:val="000000"/>
                              <w:lang w:val="en-US"/>
                            </w:rPr>
                            <w:drawing>
                              <wp:inline distT="0" distB="0" distL="0" distR="0" wp14:anchorId="23F05A71" wp14:editId="56CA6370">
                                <wp:extent cx="1102995" cy="775335"/>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5325C" id="Text Box 2" o:spid="_x0000_s1028"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kg4hgIAABY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" stroked="f">
              <v:textbox>
                <w:txbxContent>
                  <w:p w14:paraId="2BC9B229" w14:textId="77777777" w:rsidR="005F5970" w:rsidRDefault="005F5970" w:rsidP="00AB7175">
                    <w:pPr>
                      <w:ind w:right="-130"/>
                    </w:pPr>
                    <w:r>
                      <w:rPr>
                        <w:rFonts w:ascii="News Gothic MT" w:hAnsi="News Gothic MT"/>
                        <w:noProof/>
                        <w:color w:val="000000"/>
                        <w:lang w:val="en-US"/>
                      </w:rPr>
                      <w:drawing>
                        <wp:inline distT="0" distB="0" distL="0" distR="0" wp14:anchorId="23F05A71" wp14:editId="56CA6370">
                          <wp:extent cx="1102995" cy="775335"/>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v:textbox>
            </v:shape>
          </w:pict>
        </mc:Fallback>
      </mc:AlternateContent>
    </w:r>
    <w:r>
      <w:rPr>
        <w:noProof/>
        <w:lang w:val="en-US"/>
      </w:rPr>
      <w:drawing>
        <wp:anchor distT="0" distB="0" distL="114300" distR="114300" simplePos="0" relativeHeight="251656704" behindDoc="0" locked="0" layoutInCell="1" allowOverlap="1" wp14:anchorId="6F9A4AAA" wp14:editId="0D2F44BC">
          <wp:simplePos x="0" y="0"/>
          <wp:positionH relativeFrom="column">
            <wp:posOffset>-444500</wp:posOffset>
          </wp:positionH>
          <wp:positionV relativeFrom="paragraph">
            <wp:posOffset>-483235</wp:posOffset>
          </wp:positionV>
          <wp:extent cx="822960" cy="824865"/>
          <wp:effectExtent l="0" t="0" r="0" b="0"/>
          <wp:wrapNone/>
          <wp:docPr id="4" name="Picture 4"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78AD82" w14:textId="77777777" w:rsidR="005F5970" w:rsidRDefault="005F597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514B39A"/>
    <w:lvl w:ilvl="0">
      <w:numFmt w:val="bullet"/>
      <w:lvlText w:val="*"/>
      <w:lvlJc w:val="left"/>
    </w:lvl>
  </w:abstractNum>
  <w:abstractNum w:abstractNumId="1" w15:restartNumberingAfterBreak="0">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923AB"/>
    <w:multiLevelType w:val="hybridMultilevel"/>
    <w:tmpl w:val="41EC86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11570"/>
    <w:multiLevelType w:val="hybridMultilevel"/>
    <w:tmpl w:val="16BEEAE6"/>
    <w:lvl w:ilvl="0" w:tplc="548A894A">
      <w:start w:val="1"/>
      <w:numFmt w:val="bullet"/>
      <w:lvlText w:val=""/>
      <w:lvlJc w:val="left"/>
      <w:pPr>
        <w:ind w:left="1080" w:hanging="360"/>
      </w:pPr>
      <w:rPr>
        <w:rFonts w:ascii="Symbol" w:hAnsi="Symbol" w:hint="default"/>
      </w:rPr>
    </w:lvl>
    <w:lvl w:ilvl="1" w:tplc="865258D2" w:tentative="1">
      <w:start w:val="1"/>
      <w:numFmt w:val="bullet"/>
      <w:lvlText w:val="o"/>
      <w:lvlJc w:val="left"/>
      <w:pPr>
        <w:ind w:left="1800" w:hanging="360"/>
      </w:pPr>
      <w:rPr>
        <w:rFonts w:ascii="Courier New" w:hAnsi="Courier New" w:cs="Courier New" w:hint="default"/>
      </w:rPr>
    </w:lvl>
    <w:lvl w:ilvl="2" w:tplc="DE12DC94" w:tentative="1">
      <w:start w:val="1"/>
      <w:numFmt w:val="bullet"/>
      <w:lvlText w:val=""/>
      <w:lvlJc w:val="left"/>
      <w:pPr>
        <w:ind w:left="2520" w:hanging="360"/>
      </w:pPr>
      <w:rPr>
        <w:rFonts w:ascii="Wingdings" w:hAnsi="Wingdings" w:hint="default"/>
      </w:rPr>
    </w:lvl>
    <w:lvl w:ilvl="3" w:tplc="B4D03D92" w:tentative="1">
      <w:start w:val="1"/>
      <w:numFmt w:val="bullet"/>
      <w:lvlText w:val=""/>
      <w:lvlJc w:val="left"/>
      <w:pPr>
        <w:ind w:left="3240" w:hanging="360"/>
      </w:pPr>
      <w:rPr>
        <w:rFonts w:ascii="Symbol" w:hAnsi="Symbol" w:hint="default"/>
      </w:rPr>
    </w:lvl>
    <w:lvl w:ilvl="4" w:tplc="6CA8DB60" w:tentative="1">
      <w:start w:val="1"/>
      <w:numFmt w:val="bullet"/>
      <w:lvlText w:val="o"/>
      <w:lvlJc w:val="left"/>
      <w:pPr>
        <w:ind w:left="3960" w:hanging="360"/>
      </w:pPr>
      <w:rPr>
        <w:rFonts w:ascii="Courier New" w:hAnsi="Courier New" w:cs="Courier New" w:hint="default"/>
      </w:rPr>
    </w:lvl>
    <w:lvl w:ilvl="5" w:tplc="6DE217DE" w:tentative="1">
      <w:start w:val="1"/>
      <w:numFmt w:val="bullet"/>
      <w:lvlText w:val=""/>
      <w:lvlJc w:val="left"/>
      <w:pPr>
        <w:ind w:left="4680" w:hanging="360"/>
      </w:pPr>
      <w:rPr>
        <w:rFonts w:ascii="Wingdings" w:hAnsi="Wingdings" w:hint="default"/>
      </w:rPr>
    </w:lvl>
    <w:lvl w:ilvl="6" w:tplc="DFF0995A" w:tentative="1">
      <w:start w:val="1"/>
      <w:numFmt w:val="bullet"/>
      <w:lvlText w:val=""/>
      <w:lvlJc w:val="left"/>
      <w:pPr>
        <w:ind w:left="5400" w:hanging="360"/>
      </w:pPr>
      <w:rPr>
        <w:rFonts w:ascii="Symbol" w:hAnsi="Symbol" w:hint="default"/>
      </w:rPr>
    </w:lvl>
    <w:lvl w:ilvl="7" w:tplc="A20C3484" w:tentative="1">
      <w:start w:val="1"/>
      <w:numFmt w:val="bullet"/>
      <w:lvlText w:val="o"/>
      <w:lvlJc w:val="left"/>
      <w:pPr>
        <w:ind w:left="6120" w:hanging="360"/>
      </w:pPr>
      <w:rPr>
        <w:rFonts w:ascii="Courier New" w:hAnsi="Courier New" w:cs="Courier New" w:hint="default"/>
      </w:rPr>
    </w:lvl>
    <w:lvl w:ilvl="8" w:tplc="3CE4668E" w:tentative="1">
      <w:start w:val="1"/>
      <w:numFmt w:val="bullet"/>
      <w:lvlText w:val=""/>
      <w:lvlJc w:val="left"/>
      <w:pPr>
        <w:ind w:left="6840" w:hanging="360"/>
      </w:pPr>
      <w:rPr>
        <w:rFonts w:ascii="Wingdings" w:hAnsi="Wingdings" w:hint="default"/>
      </w:rPr>
    </w:lvl>
  </w:abstractNum>
  <w:abstractNum w:abstractNumId="4" w15:restartNumberingAfterBreak="0">
    <w:nsid w:val="10C8700D"/>
    <w:multiLevelType w:val="hybridMultilevel"/>
    <w:tmpl w:val="BFA47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06845"/>
    <w:multiLevelType w:val="hybridMultilevel"/>
    <w:tmpl w:val="5704B636"/>
    <w:lvl w:ilvl="0" w:tplc="67D00E78">
      <w:start w:val="1"/>
      <w:numFmt w:val="decimal"/>
      <w:lvlText w:val="%1."/>
      <w:lvlJc w:val="left"/>
      <w:pPr>
        <w:ind w:left="360" w:hanging="360"/>
      </w:pPr>
      <w:rPr>
        <w:b/>
      </w:rPr>
    </w:lvl>
    <w:lvl w:ilvl="1" w:tplc="B044CC5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AA3E58"/>
    <w:multiLevelType w:val="hybridMultilevel"/>
    <w:tmpl w:val="66B0D53A"/>
    <w:lvl w:ilvl="0" w:tplc="B25CFE7C">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2B946C0"/>
    <w:multiLevelType w:val="hybridMultilevel"/>
    <w:tmpl w:val="2312D3E0"/>
    <w:lvl w:ilvl="0" w:tplc="7B04EDA8">
      <w:start w:val="1"/>
      <w:numFmt w:val="decimal"/>
      <w:lvlText w:val="%1."/>
      <w:lvlJc w:val="left"/>
      <w:pPr>
        <w:ind w:left="720" w:hanging="360"/>
      </w:pPr>
    </w:lvl>
    <w:lvl w:ilvl="1" w:tplc="F0B87E1A">
      <w:start w:val="1"/>
      <w:numFmt w:val="lowerLetter"/>
      <w:lvlText w:val="%2."/>
      <w:lvlJc w:val="left"/>
      <w:pPr>
        <w:ind w:left="1440" w:hanging="360"/>
      </w:pPr>
    </w:lvl>
    <w:lvl w:ilvl="2" w:tplc="21F4144C">
      <w:start w:val="1"/>
      <w:numFmt w:val="lowerRoman"/>
      <w:lvlText w:val="%3."/>
      <w:lvlJc w:val="right"/>
      <w:pPr>
        <w:ind w:left="2160" w:hanging="180"/>
      </w:pPr>
    </w:lvl>
    <w:lvl w:ilvl="3" w:tplc="263A0B00">
      <w:start w:val="1"/>
      <w:numFmt w:val="decimal"/>
      <w:lvlText w:val="%4."/>
      <w:lvlJc w:val="left"/>
      <w:pPr>
        <w:ind w:left="2880" w:hanging="360"/>
      </w:pPr>
    </w:lvl>
    <w:lvl w:ilvl="4" w:tplc="8152958E">
      <w:start w:val="1"/>
      <w:numFmt w:val="lowerLetter"/>
      <w:lvlText w:val="%5."/>
      <w:lvlJc w:val="left"/>
      <w:pPr>
        <w:ind w:left="3600" w:hanging="360"/>
      </w:pPr>
    </w:lvl>
    <w:lvl w:ilvl="5" w:tplc="00B8D392">
      <w:start w:val="1"/>
      <w:numFmt w:val="lowerRoman"/>
      <w:lvlText w:val="%6."/>
      <w:lvlJc w:val="right"/>
      <w:pPr>
        <w:ind w:left="4320" w:hanging="180"/>
      </w:pPr>
    </w:lvl>
    <w:lvl w:ilvl="6" w:tplc="1158BA62">
      <w:start w:val="1"/>
      <w:numFmt w:val="decimal"/>
      <w:lvlText w:val="%7."/>
      <w:lvlJc w:val="left"/>
      <w:pPr>
        <w:ind w:left="5040" w:hanging="360"/>
      </w:pPr>
    </w:lvl>
    <w:lvl w:ilvl="7" w:tplc="D292BFE6">
      <w:start w:val="1"/>
      <w:numFmt w:val="lowerLetter"/>
      <w:lvlText w:val="%8."/>
      <w:lvlJc w:val="left"/>
      <w:pPr>
        <w:ind w:left="5760" w:hanging="360"/>
      </w:pPr>
    </w:lvl>
    <w:lvl w:ilvl="8" w:tplc="7E54ECA2">
      <w:start w:val="1"/>
      <w:numFmt w:val="lowerRoman"/>
      <w:lvlText w:val="%9."/>
      <w:lvlJc w:val="right"/>
      <w:pPr>
        <w:ind w:left="6480" w:hanging="180"/>
      </w:pPr>
    </w:lvl>
  </w:abstractNum>
  <w:abstractNum w:abstractNumId="8"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D320D14"/>
    <w:multiLevelType w:val="multilevel"/>
    <w:tmpl w:val="536239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F115470"/>
    <w:multiLevelType w:val="hybridMultilevel"/>
    <w:tmpl w:val="D35AC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FB4657"/>
    <w:multiLevelType w:val="hybridMultilevel"/>
    <w:tmpl w:val="BA106666"/>
    <w:lvl w:ilvl="0" w:tplc="3D205492">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D704447"/>
    <w:multiLevelType w:val="multilevel"/>
    <w:tmpl w:val="1E12F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37C3483"/>
    <w:multiLevelType w:val="hybridMultilevel"/>
    <w:tmpl w:val="57B8A406"/>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4AD50589"/>
    <w:multiLevelType w:val="hybridMultilevel"/>
    <w:tmpl w:val="9E3CDDEE"/>
    <w:lvl w:ilvl="0" w:tplc="69B26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1BC3554"/>
    <w:multiLevelType w:val="hybridMultilevel"/>
    <w:tmpl w:val="1A64F3C8"/>
    <w:lvl w:ilvl="0" w:tplc="830619B6">
      <w:start w:val="1"/>
      <w:numFmt w:val="bullet"/>
      <w:lvlText w:val=""/>
      <w:lvlJc w:val="left"/>
      <w:pPr>
        <w:ind w:left="720" w:hanging="360"/>
      </w:pPr>
      <w:rPr>
        <w:rFonts w:ascii="Symbol" w:hAnsi="Symbol" w:hint="default"/>
      </w:rPr>
    </w:lvl>
    <w:lvl w:ilvl="1" w:tplc="BE9CDB74" w:tentative="1">
      <w:start w:val="1"/>
      <w:numFmt w:val="bullet"/>
      <w:lvlText w:val="o"/>
      <w:lvlJc w:val="left"/>
      <w:pPr>
        <w:ind w:left="1440" w:hanging="360"/>
      </w:pPr>
      <w:rPr>
        <w:rFonts w:ascii="Courier New" w:hAnsi="Courier New" w:cs="Courier New" w:hint="default"/>
      </w:rPr>
    </w:lvl>
    <w:lvl w:ilvl="2" w:tplc="9DC4DA9C" w:tentative="1">
      <w:start w:val="1"/>
      <w:numFmt w:val="bullet"/>
      <w:lvlText w:val=""/>
      <w:lvlJc w:val="left"/>
      <w:pPr>
        <w:ind w:left="2160" w:hanging="360"/>
      </w:pPr>
      <w:rPr>
        <w:rFonts w:ascii="Wingdings" w:hAnsi="Wingdings" w:hint="default"/>
      </w:rPr>
    </w:lvl>
    <w:lvl w:ilvl="3" w:tplc="2D08E0A8" w:tentative="1">
      <w:start w:val="1"/>
      <w:numFmt w:val="bullet"/>
      <w:lvlText w:val=""/>
      <w:lvlJc w:val="left"/>
      <w:pPr>
        <w:ind w:left="2880" w:hanging="360"/>
      </w:pPr>
      <w:rPr>
        <w:rFonts w:ascii="Symbol" w:hAnsi="Symbol" w:hint="default"/>
      </w:rPr>
    </w:lvl>
    <w:lvl w:ilvl="4" w:tplc="5122FBCC" w:tentative="1">
      <w:start w:val="1"/>
      <w:numFmt w:val="bullet"/>
      <w:lvlText w:val="o"/>
      <w:lvlJc w:val="left"/>
      <w:pPr>
        <w:ind w:left="3600" w:hanging="360"/>
      </w:pPr>
      <w:rPr>
        <w:rFonts w:ascii="Courier New" w:hAnsi="Courier New" w:cs="Courier New" w:hint="default"/>
      </w:rPr>
    </w:lvl>
    <w:lvl w:ilvl="5" w:tplc="71F64AFA" w:tentative="1">
      <w:start w:val="1"/>
      <w:numFmt w:val="bullet"/>
      <w:lvlText w:val=""/>
      <w:lvlJc w:val="left"/>
      <w:pPr>
        <w:ind w:left="4320" w:hanging="360"/>
      </w:pPr>
      <w:rPr>
        <w:rFonts w:ascii="Wingdings" w:hAnsi="Wingdings" w:hint="default"/>
      </w:rPr>
    </w:lvl>
    <w:lvl w:ilvl="6" w:tplc="B0F66008" w:tentative="1">
      <w:start w:val="1"/>
      <w:numFmt w:val="bullet"/>
      <w:lvlText w:val=""/>
      <w:lvlJc w:val="left"/>
      <w:pPr>
        <w:ind w:left="5040" w:hanging="360"/>
      </w:pPr>
      <w:rPr>
        <w:rFonts w:ascii="Symbol" w:hAnsi="Symbol" w:hint="default"/>
      </w:rPr>
    </w:lvl>
    <w:lvl w:ilvl="7" w:tplc="6EE6106E" w:tentative="1">
      <w:start w:val="1"/>
      <w:numFmt w:val="bullet"/>
      <w:lvlText w:val="o"/>
      <w:lvlJc w:val="left"/>
      <w:pPr>
        <w:ind w:left="5760" w:hanging="360"/>
      </w:pPr>
      <w:rPr>
        <w:rFonts w:ascii="Courier New" w:hAnsi="Courier New" w:cs="Courier New" w:hint="default"/>
      </w:rPr>
    </w:lvl>
    <w:lvl w:ilvl="8" w:tplc="CBFCFF00" w:tentative="1">
      <w:start w:val="1"/>
      <w:numFmt w:val="bullet"/>
      <w:lvlText w:val=""/>
      <w:lvlJc w:val="left"/>
      <w:pPr>
        <w:ind w:left="6480" w:hanging="360"/>
      </w:pPr>
      <w:rPr>
        <w:rFonts w:ascii="Wingdings" w:hAnsi="Wingdings" w:hint="default"/>
      </w:rPr>
    </w:lvl>
  </w:abstractNum>
  <w:abstractNum w:abstractNumId="16" w15:restartNumberingAfterBreak="0">
    <w:nsid w:val="6C1E1B7A"/>
    <w:multiLevelType w:val="hybridMultilevel"/>
    <w:tmpl w:val="BB38D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5F035E"/>
    <w:multiLevelType w:val="multilevel"/>
    <w:tmpl w:val="C0565946"/>
    <w:lvl w:ilvl="0">
      <w:start w:val="1"/>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8" w15:restartNumberingAfterBreak="0">
    <w:nsid w:val="78B57D26"/>
    <w:multiLevelType w:val="hybridMultilevel"/>
    <w:tmpl w:val="DC5E8800"/>
    <w:lvl w:ilvl="0" w:tplc="EF7058B2">
      <w:start w:val="1"/>
      <w:numFmt w:val="bullet"/>
      <w:lvlText w:val=""/>
      <w:lvlJc w:val="left"/>
      <w:pPr>
        <w:ind w:left="720" w:hanging="360"/>
      </w:pPr>
      <w:rPr>
        <w:rFonts w:ascii="Symbol" w:hAnsi="Symbol" w:hint="default"/>
      </w:rPr>
    </w:lvl>
    <w:lvl w:ilvl="1" w:tplc="32A8ABBA" w:tentative="1">
      <w:start w:val="1"/>
      <w:numFmt w:val="bullet"/>
      <w:lvlText w:val="o"/>
      <w:lvlJc w:val="left"/>
      <w:pPr>
        <w:ind w:left="1440" w:hanging="360"/>
      </w:pPr>
      <w:rPr>
        <w:rFonts w:ascii="Courier New" w:hAnsi="Courier New" w:cs="Courier New" w:hint="default"/>
      </w:rPr>
    </w:lvl>
    <w:lvl w:ilvl="2" w:tplc="92D2FB4C" w:tentative="1">
      <w:start w:val="1"/>
      <w:numFmt w:val="bullet"/>
      <w:lvlText w:val=""/>
      <w:lvlJc w:val="left"/>
      <w:pPr>
        <w:ind w:left="2160" w:hanging="360"/>
      </w:pPr>
      <w:rPr>
        <w:rFonts w:ascii="Wingdings" w:hAnsi="Wingdings" w:hint="default"/>
      </w:rPr>
    </w:lvl>
    <w:lvl w:ilvl="3" w:tplc="4662790E" w:tentative="1">
      <w:start w:val="1"/>
      <w:numFmt w:val="bullet"/>
      <w:lvlText w:val=""/>
      <w:lvlJc w:val="left"/>
      <w:pPr>
        <w:ind w:left="2880" w:hanging="360"/>
      </w:pPr>
      <w:rPr>
        <w:rFonts w:ascii="Symbol" w:hAnsi="Symbol" w:hint="default"/>
      </w:rPr>
    </w:lvl>
    <w:lvl w:ilvl="4" w:tplc="76FC3682" w:tentative="1">
      <w:start w:val="1"/>
      <w:numFmt w:val="bullet"/>
      <w:lvlText w:val="o"/>
      <w:lvlJc w:val="left"/>
      <w:pPr>
        <w:ind w:left="3600" w:hanging="360"/>
      </w:pPr>
      <w:rPr>
        <w:rFonts w:ascii="Courier New" w:hAnsi="Courier New" w:cs="Courier New" w:hint="default"/>
      </w:rPr>
    </w:lvl>
    <w:lvl w:ilvl="5" w:tplc="707E2E08" w:tentative="1">
      <w:start w:val="1"/>
      <w:numFmt w:val="bullet"/>
      <w:lvlText w:val=""/>
      <w:lvlJc w:val="left"/>
      <w:pPr>
        <w:ind w:left="4320" w:hanging="360"/>
      </w:pPr>
      <w:rPr>
        <w:rFonts w:ascii="Wingdings" w:hAnsi="Wingdings" w:hint="default"/>
      </w:rPr>
    </w:lvl>
    <w:lvl w:ilvl="6" w:tplc="4C3E54AA" w:tentative="1">
      <w:start w:val="1"/>
      <w:numFmt w:val="bullet"/>
      <w:lvlText w:val=""/>
      <w:lvlJc w:val="left"/>
      <w:pPr>
        <w:ind w:left="5040" w:hanging="360"/>
      </w:pPr>
      <w:rPr>
        <w:rFonts w:ascii="Symbol" w:hAnsi="Symbol" w:hint="default"/>
      </w:rPr>
    </w:lvl>
    <w:lvl w:ilvl="7" w:tplc="6AA823B6" w:tentative="1">
      <w:start w:val="1"/>
      <w:numFmt w:val="bullet"/>
      <w:lvlText w:val="o"/>
      <w:lvlJc w:val="left"/>
      <w:pPr>
        <w:ind w:left="5760" w:hanging="360"/>
      </w:pPr>
      <w:rPr>
        <w:rFonts w:ascii="Courier New" w:hAnsi="Courier New" w:cs="Courier New" w:hint="default"/>
      </w:rPr>
    </w:lvl>
    <w:lvl w:ilvl="8" w:tplc="68D65782" w:tentative="1">
      <w:start w:val="1"/>
      <w:numFmt w:val="bullet"/>
      <w:lvlText w:val=""/>
      <w:lvlJc w:val="left"/>
      <w:pPr>
        <w:ind w:left="6480" w:hanging="360"/>
      </w:pPr>
      <w:rPr>
        <w:rFonts w:ascii="Wingdings" w:hAnsi="Wingdings" w:hint="default"/>
      </w:rPr>
    </w:lvl>
  </w:abstractNum>
  <w:abstractNum w:abstractNumId="19" w15:restartNumberingAfterBreak="0">
    <w:nsid w:val="7EC113C6"/>
    <w:multiLevelType w:val="hybridMultilevel"/>
    <w:tmpl w:val="BD62DA58"/>
    <w:lvl w:ilvl="0" w:tplc="680291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D61F2"/>
    <w:multiLevelType w:val="hybridMultilevel"/>
    <w:tmpl w:val="935CC8B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7"/>
  </w:num>
  <w:num w:numId="3">
    <w:abstractNumId w:val="3"/>
  </w:num>
  <w:num w:numId="4">
    <w:abstractNumId w:val="18"/>
  </w:num>
  <w:num w:numId="5">
    <w:abstractNumId w:val="8"/>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
  </w:num>
  <w:num w:numId="10">
    <w:abstractNumId w:val="13"/>
  </w:num>
  <w:num w:numId="11">
    <w:abstractNumId w:val="14"/>
  </w:num>
  <w:num w:numId="12">
    <w:abstractNumId w:val="19"/>
  </w:num>
  <w:num w:numId="13">
    <w:abstractNumId w:val="5"/>
  </w:num>
  <w:num w:numId="14">
    <w:abstractNumId w:val="16"/>
  </w:num>
  <w:num w:numId="15">
    <w:abstractNumId w:val="12"/>
  </w:num>
  <w:num w:numId="16">
    <w:abstractNumId w:val="4"/>
  </w:num>
  <w:num w:numId="17">
    <w:abstractNumId w:val="20"/>
  </w:num>
  <w:num w:numId="18">
    <w:abstractNumId w:val="2"/>
  </w:num>
  <w:num w:numId="19">
    <w:abstractNumId w:val="9"/>
  </w:num>
  <w:num w:numId="20">
    <w:abstractNumId w:val="10"/>
  </w:num>
  <w:num w:numId="21">
    <w:abstractNumId w:val="6"/>
  </w:num>
  <w:num w:numId="22">
    <w:abstractNumId w:val="0"/>
    <w:lvlOverride w:ilvl="0">
      <w:lvl w:ilvl="0">
        <w:numFmt w:val="bullet"/>
        <w:lvlText w:val="•"/>
        <w:legacy w:legacy="1" w:legacySpace="0" w:legacyIndent="0"/>
        <w:lvlJc w:val="left"/>
        <w:rPr>
          <w:rFonts w:ascii="Arial" w:hAnsi="Arial" w:cs="Arial" w:hint="default"/>
          <w:sz w:val="46"/>
        </w:rPr>
      </w:lvl>
    </w:lvlOverride>
  </w:num>
  <w:num w:numId="23">
    <w:abstractNumId w:val="0"/>
    <w:lvlOverride w:ilvl="0">
      <w:lvl w:ilvl="0">
        <w:numFmt w:val="bullet"/>
        <w:lvlText w:val="•"/>
        <w:legacy w:legacy="1" w:legacySpace="0" w:legacyIndent="0"/>
        <w:lvlJc w:val="left"/>
        <w:rPr>
          <w:rFonts w:ascii="Arial" w:hAnsi="Arial" w:cs="Arial" w:hint="default"/>
          <w:sz w:val="48"/>
        </w:rPr>
      </w:lvl>
    </w:lvlOverride>
  </w:num>
  <w:num w:numId="24">
    <w:abstractNumId w:val="11"/>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SwNLMwMzA1MjawMDJQ0lEKTi0uzszPAykwqgUA+ktCkywAAAA="/>
    <w:docVar w:name="dgnword-docGUID" w:val="{D3737D5B-8688-4836-905C-7B9ECD5EB404}"/>
    <w:docVar w:name="dgnword-eventsink" w:val="100576536"/>
  </w:docVars>
  <w:rsids>
    <w:rsidRoot w:val="007F2774"/>
    <w:rsid w:val="00002954"/>
    <w:rsid w:val="00011272"/>
    <w:rsid w:val="000129E8"/>
    <w:rsid w:val="000205EC"/>
    <w:rsid w:val="0002577C"/>
    <w:rsid w:val="000427B5"/>
    <w:rsid w:val="00050886"/>
    <w:rsid w:val="00061861"/>
    <w:rsid w:val="00064A6B"/>
    <w:rsid w:val="00064DCC"/>
    <w:rsid w:val="000661F4"/>
    <w:rsid w:val="00070537"/>
    <w:rsid w:val="000706F7"/>
    <w:rsid w:val="000736AA"/>
    <w:rsid w:val="00073CCC"/>
    <w:rsid w:val="00074325"/>
    <w:rsid w:val="00074E66"/>
    <w:rsid w:val="000872D6"/>
    <w:rsid w:val="000969F9"/>
    <w:rsid w:val="00097899"/>
    <w:rsid w:val="000A72E3"/>
    <w:rsid w:val="000B1FCD"/>
    <w:rsid w:val="000B1FCF"/>
    <w:rsid w:val="000B43F5"/>
    <w:rsid w:val="000B6478"/>
    <w:rsid w:val="000C3438"/>
    <w:rsid w:val="000C344F"/>
    <w:rsid w:val="000D4368"/>
    <w:rsid w:val="000D540D"/>
    <w:rsid w:val="000D6070"/>
    <w:rsid w:val="000E313E"/>
    <w:rsid w:val="000E439E"/>
    <w:rsid w:val="000E6C8E"/>
    <w:rsid w:val="000F3CEA"/>
    <w:rsid w:val="00100226"/>
    <w:rsid w:val="00100FE1"/>
    <w:rsid w:val="00104111"/>
    <w:rsid w:val="001069A4"/>
    <w:rsid w:val="00106D57"/>
    <w:rsid w:val="00124219"/>
    <w:rsid w:val="001259E2"/>
    <w:rsid w:val="0012611C"/>
    <w:rsid w:val="0013037E"/>
    <w:rsid w:val="00133A15"/>
    <w:rsid w:val="001405C9"/>
    <w:rsid w:val="00141042"/>
    <w:rsid w:val="00142D34"/>
    <w:rsid w:val="00146FB1"/>
    <w:rsid w:val="00150AE4"/>
    <w:rsid w:val="00152D2E"/>
    <w:rsid w:val="00153DD8"/>
    <w:rsid w:val="0016660D"/>
    <w:rsid w:val="00166C73"/>
    <w:rsid w:val="00171B89"/>
    <w:rsid w:val="00180746"/>
    <w:rsid w:val="00183C2C"/>
    <w:rsid w:val="001842C2"/>
    <w:rsid w:val="00184775"/>
    <w:rsid w:val="00187D59"/>
    <w:rsid w:val="001A61AE"/>
    <w:rsid w:val="001B0828"/>
    <w:rsid w:val="001B0AB0"/>
    <w:rsid w:val="001C6DC5"/>
    <w:rsid w:val="001D0221"/>
    <w:rsid w:val="001D738C"/>
    <w:rsid w:val="001E3150"/>
    <w:rsid w:val="001E3C78"/>
    <w:rsid w:val="001E4204"/>
    <w:rsid w:val="001F2739"/>
    <w:rsid w:val="001F7D72"/>
    <w:rsid w:val="0020227F"/>
    <w:rsid w:val="002024FE"/>
    <w:rsid w:val="00203839"/>
    <w:rsid w:val="0020460C"/>
    <w:rsid w:val="002050F0"/>
    <w:rsid w:val="00222AFE"/>
    <w:rsid w:val="0022464A"/>
    <w:rsid w:val="00224C3F"/>
    <w:rsid w:val="00225597"/>
    <w:rsid w:val="00230512"/>
    <w:rsid w:val="00234996"/>
    <w:rsid w:val="00235CB9"/>
    <w:rsid w:val="0025592C"/>
    <w:rsid w:val="00262EED"/>
    <w:rsid w:val="00263931"/>
    <w:rsid w:val="00264202"/>
    <w:rsid w:val="0026449A"/>
    <w:rsid w:val="002678ED"/>
    <w:rsid w:val="00267E1B"/>
    <w:rsid w:val="0027412E"/>
    <w:rsid w:val="00277682"/>
    <w:rsid w:val="002822E7"/>
    <w:rsid w:val="0028278B"/>
    <w:rsid w:val="00282ED9"/>
    <w:rsid w:val="00283ABA"/>
    <w:rsid w:val="0028696A"/>
    <w:rsid w:val="00286D8C"/>
    <w:rsid w:val="00297197"/>
    <w:rsid w:val="002A03E9"/>
    <w:rsid w:val="002A1985"/>
    <w:rsid w:val="002A1CB2"/>
    <w:rsid w:val="002A3CB5"/>
    <w:rsid w:val="002A63EC"/>
    <w:rsid w:val="002B2DE0"/>
    <w:rsid w:val="002C6B0D"/>
    <w:rsid w:val="002D2EBE"/>
    <w:rsid w:val="002D412D"/>
    <w:rsid w:val="002E2CC7"/>
    <w:rsid w:val="002E5390"/>
    <w:rsid w:val="002E609F"/>
    <w:rsid w:val="002F0A27"/>
    <w:rsid w:val="002F0AF9"/>
    <w:rsid w:val="002F25F2"/>
    <w:rsid w:val="002F5352"/>
    <w:rsid w:val="00305E93"/>
    <w:rsid w:val="0031130C"/>
    <w:rsid w:val="003116AC"/>
    <w:rsid w:val="0032713A"/>
    <w:rsid w:val="003302CF"/>
    <w:rsid w:val="00335ABE"/>
    <w:rsid w:val="003366D5"/>
    <w:rsid w:val="00345C27"/>
    <w:rsid w:val="00345DCF"/>
    <w:rsid w:val="00350910"/>
    <w:rsid w:val="003529F3"/>
    <w:rsid w:val="00352BB7"/>
    <w:rsid w:val="00353D7A"/>
    <w:rsid w:val="00357684"/>
    <w:rsid w:val="00362D68"/>
    <w:rsid w:val="0037599C"/>
    <w:rsid w:val="003775B4"/>
    <w:rsid w:val="003805E5"/>
    <w:rsid w:val="003836D2"/>
    <w:rsid w:val="00390A70"/>
    <w:rsid w:val="00390D0F"/>
    <w:rsid w:val="003923A6"/>
    <w:rsid w:val="003945DC"/>
    <w:rsid w:val="003946A4"/>
    <w:rsid w:val="003A5B70"/>
    <w:rsid w:val="003B0B19"/>
    <w:rsid w:val="003B40C4"/>
    <w:rsid w:val="003C332F"/>
    <w:rsid w:val="003C448A"/>
    <w:rsid w:val="003C763D"/>
    <w:rsid w:val="003D0721"/>
    <w:rsid w:val="003D13AD"/>
    <w:rsid w:val="003D4305"/>
    <w:rsid w:val="003D7E75"/>
    <w:rsid w:val="003E2C93"/>
    <w:rsid w:val="003E687F"/>
    <w:rsid w:val="003F023D"/>
    <w:rsid w:val="003F4FA0"/>
    <w:rsid w:val="003F6FF7"/>
    <w:rsid w:val="00413FE5"/>
    <w:rsid w:val="00414A9D"/>
    <w:rsid w:val="00415C84"/>
    <w:rsid w:val="00421AA1"/>
    <w:rsid w:val="004279F5"/>
    <w:rsid w:val="00457B19"/>
    <w:rsid w:val="00461F49"/>
    <w:rsid w:val="0046301C"/>
    <w:rsid w:val="00463A6B"/>
    <w:rsid w:val="0046512F"/>
    <w:rsid w:val="004652E2"/>
    <w:rsid w:val="00467A8F"/>
    <w:rsid w:val="00476255"/>
    <w:rsid w:val="00490731"/>
    <w:rsid w:val="00490E58"/>
    <w:rsid w:val="00493B12"/>
    <w:rsid w:val="00496643"/>
    <w:rsid w:val="00496BBC"/>
    <w:rsid w:val="004A1D26"/>
    <w:rsid w:val="004A6065"/>
    <w:rsid w:val="004A7C48"/>
    <w:rsid w:val="004B2B39"/>
    <w:rsid w:val="004B387B"/>
    <w:rsid w:val="004B5C41"/>
    <w:rsid w:val="004B7468"/>
    <w:rsid w:val="004D2279"/>
    <w:rsid w:val="004D2F4C"/>
    <w:rsid w:val="004D44C9"/>
    <w:rsid w:val="004F0EF3"/>
    <w:rsid w:val="004F4517"/>
    <w:rsid w:val="004F4571"/>
    <w:rsid w:val="004F6805"/>
    <w:rsid w:val="0050011F"/>
    <w:rsid w:val="00502854"/>
    <w:rsid w:val="0050667F"/>
    <w:rsid w:val="005112C3"/>
    <w:rsid w:val="005136AE"/>
    <w:rsid w:val="00513B4E"/>
    <w:rsid w:val="00514EDB"/>
    <w:rsid w:val="00515ED7"/>
    <w:rsid w:val="005336D0"/>
    <w:rsid w:val="0053678B"/>
    <w:rsid w:val="00540938"/>
    <w:rsid w:val="005462E3"/>
    <w:rsid w:val="0055186F"/>
    <w:rsid w:val="00563E58"/>
    <w:rsid w:val="00564C90"/>
    <w:rsid w:val="00564FA3"/>
    <w:rsid w:val="005679D8"/>
    <w:rsid w:val="00575576"/>
    <w:rsid w:val="00577517"/>
    <w:rsid w:val="00583B01"/>
    <w:rsid w:val="0058420A"/>
    <w:rsid w:val="0058459D"/>
    <w:rsid w:val="00587DDA"/>
    <w:rsid w:val="00594069"/>
    <w:rsid w:val="005A5372"/>
    <w:rsid w:val="005B16FC"/>
    <w:rsid w:val="005B5F61"/>
    <w:rsid w:val="005B7D03"/>
    <w:rsid w:val="005C20AF"/>
    <w:rsid w:val="005D1365"/>
    <w:rsid w:val="005D44CE"/>
    <w:rsid w:val="005D74F2"/>
    <w:rsid w:val="005E085B"/>
    <w:rsid w:val="005E3FA9"/>
    <w:rsid w:val="005E60AD"/>
    <w:rsid w:val="005F1964"/>
    <w:rsid w:val="005F29C1"/>
    <w:rsid w:val="005F44FD"/>
    <w:rsid w:val="005F5970"/>
    <w:rsid w:val="005F78BB"/>
    <w:rsid w:val="00602980"/>
    <w:rsid w:val="00602B4F"/>
    <w:rsid w:val="00610B0F"/>
    <w:rsid w:val="006123C5"/>
    <w:rsid w:val="00612E0C"/>
    <w:rsid w:val="00622F41"/>
    <w:rsid w:val="00625DA8"/>
    <w:rsid w:val="00634E7B"/>
    <w:rsid w:val="006374D0"/>
    <w:rsid w:val="00642E66"/>
    <w:rsid w:val="0064648A"/>
    <w:rsid w:val="00655B90"/>
    <w:rsid w:val="00661EB3"/>
    <w:rsid w:val="00663D49"/>
    <w:rsid w:val="00666B25"/>
    <w:rsid w:val="00670E8A"/>
    <w:rsid w:val="006711F3"/>
    <w:rsid w:val="00675F54"/>
    <w:rsid w:val="00680EA5"/>
    <w:rsid w:val="006839FF"/>
    <w:rsid w:val="00685580"/>
    <w:rsid w:val="006864B0"/>
    <w:rsid w:val="00686FEA"/>
    <w:rsid w:val="00691B9D"/>
    <w:rsid w:val="006A1A6B"/>
    <w:rsid w:val="006A452B"/>
    <w:rsid w:val="006A483E"/>
    <w:rsid w:val="006A545B"/>
    <w:rsid w:val="006A6025"/>
    <w:rsid w:val="006A67F9"/>
    <w:rsid w:val="006B21AD"/>
    <w:rsid w:val="006B3BA2"/>
    <w:rsid w:val="006B710A"/>
    <w:rsid w:val="006C6F0E"/>
    <w:rsid w:val="006D11BB"/>
    <w:rsid w:val="006D7239"/>
    <w:rsid w:val="006E64F8"/>
    <w:rsid w:val="006E697C"/>
    <w:rsid w:val="006F0712"/>
    <w:rsid w:val="006F4488"/>
    <w:rsid w:val="00721843"/>
    <w:rsid w:val="00722693"/>
    <w:rsid w:val="00723359"/>
    <w:rsid w:val="00723DE2"/>
    <w:rsid w:val="00723EE9"/>
    <w:rsid w:val="0072562F"/>
    <w:rsid w:val="00727048"/>
    <w:rsid w:val="00730096"/>
    <w:rsid w:val="00730B51"/>
    <w:rsid w:val="00730E0A"/>
    <w:rsid w:val="00731A03"/>
    <w:rsid w:val="007325A6"/>
    <w:rsid w:val="0073480E"/>
    <w:rsid w:val="00743DD7"/>
    <w:rsid w:val="007443E9"/>
    <w:rsid w:val="00756232"/>
    <w:rsid w:val="00756AC9"/>
    <w:rsid w:val="007648E4"/>
    <w:rsid w:val="007703A2"/>
    <w:rsid w:val="00772F05"/>
    <w:rsid w:val="00780044"/>
    <w:rsid w:val="00781CB8"/>
    <w:rsid w:val="00781D3F"/>
    <w:rsid w:val="00783480"/>
    <w:rsid w:val="00787435"/>
    <w:rsid w:val="0079136D"/>
    <w:rsid w:val="00791916"/>
    <w:rsid w:val="00794A66"/>
    <w:rsid w:val="00794BF4"/>
    <w:rsid w:val="00796149"/>
    <w:rsid w:val="007A307C"/>
    <w:rsid w:val="007A6A09"/>
    <w:rsid w:val="007B08BF"/>
    <w:rsid w:val="007B2DE5"/>
    <w:rsid w:val="007B5591"/>
    <w:rsid w:val="007B6A70"/>
    <w:rsid w:val="007B6AD7"/>
    <w:rsid w:val="007B7D90"/>
    <w:rsid w:val="007C2A94"/>
    <w:rsid w:val="007C565B"/>
    <w:rsid w:val="007C6565"/>
    <w:rsid w:val="007C6CAB"/>
    <w:rsid w:val="007D0019"/>
    <w:rsid w:val="007D0B50"/>
    <w:rsid w:val="007D2223"/>
    <w:rsid w:val="007D3DC1"/>
    <w:rsid w:val="007D5C3E"/>
    <w:rsid w:val="007D764E"/>
    <w:rsid w:val="007E4931"/>
    <w:rsid w:val="007E4BB3"/>
    <w:rsid w:val="007E57B0"/>
    <w:rsid w:val="007E6D06"/>
    <w:rsid w:val="007F13AB"/>
    <w:rsid w:val="007F22EF"/>
    <w:rsid w:val="007F2774"/>
    <w:rsid w:val="007F4206"/>
    <w:rsid w:val="007F764A"/>
    <w:rsid w:val="007F7B8D"/>
    <w:rsid w:val="008010BF"/>
    <w:rsid w:val="00801C23"/>
    <w:rsid w:val="00801E21"/>
    <w:rsid w:val="008023AC"/>
    <w:rsid w:val="008026FE"/>
    <w:rsid w:val="00805FF3"/>
    <w:rsid w:val="00815A1F"/>
    <w:rsid w:val="00820F66"/>
    <w:rsid w:val="00821E7C"/>
    <w:rsid w:val="00827358"/>
    <w:rsid w:val="008302E6"/>
    <w:rsid w:val="00836CCC"/>
    <w:rsid w:val="0084046A"/>
    <w:rsid w:val="00860083"/>
    <w:rsid w:val="00860DE1"/>
    <w:rsid w:val="00865686"/>
    <w:rsid w:val="00865B5C"/>
    <w:rsid w:val="00870AC5"/>
    <w:rsid w:val="00871561"/>
    <w:rsid w:val="008814B8"/>
    <w:rsid w:val="008819DA"/>
    <w:rsid w:val="00887A65"/>
    <w:rsid w:val="00887DA5"/>
    <w:rsid w:val="0089063B"/>
    <w:rsid w:val="00890C34"/>
    <w:rsid w:val="008911C0"/>
    <w:rsid w:val="008917B9"/>
    <w:rsid w:val="00893C4E"/>
    <w:rsid w:val="00896014"/>
    <w:rsid w:val="008A2F14"/>
    <w:rsid w:val="008B4134"/>
    <w:rsid w:val="008B4457"/>
    <w:rsid w:val="008B5AF8"/>
    <w:rsid w:val="008B6543"/>
    <w:rsid w:val="008C254E"/>
    <w:rsid w:val="008D2C52"/>
    <w:rsid w:val="008D57AD"/>
    <w:rsid w:val="008F747C"/>
    <w:rsid w:val="0090209F"/>
    <w:rsid w:val="009054CB"/>
    <w:rsid w:val="00910645"/>
    <w:rsid w:val="00920867"/>
    <w:rsid w:val="00920F2A"/>
    <w:rsid w:val="00921B83"/>
    <w:rsid w:val="00921E9E"/>
    <w:rsid w:val="00922D98"/>
    <w:rsid w:val="00924BA1"/>
    <w:rsid w:val="00927E73"/>
    <w:rsid w:val="009304AE"/>
    <w:rsid w:val="00934888"/>
    <w:rsid w:val="0093527F"/>
    <w:rsid w:val="00942059"/>
    <w:rsid w:val="00942174"/>
    <w:rsid w:val="00943F3F"/>
    <w:rsid w:val="00945D81"/>
    <w:rsid w:val="009547BA"/>
    <w:rsid w:val="009571C8"/>
    <w:rsid w:val="0096142F"/>
    <w:rsid w:val="00962EF0"/>
    <w:rsid w:val="00964C8A"/>
    <w:rsid w:val="00965A6D"/>
    <w:rsid w:val="0097131C"/>
    <w:rsid w:val="00973E76"/>
    <w:rsid w:val="00974157"/>
    <w:rsid w:val="00974733"/>
    <w:rsid w:val="009800E0"/>
    <w:rsid w:val="00986E8C"/>
    <w:rsid w:val="009979A7"/>
    <w:rsid w:val="009A194A"/>
    <w:rsid w:val="009B0851"/>
    <w:rsid w:val="009B2AE9"/>
    <w:rsid w:val="009B2F59"/>
    <w:rsid w:val="009B307F"/>
    <w:rsid w:val="009B37BD"/>
    <w:rsid w:val="009C3EA4"/>
    <w:rsid w:val="009C6F26"/>
    <w:rsid w:val="009C75F5"/>
    <w:rsid w:val="009C7AAB"/>
    <w:rsid w:val="009E628C"/>
    <w:rsid w:val="009F0791"/>
    <w:rsid w:val="009F372A"/>
    <w:rsid w:val="009F6BE1"/>
    <w:rsid w:val="00A06676"/>
    <w:rsid w:val="00A06AF5"/>
    <w:rsid w:val="00A06FE9"/>
    <w:rsid w:val="00A115F5"/>
    <w:rsid w:val="00A12EA0"/>
    <w:rsid w:val="00A13E2C"/>
    <w:rsid w:val="00A232CD"/>
    <w:rsid w:val="00A256AB"/>
    <w:rsid w:val="00A323C5"/>
    <w:rsid w:val="00A34777"/>
    <w:rsid w:val="00A36552"/>
    <w:rsid w:val="00A37ED9"/>
    <w:rsid w:val="00A5263A"/>
    <w:rsid w:val="00A52CAE"/>
    <w:rsid w:val="00A538F8"/>
    <w:rsid w:val="00A61635"/>
    <w:rsid w:val="00A65508"/>
    <w:rsid w:val="00A67CD8"/>
    <w:rsid w:val="00A74B2B"/>
    <w:rsid w:val="00A840AC"/>
    <w:rsid w:val="00A851C2"/>
    <w:rsid w:val="00A86D6C"/>
    <w:rsid w:val="00A870BA"/>
    <w:rsid w:val="00A91439"/>
    <w:rsid w:val="00A9203C"/>
    <w:rsid w:val="00A92A2D"/>
    <w:rsid w:val="00A946F7"/>
    <w:rsid w:val="00A96D30"/>
    <w:rsid w:val="00A97082"/>
    <w:rsid w:val="00A97B79"/>
    <w:rsid w:val="00AA1917"/>
    <w:rsid w:val="00AA2AE0"/>
    <w:rsid w:val="00AA7CBB"/>
    <w:rsid w:val="00AB7175"/>
    <w:rsid w:val="00AC3A0C"/>
    <w:rsid w:val="00AC4232"/>
    <w:rsid w:val="00AC7FA2"/>
    <w:rsid w:val="00AD4B7D"/>
    <w:rsid w:val="00AD6394"/>
    <w:rsid w:val="00AE13AF"/>
    <w:rsid w:val="00AE4786"/>
    <w:rsid w:val="00AE5DBA"/>
    <w:rsid w:val="00AF06BC"/>
    <w:rsid w:val="00AF0C03"/>
    <w:rsid w:val="00B16016"/>
    <w:rsid w:val="00B234AF"/>
    <w:rsid w:val="00B27F1B"/>
    <w:rsid w:val="00B36BED"/>
    <w:rsid w:val="00B43107"/>
    <w:rsid w:val="00B439EC"/>
    <w:rsid w:val="00B47109"/>
    <w:rsid w:val="00B50945"/>
    <w:rsid w:val="00B5122D"/>
    <w:rsid w:val="00B53242"/>
    <w:rsid w:val="00B5382C"/>
    <w:rsid w:val="00B5781C"/>
    <w:rsid w:val="00B624CF"/>
    <w:rsid w:val="00B63B4B"/>
    <w:rsid w:val="00B6694A"/>
    <w:rsid w:val="00B760CA"/>
    <w:rsid w:val="00B847B7"/>
    <w:rsid w:val="00B875BF"/>
    <w:rsid w:val="00B90CD0"/>
    <w:rsid w:val="00B930C9"/>
    <w:rsid w:val="00B94C7D"/>
    <w:rsid w:val="00B95207"/>
    <w:rsid w:val="00B97D8D"/>
    <w:rsid w:val="00BA3604"/>
    <w:rsid w:val="00BA7513"/>
    <w:rsid w:val="00BB0341"/>
    <w:rsid w:val="00BB0755"/>
    <w:rsid w:val="00BB4A78"/>
    <w:rsid w:val="00BB7135"/>
    <w:rsid w:val="00BC5445"/>
    <w:rsid w:val="00BC6E70"/>
    <w:rsid w:val="00BC7B0E"/>
    <w:rsid w:val="00BD2433"/>
    <w:rsid w:val="00BD4B3F"/>
    <w:rsid w:val="00BD6CF4"/>
    <w:rsid w:val="00BE0DFE"/>
    <w:rsid w:val="00BE3015"/>
    <w:rsid w:val="00BF1293"/>
    <w:rsid w:val="00C02DB7"/>
    <w:rsid w:val="00C02DEE"/>
    <w:rsid w:val="00C05556"/>
    <w:rsid w:val="00C11323"/>
    <w:rsid w:val="00C223D4"/>
    <w:rsid w:val="00C41591"/>
    <w:rsid w:val="00C416A2"/>
    <w:rsid w:val="00C43456"/>
    <w:rsid w:val="00C45F98"/>
    <w:rsid w:val="00C4613D"/>
    <w:rsid w:val="00C46BCF"/>
    <w:rsid w:val="00C51DDA"/>
    <w:rsid w:val="00C52216"/>
    <w:rsid w:val="00C530A4"/>
    <w:rsid w:val="00C607E3"/>
    <w:rsid w:val="00C61825"/>
    <w:rsid w:val="00C624E8"/>
    <w:rsid w:val="00C6456D"/>
    <w:rsid w:val="00C81A83"/>
    <w:rsid w:val="00C83711"/>
    <w:rsid w:val="00C8384A"/>
    <w:rsid w:val="00C878A5"/>
    <w:rsid w:val="00C87F7B"/>
    <w:rsid w:val="00C90BA2"/>
    <w:rsid w:val="00C92818"/>
    <w:rsid w:val="00C95107"/>
    <w:rsid w:val="00C962B2"/>
    <w:rsid w:val="00CA12D4"/>
    <w:rsid w:val="00CA2349"/>
    <w:rsid w:val="00CB0A35"/>
    <w:rsid w:val="00CB1CD2"/>
    <w:rsid w:val="00CB2F2F"/>
    <w:rsid w:val="00CC290C"/>
    <w:rsid w:val="00CC49AE"/>
    <w:rsid w:val="00CC550E"/>
    <w:rsid w:val="00CC7FAC"/>
    <w:rsid w:val="00CD3A0E"/>
    <w:rsid w:val="00CD3B89"/>
    <w:rsid w:val="00CD472D"/>
    <w:rsid w:val="00CE52EB"/>
    <w:rsid w:val="00CF4554"/>
    <w:rsid w:val="00CF4D95"/>
    <w:rsid w:val="00CF629A"/>
    <w:rsid w:val="00CF6933"/>
    <w:rsid w:val="00CF6FDB"/>
    <w:rsid w:val="00D07BD9"/>
    <w:rsid w:val="00D108CD"/>
    <w:rsid w:val="00D12A50"/>
    <w:rsid w:val="00D22541"/>
    <w:rsid w:val="00D307BF"/>
    <w:rsid w:val="00D31989"/>
    <w:rsid w:val="00D324C0"/>
    <w:rsid w:val="00D32A6A"/>
    <w:rsid w:val="00D37790"/>
    <w:rsid w:val="00D57730"/>
    <w:rsid w:val="00D643E9"/>
    <w:rsid w:val="00D64EA6"/>
    <w:rsid w:val="00D6769E"/>
    <w:rsid w:val="00D676CC"/>
    <w:rsid w:val="00D67CAD"/>
    <w:rsid w:val="00D75BC2"/>
    <w:rsid w:val="00D801BB"/>
    <w:rsid w:val="00D80335"/>
    <w:rsid w:val="00D851F9"/>
    <w:rsid w:val="00D86435"/>
    <w:rsid w:val="00D870E1"/>
    <w:rsid w:val="00D8755F"/>
    <w:rsid w:val="00D93A9D"/>
    <w:rsid w:val="00DA3D5D"/>
    <w:rsid w:val="00DA67FE"/>
    <w:rsid w:val="00DB360D"/>
    <w:rsid w:val="00DB36EA"/>
    <w:rsid w:val="00DB3B6E"/>
    <w:rsid w:val="00DB4096"/>
    <w:rsid w:val="00DB5D3D"/>
    <w:rsid w:val="00DC24A9"/>
    <w:rsid w:val="00DC4BF4"/>
    <w:rsid w:val="00DC520A"/>
    <w:rsid w:val="00DD0139"/>
    <w:rsid w:val="00DD0DD6"/>
    <w:rsid w:val="00DD4FAE"/>
    <w:rsid w:val="00DE2DA4"/>
    <w:rsid w:val="00DF12CD"/>
    <w:rsid w:val="00E0149A"/>
    <w:rsid w:val="00E0378E"/>
    <w:rsid w:val="00E03F7B"/>
    <w:rsid w:val="00E0439B"/>
    <w:rsid w:val="00E0528B"/>
    <w:rsid w:val="00E06590"/>
    <w:rsid w:val="00E072BE"/>
    <w:rsid w:val="00E1039C"/>
    <w:rsid w:val="00E11822"/>
    <w:rsid w:val="00E13A52"/>
    <w:rsid w:val="00E16177"/>
    <w:rsid w:val="00E17764"/>
    <w:rsid w:val="00E209E8"/>
    <w:rsid w:val="00E23168"/>
    <w:rsid w:val="00E3284A"/>
    <w:rsid w:val="00E33DF4"/>
    <w:rsid w:val="00E40079"/>
    <w:rsid w:val="00E423A7"/>
    <w:rsid w:val="00E50C47"/>
    <w:rsid w:val="00E51CC2"/>
    <w:rsid w:val="00E55047"/>
    <w:rsid w:val="00E55B8A"/>
    <w:rsid w:val="00E61585"/>
    <w:rsid w:val="00E83BE7"/>
    <w:rsid w:val="00E90F30"/>
    <w:rsid w:val="00E946CB"/>
    <w:rsid w:val="00E95ABE"/>
    <w:rsid w:val="00EA188D"/>
    <w:rsid w:val="00EA7DE7"/>
    <w:rsid w:val="00EB09BC"/>
    <w:rsid w:val="00EB69E3"/>
    <w:rsid w:val="00EB7237"/>
    <w:rsid w:val="00EB7AB1"/>
    <w:rsid w:val="00EB7C4A"/>
    <w:rsid w:val="00EC00D8"/>
    <w:rsid w:val="00EC5E91"/>
    <w:rsid w:val="00EC7711"/>
    <w:rsid w:val="00ED2AF4"/>
    <w:rsid w:val="00ED2DE0"/>
    <w:rsid w:val="00ED7C6A"/>
    <w:rsid w:val="00EE29AE"/>
    <w:rsid w:val="00EE51B7"/>
    <w:rsid w:val="00EE7A49"/>
    <w:rsid w:val="00EE7D67"/>
    <w:rsid w:val="00EF14FB"/>
    <w:rsid w:val="00EF5709"/>
    <w:rsid w:val="00EF58E4"/>
    <w:rsid w:val="00EF6A1B"/>
    <w:rsid w:val="00F013AE"/>
    <w:rsid w:val="00F0248D"/>
    <w:rsid w:val="00F0479A"/>
    <w:rsid w:val="00F05165"/>
    <w:rsid w:val="00F103CE"/>
    <w:rsid w:val="00F128E7"/>
    <w:rsid w:val="00F13972"/>
    <w:rsid w:val="00F20BE1"/>
    <w:rsid w:val="00F213D6"/>
    <w:rsid w:val="00F256C7"/>
    <w:rsid w:val="00F31B9A"/>
    <w:rsid w:val="00F32CCB"/>
    <w:rsid w:val="00F41BDD"/>
    <w:rsid w:val="00F4570C"/>
    <w:rsid w:val="00F4735E"/>
    <w:rsid w:val="00F5197F"/>
    <w:rsid w:val="00F524DB"/>
    <w:rsid w:val="00F530B2"/>
    <w:rsid w:val="00F53223"/>
    <w:rsid w:val="00F551D8"/>
    <w:rsid w:val="00F663E8"/>
    <w:rsid w:val="00F71307"/>
    <w:rsid w:val="00F76DC9"/>
    <w:rsid w:val="00F773E4"/>
    <w:rsid w:val="00F8041D"/>
    <w:rsid w:val="00F80423"/>
    <w:rsid w:val="00F8105E"/>
    <w:rsid w:val="00F87071"/>
    <w:rsid w:val="00F87541"/>
    <w:rsid w:val="00F9037E"/>
    <w:rsid w:val="00F91F7C"/>
    <w:rsid w:val="00FA607C"/>
    <w:rsid w:val="00FA61C9"/>
    <w:rsid w:val="00FA6A04"/>
    <w:rsid w:val="00FB0853"/>
    <w:rsid w:val="00FB2A63"/>
    <w:rsid w:val="00FB6445"/>
    <w:rsid w:val="00FC16EC"/>
    <w:rsid w:val="00FC3DAA"/>
    <w:rsid w:val="00FC4BB2"/>
    <w:rsid w:val="00FC73C7"/>
    <w:rsid w:val="00FD02D9"/>
    <w:rsid w:val="00FD4F65"/>
    <w:rsid w:val="00FE356F"/>
    <w:rsid w:val="00FE404F"/>
    <w:rsid w:val="00FE7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8DE61D"/>
  <w15:docId w15:val="{CBBFB04E-C9A2-4245-AABF-530664CDC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paragraph" w:styleId="Heading2">
    <w:name w:val="heading 2"/>
    <w:basedOn w:val="Normal"/>
    <w:next w:val="Normal"/>
    <w:link w:val="Heading2Char"/>
    <w:unhideWhenUsed/>
    <w:qFormat/>
    <w:rsid w:val="008911C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pt-BR"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pt-BR"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pt-BR"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pt-BR"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pt-BR" w:eastAsia="en-US"/>
    </w:rPr>
  </w:style>
  <w:style w:type="paragraph" w:styleId="ListParagraph0">
    <w:name w:val="List Paragraph"/>
    <w:basedOn w:val="Normal"/>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pt-BR" w:eastAsia="en-US"/>
    </w:rPr>
  </w:style>
  <w:style w:type="character" w:customStyle="1" w:styleId="style21">
    <w:name w:val="style21"/>
    <w:rsid w:val="00F869FB"/>
    <w:rPr>
      <w:sz w:val="24"/>
      <w:szCs w:val="24"/>
      <w:lang w:val="pt-BR"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pt-BR"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pt-BR"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table" w:styleId="TableGrid">
    <w:name w:val="Table Grid"/>
    <w:basedOn w:val="TableNormal"/>
    <w:uiPriority w:val="39"/>
    <w:rsid w:val="00415C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8911C0"/>
    <w:rPr>
      <w:rFonts w:asciiTheme="majorHAnsi" w:eastAsiaTheme="majorEastAsia" w:hAnsiTheme="majorHAnsi" w:cstheme="majorBidi"/>
      <w:color w:val="2E74B5" w:themeColor="accent1" w:themeShade="BF"/>
      <w:sz w:val="26"/>
      <w:szCs w:val="26"/>
    </w:rPr>
  </w:style>
  <w:style w:type="character" w:customStyle="1" w:styleId="longtext">
    <w:name w:val="long_text"/>
    <w:rsid w:val="00104111"/>
  </w:style>
  <w:style w:type="paragraph" w:customStyle="1" w:styleId="TableParagraph">
    <w:name w:val="Table Paragraph"/>
    <w:basedOn w:val="Normal"/>
    <w:uiPriority w:val="1"/>
    <w:qFormat/>
    <w:rsid w:val="00D67CAD"/>
    <w:pPr>
      <w:widowControl w:val="0"/>
      <w:autoSpaceDE w:val="0"/>
      <w:autoSpaceDN w:val="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159098">
      <w:bodyDiv w:val="1"/>
      <w:marLeft w:val="0"/>
      <w:marRight w:val="0"/>
      <w:marTop w:val="0"/>
      <w:marBottom w:val="0"/>
      <w:divBdr>
        <w:top w:val="none" w:sz="0" w:space="0" w:color="auto"/>
        <w:left w:val="none" w:sz="0" w:space="0" w:color="auto"/>
        <w:bottom w:val="none" w:sz="0" w:space="0" w:color="auto"/>
        <w:right w:val="none" w:sz="0" w:space="0" w:color="auto"/>
      </w:divBdr>
      <w:divsChild>
        <w:div w:id="294334982">
          <w:marLeft w:val="0"/>
          <w:marRight w:val="0"/>
          <w:marTop w:val="0"/>
          <w:marBottom w:val="0"/>
          <w:divBdr>
            <w:top w:val="none" w:sz="0" w:space="0" w:color="auto"/>
            <w:left w:val="none" w:sz="0" w:space="0" w:color="auto"/>
            <w:bottom w:val="none" w:sz="0" w:space="0" w:color="auto"/>
            <w:right w:val="none" w:sz="0" w:space="0" w:color="auto"/>
          </w:divBdr>
        </w:div>
      </w:divsChild>
    </w:div>
    <w:div w:id="1163932041">
      <w:bodyDiv w:val="1"/>
      <w:marLeft w:val="0"/>
      <w:marRight w:val="0"/>
      <w:marTop w:val="0"/>
      <w:marBottom w:val="0"/>
      <w:divBdr>
        <w:top w:val="none" w:sz="0" w:space="0" w:color="auto"/>
        <w:left w:val="none" w:sz="0" w:space="0" w:color="auto"/>
        <w:bottom w:val="none" w:sz="0" w:space="0" w:color="auto"/>
        <w:right w:val="none" w:sz="0" w:space="0" w:color="auto"/>
      </w:divBdr>
    </w:div>
    <w:div w:id="1458985738">
      <w:bodyDiv w:val="1"/>
      <w:marLeft w:val="0"/>
      <w:marRight w:val="0"/>
      <w:marTop w:val="0"/>
      <w:marBottom w:val="0"/>
      <w:divBdr>
        <w:top w:val="none" w:sz="0" w:space="0" w:color="auto"/>
        <w:left w:val="none" w:sz="0" w:space="0" w:color="auto"/>
        <w:bottom w:val="none" w:sz="0" w:space="0" w:color="auto"/>
        <w:right w:val="none" w:sz="0" w:space="0" w:color="auto"/>
      </w:divBdr>
      <w:divsChild>
        <w:div w:id="1821077657">
          <w:marLeft w:val="0"/>
          <w:marRight w:val="0"/>
          <w:marTop w:val="0"/>
          <w:marBottom w:val="0"/>
          <w:divBdr>
            <w:top w:val="none" w:sz="0" w:space="0" w:color="auto"/>
            <w:left w:val="none" w:sz="0" w:space="0" w:color="auto"/>
            <w:bottom w:val="none" w:sz="0" w:space="0" w:color="auto"/>
            <w:right w:val="none" w:sz="0" w:space="0" w:color="auto"/>
          </w:divBdr>
        </w:div>
      </w:divsChild>
    </w:div>
    <w:div w:id="18593428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XVIII.5%20CIDI/REMCYT-V/dec%20&amp;classNum=1&amp;lang=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m.oas.org/IDMS/Redirectpage.aspx?class=XVIII.4%20CIDI/REMCYT-IV/doc%20&amp;classNum=5&amp;lang=p" TargetMode="External"/><Relationship Id="rId4" Type="http://schemas.openxmlformats.org/officeDocument/2006/relationships/settings" Target="settings.xml"/><Relationship Id="rId9" Type="http://schemas.openxmlformats.org/officeDocument/2006/relationships/hyperlink" Target="http://scm.oas.org/IDMS/Redirectpage.aspx?class=XIII.3/CIDI/COMCYT/RPA.doc%20&amp;classNum=4&amp;lang=e"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epal.org/es/publicaciones/46070-estudio-economico-america-latina-caribe-2020-principales-condicionantes" TargetMode="External"/><Relationship Id="rId7" Type="http://schemas.openxmlformats.org/officeDocument/2006/relationships/hyperlink" Target="https://www.imf.org/en/Publications/WP/Issues/2019/03/26/The-Return-of-the-Policy-That-Shall-Not-Be-Named-Principles-of-Industrial-Policy-46710" TargetMode="External"/><Relationship Id="rId2" Type="http://schemas.openxmlformats.org/officeDocument/2006/relationships/hyperlink" Target="https://www.cepal.org/es/publicaciones/46070-estudio-economico-america-latina-caribe-2020-principales-condicionantes" TargetMode="External"/><Relationship Id="rId1" Type="http://schemas.openxmlformats.org/officeDocument/2006/relationships/hyperlink" Target="https://www.worldbank.org/en/region/lac/overview" TargetMode="External"/><Relationship Id="rId6" Type="http://schemas.openxmlformats.org/officeDocument/2006/relationships/hyperlink" Target="https://www.globalinnovationindex.org/Home" TargetMode="External"/><Relationship Id="rId5" Type="http://schemas.openxmlformats.org/officeDocument/2006/relationships/hyperlink" Target="http://www3.weforum.org/docs/WEF_TheGlobalCompetitivenessReport2019.pdf" TargetMode="External"/><Relationship Id="rId4" Type="http://schemas.openxmlformats.org/officeDocument/2006/relationships/hyperlink" Target="http://www.ricyt.org/en/"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17E48-1927-4F6E-A351-2B48B1017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2</TotalTime>
  <Pages>6</Pages>
  <Words>2522</Words>
  <Characters>14377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16866</CharactersWithSpaces>
  <SharedDoc>false</SharedDoc>
  <HLinks>
    <vt:vector size="12" baseType="variant">
      <vt:variant>
        <vt:i4>3538955</vt:i4>
      </vt:variant>
      <vt:variant>
        <vt:i4>3</vt:i4>
      </vt:variant>
      <vt:variant>
        <vt:i4>0</vt:i4>
      </vt:variant>
      <vt:variant>
        <vt:i4>5</vt:i4>
      </vt:variant>
      <vt:variant>
        <vt:lpwstr>https://repositorio.cepal.org/bitstream/handle/11362/44396/4/S1900050_en.pdf</vt:lpwstr>
      </vt:variant>
      <vt:variant>
        <vt:lpwstr/>
      </vt:variant>
      <vt:variant>
        <vt:i4>3538955</vt:i4>
      </vt:variant>
      <vt:variant>
        <vt:i4>0</vt:i4>
      </vt:variant>
      <vt:variant>
        <vt:i4>0</vt:i4>
      </vt:variant>
      <vt:variant>
        <vt:i4>5</vt:i4>
      </vt:variant>
      <vt:variant>
        <vt:lpwstr>https://repositorio.cepal.org/bitstream/handle/11362/44396/4/S1900050_en.pdf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creator>DCT</dc:creator>
  <cp:lastModifiedBy>Diaz - Avalos,  Estela</cp:lastModifiedBy>
  <cp:revision>3</cp:revision>
  <cp:lastPrinted>2018-08-24T16:52:00Z</cp:lastPrinted>
  <dcterms:created xsi:type="dcterms:W3CDTF">2020-11-06T18:15:00Z</dcterms:created>
  <dcterms:modified xsi:type="dcterms:W3CDTF">2020-11-06T18:16:00Z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ies>
</file>