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D2737" w14:textId="77777777" w:rsidR="00722693" w:rsidRPr="002055D8" w:rsidRDefault="00FA607C" w:rsidP="00B70E4D">
      <w:pPr>
        <w:tabs>
          <w:tab w:val="left" w:pos="7200"/>
        </w:tabs>
        <w:ind w:right="-1080"/>
        <w:jc w:val="both"/>
        <w:rPr>
          <w:sz w:val="22"/>
          <w:szCs w:val="22"/>
          <w:lang w:val="pt-BR"/>
        </w:rPr>
      </w:pPr>
      <w:bookmarkStart w:id="0" w:name="_top"/>
      <w:bookmarkEnd w:id="0"/>
      <w:r w:rsidRPr="001E109D">
        <w:rPr>
          <w:sz w:val="22"/>
          <w:szCs w:val="22"/>
        </w:rPr>
        <w:tab/>
      </w:r>
      <w:r w:rsidRPr="002055D8">
        <w:rPr>
          <w:sz w:val="22"/>
          <w:szCs w:val="22"/>
          <w:lang w:val="pt-BR"/>
        </w:rPr>
        <w:t>OEA/</w:t>
      </w:r>
      <w:proofErr w:type="spellStart"/>
      <w:proofErr w:type="gramStart"/>
      <w:r w:rsidRPr="002055D8">
        <w:rPr>
          <w:sz w:val="22"/>
          <w:szCs w:val="22"/>
          <w:lang w:val="pt-BR"/>
        </w:rPr>
        <w:t>Ser.</w:t>
      </w:r>
      <w:proofErr w:type="gramEnd"/>
      <w:r w:rsidRPr="002055D8">
        <w:rPr>
          <w:sz w:val="22"/>
          <w:szCs w:val="22"/>
          <w:lang w:val="pt-BR"/>
        </w:rPr>
        <w:t>W</w:t>
      </w:r>
      <w:proofErr w:type="spellEnd"/>
    </w:p>
    <w:p w14:paraId="59B65FBE" w14:textId="1EA38ECE" w:rsidR="00722693" w:rsidRPr="002055D8" w:rsidRDefault="00FA607C" w:rsidP="00B70E4D">
      <w:pPr>
        <w:tabs>
          <w:tab w:val="left" w:pos="7200"/>
        </w:tabs>
        <w:ind w:right="-1080"/>
        <w:jc w:val="both"/>
        <w:rPr>
          <w:sz w:val="22"/>
          <w:szCs w:val="22"/>
          <w:lang w:val="pt-BR"/>
        </w:rPr>
      </w:pPr>
      <w:r w:rsidRPr="002055D8">
        <w:rPr>
          <w:sz w:val="22"/>
          <w:szCs w:val="22"/>
          <w:lang w:val="pt-BR"/>
        </w:rPr>
        <w:tab/>
      </w:r>
      <w:proofErr w:type="spellStart"/>
      <w:r w:rsidRPr="002055D8">
        <w:rPr>
          <w:sz w:val="22"/>
          <w:szCs w:val="22"/>
          <w:lang w:val="pt-BR"/>
        </w:rPr>
        <w:t>CIDI</w:t>
      </w:r>
      <w:proofErr w:type="spellEnd"/>
      <w:r w:rsidRPr="002055D8">
        <w:rPr>
          <w:sz w:val="22"/>
          <w:szCs w:val="22"/>
          <w:lang w:val="pt-BR"/>
        </w:rPr>
        <w:t>/</w:t>
      </w:r>
      <w:proofErr w:type="spellStart"/>
      <w:r w:rsidRPr="002055D8">
        <w:rPr>
          <w:sz w:val="22"/>
          <w:szCs w:val="22"/>
          <w:lang w:val="pt-BR"/>
        </w:rPr>
        <w:t>INF.395</w:t>
      </w:r>
      <w:proofErr w:type="spellEnd"/>
      <w:r w:rsidRPr="002055D8">
        <w:rPr>
          <w:sz w:val="22"/>
          <w:szCs w:val="22"/>
          <w:lang w:val="pt-BR"/>
        </w:rPr>
        <w:t>/20</w:t>
      </w:r>
    </w:p>
    <w:p w14:paraId="4483D20B" w14:textId="45448475" w:rsidR="00921E9E" w:rsidRPr="001E109D" w:rsidRDefault="00FA607C" w:rsidP="00B70E4D">
      <w:pPr>
        <w:tabs>
          <w:tab w:val="left" w:pos="7200"/>
        </w:tabs>
        <w:ind w:right="-1080"/>
        <w:jc w:val="both"/>
        <w:rPr>
          <w:sz w:val="22"/>
          <w:szCs w:val="22"/>
        </w:rPr>
      </w:pPr>
      <w:r w:rsidRPr="002055D8">
        <w:rPr>
          <w:sz w:val="22"/>
          <w:szCs w:val="22"/>
          <w:lang w:val="pt-BR"/>
        </w:rPr>
        <w:tab/>
      </w:r>
      <w:r w:rsidRPr="001E109D">
        <w:rPr>
          <w:sz w:val="22"/>
          <w:szCs w:val="22"/>
        </w:rPr>
        <w:t>25 novembre 2020</w:t>
      </w:r>
    </w:p>
    <w:p w14:paraId="5F1787F8" w14:textId="3F5D7279" w:rsidR="00921E9E" w:rsidRPr="001E109D" w:rsidRDefault="00FA607C" w:rsidP="00B70E4D">
      <w:pPr>
        <w:pBdr>
          <w:bottom w:val="single" w:sz="12" w:space="1" w:color="auto"/>
        </w:pBdr>
        <w:tabs>
          <w:tab w:val="left" w:pos="7200"/>
        </w:tabs>
        <w:ind w:right="-389"/>
        <w:jc w:val="both"/>
        <w:rPr>
          <w:sz w:val="22"/>
          <w:szCs w:val="22"/>
        </w:rPr>
      </w:pPr>
      <w:r w:rsidRPr="001E109D">
        <w:rPr>
          <w:sz w:val="22"/>
          <w:szCs w:val="22"/>
        </w:rPr>
        <w:tab/>
        <w:t>Original: anglais</w:t>
      </w:r>
    </w:p>
    <w:p w14:paraId="7EFD68F1" w14:textId="77777777" w:rsidR="00B70E4D" w:rsidRPr="001E109D" w:rsidRDefault="00B70E4D" w:rsidP="00C109DC">
      <w:pPr>
        <w:pBdr>
          <w:bottom w:val="single" w:sz="12" w:space="1" w:color="auto"/>
        </w:pBdr>
        <w:tabs>
          <w:tab w:val="left" w:pos="7200"/>
        </w:tabs>
        <w:ind w:right="-389"/>
        <w:jc w:val="both"/>
        <w:rPr>
          <w:sz w:val="22"/>
          <w:szCs w:val="22"/>
        </w:rPr>
      </w:pPr>
    </w:p>
    <w:p w14:paraId="24C81694" w14:textId="3E378F45" w:rsidR="00722693" w:rsidRPr="001E109D" w:rsidRDefault="00722693" w:rsidP="002055D8">
      <w:pPr>
        <w:tabs>
          <w:tab w:val="left" w:pos="7200"/>
        </w:tabs>
        <w:ind w:right="-1080"/>
        <w:rPr>
          <w:sz w:val="22"/>
          <w:szCs w:val="22"/>
        </w:rPr>
      </w:pPr>
    </w:p>
    <w:p w14:paraId="2B16EB4E" w14:textId="6102CEBB" w:rsidR="00921E9E" w:rsidRPr="001E109D" w:rsidRDefault="00FA607C" w:rsidP="00B70E4D">
      <w:pPr>
        <w:jc w:val="center"/>
        <w:rPr>
          <w:rFonts w:eastAsia="Calibri"/>
          <w:sz w:val="22"/>
          <w:szCs w:val="22"/>
        </w:rPr>
      </w:pPr>
      <w:r w:rsidRPr="001E109D">
        <w:rPr>
          <w:sz w:val="22"/>
          <w:szCs w:val="22"/>
        </w:rPr>
        <w:t>DOCUMENT DE RÉFLEXION</w:t>
      </w:r>
    </w:p>
    <w:p w14:paraId="294DEA60" w14:textId="77777777" w:rsidR="00723DE2" w:rsidRPr="001E109D" w:rsidRDefault="00723DE2" w:rsidP="002055D8">
      <w:pPr>
        <w:rPr>
          <w:rFonts w:eastAsia="Calibri"/>
          <w:sz w:val="22"/>
          <w:szCs w:val="22"/>
        </w:rPr>
      </w:pPr>
    </w:p>
    <w:p w14:paraId="4A65855F" w14:textId="74802434" w:rsidR="00B70E4D" w:rsidRPr="001E109D" w:rsidRDefault="00B70E4D" w:rsidP="00B70E4D">
      <w:pPr>
        <w:jc w:val="center"/>
        <w:rPr>
          <w:caps/>
          <w:sz w:val="22"/>
          <w:szCs w:val="22"/>
        </w:rPr>
      </w:pPr>
      <w:r w:rsidRPr="001E109D">
        <w:rPr>
          <w:caps/>
          <w:sz w:val="22"/>
          <w:szCs w:val="22"/>
        </w:rPr>
        <w:t>RÉUNION ORDINAIRE DU</w:t>
      </w:r>
    </w:p>
    <w:p w14:paraId="07207876" w14:textId="52A55E75" w:rsidR="00921E9E" w:rsidRPr="001E109D" w:rsidRDefault="00FA607C" w:rsidP="00B70E4D">
      <w:pPr>
        <w:jc w:val="center"/>
        <w:rPr>
          <w:rFonts w:eastAsia="Calibri"/>
          <w:caps/>
          <w:sz w:val="22"/>
          <w:szCs w:val="22"/>
        </w:rPr>
      </w:pPr>
      <w:r w:rsidRPr="001E109D">
        <w:rPr>
          <w:caps/>
          <w:sz w:val="22"/>
          <w:szCs w:val="22"/>
        </w:rPr>
        <w:t>Conseil interaméricain pour le développement intégré (</w:t>
      </w:r>
      <w:proofErr w:type="spellStart"/>
      <w:r w:rsidRPr="001E109D">
        <w:rPr>
          <w:caps/>
          <w:sz w:val="22"/>
          <w:szCs w:val="22"/>
        </w:rPr>
        <w:t>CIDI</w:t>
      </w:r>
      <w:proofErr w:type="spellEnd"/>
      <w:r w:rsidRPr="001E109D">
        <w:rPr>
          <w:caps/>
          <w:sz w:val="22"/>
          <w:szCs w:val="22"/>
        </w:rPr>
        <w:t>)</w:t>
      </w:r>
    </w:p>
    <w:p w14:paraId="03B9F4BA" w14:textId="773C4CC1" w:rsidR="00921E9E" w:rsidRPr="001E109D" w:rsidRDefault="00B66809" w:rsidP="00B70E4D">
      <w:pPr>
        <w:jc w:val="center"/>
        <w:rPr>
          <w:rFonts w:eastAsia="Calibri"/>
          <w:caps/>
          <w:sz w:val="22"/>
          <w:szCs w:val="22"/>
        </w:rPr>
      </w:pPr>
      <w:r w:rsidRPr="001E109D">
        <w:rPr>
          <w:caps/>
          <w:sz w:val="22"/>
          <w:szCs w:val="22"/>
        </w:rPr>
        <w:t>8 DÉCEMBRE 2020</w:t>
      </w:r>
    </w:p>
    <w:p w14:paraId="0FEE3D58" w14:textId="77777777" w:rsidR="0089063B" w:rsidRPr="001E109D" w:rsidRDefault="0089063B" w:rsidP="002055D8">
      <w:pPr>
        <w:rPr>
          <w:rFonts w:eastAsia="Calibri"/>
          <w:caps/>
          <w:sz w:val="22"/>
          <w:szCs w:val="22"/>
        </w:rPr>
      </w:pPr>
    </w:p>
    <w:p w14:paraId="41B40E2B" w14:textId="77777777" w:rsidR="007A307C" w:rsidRPr="001E109D" w:rsidRDefault="00FA607C" w:rsidP="00B70E4D">
      <w:pPr>
        <w:jc w:val="center"/>
        <w:rPr>
          <w:rFonts w:eastAsia="Calibri"/>
          <w:sz w:val="22"/>
          <w:szCs w:val="22"/>
        </w:rPr>
      </w:pPr>
      <w:r w:rsidRPr="001E109D">
        <w:rPr>
          <w:sz w:val="22"/>
          <w:szCs w:val="22"/>
        </w:rPr>
        <w:t>(Élaboré par le Secrétariat exécutif au développement intégré)</w:t>
      </w:r>
    </w:p>
    <w:p w14:paraId="3390601D" w14:textId="2D40C121" w:rsidR="00DB5D3D" w:rsidRPr="001E109D" w:rsidRDefault="00DB5D3D" w:rsidP="002055D8">
      <w:pPr>
        <w:rPr>
          <w:rFonts w:eastAsia="Calibri"/>
          <w:sz w:val="22"/>
          <w:szCs w:val="22"/>
        </w:rPr>
      </w:pPr>
    </w:p>
    <w:p w14:paraId="283DCFF4" w14:textId="77777777" w:rsidR="00B749C7" w:rsidRPr="001E109D" w:rsidRDefault="00B749C7" w:rsidP="002055D8">
      <w:pPr>
        <w:rPr>
          <w:rFonts w:eastAsia="Calibri"/>
          <w:sz w:val="22"/>
          <w:szCs w:val="22"/>
        </w:rPr>
      </w:pPr>
    </w:p>
    <w:p w14:paraId="2E3BBE7E" w14:textId="4AD56FBF" w:rsidR="000B6478" w:rsidRPr="001E109D" w:rsidRDefault="000B6478" w:rsidP="00B749C7">
      <w:pPr>
        <w:jc w:val="center"/>
        <w:rPr>
          <w:rFonts w:eastAsia="Calibri"/>
          <w:b/>
          <w:sz w:val="22"/>
          <w:szCs w:val="22"/>
        </w:rPr>
      </w:pPr>
      <w:r w:rsidRPr="001E109D">
        <w:rPr>
          <w:sz w:val="22"/>
          <w:szCs w:val="22"/>
        </w:rPr>
        <w:t>THÈME :</w:t>
      </w:r>
      <w:r w:rsidRPr="001E109D">
        <w:rPr>
          <w:b/>
          <w:sz w:val="22"/>
          <w:szCs w:val="22"/>
        </w:rPr>
        <w:t xml:space="preserve"> Partenariats entre plusieurs parties prenantes pour renforcer la résilience face aux chocs extérieurs</w:t>
      </w:r>
    </w:p>
    <w:p w14:paraId="4507AF41" w14:textId="39AA700C" w:rsidR="009005B4" w:rsidRPr="001E109D" w:rsidRDefault="009005B4" w:rsidP="002055D8">
      <w:pPr>
        <w:rPr>
          <w:rFonts w:eastAsia="Calibri"/>
          <w:b/>
          <w:sz w:val="22"/>
          <w:szCs w:val="22"/>
        </w:rPr>
      </w:pPr>
    </w:p>
    <w:p w14:paraId="05D65040" w14:textId="77777777" w:rsidR="00B749C7" w:rsidRPr="001E109D" w:rsidRDefault="00B749C7" w:rsidP="00B70E4D">
      <w:pPr>
        <w:jc w:val="both"/>
        <w:rPr>
          <w:rFonts w:eastAsia="Calibri"/>
          <w:b/>
          <w:sz w:val="22"/>
          <w:szCs w:val="22"/>
        </w:rPr>
      </w:pPr>
    </w:p>
    <w:p w14:paraId="52DB3564" w14:textId="77777777" w:rsidR="000B6478" w:rsidRPr="001E109D" w:rsidRDefault="000B6478" w:rsidP="00B70E4D">
      <w:pPr>
        <w:numPr>
          <w:ilvl w:val="0"/>
          <w:numId w:val="7"/>
        </w:numPr>
        <w:ind w:hanging="720"/>
        <w:jc w:val="both"/>
        <w:rPr>
          <w:rFonts w:eastAsia="Calibri"/>
          <w:b/>
          <w:sz w:val="22"/>
          <w:szCs w:val="22"/>
        </w:rPr>
      </w:pPr>
      <w:r w:rsidRPr="001E109D">
        <w:rPr>
          <w:b/>
          <w:sz w:val="22"/>
          <w:szCs w:val="22"/>
        </w:rPr>
        <w:t>CONTEXTE</w:t>
      </w:r>
    </w:p>
    <w:p w14:paraId="3E9C22EE" w14:textId="77777777" w:rsidR="0013464D" w:rsidRPr="001E109D" w:rsidRDefault="0013464D" w:rsidP="00B70E4D">
      <w:pPr>
        <w:jc w:val="both"/>
        <w:rPr>
          <w:rFonts w:eastAsia="Calibri"/>
          <w:b/>
          <w:sz w:val="22"/>
          <w:szCs w:val="22"/>
        </w:rPr>
      </w:pPr>
    </w:p>
    <w:p w14:paraId="793A232F" w14:textId="1413B194" w:rsidR="00BD3DD0" w:rsidRPr="001E109D" w:rsidRDefault="00A07A97" w:rsidP="00C109DC">
      <w:pPr>
        <w:ind w:firstLine="720"/>
        <w:jc w:val="both"/>
        <w:rPr>
          <w:sz w:val="22"/>
          <w:szCs w:val="22"/>
        </w:rPr>
      </w:pPr>
      <w:r w:rsidRPr="001E109D">
        <w:rPr>
          <w:sz w:val="22"/>
          <w:szCs w:val="22"/>
        </w:rPr>
        <w:t xml:space="preserve">Lors de la session ordinaire de 2020 de l'Assemblée générale de l'Organisation des États Américains (OEA), les États </w:t>
      </w:r>
      <w:proofErr w:type="gramStart"/>
      <w:r w:rsidRPr="001E109D">
        <w:rPr>
          <w:sz w:val="22"/>
          <w:szCs w:val="22"/>
        </w:rPr>
        <w:t>membres ont</w:t>
      </w:r>
      <w:proofErr w:type="gramEnd"/>
      <w:r w:rsidRPr="001E109D">
        <w:rPr>
          <w:sz w:val="22"/>
          <w:szCs w:val="22"/>
        </w:rPr>
        <w:t xml:space="preserve"> reconnu que les capacités de résilience de la région aux vulnérabilités telles que les catastrophes naturelles et d’autres chocs extérieurs pourraient être renforcées par la mise en place de partenariats publics-privés. C’est ainsi que les États membres ont demandé au Secrétariat général de continuer à renforcer les partenariats existants et à en développer de nouveaux, avec les parties prenantes adéquates, y compris le secteur privé et les organisations de la société civile</w:t>
      </w:r>
      <w:r w:rsidR="0051320B" w:rsidRPr="001E109D">
        <w:rPr>
          <w:rStyle w:val="FootnoteReference"/>
          <w:sz w:val="22"/>
          <w:szCs w:val="22"/>
          <w:u w:val="single"/>
        </w:rPr>
        <w:footnoteReference w:id="2"/>
      </w:r>
      <w:r w:rsidRPr="001E109D">
        <w:rPr>
          <w:sz w:val="22"/>
          <w:szCs w:val="22"/>
          <w:vertAlign w:val="superscript"/>
        </w:rPr>
        <w:t>/</w:t>
      </w:r>
      <w:r w:rsidRPr="001E109D">
        <w:rPr>
          <w:sz w:val="22"/>
          <w:szCs w:val="22"/>
        </w:rPr>
        <w:t>. En outre, les États membres ont adopté une résolution intitulée « Vers une charte interaméricaine des entreprises »</w:t>
      </w:r>
      <w:r w:rsidR="00BD3DD0" w:rsidRPr="001E109D">
        <w:rPr>
          <w:rStyle w:val="FootnoteReference"/>
          <w:rFonts w:eastAsia="Arial"/>
          <w:sz w:val="22"/>
          <w:szCs w:val="22"/>
          <w:u w:val="single"/>
        </w:rPr>
        <w:footnoteReference w:id="3"/>
      </w:r>
      <w:r w:rsidRPr="001E109D">
        <w:rPr>
          <w:sz w:val="22"/>
          <w:szCs w:val="22"/>
          <w:vertAlign w:val="superscript"/>
        </w:rPr>
        <w:t xml:space="preserve">/ </w:t>
      </w:r>
      <w:r w:rsidRPr="001E109D">
        <w:rPr>
          <w:sz w:val="22"/>
          <w:szCs w:val="22"/>
        </w:rPr>
        <w:t xml:space="preserve">pour promouvoir le rôle du secteur privé dans le développement intégré du continent américain. </w:t>
      </w:r>
    </w:p>
    <w:p w14:paraId="018F3C3F" w14:textId="77777777" w:rsidR="00BD3DD0" w:rsidRPr="001E109D" w:rsidRDefault="00BD3DD0" w:rsidP="00B70E4D">
      <w:pPr>
        <w:pStyle w:val="NormalWeb"/>
        <w:shd w:val="clear" w:color="auto" w:fill="FFFFFF"/>
        <w:spacing w:before="0" w:beforeAutospacing="0" w:after="0" w:afterAutospacing="0"/>
        <w:jc w:val="both"/>
        <w:textAlignment w:val="baseline"/>
        <w:rPr>
          <w:sz w:val="22"/>
          <w:szCs w:val="22"/>
        </w:rPr>
      </w:pPr>
    </w:p>
    <w:p w14:paraId="24E9DA28" w14:textId="6EB0AD27" w:rsidR="00BD3DD0" w:rsidRPr="001E109D" w:rsidRDefault="005A255F" w:rsidP="00C109DC">
      <w:pPr>
        <w:pStyle w:val="NormalWeb"/>
        <w:shd w:val="clear" w:color="auto" w:fill="FFFFFF"/>
        <w:spacing w:before="0" w:beforeAutospacing="0" w:after="0" w:afterAutospacing="0"/>
        <w:ind w:firstLine="720"/>
        <w:jc w:val="both"/>
        <w:textAlignment w:val="baseline"/>
        <w:rPr>
          <w:sz w:val="22"/>
          <w:szCs w:val="22"/>
        </w:rPr>
      </w:pPr>
      <w:r w:rsidRPr="001E109D">
        <w:rPr>
          <w:sz w:val="22"/>
          <w:szCs w:val="22"/>
        </w:rPr>
        <w:t xml:space="preserve">Les États membres ont également reconnu que la pandémie de </w:t>
      </w:r>
      <w:proofErr w:type="spellStart"/>
      <w:r w:rsidRPr="001E109D">
        <w:rPr>
          <w:sz w:val="22"/>
          <w:szCs w:val="22"/>
        </w:rPr>
        <w:t>COVID</w:t>
      </w:r>
      <w:proofErr w:type="spellEnd"/>
      <w:r w:rsidRPr="001E109D">
        <w:rPr>
          <w:sz w:val="22"/>
          <w:szCs w:val="22"/>
        </w:rPr>
        <w:t>-19 non seulement menace les progrès réalisés vers l'éradication de la pauvreté, condition indispensable pour assurer le développement durable, mais renforce aussi la nécessité de concevoir et de mettre en œuvre d'urgence des politiques, des stratégies et des programmes visant à réduire la vulnérabilité et à renforcer la résilience face aux chocs extérieurs, y compris aux effets néfastes du changement climatique</w:t>
      </w:r>
      <w:r w:rsidR="00BD3DD0" w:rsidRPr="001E109D">
        <w:rPr>
          <w:rStyle w:val="FootnoteReference"/>
          <w:sz w:val="22"/>
          <w:szCs w:val="22"/>
          <w:u w:val="single"/>
        </w:rPr>
        <w:footnoteReference w:id="4"/>
      </w:r>
      <w:r w:rsidRPr="001E109D">
        <w:rPr>
          <w:sz w:val="22"/>
          <w:szCs w:val="22"/>
          <w:vertAlign w:val="superscript"/>
        </w:rPr>
        <w:t>/</w:t>
      </w:r>
      <w:r w:rsidRPr="001E109D">
        <w:rPr>
          <w:sz w:val="22"/>
          <w:szCs w:val="22"/>
        </w:rPr>
        <w:t>.</w:t>
      </w:r>
    </w:p>
    <w:p w14:paraId="6700A161" w14:textId="69FEED5E" w:rsidR="00BD3DD0" w:rsidRPr="001E109D" w:rsidRDefault="00BD3DD0" w:rsidP="00B70E4D">
      <w:pPr>
        <w:pStyle w:val="NormalWeb"/>
        <w:shd w:val="clear" w:color="auto" w:fill="FFFFFF"/>
        <w:spacing w:before="0" w:beforeAutospacing="0" w:after="0" w:afterAutospacing="0"/>
        <w:jc w:val="both"/>
        <w:rPr>
          <w:sz w:val="22"/>
          <w:szCs w:val="22"/>
        </w:rPr>
      </w:pPr>
    </w:p>
    <w:p w14:paraId="391A2F98" w14:textId="23A349BF" w:rsidR="00120C78" w:rsidRPr="001E109D" w:rsidRDefault="00120C78" w:rsidP="00C109DC">
      <w:pPr>
        <w:pStyle w:val="NormalWeb"/>
        <w:shd w:val="clear" w:color="auto" w:fill="FFFFFF"/>
        <w:spacing w:before="0" w:beforeAutospacing="0" w:after="0" w:afterAutospacing="0"/>
        <w:ind w:firstLine="720"/>
        <w:jc w:val="both"/>
        <w:textAlignment w:val="baseline"/>
        <w:rPr>
          <w:sz w:val="22"/>
          <w:szCs w:val="22"/>
        </w:rPr>
      </w:pPr>
      <w:r w:rsidRPr="001E109D">
        <w:rPr>
          <w:sz w:val="22"/>
          <w:szCs w:val="22"/>
        </w:rPr>
        <w:t xml:space="preserve">L’année 2020 a entraîné des changements nombreux et si fondamentaux qu'elle a forcé une </w:t>
      </w:r>
      <w:proofErr w:type="gramStart"/>
      <w:r w:rsidRPr="001E109D">
        <w:rPr>
          <w:sz w:val="22"/>
          <w:szCs w:val="22"/>
        </w:rPr>
        <w:t>remise</w:t>
      </w:r>
      <w:proofErr w:type="gramEnd"/>
      <w:r w:rsidRPr="001E109D">
        <w:rPr>
          <w:sz w:val="22"/>
          <w:szCs w:val="22"/>
        </w:rPr>
        <w:t xml:space="preserve"> à zéro. Elle constitue une occasion de repenser le contrat social et de poursuivre des modèles qui vont au-delà de la résilience, non seulement pour revenir au point où nous étions mais aussi pour être meilleurs. Les Amériques doivent passer de la vulnérabilité à la résilience dans toutes ses dimensions - économique, sociale et environnementale - et poursuivre un modèle de développement plus inclusif et durable.</w:t>
      </w:r>
    </w:p>
    <w:p w14:paraId="7B09020D" w14:textId="411BDE2A" w:rsidR="00120C78" w:rsidRPr="001E109D" w:rsidRDefault="00120C78" w:rsidP="00C109DC">
      <w:pPr>
        <w:pStyle w:val="NormalWeb"/>
        <w:shd w:val="clear" w:color="auto" w:fill="FFFFFF"/>
        <w:spacing w:before="0" w:beforeAutospacing="0" w:after="0" w:afterAutospacing="0"/>
        <w:ind w:firstLine="720"/>
        <w:jc w:val="both"/>
        <w:textAlignment w:val="baseline"/>
        <w:rPr>
          <w:sz w:val="22"/>
          <w:szCs w:val="22"/>
        </w:rPr>
      </w:pPr>
      <w:r w:rsidRPr="001E109D">
        <w:rPr>
          <w:sz w:val="22"/>
          <w:szCs w:val="22"/>
        </w:rPr>
        <w:lastRenderedPageBreak/>
        <w:t xml:space="preserve">Comment la région peut-elle effectuer cette transition ? Tout d'abord, en identifiant les innovations pertinentes et en comprenant que les solutions proviennent de tous les secteurs et acteurs. La crise de la </w:t>
      </w:r>
      <w:proofErr w:type="spellStart"/>
      <w:r w:rsidRPr="001E109D">
        <w:rPr>
          <w:sz w:val="22"/>
          <w:szCs w:val="22"/>
        </w:rPr>
        <w:t>COVID</w:t>
      </w:r>
      <w:proofErr w:type="spellEnd"/>
      <w:r w:rsidRPr="001E109D">
        <w:rPr>
          <w:sz w:val="22"/>
          <w:szCs w:val="22"/>
        </w:rPr>
        <w:t>-19 a montré qu'il existe de réelles alternatives à la façon dont nous travaillons, étudions, interagissons, produisons, livrons et payons les produits et services. Elle a accéléré la diffusion des innovations, sous l'impulsion des gouvernements, des entreprises et des institutions qui ont saisi l'occasion de faire les choses différemment.</w:t>
      </w:r>
    </w:p>
    <w:p w14:paraId="23A0A296" w14:textId="77777777" w:rsidR="00120C78" w:rsidRPr="001E109D" w:rsidRDefault="00120C78" w:rsidP="00B70E4D">
      <w:pPr>
        <w:pStyle w:val="NormalWeb"/>
        <w:shd w:val="clear" w:color="auto" w:fill="FFFFFF"/>
        <w:spacing w:before="0" w:beforeAutospacing="0" w:after="0" w:afterAutospacing="0"/>
        <w:jc w:val="both"/>
        <w:textAlignment w:val="baseline"/>
        <w:rPr>
          <w:sz w:val="22"/>
          <w:szCs w:val="22"/>
        </w:rPr>
      </w:pPr>
    </w:p>
    <w:p w14:paraId="648A23B1" w14:textId="127A3949" w:rsidR="00120C78" w:rsidRPr="001E109D" w:rsidRDefault="00120C78" w:rsidP="00C109DC">
      <w:pPr>
        <w:ind w:firstLine="720"/>
        <w:jc w:val="both"/>
        <w:rPr>
          <w:sz w:val="22"/>
          <w:szCs w:val="22"/>
        </w:rPr>
      </w:pPr>
      <w:r w:rsidRPr="001E109D">
        <w:rPr>
          <w:sz w:val="22"/>
          <w:szCs w:val="22"/>
        </w:rPr>
        <w:t xml:space="preserve">La mise à l'échelle de ces solutions et innovations pour transformer nos économies et nos sociétés nécessite une approche globale de la société. Il s'agit de tirer parti de la coopération internationale, des partenariats à multiples parties prenantes et de la solidarité. Toutefois, une série d'initiatives isolées de la part de différents acteurs ne suffit pas. Nous devons mettre en place des initiatives communes, mettre en rapport les besoins communs avec les solutions, identifier les partenaires idéaux. L'OEA, en tant que tribune continentale et intermédiaire sincère, est appelée à faciliter ce processus, tout en continuant à travailler avec les États membres en vue de la réalisation du Programme de développement durable à l’horizon 2030. </w:t>
      </w:r>
    </w:p>
    <w:p w14:paraId="228816EB" w14:textId="77777777" w:rsidR="00120C78" w:rsidRPr="001E109D" w:rsidRDefault="00120C78" w:rsidP="00B70E4D">
      <w:pPr>
        <w:jc w:val="both"/>
        <w:rPr>
          <w:sz w:val="22"/>
          <w:szCs w:val="22"/>
        </w:rPr>
      </w:pPr>
    </w:p>
    <w:p w14:paraId="59E3F223" w14:textId="77777777" w:rsidR="00120C78" w:rsidRPr="001E109D" w:rsidRDefault="00120C78" w:rsidP="00C109DC">
      <w:pPr>
        <w:ind w:firstLine="720"/>
        <w:jc w:val="both"/>
        <w:rPr>
          <w:sz w:val="22"/>
          <w:szCs w:val="22"/>
        </w:rPr>
      </w:pPr>
      <w:r w:rsidRPr="001E109D">
        <w:rPr>
          <w:sz w:val="22"/>
          <w:szCs w:val="22"/>
        </w:rPr>
        <w:t xml:space="preserve">La crise a également créé un espace supplémentaire pour la participation de plusieurs parties prenantes en vue de renforcer la résilience grâce à l'amélioration de la réponse aux catastrophes et du relèvement. Le </w:t>
      </w:r>
      <w:proofErr w:type="spellStart"/>
      <w:r w:rsidRPr="001E109D">
        <w:rPr>
          <w:sz w:val="22"/>
          <w:szCs w:val="22"/>
        </w:rPr>
        <w:t>SEDI</w:t>
      </w:r>
      <w:proofErr w:type="spellEnd"/>
      <w:r w:rsidRPr="001E109D">
        <w:rPr>
          <w:sz w:val="22"/>
          <w:szCs w:val="22"/>
        </w:rPr>
        <w:t xml:space="preserve"> de l’OEA dispose d'exemples concrets de partenariats qui apportent une valeur ajoutée aux États membres sous la forme d'une assistance technique, de formation et d'accès à des outils et services fournis en collaboration avec le secteur privé, les universités et d'autres acteurs. Le potentiel de croissance dans ce domaine est énorme. </w:t>
      </w:r>
    </w:p>
    <w:p w14:paraId="0DB0DEB3" w14:textId="77777777" w:rsidR="00120C78" w:rsidRPr="001E109D" w:rsidRDefault="00120C78" w:rsidP="00B70E4D">
      <w:pPr>
        <w:jc w:val="both"/>
        <w:rPr>
          <w:rFonts w:eastAsia="Arial"/>
          <w:sz w:val="22"/>
          <w:szCs w:val="22"/>
        </w:rPr>
      </w:pPr>
    </w:p>
    <w:p w14:paraId="555C28FB" w14:textId="0E393E79" w:rsidR="00120C78" w:rsidRPr="001E109D" w:rsidRDefault="00120C78" w:rsidP="00C109DC">
      <w:pPr>
        <w:ind w:firstLine="720"/>
        <w:jc w:val="both"/>
        <w:rPr>
          <w:sz w:val="22"/>
          <w:szCs w:val="22"/>
        </w:rPr>
      </w:pPr>
      <w:r w:rsidRPr="001E109D">
        <w:rPr>
          <w:sz w:val="22"/>
          <w:szCs w:val="22"/>
        </w:rPr>
        <w:t xml:space="preserve">Il existe de nombreuses initiatives prometteuses pour mettre à profit les interventions de multiples parties prenantes au service du développement. Le </w:t>
      </w:r>
      <w:hyperlink r:id="rId9" w:history="1">
        <w:r w:rsidRPr="001E109D">
          <w:rPr>
            <w:rStyle w:val="Hyperlink"/>
            <w:sz w:val="22"/>
            <w:szCs w:val="22"/>
          </w:rPr>
          <w:t>Dialogue des entreprises des Amériques (</w:t>
        </w:r>
        <w:proofErr w:type="spellStart"/>
        <w:r w:rsidRPr="001E109D">
          <w:rPr>
            <w:rStyle w:val="Hyperlink"/>
            <w:sz w:val="22"/>
            <w:szCs w:val="22"/>
          </w:rPr>
          <w:t>ABD</w:t>
        </w:r>
        <w:proofErr w:type="spellEnd"/>
        <w:r w:rsidRPr="001E109D">
          <w:rPr>
            <w:rStyle w:val="Hyperlink"/>
            <w:sz w:val="22"/>
            <w:szCs w:val="22"/>
          </w:rPr>
          <w:t>)</w:t>
        </w:r>
      </w:hyperlink>
      <w:r w:rsidRPr="001E109D">
        <w:rPr>
          <w:sz w:val="22"/>
          <w:szCs w:val="22"/>
        </w:rPr>
        <w:t>, piloté par le secteur privé et animé par la Banque interaméricaine de développement (BID), l’</w:t>
      </w:r>
      <w:hyperlink r:id="rId10" w:history="1">
        <w:r w:rsidRPr="001E109D">
          <w:rPr>
            <w:rStyle w:val="Hyperlink"/>
            <w:sz w:val="22"/>
            <w:szCs w:val="22"/>
          </w:rPr>
          <w:t>Initiative pour les réseaux commerciaux (</w:t>
        </w:r>
        <w:proofErr w:type="spellStart"/>
        <w:r w:rsidRPr="001E109D">
          <w:rPr>
            <w:rStyle w:val="Hyperlink"/>
            <w:sz w:val="22"/>
            <w:szCs w:val="22"/>
          </w:rPr>
          <w:t>CBi</w:t>
        </w:r>
        <w:proofErr w:type="spellEnd"/>
        <w:r w:rsidRPr="001E109D">
          <w:rPr>
            <w:rStyle w:val="Hyperlink"/>
            <w:sz w:val="22"/>
            <w:szCs w:val="22"/>
          </w:rPr>
          <w:t>)</w:t>
        </w:r>
      </w:hyperlink>
      <w:r w:rsidRPr="001E109D">
        <w:rPr>
          <w:sz w:val="22"/>
          <w:szCs w:val="22"/>
        </w:rPr>
        <w:t xml:space="preserve">, pilotée par le secteur privé et soutenu par les Nations Unies, la </w:t>
      </w:r>
      <w:hyperlink r:id="rId11" w:history="1">
        <w:r w:rsidRPr="001E109D">
          <w:rPr>
            <w:rStyle w:val="Hyperlink"/>
            <w:sz w:val="22"/>
            <w:szCs w:val="22"/>
          </w:rPr>
          <w:t xml:space="preserve">Plateforme d'action sur la </w:t>
        </w:r>
        <w:proofErr w:type="spellStart"/>
        <w:r w:rsidRPr="001E109D">
          <w:rPr>
            <w:rStyle w:val="Hyperlink"/>
            <w:sz w:val="22"/>
            <w:szCs w:val="22"/>
          </w:rPr>
          <w:t>COVID</w:t>
        </w:r>
        <w:proofErr w:type="spellEnd"/>
        <w:r w:rsidRPr="001E109D">
          <w:rPr>
            <w:rStyle w:val="Hyperlink"/>
            <w:sz w:val="22"/>
            <w:szCs w:val="22"/>
          </w:rPr>
          <w:t>-19</w:t>
        </w:r>
        <w:r w:rsidRPr="00B919C1">
          <w:rPr>
            <w:rStyle w:val="Hyperlink"/>
            <w:sz w:val="22"/>
            <w:szCs w:val="22"/>
            <w:u w:val="none"/>
          </w:rPr>
          <w:t xml:space="preserve"> </w:t>
        </w:r>
      </w:hyperlink>
      <w:r w:rsidRPr="001E109D">
        <w:rPr>
          <w:sz w:val="22"/>
          <w:szCs w:val="22"/>
        </w:rPr>
        <w:t xml:space="preserve">du Forum économique mondial, le </w:t>
      </w:r>
      <w:hyperlink r:id="rId12" w:history="1">
        <w:r w:rsidRPr="001E109D">
          <w:rPr>
            <w:rStyle w:val="Hyperlink"/>
            <w:sz w:val="22"/>
            <w:szCs w:val="22"/>
          </w:rPr>
          <w:t>Partenariat mondial pour les données du développement durable</w:t>
        </w:r>
      </w:hyperlink>
      <w:r w:rsidRPr="001E109D">
        <w:rPr>
          <w:sz w:val="22"/>
          <w:szCs w:val="22"/>
        </w:rPr>
        <w:t xml:space="preserve">, enfin, le </w:t>
      </w:r>
      <w:hyperlink r:id="rId13" w:history="1">
        <w:r w:rsidRPr="001E109D">
          <w:rPr>
            <w:rStyle w:val="Hyperlink"/>
            <w:sz w:val="22"/>
            <w:szCs w:val="22"/>
          </w:rPr>
          <w:t>Pacte mondial</w:t>
        </w:r>
      </w:hyperlink>
      <w:r w:rsidRPr="001E109D">
        <w:rPr>
          <w:sz w:val="22"/>
          <w:szCs w:val="22"/>
        </w:rPr>
        <w:t xml:space="preserve"> et la </w:t>
      </w:r>
      <w:hyperlink r:id="rId14" w:history="1">
        <w:r w:rsidRPr="001E109D">
          <w:rPr>
            <w:rStyle w:val="Hyperlink"/>
            <w:sz w:val="22"/>
            <w:szCs w:val="22"/>
          </w:rPr>
          <w:t xml:space="preserve">plateforme en ligne des partenariats pour les </w:t>
        </w:r>
        <w:proofErr w:type="spellStart"/>
        <w:r w:rsidRPr="001E109D">
          <w:rPr>
            <w:rStyle w:val="Hyperlink"/>
            <w:sz w:val="22"/>
            <w:szCs w:val="22"/>
          </w:rPr>
          <w:t>ODD</w:t>
        </w:r>
        <w:proofErr w:type="spellEnd"/>
      </w:hyperlink>
      <w:r w:rsidRPr="001E109D">
        <w:rPr>
          <w:sz w:val="22"/>
          <w:szCs w:val="22"/>
        </w:rPr>
        <w:t xml:space="preserve"> des Nations Unies, pour ne citer que ces exemples. </w:t>
      </w:r>
    </w:p>
    <w:p w14:paraId="73E5271B" w14:textId="77777777" w:rsidR="00120C78" w:rsidRPr="001E109D" w:rsidRDefault="00120C78" w:rsidP="00B70E4D">
      <w:pPr>
        <w:pStyle w:val="NormalWeb"/>
        <w:shd w:val="clear" w:color="auto" w:fill="FFFFFF"/>
        <w:spacing w:before="0" w:beforeAutospacing="0" w:after="0" w:afterAutospacing="0"/>
        <w:jc w:val="both"/>
        <w:rPr>
          <w:sz w:val="22"/>
          <w:szCs w:val="22"/>
        </w:rPr>
      </w:pPr>
    </w:p>
    <w:p w14:paraId="76747A4A" w14:textId="2D5457CC" w:rsidR="0031086B" w:rsidRPr="001E109D" w:rsidRDefault="005621FB" w:rsidP="00C109DC">
      <w:pPr>
        <w:pStyle w:val="NormalWeb"/>
        <w:shd w:val="clear" w:color="auto" w:fill="FFFFFF"/>
        <w:spacing w:before="0" w:beforeAutospacing="0" w:after="0" w:afterAutospacing="0"/>
        <w:ind w:firstLine="720"/>
        <w:jc w:val="both"/>
        <w:rPr>
          <w:sz w:val="22"/>
          <w:szCs w:val="22"/>
        </w:rPr>
      </w:pPr>
      <w:r w:rsidRPr="001E109D">
        <w:rPr>
          <w:sz w:val="22"/>
          <w:szCs w:val="22"/>
        </w:rPr>
        <w:t xml:space="preserve">Ces partenariats sont essentiels alors que la « tempête du siècle » engloutit les Amériques. La région a été frappée par une saison d'ouragans qui a brisé tous les records tout en s'ajoutant à la crise sanitaire, économique et sociale provoquée par la pandémie de </w:t>
      </w:r>
      <w:proofErr w:type="spellStart"/>
      <w:r w:rsidRPr="001E109D">
        <w:rPr>
          <w:sz w:val="22"/>
          <w:szCs w:val="22"/>
        </w:rPr>
        <w:t>COVID</w:t>
      </w:r>
      <w:proofErr w:type="spellEnd"/>
      <w:r w:rsidRPr="001E109D">
        <w:rPr>
          <w:sz w:val="22"/>
          <w:szCs w:val="22"/>
        </w:rPr>
        <w:t xml:space="preserve">-19 et en aggravant celle-ci. L'impact tragique de la pandémie a mis au jour les faiblesses structurelles profondément ancrées de la région, notamment des niveaux de pauvreté et d'inégalité alarmants, des systèmes de protection sociale sous-financés, la part considérable occupée par le secteur informel dans le marché du travail, des taux de productivité et d'innovation faibles et des infrastructures carencées. La saison des ouragans nous rappelle brutalement notre grande vulnérabilité face au changement climatique et à la multiplication des catastrophes naturelles. Pour surmonter ces obstacles, il faut que toutes les parties prenantes travaillent de manière coordonnée dans le cadre de partenariats solides en mesure de mobiliser les compétences expertes, les connaissances, le financement et les autres ressources nécessaires pour mieux se remettre de la crise avec résilience et inclusion. </w:t>
      </w:r>
    </w:p>
    <w:p w14:paraId="434BF073" w14:textId="77777777" w:rsidR="00A23E00" w:rsidRPr="001E109D" w:rsidRDefault="00A23E00" w:rsidP="00B70E4D">
      <w:pPr>
        <w:pStyle w:val="NormalWeb"/>
        <w:shd w:val="clear" w:color="auto" w:fill="FFFFFF"/>
        <w:spacing w:before="0" w:beforeAutospacing="0" w:after="0" w:afterAutospacing="0"/>
        <w:jc w:val="both"/>
        <w:rPr>
          <w:i/>
          <w:iCs/>
          <w:sz w:val="22"/>
          <w:szCs w:val="22"/>
        </w:rPr>
      </w:pPr>
    </w:p>
    <w:p w14:paraId="15779229" w14:textId="1A8FE9CC" w:rsidR="00A23402" w:rsidRPr="001E109D" w:rsidRDefault="005A62F8" w:rsidP="00C109DC">
      <w:pPr>
        <w:pStyle w:val="NormalWeb"/>
        <w:shd w:val="clear" w:color="auto" w:fill="FFFFFF"/>
        <w:spacing w:before="0" w:beforeAutospacing="0" w:after="0" w:afterAutospacing="0"/>
        <w:ind w:firstLine="720"/>
        <w:jc w:val="both"/>
        <w:rPr>
          <w:sz w:val="22"/>
          <w:szCs w:val="22"/>
        </w:rPr>
      </w:pPr>
      <w:r w:rsidRPr="001E109D">
        <w:rPr>
          <w:sz w:val="22"/>
          <w:szCs w:val="22"/>
        </w:rPr>
        <w:t xml:space="preserve">« La saison 2020 des ouragans dans l'Atlantique occupe malheureusement la première place des saisons les plus actives jamais enregistrées », a annoncé la </w:t>
      </w:r>
      <w:proofErr w:type="spellStart"/>
      <w:r w:rsidRPr="001E109D">
        <w:rPr>
          <w:sz w:val="22"/>
          <w:szCs w:val="22"/>
        </w:rPr>
        <w:t>NOAA</w:t>
      </w:r>
      <w:proofErr w:type="spellEnd"/>
      <w:r w:rsidRPr="001E109D">
        <w:rPr>
          <w:sz w:val="22"/>
          <w:szCs w:val="22"/>
        </w:rPr>
        <w:t xml:space="preserve"> (National </w:t>
      </w:r>
      <w:proofErr w:type="spellStart"/>
      <w:r w:rsidRPr="001E109D">
        <w:rPr>
          <w:sz w:val="22"/>
          <w:szCs w:val="22"/>
        </w:rPr>
        <w:t>Oceanic</w:t>
      </w:r>
      <w:proofErr w:type="spellEnd"/>
      <w:r w:rsidRPr="001E109D">
        <w:rPr>
          <w:sz w:val="22"/>
          <w:szCs w:val="22"/>
        </w:rPr>
        <w:t xml:space="preserve"> and </w:t>
      </w:r>
      <w:proofErr w:type="spellStart"/>
      <w:r w:rsidRPr="001E109D">
        <w:rPr>
          <w:sz w:val="22"/>
          <w:szCs w:val="22"/>
        </w:rPr>
        <w:lastRenderedPageBreak/>
        <w:t>Atmospheric</w:t>
      </w:r>
      <w:proofErr w:type="spellEnd"/>
      <w:r w:rsidRPr="001E109D">
        <w:rPr>
          <w:sz w:val="22"/>
          <w:szCs w:val="22"/>
        </w:rPr>
        <w:t xml:space="preserve"> Administration) à la mi-novembre</w:t>
      </w:r>
      <w:r w:rsidR="00F37557" w:rsidRPr="001E109D">
        <w:rPr>
          <w:rStyle w:val="FootnoteReference"/>
          <w:sz w:val="22"/>
          <w:szCs w:val="22"/>
          <w:u w:val="single"/>
        </w:rPr>
        <w:footnoteReference w:id="5"/>
      </w:r>
      <w:r w:rsidRPr="001E109D">
        <w:rPr>
          <w:sz w:val="22"/>
          <w:szCs w:val="22"/>
          <w:vertAlign w:val="superscript"/>
        </w:rPr>
        <w:t>/</w:t>
      </w:r>
      <w:r w:rsidRPr="001E109D">
        <w:rPr>
          <w:sz w:val="22"/>
          <w:szCs w:val="22"/>
        </w:rPr>
        <w:t xml:space="preserve">. L'ouragan Iota est devenu la </w:t>
      </w:r>
      <w:proofErr w:type="spellStart"/>
      <w:r w:rsidRPr="001E109D">
        <w:rPr>
          <w:sz w:val="22"/>
          <w:szCs w:val="22"/>
        </w:rPr>
        <w:t>30</w:t>
      </w:r>
      <w:r w:rsidRPr="001E109D">
        <w:rPr>
          <w:sz w:val="22"/>
          <w:szCs w:val="22"/>
          <w:vertAlign w:val="superscript"/>
        </w:rPr>
        <w:t>e</w:t>
      </w:r>
      <w:proofErr w:type="spellEnd"/>
      <w:r w:rsidRPr="001E109D">
        <w:rPr>
          <w:sz w:val="22"/>
          <w:szCs w:val="22"/>
        </w:rPr>
        <w:t xml:space="preserve"> tempête nommée de la saison, contre une moyenne annuelle de 12 tempêtes nommées, et a battu le record établi en 2005 pour le plus grand nombre de tempêtes tropicales/subtropicales en une seule année en près de 170 ans de données enregistrées. </w:t>
      </w:r>
    </w:p>
    <w:p w14:paraId="1F684515" w14:textId="77777777" w:rsidR="009363DC" w:rsidRPr="001E109D" w:rsidRDefault="009363DC" w:rsidP="00B70E4D">
      <w:pPr>
        <w:pStyle w:val="NormalWeb"/>
        <w:shd w:val="clear" w:color="auto" w:fill="FFFFFF"/>
        <w:spacing w:before="0" w:beforeAutospacing="0" w:after="0" w:afterAutospacing="0"/>
        <w:jc w:val="both"/>
        <w:rPr>
          <w:sz w:val="22"/>
          <w:szCs w:val="22"/>
        </w:rPr>
      </w:pPr>
    </w:p>
    <w:p w14:paraId="71A44599" w14:textId="1E08EB69" w:rsidR="00031116" w:rsidRPr="001E109D" w:rsidRDefault="00C07B9C" w:rsidP="00C109DC">
      <w:pPr>
        <w:pStyle w:val="NormalWeb"/>
        <w:shd w:val="clear" w:color="auto" w:fill="FFFFFF"/>
        <w:spacing w:before="0" w:beforeAutospacing="0" w:after="0" w:afterAutospacing="0"/>
        <w:ind w:firstLine="720"/>
        <w:jc w:val="both"/>
        <w:rPr>
          <w:sz w:val="22"/>
          <w:szCs w:val="22"/>
          <w:shd w:val="clear" w:color="auto" w:fill="FFFFFF"/>
        </w:rPr>
      </w:pPr>
      <w:r w:rsidRPr="001E109D">
        <w:rPr>
          <w:sz w:val="22"/>
          <w:szCs w:val="22"/>
          <w:shd w:val="clear" w:color="auto" w:fill="FFFFFF"/>
        </w:rPr>
        <w:t xml:space="preserve">Iota a suivi de près </w:t>
      </w:r>
      <w:r w:rsidRPr="001E109D">
        <w:rPr>
          <w:sz w:val="22"/>
          <w:szCs w:val="22"/>
        </w:rPr>
        <w:t xml:space="preserve">l'ouragan </w:t>
      </w:r>
      <w:proofErr w:type="spellStart"/>
      <w:r w:rsidRPr="001E109D">
        <w:rPr>
          <w:sz w:val="22"/>
          <w:szCs w:val="22"/>
        </w:rPr>
        <w:t>Eta</w:t>
      </w:r>
      <w:proofErr w:type="spellEnd"/>
      <w:r w:rsidRPr="001E109D">
        <w:rPr>
          <w:sz w:val="22"/>
          <w:szCs w:val="22"/>
        </w:rPr>
        <w:t xml:space="preserve"> et menace de provoquer des dégâts catastrophiques dans plusieurs régions d’Amérique centrale et d’Amérique du Sud car les sols déjà saturés ont subi de fortes pluies causées par la tempête, avec le risque de provoquer des crues soudaines et des coulées de boue, a déclaré </w:t>
      </w:r>
      <w:r w:rsidRPr="001E109D">
        <w:rPr>
          <w:sz w:val="22"/>
          <w:szCs w:val="22"/>
          <w:shd w:val="clear" w:color="auto" w:fill="FFFFFF"/>
        </w:rPr>
        <w:t>le Centre national pour les ouragans (</w:t>
      </w:r>
      <w:proofErr w:type="spellStart"/>
      <w:r w:rsidRPr="001E109D">
        <w:rPr>
          <w:sz w:val="22"/>
          <w:szCs w:val="22"/>
          <w:shd w:val="clear" w:color="auto" w:fill="FFFFFF"/>
        </w:rPr>
        <w:t>NHC</w:t>
      </w:r>
      <w:proofErr w:type="spellEnd"/>
      <w:r w:rsidRPr="001E109D">
        <w:rPr>
          <w:sz w:val="22"/>
          <w:szCs w:val="22"/>
          <w:shd w:val="clear" w:color="auto" w:fill="FFFFFF"/>
        </w:rPr>
        <w:t xml:space="preserve">) de la </w:t>
      </w:r>
      <w:proofErr w:type="spellStart"/>
      <w:r w:rsidRPr="001E109D">
        <w:rPr>
          <w:sz w:val="22"/>
          <w:szCs w:val="22"/>
          <w:shd w:val="clear" w:color="auto" w:fill="FFFFFF"/>
        </w:rPr>
        <w:t>NOAA</w:t>
      </w:r>
      <w:proofErr w:type="spellEnd"/>
      <w:r w:rsidR="00ED147B" w:rsidRPr="001E109D">
        <w:rPr>
          <w:rStyle w:val="FootnoteReference"/>
          <w:sz w:val="22"/>
          <w:szCs w:val="22"/>
          <w:u w:val="single"/>
        </w:rPr>
        <w:footnoteReference w:id="6"/>
      </w:r>
      <w:r w:rsidRPr="001E109D">
        <w:rPr>
          <w:sz w:val="22"/>
          <w:szCs w:val="22"/>
          <w:shd w:val="clear" w:color="auto" w:fill="FFFFFF"/>
          <w:vertAlign w:val="superscript"/>
        </w:rPr>
        <w:t>/</w:t>
      </w:r>
      <w:r w:rsidRPr="001E109D">
        <w:rPr>
          <w:sz w:val="22"/>
          <w:szCs w:val="22"/>
        </w:rPr>
        <w:t>.</w:t>
      </w:r>
      <w:r w:rsidRPr="001E109D">
        <w:rPr>
          <w:sz w:val="22"/>
          <w:szCs w:val="22"/>
          <w:shd w:val="clear" w:color="auto" w:fill="FFFFFF"/>
        </w:rPr>
        <w:t xml:space="preserve"> Cette saison extrêmement active avait été prévue en raison des températures de surface de la mer plus élevées que la moyenne et d'autres conditions océaniques et atmosphériques qui favorisent l’apparition d’un grand nombre d’ouragans durant cette saison.</w:t>
      </w:r>
    </w:p>
    <w:p w14:paraId="6D89806C" w14:textId="77777777" w:rsidR="009363DC" w:rsidRPr="001E109D" w:rsidRDefault="009363DC" w:rsidP="00B70E4D">
      <w:pPr>
        <w:pStyle w:val="NormalWeb"/>
        <w:shd w:val="clear" w:color="auto" w:fill="FFFFFF"/>
        <w:spacing w:before="0" w:beforeAutospacing="0" w:after="0" w:afterAutospacing="0"/>
        <w:jc w:val="both"/>
        <w:rPr>
          <w:sz w:val="22"/>
          <w:szCs w:val="22"/>
          <w:shd w:val="clear" w:color="auto" w:fill="FFFFFF"/>
        </w:rPr>
      </w:pPr>
    </w:p>
    <w:p w14:paraId="02C9CE40" w14:textId="30F60772" w:rsidR="00106BF9" w:rsidRPr="001E109D" w:rsidRDefault="00DF34F4" w:rsidP="00C109DC">
      <w:pPr>
        <w:pStyle w:val="NormalWeb"/>
        <w:shd w:val="clear" w:color="auto" w:fill="FFFFFF"/>
        <w:spacing w:before="0" w:beforeAutospacing="0" w:after="0" w:afterAutospacing="0"/>
        <w:ind w:firstLine="720"/>
        <w:jc w:val="both"/>
        <w:textAlignment w:val="baseline"/>
        <w:rPr>
          <w:sz w:val="22"/>
          <w:szCs w:val="22"/>
        </w:rPr>
      </w:pPr>
      <w:r w:rsidRPr="001E109D">
        <w:rPr>
          <w:sz w:val="22"/>
          <w:szCs w:val="22"/>
        </w:rPr>
        <w:t xml:space="preserve">Tout cela s’est produit en 2020, l'année où la pandémie de </w:t>
      </w:r>
      <w:proofErr w:type="spellStart"/>
      <w:r w:rsidRPr="001E109D">
        <w:rPr>
          <w:sz w:val="22"/>
          <w:szCs w:val="22"/>
        </w:rPr>
        <w:t>COVID</w:t>
      </w:r>
      <w:proofErr w:type="spellEnd"/>
      <w:r w:rsidRPr="001E109D">
        <w:rPr>
          <w:sz w:val="22"/>
          <w:szCs w:val="22"/>
        </w:rPr>
        <w:t xml:space="preserve">-19 a paralysé la planète. Dans ce contexte, il est non seulement difficile mais presque incompatible de faire face aux menaces que représentent les catastrophes naturelles. Les scientifiques ont averti que l'incompatibilité inhérente entre les stratégies visant à protéger la population contre les dangers des ouragans (c'est-à-dire le regroupement des personnes pour les évacuer et les héberger) et les approches efficaces pour ralentir la propagation de la </w:t>
      </w:r>
      <w:proofErr w:type="spellStart"/>
      <w:r w:rsidRPr="001E109D">
        <w:rPr>
          <w:sz w:val="22"/>
          <w:szCs w:val="22"/>
        </w:rPr>
        <w:t>COVID</w:t>
      </w:r>
      <w:proofErr w:type="spellEnd"/>
      <w:r w:rsidRPr="001E109D">
        <w:rPr>
          <w:sz w:val="22"/>
          <w:szCs w:val="22"/>
        </w:rPr>
        <w:t>-19 (c'est-à-dire la séparation des personnes par la distanciation physique et les ordres de confinement à domicile) peut exacerber les dommages causés par la pandémie</w:t>
      </w:r>
      <w:r w:rsidR="00A066F1" w:rsidRPr="001E109D">
        <w:rPr>
          <w:rStyle w:val="FootnoteReference"/>
          <w:sz w:val="22"/>
          <w:szCs w:val="22"/>
          <w:u w:val="single"/>
        </w:rPr>
        <w:footnoteReference w:id="7"/>
      </w:r>
      <w:r w:rsidRPr="001E109D">
        <w:rPr>
          <w:sz w:val="22"/>
          <w:szCs w:val="22"/>
          <w:vertAlign w:val="superscript"/>
        </w:rPr>
        <w:t>/</w:t>
      </w:r>
      <w:r w:rsidRPr="001E109D">
        <w:rPr>
          <w:sz w:val="22"/>
          <w:szCs w:val="22"/>
        </w:rPr>
        <w:t>. En effet, tandis que les ouragans, inondations et coulées de boue dévastaient la région, l’</w:t>
      </w:r>
      <w:proofErr w:type="spellStart"/>
      <w:r w:rsidRPr="001E109D">
        <w:rPr>
          <w:sz w:val="22"/>
          <w:szCs w:val="22"/>
        </w:rPr>
        <w:t>IFRC</w:t>
      </w:r>
      <w:proofErr w:type="spellEnd"/>
      <w:r w:rsidRPr="001E109D">
        <w:rPr>
          <w:sz w:val="22"/>
          <w:szCs w:val="22"/>
        </w:rPr>
        <w:t xml:space="preserve"> a avancé d’autres sources de préoccupation en rapport avec l'augmentation du nombre de transmissions du coronavirus à cause de la difficulté de mettre en œuvre les mesures de prévention</w:t>
      </w:r>
      <w:r w:rsidR="00991EC8" w:rsidRPr="001E109D">
        <w:rPr>
          <w:rStyle w:val="FootnoteReference"/>
          <w:sz w:val="22"/>
          <w:szCs w:val="22"/>
          <w:u w:val="single"/>
        </w:rPr>
        <w:footnoteReference w:id="8"/>
      </w:r>
      <w:r w:rsidRPr="001E109D">
        <w:rPr>
          <w:sz w:val="22"/>
          <w:szCs w:val="22"/>
          <w:vertAlign w:val="superscript"/>
        </w:rPr>
        <w:t>/</w:t>
      </w:r>
      <w:r w:rsidRPr="001E109D">
        <w:rPr>
          <w:sz w:val="22"/>
          <w:szCs w:val="22"/>
        </w:rPr>
        <w:t xml:space="preserve">. </w:t>
      </w:r>
    </w:p>
    <w:p w14:paraId="512CCDEC" w14:textId="77777777" w:rsidR="00B82374" w:rsidRPr="001E109D" w:rsidRDefault="00B82374" w:rsidP="00B70E4D">
      <w:pPr>
        <w:jc w:val="both"/>
        <w:rPr>
          <w:sz w:val="22"/>
          <w:szCs w:val="22"/>
        </w:rPr>
      </w:pPr>
    </w:p>
    <w:p w14:paraId="7AA8E6BB" w14:textId="698872C2" w:rsidR="0093336F" w:rsidRPr="001E109D" w:rsidRDefault="00DA289E" w:rsidP="00C109DC">
      <w:pPr>
        <w:ind w:firstLine="360"/>
        <w:jc w:val="both"/>
        <w:rPr>
          <w:sz w:val="22"/>
          <w:szCs w:val="22"/>
        </w:rPr>
      </w:pPr>
      <w:r w:rsidRPr="001E109D">
        <w:rPr>
          <w:sz w:val="22"/>
          <w:szCs w:val="22"/>
        </w:rPr>
        <w:t xml:space="preserve">Nos États membres et l'Organisation se voient offrir une occasion unique de relever les nombreux défis de 2020. Une crise d'une telle gravité permet d'aligner les programmes et les priorités et peut stimuler la volonté politique de nombreux acteurs dans le sens d’un renforcement de la collaboration entre les différents acteurs à la recherche d'un avenir plus durable, plus résistant et plus inclusif pour tous les peuples des Amériques. </w:t>
      </w:r>
    </w:p>
    <w:p w14:paraId="1DC499F4" w14:textId="77777777" w:rsidR="005A5D50" w:rsidRPr="001E109D" w:rsidRDefault="005A5D50" w:rsidP="00B70E4D">
      <w:pPr>
        <w:pStyle w:val="NormalWeb"/>
        <w:shd w:val="clear" w:color="auto" w:fill="FFFFFF"/>
        <w:spacing w:before="0" w:beforeAutospacing="0" w:after="0" w:afterAutospacing="0"/>
        <w:jc w:val="both"/>
        <w:textAlignment w:val="baseline"/>
        <w:rPr>
          <w:sz w:val="22"/>
          <w:szCs w:val="22"/>
        </w:rPr>
      </w:pPr>
    </w:p>
    <w:p w14:paraId="63EC79CA" w14:textId="77777777" w:rsidR="00951334" w:rsidRPr="001E109D" w:rsidRDefault="00951334" w:rsidP="002055D8">
      <w:pPr>
        <w:numPr>
          <w:ilvl w:val="0"/>
          <w:numId w:val="7"/>
        </w:numPr>
        <w:ind w:hanging="720"/>
        <w:jc w:val="both"/>
        <w:rPr>
          <w:rFonts w:eastAsia="Calibri"/>
          <w:b/>
          <w:sz w:val="22"/>
          <w:szCs w:val="22"/>
        </w:rPr>
      </w:pPr>
      <w:bookmarkStart w:id="1" w:name="_Hlk42075927"/>
      <w:r w:rsidRPr="001E109D">
        <w:rPr>
          <w:b/>
          <w:sz w:val="22"/>
          <w:szCs w:val="22"/>
        </w:rPr>
        <w:t>PERTINENCE PAR RAPPORT AUX MANDATS DE L'OEA</w:t>
      </w:r>
    </w:p>
    <w:p w14:paraId="02092935" w14:textId="77777777" w:rsidR="00951334" w:rsidRPr="001E109D" w:rsidRDefault="00951334" w:rsidP="002055D8">
      <w:pPr>
        <w:jc w:val="both"/>
        <w:rPr>
          <w:rFonts w:eastAsia="Calibri"/>
          <w:b/>
          <w:sz w:val="22"/>
          <w:szCs w:val="22"/>
        </w:rPr>
      </w:pPr>
    </w:p>
    <w:p w14:paraId="347E7C2B" w14:textId="00A2FD7E" w:rsidR="00951334" w:rsidRPr="001E109D" w:rsidRDefault="00A3042A" w:rsidP="00C109DC">
      <w:pPr>
        <w:ind w:firstLine="720"/>
        <w:jc w:val="both"/>
        <w:rPr>
          <w:rFonts w:eastAsia="Calibri"/>
          <w:sz w:val="22"/>
          <w:szCs w:val="22"/>
        </w:rPr>
      </w:pPr>
      <w:r w:rsidRPr="001E109D">
        <w:rPr>
          <w:sz w:val="22"/>
          <w:szCs w:val="22"/>
        </w:rPr>
        <w:t>« Encourager la coopération pour le développement et la création de partenariats » est l'une des lignes stratégiques du développement intégré qui figurent dans le Plan stratégique intégral de l'OEA. [AG/RES. 1 (</w:t>
      </w:r>
      <w:proofErr w:type="spellStart"/>
      <w:r w:rsidRPr="001E109D">
        <w:rPr>
          <w:sz w:val="22"/>
          <w:szCs w:val="22"/>
        </w:rPr>
        <w:t>LI-E</w:t>
      </w:r>
      <w:proofErr w:type="spellEnd"/>
      <w:r w:rsidRPr="001E109D">
        <w:rPr>
          <w:sz w:val="22"/>
          <w:szCs w:val="22"/>
        </w:rPr>
        <w:t>/16)]. Cette ligne établit les objectifs suivants :</w:t>
      </w:r>
    </w:p>
    <w:p w14:paraId="5D8E1BE0" w14:textId="77777777" w:rsidR="00417C96" w:rsidRPr="001E109D" w:rsidRDefault="00417C96" w:rsidP="00B70E4D">
      <w:pPr>
        <w:jc w:val="both"/>
        <w:rPr>
          <w:rFonts w:eastAsia="Calibri"/>
          <w:sz w:val="22"/>
          <w:szCs w:val="22"/>
        </w:rPr>
      </w:pPr>
    </w:p>
    <w:p w14:paraId="4E60D2C7" w14:textId="32A76E38" w:rsidR="00417C96" w:rsidRPr="001E109D" w:rsidRDefault="00B70E4D" w:rsidP="00C109DC">
      <w:pPr>
        <w:ind w:left="1440" w:hanging="720"/>
        <w:jc w:val="both"/>
        <w:rPr>
          <w:sz w:val="22"/>
          <w:szCs w:val="22"/>
        </w:rPr>
      </w:pPr>
      <w:r w:rsidRPr="001E109D">
        <w:rPr>
          <w:sz w:val="22"/>
          <w:szCs w:val="22"/>
        </w:rPr>
        <w:t>6.1.</w:t>
      </w:r>
      <w:r w:rsidRPr="001E109D">
        <w:rPr>
          <w:sz w:val="22"/>
          <w:szCs w:val="22"/>
        </w:rPr>
        <w:tab/>
        <w:t xml:space="preserve">Promouvoir la coopération bilatérale, Sud-Sud, triangulaire et internationale à travers le continent. </w:t>
      </w:r>
    </w:p>
    <w:p w14:paraId="5C4A1A57" w14:textId="5C3C29D7" w:rsidR="00417C96" w:rsidRPr="001E109D" w:rsidRDefault="00417C96" w:rsidP="00C109DC">
      <w:pPr>
        <w:ind w:left="1440" w:hanging="720"/>
        <w:jc w:val="both"/>
        <w:rPr>
          <w:sz w:val="22"/>
          <w:szCs w:val="22"/>
        </w:rPr>
      </w:pPr>
      <w:r w:rsidRPr="001E109D">
        <w:rPr>
          <w:sz w:val="22"/>
          <w:szCs w:val="22"/>
        </w:rPr>
        <w:lastRenderedPageBreak/>
        <w:t>6.2.</w:t>
      </w:r>
      <w:r w:rsidRPr="001E109D">
        <w:rPr>
          <w:sz w:val="22"/>
          <w:szCs w:val="22"/>
        </w:rPr>
        <w:tab/>
        <w:t>Encourager les partenariats multisectoriels efficaces pour soutenir les États membres dans la réalisation des objectifs de développement durable.</w:t>
      </w:r>
    </w:p>
    <w:p w14:paraId="620A591D" w14:textId="6EC0F5FB" w:rsidR="0069379D" w:rsidRPr="001E109D" w:rsidRDefault="0069379D" w:rsidP="00B70E4D">
      <w:pPr>
        <w:jc w:val="both"/>
        <w:rPr>
          <w:sz w:val="22"/>
          <w:szCs w:val="22"/>
        </w:rPr>
      </w:pPr>
    </w:p>
    <w:p w14:paraId="1CD58110" w14:textId="5CF7927D" w:rsidR="00F60677" w:rsidRPr="001E109D" w:rsidRDefault="0069379D" w:rsidP="00C109DC">
      <w:pPr>
        <w:ind w:firstLine="720"/>
        <w:jc w:val="both"/>
        <w:rPr>
          <w:rFonts w:eastAsia="Calibri"/>
          <w:sz w:val="22"/>
          <w:szCs w:val="22"/>
        </w:rPr>
      </w:pPr>
      <w:r w:rsidRPr="001E109D">
        <w:rPr>
          <w:sz w:val="22"/>
          <w:szCs w:val="22"/>
        </w:rPr>
        <w:t>En outre, lors de la session ordinaire de l'Assemblée générale de 2020, les États membres ont adopté des résolutions qui reconnaissent l’utilité des partenariats à multiples parties prenantes pour soutenir et renforcer le travail de l'Organisation dans le domaine du développement : les résolutions AG/RES. 2955 (</w:t>
      </w:r>
      <w:proofErr w:type="spellStart"/>
      <w:r w:rsidRPr="001E109D">
        <w:rPr>
          <w:sz w:val="22"/>
          <w:szCs w:val="22"/>
        </w:rPr>
        <w:t>L-O</w:t>
      </w:r>
      <w:proofErr w:type="spellEnd"/>
      <w:r w:rsidRPr="001E109D">
        <w:rPr>
          <w:sz w:val="22"/>
          <w:szCs w:val="22"/>
        </w:rPr>
        <w:t>/20), « </w:t>
      </w:r>
      <w:r w:rsidR="00CA0025">
        <w:rPr>
          <w:sz w:val="22"/>
          <w:szCs w:val="22"/>
        </w:rPr>
        <w:t xml:space="preserve">Encourager les </w:t>
      </w:r>
      <w:r w:rsidRPr="001E109D">
        <w:rPr>
          <w:sz w:val="22"/>
          <w:szCs w:val="22"/>
        </w:rPr>
        <w:t>initiatives continentales en matière de développement intégré</w:t>
      </w:r>
      <w:r w:rsidR="00CA0025" w:rsidRPr="002055D8">
        <w:rPr>
          <w:sz w:val="22"/>
          <w:szCs w:val="22"/>
          <w:lang w:val="fr-FR"/>
        </w:rPr>
        <w:t> </w:t>
      </w:r>
      <w:r w:rsidRPr="001E109D">
        <w:rPr>
          <w:sz w:val="22"/>
          <w:szCs w:val="22"/>
        </w:rPr>
        <w:t>: Promo</w:t>
      </w:r>
      <w:r w:rsidR="00CA0025">
        <w:rPr>
          <w:sz w:val="22"/>
          <w:szCs w:val="22"/>
        </w:rPr>
        <w:t xml:space="preserve">tion de </w:t>
      </w:r>
      <w:r w:rsidRPr="001E109D">
        <w:rPr>
          <w:sz w:val="22"/>
          <w:szCs w:val="22"/>
        </w:rPr>
        <w:t>la résilience » et AG/RES. 2954 (</w:t>
      </w:r>
      <w:proofErr w:type="spellStart"/>
      <w:r w:rsidRPr="001E109D">
        <w:rPr>
          <w:sz w:val="22"/>
          <w:szCs w:val="22"/>
        </w:rPr>
        <w:t>L-O</w:t>
      </w:r>
      <w:proofErr w:type="spellEnd"/>
      <w:r w:rsidRPr="001E109D">
        <w:rPr>
          <w:sz w:val="22"/>
          <w:szCs w:val="22"/>
        </w:rPr>
        <w:t xml:space="preserve">/20), « Vers une </w:t>
      </w:r>
      <w:r w:rsidR="00CA0025">
        <w:rPr>
          <w:sz w:val="22"/>
          <w:szCs w:val="22"/>
        </w:rPr>
        <w:t>C</w:t>
      </w:r>
      <w:r w:rsidRPr="001E109D">
        <w:rPr>
          <w:sz w:val="22"/>
          <w:szCs w:val="22"/>
        </w:rPr>
        <w:t xml:space="preserve">harte interaméricaine des entreprises ». </w:t>
      </w:r>
    </w:p>
    <w:p w14:paraId="1E7FB363" w14:textId="39C0536E" w:rsidR="0098331D" w:rsidRPr="001E109D" w:rsidRDefault="0098331D" w:rsidP="002055D8">
      <w:pPr>
        <w:jc w:val="both"/>
        <w:rPr>
          <w:rFonts w:eastAsia="Calibri"/>
          <w:b/>
          <w:sz w:val="22"/>
          <w:szCs w:val="22"/>
        </w:rPr>
      </w:pPr>
    </w:p>
    <w:p w14:paraId="7C7422C5" w14:textId="37E8CB88" w:rsidR="000B6478" w:rsidRPr="001E109D" w:rsidRDefault="00EA4683" w:rsidP="002055D8">
      <w:pPr>
        <w:numPr>
          <w:ilvl w:val="0"/>
          <w:numId w:val="7"/>
        </w:numPr>
        <w:ind w:hanging="720"/>
        <w:jc w:val="both"/>
        <w:rPr>
          <w:rFonts w:eastAsia="Calibri"/>
          <w:b/>
          <w:sz w:val="22"/>
          <w:szCs w:val="22"/>
        </w:rPr>
      </w:pPr>
      <w:r w:rsidRPr="001E109D">
        <w:rPr>
          <w:b/>
          <w:sz w:val="22"/>
          <w:szCs w:val="22"/>
        </w:rPr>
        <w:t>OBJET DE LA RÉUNION</w:t>
      </w:r>
    </w:p>
    <w:bookmarkEnd w:id="1"/>
    <w:p w14:paraId="0E66D655" w14:textId="77777777" w:rsidR="000B6478" w:rsidRPr="001E109D" w:rsidRDefault="000B6478" w:rsidP="002055D8">
      <w:pPr>
        <w:jc w:val="both"/>
        <w:rPr>
          <w:rFonts w:eastAsia="Calibri"/>
          <w:b/>
          <w:sz w:val="22"/>
          <w:szCs w:val="22"/>
        </w:rPr>
      </w:pPr>
    </w:p>
    <w:p w14:paraId="1A392A9C" w14:textId="7DDC9417" w:rsidR="000B6478" w:rsidRPr="001E109D" w:rsidRDefault="000B6478" w:rsidP="00C109DC">
      <w:pPr>
        <w:ind w:firstLine="720"/>
        <w:jc w:val="both"/>
        <w:rPr>
          <w:rFonts w:eastAsia="Calibri"/>
          <w:sz w:val="22"/>
          <w:szCs w:val="22"/>
        </w:rPr>
      </w:pPr>
      <w:r w:rsidRPr="001E109D">
        <w:rPr>
          <w:sz w:val="22"/>
          <w:szCs w:val="22"/>
        </w:rPr>
        <w:t xml:space="preserve">L'objet de la réunion du </w:t>
      </w:r>
      <w:proofErr w:type="spellStart"/>
      <w:r w:rsidRPr="001E109D">
        <w:rPr>
          <w:sz w:val="22"/>
          <w:szCs w:val="22"/>
        </w:rPr>
        <w:t>CIDI</w:t>
      </w:r>
      <w:proofErr w:type="spellEnd"/>
      <w:r w:rsidRPr="001E109D">
        <w:rPr>
          <w:sz w:val="22"/>
          <w:szCs w:val="22"/>
        </w:rPr>
        <w:t xml:space="preserve"> est de faciliter le dialogue entre les États membres et de présenter les partenariats existants qui sont soutenus par le Secrétariat à l’appui des efforts de relèvement post-</w:t>
      </w:r>
      <w:proofErr w:type="spellStart"/>
      <w:r w:rsidRPr="001E109D">
        <w:rPr>
          <w:sz w:val="22"/>
          <w:szCs w:val="22"/>
        </w:rPr>
        <w:t>COVID</w:t>
      </w:r>
      <w:proofErr w:type="spellEnd"/>
      <w:r w:rsidRPr="001E109D">
        <w:rPr>
          <w:sz w:val="22"/>
          <w:szCs w:val="22"/>
        </w:rPr>
        <w:t>-19 et du renforcement de la résilience pour faire face aux futurs chocs extérieurs. Les questions d'orientation proposées aux experts et aux délégués des États membres aux fins d'examen sont les suivantes :</w:t>
      </w:r>
    </w:p>
    <w:p w14:paraId="1E247133" w14:textId="77777777" w:rsidR="000B6478" w:rsidRPr="001E109D" w:rsidRDefault="000B6478" w:rsidP="002055D8">
      <w:pPr>
        <w:jc w:val="both"/>
        <w:rPr>
          <w:rFonts w:eastAsia="Calibri"/>
          <w:sz w:val="22"/>
          <w:szCs w:val="22"/>
        </w:rPr>
      </w:pPr>
    </w:p>
    <w:p w14:paraId="401FB3B1" w14:textId="1706A429" w:rsidR="00B211D8" w:rsidRPr="001E109D" w:rsidRDefault="00B211D8" w:rsidP="00C109DC">
      <w:pPr>
        <w:pStyle w:val="ListParagraph0"/>
        <w:numPr>
          <w:ilvl w:val="0"/>
          <w:numId w:val="19"/>
        </w:numPr>
        <w:ind w:left="1530" w:hanging="810"/>
        <w:contextualSpacing/>
        <w:jc w:val="both"/>
        <w:rPr>
          <w:sz w:val="22"/>
          <w:szCs w:val="22"/>
        </w:rPr>
      </w:pPr>
      <w:r w:rsidRPr="001E109D">
        <w:rPr>
          <w:b/>
          <w:sz w:val="22"/>
          <w:szCs w:val="22"/>
        </w:rPr>
        <w:t>Résilience face aux chocs extérieurs :</w:t>
      </w:r>
      <w:r w:rsidRPr="001E109D">
        <w:rPr>
          <w:sz w:val="22"/>
          <w:szCs w:val="22"/>
        </w:rPr>
        <w:t xml:space="preserve"> Compte tenu des vulnérabilités et des faiblesses structurelles inhérentes à la région, quels systèmes doivent être mis en place pour mieux répondre aux chocs extérieurs et aux catastrophes qui les aggravent ? </w:t>
      </w:r>
    </w:p>
    <w:p w14:paraId="7AA546BC" w14:textId="2AE6193C" w:rsidR="009363DC" w:rsidRPr="001E109D" w:rsidRDefault="00B270A2" w:rsidP="00C109DC">
      <w:pPr>
        <w:pStyle w:val="ListParagraph0"/>
        <w:numPr>
          <w:ilvl w:val="0"/>
          <w:numId w:val="19"/>
        </w:numPr>
        <w:ind w:left="1530" w:hanging="810"/>
        <w:contextualSpacing/>
        <w:jc w:val="both"/>
        <w:rPr>
          <w:sz w:val="22"/>
          <w:szCs w:val="22"/>
        </w:rPr>
      </w:pPr>
      <w:r w:rsidRPr="001E109D">
        <w:rPr>
          <w:b/>
          <w:sz w:val="22"/>
          <w:szCs w:val="22"/>
        </w:rPr>
        <w:t>Possibilités :</w:t>
      </w:r>
      <w:r w:rsidRPr="001E109D">
        <w:rPr>
          <w:sz w:val="22"/>
          <w:szCs w:val="22"/>
        </w:rPr>
        <w:t xml:space="preserve"> Quelles sont les possibilités de financement, de coopération et de partenariat disponibles pour renforcer la résilience ?</w:t>
      </w:r>
    </w:p>
    <w:p w14:paraId="5862EE48" w14:textId="555B2D1B" w:rsidR="00B270A2" w:rsidRPr="001E109D" w:rsidRDefault="00B270A2" w:rsidP="00C109DC">
      <w:pPr>
        <w:pStyle w:val="ListParagraph0"/>
        <w:numPr>
          <w:ilvl w:val="0"/>
          <w:numId w:val="19"/>
        </w:numPr>
        <w:ind w:left="1530" w:hanging="810"/>
        <w:contextualSpacing/>
        <w:jc w:val="both"/>
        <w:rPr>
          <w:sz w:val="22"/>
          <w:szCs w:val="22"/>
        </w:rPr>
      </w:pPr>
      <w:r w:rsidRPr="001E109D">
        <w:rPr>
          <w:b/>
          <w:sz w:val="22"/>
          <w:szCs w:val="22"/>
        </w:rPr>
        <w:t>Le rôle de l’OEA :</w:t>
      </w:r>
      <w:r w:rsidRPr="001E109D">
        <w:rPr>
          <w:sz w:val="22"/>
          <w:szCs w:val="22"/>
        </w:rPr>
        <w:t xml:space="preserve"> Quel rôle le </w:t>
      </w:r>
      <w:proofErr w:type="spellStart"/>
      <w:r w:rsidRPr="001E109D">
        <w:rPr>
          <w:sz w:val="22"/>
          <w:szCs w:val="22"/>
        </w:rPr>
        <w:t>SEDI</w:t>
      </w:r>
      <w:proofErr w:type="spellEnd"/>
      <w:r w:rsidRPr="001E109D">
        <w:rPr>
          <w:sz w:val="22"/>
          <w:szCs w:val="22"/>
        </w:rPr>
        <w:t xml:space="preserve"> de l’OEA peut-il jouer pour tirer parti de partenariats à multiples parties prenantes au service du développement ?</w:t>
      </w:r>
    </w:p>
    <w:p w14:paraId="3965D9B4" w14:textId="6DF650E9" w:rsidR="00D81864" w:rsidRPr="002055D8" w:rsidRDefault="00D81864" w:rsidP="002055D8">
      <w:pPr>
        <w:contextualSpacing/>
        <w:jc w:val="both"/>
        <w:rPr>
          <w:sz w:val="22"/>
          <w:szCs w:val="22"/>
        </w:rPr>
      </w:pPr>
    </w:p>
    <w:p w14:paraId="1CD8CB31" w14:textId="122A2D45" w:rsidR="000B6478" w:rsidRPr="001E109D" w:rsidRDefault="000B6478" w:rsidP="002055D8">
      <w:pPr>
        <w:numPr>
          <w:ilvl w:val="0"/>
          <w:numId w:val="7"/>
        </w:numPr>
        <w:ind w:hanging="720"/>
        <w:jc w:val="both"/>
        <w:rPr>
          <w:rFonts w:eastAsia="Calibri"/>
          <w:b/>
          <w:sz w:val="22"/>
          <w:szCs w:val="22"/>
        </w:rPr>
      </w:pPr>
      <w:r w:rsidRPr="001E109D">
        <w:rPr>
          <w:b/>
          <w:sz w:val="22"/>
          <w:szCs w:val="22"/>
        </w:rPr>
        <w:t xml:space="preserve">STRUCTURE DE LA RÉUNION </w:t>
      </w:r>
    </w:p>
    <w:p w14:paraId="43F7EA1F" w14:textId="77777777" w:rsidR="000B6478" w:rsidRPr="001E109D" w:rsidRDefault="000B6478" w:rsidP="002055D8">
      <w:pPr>
        <w:jc w:val="both"/>
        <w:rPr>
          <w:rFonts w:eastAsia="Calibri"/>
          <w:b/>
          <w:sz w:val="22"/>
          <w:szCs w:val="22"/>
        </w:rPr>
      </w:pPr>
    </w:p>
    <w:p w14:paraId="18DD8081" w14:textId="77176DBB" w:rsidR="000B6478" w:rsidRPr="001E109D" w:rsidRDefault="000B6478" w:rsidP="00B70E4D">
      <w:pPr>
        <w:ind w:firstLine="720"/>
        <w:jc w:val="both"/>
        <w:rPr>
          <w:rFonts w:eastAsia="Calibri"/>
          <w:sz w:val="22"/>
          <w:szCs w:val="22"/>
        </w:rPr>
      </w:pPr>
      <w:r w:rsidRPr="001E109D">
        <w:rPr>
          <w:sz w:val="22"/>
          <w:szCs w:val="22"/>
        </w:rPr>
        <w:t xml:space="preserve">La réunion prendra la forme d'une discussion plénière virtuelle entre les experts des partenaires à multiples parties prenantes qui ont joué un rôle essentiel dans l'élargissement du travail du </w:t>
      </w:r>
      <w:proofErr w:type="spellStart"/>
      <w:r w:rsidRPr="001E109D">
        <w:rPr>
          <w:sz w:val="22"/>
          <w:szCs w:val="22"/>
        </w:rPr>
        <w:t>SEDI</w:t>
      </w:r>
      <w:proofErr w:type="spellEnd"/>
      <w:r w:rsidRPr="001E109D">
        <w:rPr>
          <w:sz w:val="22"/>
          <w:szCs w:val="22"/>
        </w:rPr>
        <w:t xml:space="preserve"> de l’OEA pour répondre aux besoins émergents. Les délégations des États membres auront l'occasion de partager leurs idées et réflexions au cours de la discussion, qui sera guidée par les questions proposées ci-dessus. </w:t>
      </w:r>
    </w:p>
    <w:p w14:paraId="04979528" w14:textId="77777777" w:rsidR="002B2168" w:rsidRPr="001E109D" w:rsidRDefault="002B2168" w:rsidP="002055D8">
      <w:pPr>
        <w:jc w:val="both"/>
        <w:rPr>
          <w:rFonts w:eastAsia="Calibri"/>
          <w:sz w:val="22"/>
          <w:szCs w:val="22"/>
        </w:rPr>
      </w:pPr>
    </w:p>
    <w:p w14:paraId="4641CD2A" w14:textId="65B08C84" w:rsidR="000B6478" w:rsidRPr="001E109D" w:rsidRDefault="008023EA" w:rsidP="00C109DC">
      <w:pPr>
        <w:ind w:firstLine="720"/>
        <w:jc w:val="both"/>
        <w:rPr>
          <w:rFonts w:eastAsia="Calibri"/>
          <w:sz w:val="22"/>
          <w:szCs w:val="22"/>
        </w:rPr>
      </w:pPr>
      <w:r w:rsidRPr="001E109D">
        <w:rPr>
          <w:sz w:val="22"/>
          <w:szCs w:val="22"/>
        </w:rPr>
        <w:t>Parmi les experts invités figurent :</w:t>
      </w:r>
    </w:p>
    <w:p w14:paraId="65688F7C" w14:textId="77777777" w:rsidR="000B6478" w:rsidRPr="001E109D" w:rsidRDefault="000B6478" w:rsidP="00B70E4D">
      <w:pPr>
        <w:jc w:val="both"/>
        <w:rPr>
          <w:rFonts w:eastAsia="Calibri"/>
          <w:sz w:val="22"/>
          <w:szCs w:val="22"/>
        </w:rPr>
      </w:pPr>
    </w:p>
    <w:p w14:paraId="1D7B22E6" w14:textId="41BCDAC8" w:rsidR="000B6478" w:rsidRPr="001E109D" w:rsidRDefault="00D81864" w:rsidP="002055D8">
      <w:pPr>
        <w:numPr>
          <w:ilvl w:val="0"/>
          <w:numId w:val="13"/>
        </w:numPr>
        <w:ind w:hanging="720"/>
        <w:jc w:val="both"/>
        <w:rPr>
          <w:rFonts w:eastAsia="Calibri"/>
          <w:sz w:val="22"/>
          <w:szCs w:val="22"/>
        </w:rPr>
      </w:pPr>
      <w:r w:rsidRPr="001E109D">
        <w:rPr>
          <w:sz w:val="22"/>
          <w:szCs w:val="22"/>
        </w:rPr>
        <w:t>Amazon Web Services (expert à confirmer)</w:t>
      </w:r>
    </w:p>
    <w:p w14:paraId="744E98F4" w14:textId="05220BEB" w:rsidR="00095374" w:rsidRPr="001E109D" w:rsidRDefault="00095374" w:rsidP="002055D8">
      <w:pPr>
        <w:numPr>
          <w:ilvl w:val="0"/>
          <w:numId w:val="13"/>
        </w:numPr>
        <w:ind w:hanging="720"/>
        <w:jc w:val="both"/>
        <w:rPr>
          <w:rFonts w:eastAsia="Calibri"/>
          <w:sz w:val="22"/>
          <w:szCs w:val="22"/>
        </w:rPr>
      </w:pPr>
      <w:proofErr w:type="spellStart"/>
      <w:r w:rsidRPr="001E109D">
        <w:rPr>
          <w:sz w:val="22"/>
          <w:szCs w:val="22"/>
        </w:rPr>
        <w:t>Structuralia</w:t>
      </w:r>
      <w:proofErr w:type="spellEnd"/>
      <w:r w:rsidRPr="001E109D">
        <w:rPr>
          <w:sz w:val="22"/>
          <w:szCs w:val="22"/>
        </w:rPr>
        <w:t xml:space="preserve"> (expert à confirmer)</w:t>
      </w:r>
    </w:p>
    <w:p w14:paraId="1D97FEEA" w14:textId="062FEF65" w:rsidR="00A07A97" w:rsidRPr="001E109D" w:rsidRDefault="00A07A97" w:rsidP="002055D8">
      <w:pPr>
        <w:numPr>
          <w:ilvl w:val="0"/>
          <w:numId w:val="13"/>
        </w:numPr>
        <w:ind w:hanging="720"/>
        <w:jc w:val="both"/>
        <w:rPr>
          <w:rFonts w:eastAsia="Calibri"/>
          <w:sz w:val="22"/>
          <w:szCs w:val="22"/>
        </w:rPr>
      </w:pPr>
      <w:proofErr w:type="spellStart"/>
      <w:r w:rsidRPr="001E109D">
        <w:rPr>
          <w:sz w:val="22"/>
          <w:szCs w:val="22"/>
        </w:rPr>
        <w:t>IDB</w:t>
      </w:r>
      <w:proofErr w:type="spellEnd"/>
      <w:r w:rsidRPr="001E109D">
        <w:rPr>
          <w:sz w:val="22"/>
          <w:szCs w:val="22"/>
        </w:rPr>
        <w:t xml:space="preserve"> Services (expert à confirmer)</w:t>
      </w:r>
    </w:p>
    <w:p w14:paraId="647ED45A" w14:textId="77777777" w:rsidR="0084632F" w:rsidRPr="001E109D" w:rsidRDefault="0084632F" w:rsidP="002055D8">
      <w:pPr>
        <w:jc w:val="both"/>
        <w:rPr>
          <w:rFonts w:eastAsia="Calibri"/>
          <w:b/>
          <w:sz w:val="22"/>
          <w:szCs w:val="22"/>
        </w:rPr>
      </w:pPr>
    </w:p>
    <w:p w14:paraId="3D45D0C6" w14:textId="3A8A3E25" w:rsidR="001E1652" w:rsidRPr="001E109D" w:rsidRDefault="001E1652" w:rsidP="002055D8">
      <w:pPr>
        <w:numPr>
          <w:ilvl w:val="0"/>
          <w:numId w:val="7"/>
        </w:numPr>
        <w:ind w:hanging="720"/>
        <w:jc w:val="both"/>
        <w:rPr>
          <w:rFonts w:eastAsia="Calibri"/>
          <w:b/>
          <w:sz w:val="22"/>
          <w:szCs w:val="22"/>
        </w:rPr>
      </w:pPr>
      <w:r w:rsidRPr="001E109D">
        <w:rPr>
          <w:b/>
          <w:sz w:val="22"/>
          <w:szCs w:val="22"/>
        </w:rPr>
        <w:t xml:space="preserve">RÉSULTAT DE LA RÉUNION </w:t>
      </w:r>
    </w:p>
    <w:p w14:paraId="17F68B2D" w14:textId="77777777" w:rsidR="000B6478" w:rsidRPr="001E109D" w:rsidRDefault="000B6478" w:rsidP="002055D8">
      <w:pPr>
        <w:jc w:val="both"/>
        <w:rPr>
          <w:rFonts w:eastAsia="Calibri"/>
          <w:sz w:val="22"/>
          <w:szCs w:val="22"/>
        </w:rPr>
      </w:pPr>
    </w:p>
    <w:p w14:paraId="0E8FE8C7" w14:textId="58D98B94" w:rsidR="00862858" w:rsidRPr="001E109D" w:rsidRDefault="00862858" w:rsidP="00C109DC">
      <w:pPr>
        <w:ind w:firstLine="720"/>
        <w:jc w:val="both"/>
        <w:rPr>
          <w:sz w:val="22"/>
          <w:szCs w:val="22"/>
        </w:rPr>
      </w:pPr>
      <w:r w:rsidRPr="001E109D">
        <w:rPr>
          <w:sz w:val="22"/>
          <w:szCs w:val="22"/>
        </w:rPr>
        <w:t>La réunion devrait donner aux États membres de l'OEA l’occasion de :</w:t>
      </w:r>
    </w:p>
    <w:p w14:paraId="64778388" w14:textId="77777777" w:rsidR="00862858" w:rsidRPr="001E109D" w:rsidRDefault="00862858" w:rsidP="00B70E4D">
      <w:pPr>
        <w:jc w:val="both"/>
        <w:rPr>
          <w:sz w:val="22"/>
          <w:szCs w:val="22"/>
        </w:rPr>
      </w:pPr>
    </w:p>
    <w:p w14:paraId="4696D145" w14:textId="732B9FB5" w:rsidR="00E93BD9" w:rsidRPr="001E109D" w:rsidRDefault="00673626" w:rsidP="00B70E4D">
      <w:pPr>
        <w:numPr>
          <w:ilvl w:val="0"/>
          <w:numId w:val="21"/>
        </w:numPr>
        <w:ind w:left="1440" w:hanging="720"/>
        <w:contextualSpacing/>
        <w:jc w:val="both"/>
        <w:rPr>
          <w:sz w:val="22"/>
          <w:szCs w:val="22"/>
        </w:rPr>
      </w:pPr>
      <w:r w:rsidRPr="001E109D">
        <w:rPr>
          <w:sz w:val="22"/>
          <w:szCs w:val="22"/>
        </w:rPr>
        <w:t xml:space="preserve">Continuer de reconnaître le rôle essentiel que les partenariats jouent dans le renforcement du travail du </w:t>
      </w:r>
      <w:proofErr w:type="spellStart"/>
      <w:r w:rsidRPr="001E109D">
        <w:rPr>
          <w:sz w:val="22"/>
          <w:szCs w:val="22"/>
        </w:rPr>
        <w:t>SEDI</w:t>
      </w:r>
      <w:proofErr w:type="spellEnd"/>
      <w:r w:rsidRPr="001E109D">
        <w:rPr>
          <w:sz w:val="22"/>
          <w:szCs w:val="22"/>
        </w:rPr>
        <w:t xml:space="preserve"> de l’OEA.</w:t>
      </w:r>
    </w:p>
    <w:p w14:paraId="41E1DC74" w14:textId="52B787B4" w:rsidR="00862858" w:rsidRPr="001E109D" w:rsidRDefault="00862858" w:rsidP="00B70E4D">
      <w:pPr>
        <w:numPr>
          <w:ilvl w:val="0"/>
          <w:numId w:val="21"/>
        </w:numPr>
        <w:ind w:left="1440" w:hanging="720"/>
        <w:contextualSpacing/>
        <w:jc w:val="both"/>
        <w:rPr>
          <w:sz w:val="22"/>
          <w:szCs w:val="22"/>
        </w:rPr>
      </w:pPr>
      <w:r w:rsidRPr="001E109D">
        <w:rPr>
          <w:sz w:val="22"/>
          <w:szCs w:val="22"/>
        </w:rPr>
        <w:lastRenderedPageBreak/>
        <w:t>Participer à un débat sérieux sur leurs objectifs et défis communs eu égard à la promotion de partenariats à multiples parties prenantes afin de renforcer leur résilience et réduire leurs vulnérabilités face aux chocs extérieurs, en particulier dans le contexte de la pandémie.</w:t>
      </w:r>
    </w:p>
    <w:p w14:paraId="68460AF9" w14:textId="2D6EFE3D" w:rsidR="000B6478" w:rsidRPr="001E109D" w:rsidRDefault="00237585" w:rsidP="00CE714D">
      <w:pPr>
        <w:numPr>
          <w:ilvl w:val="0"/>
          <w:numId w:val="21"/>
        </w:numPr>
        <w:ind w:left="1440" w:hanging="720"/>
        <w:contextualSpacing/>
        <w:jc w:val="both"/>
        <w:rPr>
          <w:sz w:val="22"/>
          <w:szCs w:val="22"/>
        </w:rPr>
      </w:pPr>
      <w:r w:rsidRPr="001E109D">
        <w:rPr>
          <w:noProof/>
          <w:sz w:val="22"/>
          <w:szCs w:val="22"/>
          <w:lang w:val="en-US"/>
        </w:rPr>
        <mc:AlternateContent>
          <mc:Choice Requires="wps">
            <w:drawing>
              <wp:anchor distT="0" distB="0" distL="114300" distR="114300" simplePos="0" relativeHeight="251659264" behindDoc="0" locked="1" layoutInCell="1" allowOverlap="1" wp14:anchorId="3731316B" wp14:editId="0ACE11CF">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5BA731D" w14:textId="1A255A0E" w:rsidR="00237585" w:rsidRPr="00237585" w:rsidRDefault="00237585">
                            <w:pPr>
                              <w:rPr>
                                <w:sz w:val="18"/>
                              </w:rPr>
                            </w:pPr>
                            <w:r>
                              <w:rPr>
                                <w:sz w:val="18"/>
                              </w:rPr>
                              <w:fldChar w:fldCharType="begin"/>
                            </w:r>
                            <w:r>
                              <w:rPr>
                                <w:sz w:val="18"/>
                              </w:rPr>
                              <w:instrText xml:space="preserve"> FILENAME  \* MERGEFORMAT </w:instrText>
                            </w:r>
                            <w:r>
                              <w:rPr>
                                <w:sz w:val="18"/>
                              </w:rPr>
                              <w:fldChar w:fldCharType="separate"/>
                            </w:r>
                            <w:proofErr w:type="spellStart"/>
                            <w:r>
                              <w:rPr>
                                <w:sz w:val="18"/>
                              </w:rPr>
                              <w:t>CIDRP03044</w:t>
                            </w:r>
                            <w:r w:rsidR="002055D8">
                              <w:rPr>
                                <w:sz w:val="18"/>
                              </w:rPr>
                              <w:t>F</w:t>
                            </w:r>
                            <w:r>
                              <w:rPr>
                                <w:sz w:val="18"/>
                              </w:rPr>
                              <w:t>0</w:t>
                            </w:r>
                            <w:r w:rsidR="002055D8">
                              <w:rPr>
                                <w:sz w:val="18"/>
                              </w:rPr>
                              <w:t>4</w:t>
                            </w:r>
                            <w:bookmarkStart w:id="2" w:name="_GoBack"/>
                            <w:bookmarkEnd w:id="2"/>
                            <w:proofErr w:type="spellEnd"/>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Wvzr5fgIA&#10;AAIFAAAOAAAAAAAAAAAAAAAAAC4CAABkcnMvZTJvRG9jLnhtbFBLAQItABQABgAIAAAAIQC/IMDX&#10;3wAAAA0BAAAPAAAAAAAAAAAAAAAAANgEAABkcnMvZG93bnJldi54bWxQSwUGAAAAAAQABADzAAAA&#10;5AUAAAAA&#10;" filled="f" stroked="f">
                <v:stroke joinstyle="round"/>
                <v:path arrowok="t"/>
                <v:textbox>
                  <w:txbxContent>
                    <w:p w14:paraId="65BA731D" w14:textId="1A255A0E" w:rsidR="00237585" w:rsidRPr="00237585" w:rsidRDefault="00237585">
                      <w:pPr>
                        <w:rPr>
                          <w:sz w:val="18"/>
                        </w:rPr>
                      </w:pPr>
                      <w:r>
                        <w:rPr>
                          <w:sz w:val="18"/>
                        </w:rPr>
                        <w:fldChar w:fldCharType="begin"/>
                      </w:r>
                      <w:r>
                        <w:rPr>
                          <w:sz w:val="18"/>
                        </w:rPr>
                        <w:instrText xml:space="preserve"> FILENAME  \* MERGEFORMAT </w:instrText>
                      </w:r>
                      <w:r>
                        <w:rPr>
                          <w:sz w:val="18"/>
                        </w:rPr>
                        <w:fldChar w:fldCharType="separate"/>
                      </w:r>
                      <w:proofErr w:type="spellStart"/>
                      <w:r>
                        <w:rPr>
                          <w:sz w:val="18"/>
                        </w:rPr>
                        <w:t>CIDRP03044</w:t>
                      </w:r>
                      <w:r w:rsidR="002055D8">
                        <w:rPr>
                          <w:sz w:val="18"/>
                        </w:rPr>
                        <w:t>F</w:t>
                      </w:r>
                      <w:r>
                        <w:rPr>
                          <w:sz w:val="18"/>
                        </w:rPr>
                        <w:t>0</w:t>
                      </w:r>
                      <w:r w:rsidR="002055D8">
                        <w:rPr>
                          <w:sz w:val="18"/>
                        </w:rPr>
                        <w:t>4</w:t>
                      </w:r>
                      <w:bookmarkStart w:id="3" w:name="_GoBack"/>
                      <w:bookmarkEnd w:id="3"/>
                      <w:proofErr w:type="spellEnd"/>
                      <w:r>
                        <w:rPr>
                          <w:sz w:val="18"/>
                        </w:rPr>
                        <w:fldChar w:fldCharType="end"/>
                      </w:r>
                    </w:p>
                  </w:txbxContent>
                </v:textbox>
                <w10:wrap anchory="page"/>
                <w10:anchorlock/>
              </v:shape>
            </w:pict>
          </mc:Fallback>
        </mc:AlternateContent>
      </w:r>
      <w:r w:rsidR="00CA0025">
        <w:rPr>
          <w:noProof/>
          <w:sz w:val="22"/>
          <w:szCs w:val="22"/>
        </w:rPr>
        <w:t>Dénombrer</w:t>
      </w:r>
      <w:r w:rsidRPr="001E109D">
        <w:rPr>
          <w:sz w:val="22"/>
          <w:szCs w:val="22"/>
        </w:rPr>
        <w:t xml:space="preserve"> les mesures concrètes qu'ils peuvent entreprendre ou maintenir aux niveaux national et régional afin de promouvoir des partenariats dans le cadre du </w:t>
      </w:r>
      <w:proofErr w:type="spellStart"/>
      <w:r w:rsidRPr="001E109D">
        <w:rPr>
          <w:sz w:val="22"/>
          <w:szCs w:val="22"/>
        </w:rPr>
        <w:t>SEDI</w:t>
      </w:r>
      <w:proofErr w:type="spellEnd"/>
      <w:r w:rsidRPr="001E109D">
        <w:rPr>
          <w:sz w:val="22"/>
          <w:szCs w:val="22"/>
        </w:rPr>
        <w:t xml:space="preserve"> de l’OEA. </w:t>
      </w:r>
    </w:p>
    <w:sectPr w:rsidR="000B6478" w:rsidRPr="001E109D" w:rsidSect="00A870BA">
      <w:headerReference w:type="default" r:id="rId15"/>
      <w:headerReference w:type="first" r:id="rId16"/>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89B3F" w14:textId="77777777" w:rsidR="00484153" w:rsidRDefault="00484153">
      <w:r>
        <w:separator/>
      </w:r>
    </w:p>
  </w:endnote>
  <w:endnote w:type="continuationSeparator" w:id="0">
    <w:p w14:paraId="60C4C493" w14:textId="77777777" w:rsidR="00484153" w:rsidRDefault="00484153">
      <w:r>
        <w:continuationSeparator/>
      </w:r>
    </w:p>
  </w:endnote>
  <w:endnote w:type="continuationNotice" w:id="1">
    <w:p w14:paraId="23C08A80" w14:textId="77777777" w:rsidR="00484153" w:rsidRDefault="004841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5547D" w14:textId="77777777" w:rsidR="00484153" w:rsidRDefault="00484153">
      <w:r>
        <w:separator/>
      </w:r>
    </w:p>
  </w:footnote>
  <w:footnote w:type="continuationSeparator" w:id="0">
    <w:p w14:paraId="5B088633" w14:textId="77777777" w:rsidR="00484153" w:rsidRDefault="00484153">
      <w:r>
        <w:continuationSeparator/>
      </w:r>
    </w:p>
  </w:footnote>
  <w:footnote w:type="continuationNotice" w:id="1">
    <w:p w14:paraId="3A16ACE0" w14:textId="77777777" w:rsidR="00484153" w:rsidRDefault="00484153"/>
  </w:footnote>
  <w:footnote w:id="2">
    <w:p w14:paraId="533B744F" w14:textId="1C7893B9" w:rsidR="0051320B" w:rsidRPr="00CA0025" w:rsidRDefault="0051320B" w:rsidP="00C109DC">
      <w:pPr>
        <w:pStyle w:val="FootnoteText"/>
        <w:ind w:left="720" w:hanging="360"/>
        <w:jc w:val="both"/>
      </w:pPr>
      <w:r w:rsidRPr="00CA0025">
        <w:rPr>
          <w:rStyle w:val="FootnoteReference"/>
          <w:vertAlign w:val="baseline"/>
        </w:rPr>
        <w:footnoteRef/>
      </w:r>
      <w:r w:rsidRPr="00CA0025">
        <w:t>.</w:t>
      </w:r>
      <w:r w:rsidR="002055D8">
        <w:tab/>
      </w:r>
      <w:hyperlink r:id="rId1" w:history="1">
        <w:r w:rsidR="00CA0025">
          <w:rPr>
            <w:rStyle w:val="Hyperlink"/>
          </w:rPr>
          <w:t xml:space="preserve">Encourager les </w:t>
        </w:r>
        <w:r w:rsidRPr="00CA0025">
          <w:rPr>
            <w:rStyle w:val="Hyperlink"/>
          </w:rPr>
          <w:t>initiatives continentales en matière de développement intégré :</w:t>
        </w:r>
      </w:hyperlink>
      <w:hyperlink r:id="rId2" w:history="1">
        <w:r w:rsidRPr="00CA0025">
          <w:rPr>
            <w:rStyle w:val="Hyperlink"/>
          </w:rPr>
          <w:t xml:space="preserve"> Promotion de la résilience</w:t>
        </w:r>
      </w:hyperlink>
      <w:r w:rsidRPr="00CA0025">
        <w:t xml:space="preserve"> (AG/</w:t>
      </w:r>
      <w:proofErr w:type="spellStart"/>
      <w:r w:rsidRPr="00CA0025">
        <w:t>doc.5706</w:t>
      </w:r>
      <w:proofErr w:type="spellEnd"/>
      <w:r w:rsidRPr="00CA0025">
        <w:t>/20)</w:t>
      </w:r>
    </w:p>
  </w:footnote>
  <w:footnote w:id="3">
    <w:p w14:paraId="4664C5DF" w14:textId="3F8820A2" w:rsidR="00BD3DD0" w:rsidRPr="00CA0025" w:rsidRDefault="00BD3DD0" w:rsidP="00C109DC">
      <w:pPr>
        <w:pStyle w:val="FootnoteText"/>
        <w:ind w:firstLine="360"/>
        <w:jc w:val="both"/>
      </w:pPr>
      <w:r w:rsidRPr="00CA0025">
        <w:rPr>
          <w:rStyle w:val="FootnoteReference"/>
          <w:vertAlign w:val="baseline"/>
        </w:rPr>
        <w:footnoteRef/>
      </w:r>
      <w:r w:rsidRPr="00CA0025">
        <w:t>.</w:t>
      </w:r>
      <w:r w:rsidRPr="00CA0025">
        <w:tab/>
        <w:t>Vers une charte interaméricaine des entreprises (AG/</w:t>
      </w:r>
      <w:proofErr w:type="spellStart"/>
      <w:r w:rsidRPr="00CA0025">
        <w:t>doc.5705</w:t>
      </w:r>
      <w:proofErr w:type="spellEnd"/>
      <w:r w:rsidRPr="00CA0025">
        <w:t>/20)</w:t>
      </w:r>
    </w:p>
  </w:footnote>
  <w:footnote w:id="4">
    <w:p w14:paraId="3A62E61B" w14:textId="6458BE24" w:rsidR="00BD3DD0" w:rsidRPr="002055D8" w:rsidRDefault="00BD3DD0" w:rsidP="00C109DC">
      <w:pPr>
        <w:pStyle w:val="FootnoteText"/>
        <w:ind w:firstLine="360"/>
        <w:jc w:val="both"/>
        <w:rPr>
          <w:lang w:val="en-US"/>
        </w:rPr>
      </w:pPr>
      <w:r w:rsidRPr="00CA0025">
        <w:rPr>
          <w:rStyle w:val="FootnoteReference"/>
          <w:vertAlign w:val="baseline"/>
        </w:rPr>
        <w:footnoteRef/>
      </w:r>
      <w:r w:rsidRPr="002055D8">
        <w:rPr>
          <w:lang w:val="en-US"/>
        </w:rPr>
        <w:t>.</w:t>
      </w:r>
      <w:r w:rsidRPr="002055D8">
        <w:rPr>
          <w:lang w:val="en-US"/>
        </w:rPr>
        <w:tab/>
      </w:r>
      <w:proofErr w:type="gramStart"/>
      <w:r w:rsidRPr="002055D8">
        <w:rPr>
          <w:i/>
          <w:iCs/>
          <w:lang w:val="en-US"/>
        </w:rPr>
        <w:t>Ibid</w:t>
      </w:r>
      <w:r w:rsidRPr="002055D8">
        <w:rPr>
          <w:lang w:val="en-US"/>
        </w:rPr>
        <w:t>. 1.</w:t>
      </w:r>
      <w:proofErr w:type="gramEnd"/>
      <w:r w:rsidRPr="002055D8">
        <w:rPr>
          <w:lang w:val="en-US"/>
        </w:rPr>
        <w:t xml:space="preserve"> </w:t>
      </w:r>
    </w:p>
  </w:footnote>
  <w:footnote w:id="5">
    <w:p w14:paraId="580FEFD5" w14:textId="3B835C5F" w:rsidR="00F37557" w:rsidRPr="002055D8" w:rsidRDefault="00F37557" w:rsidP="00C109DC">
      <w:pPr>
        <w:pStyle w:val="FootnoteText"/>
        <w:tabs>
          <w:tab w:val="left" w:pos="360"/>
        </w:tabs>
        <w:ind w:left="720" w:hanging="360"/>
        <w:rPr>
          <w:lang w:val="en-US"/>
        </w:rPr>
      </w:pPr>
      <w:r w:rsidRPr="00CA0025">
        <w:rPr>
          <w:rStyle w:val="FootnoteReference"/>
          <w:vertAlign w:val="baseline"/>
        </w:rPr>
        <w:footnoteRef/>
      </w:r>
      <w:r w:rsidRPr="002055D8">
        <w:rPr>
          <w:lang w:val="en-US"/>
        </w:rPr>
        <w:t>.</w:t>
      </w:r>
      <w:r w:rsidRPr="002055D8">
        <w:rPr>
          <w:lang w:val="en-US"/>
        </w:rPr>
        <w:tab/>
      </w:r>
      <w:hyperlink r:id="rId3" w:history="1">
        <w:r w:rsidRPr="002055D8">
          <w:rPr>
            <w:rStyle w:val="Hyperlink"/>
            <w:lang w:val="en-US"/>
          </w:rPr>
          <w:t>2020 Atlantic Hurricane Season takes infamous top spot for busiest on record</w:t>
        </w:r>
      </w:hyperlink>
      <w:r w:rsidRPr="002055D8">
        <w:rPr>
          <w:lang w:val="en-US"/>
        </w:rPr>
        <w:t xml:space="preserve">. </w:t>
      </w:r>
      <w:proofErr w:type="gramStart"/>
      <w:r w:rsidRPr="002055D8">
        <w:rPr>
          <w:lang w:val="en-US"/>
        </w:rPr>
        <w:t>NOAA.</w:t>
      </w:r>
      <w:proofErr w:type="gramEnd"/>
      <w:r w:rsidRPr="002055D8">
        <w:rPr>
          <w:lang w:val="en-US"/>
        </w:rPr>
        <w:t xml:space="preserve"> </w:t>
      </w:r>
      <w:proofErr w:type="spellStart"/>
      <w:proofErr w:type="gramStart"/>
      <w:r w:rsidRPr="002055D8">
        <w:rPr>
          <w:lang w:val="en-US"/>
        </w:rPr>
        <w:t>Actualités</w:t>
      </w:r>
      <w:proofErr w:type="spellEnd"/>
      <w:r w:rsidRPr="002055D8">
        <w:rPr>
          <w:lang w:val="en-US"/>
        </w:rPr>
        <w:t>.</w:t>
      </w:r>
      <w:proofErr w:type="gramEnd"/>
      <w:r w:rsidRPr="002055D8">
        <w:rPr>
          <w:lang w:val="en-US"/>
        </w:rPr>
        <w:t xml:space="preserve"> </w:t>
      </w:r>
      <w:proofErr w:type="gramStart"/>
      <w:r w:rsidRPr="002055D8">
        <w:rPr>
          <w:lang w:val="en-US"/>
        </w:rPr>
        <w:t xml:space="preserve">10 </w:t>
      </w:r>
      <w:proofErr w:type="spellStart"/>
      <w:r w:rsidRPr="002055D8">
        <w:rPr>
          <w:lang w:val="en-US"/>
        </w:rPr>
        <w:t>novembre</w:t>
      </w:r>
      <w:proofErr w:type="spellEnd"/>
      <w:r w:rsidRPr="002055D8">
        <w:rPr>
          <w:lang w:val="en-US"/>
        </w:rPr>
        <w:t xml:space="preserve"> 2020.</w:t>
      </w:r>
      <w:proofErr w:type="gramEnd"/>
    </w:p>
  </w:footnote>
  <w:footnote w:id="6">
    <w:p w14:paraId="353EA498" w14:textId="397B7491" w:rsidR="00ED147B" w:rsidRPr="002055D8" w:rsidRDefault="00ED147B" w:rsidP="00C109DC">
      <w:pPr>
        <w:pStyle w:val="FootnoteText"/>
        <w:ind w:left="720" w:hanging="360"/>
        <w:rPr>
          <w:lang w:val="en-US"/>
        </w:rPr>
      </w:pPr>
      <w:r w:rsidRPr="00CA0025">
        <w:rPr>
          <w:rStyle w:val="FootnoteReference"/>
          <w:vertAlign w:val="baseline"/>
        </w:rPr>
        <w:footnoteRef/>
      </w:r>
      <w:r w:rsidRPr="002055D8">
        <w:rPr>
          <w:lang w:val="en-US"/>
        </w:rPr>
        <w:t>.</w:t>
      </w:r>
      <w:r w:rsidRPr="002055D8">
        <w:rPr>
          <w:lang w:val="en-US"/>
        </w:rPr>
        <w:tab/>
      </w:r>
      <w:hyperlink r:id="rId4" w:history="1">
        <w:r w:rsidRPr="002055D8">
          <w:rPr>
            <w:rStyle w:val="Hyperlink"/>
            <w:lang w:val="en-US"/>
          </w:rPr>
          <w:t xml:space="preserve">Hurricane Iota Becomes </w:t>
        </w:r>
        <w:proofErr w:type="spellStart"/>
        <w:r w:rsidRPr="002055D8">
          <w:rPr>
            <w:rStyle w:val="Hyperlink"/>
            <w:lang w:val="en-US"/>
          </w:rPr>
          <w:t>2020’s</w:t>
        </w:r>
        <w:proofErr w:type="spellEnd"/>
        <w:r w:rsidRPr="002055D8">
          <w:rPr>
            <w:rStyle w:val="Hyperlink"/>
            <w:lang w:val="en-US"/>
          </w:rPr>
          <w:t xml:space="preserve"> Strongest Hurricane; Threatens Central America</w:t>
        </w:r>
      </w:hyperlink>
      <w:r w:rsidRPr="002055D8">
        <w:rPr>
          <w:lang w:val="en-US"/>
        </w:rPr>
        <w:t xml:space="preserve">. </w:t>
      </w:r>
      <w:proofErr w:type="gramStart"/>
      <w:r w:rsidRPr="002055D8">
        <w:rPr>
          <w:lang w:val="en-US"/>
        </w:rPr>
        <w:t>NOAA.</w:t>
      </w:r>
      <w:proofErr w:type="gramEnd"/>
      <w:r w:rsidRPr="002055D8">
        <w:rPr>
          <w:lang w:val="en-US"/>
        </w:rPr>
        <w:t xml:space="preserve"> </w:t>
      </w:r>
      <w:proofErr w:type="spellStart"/>
      <w:proofErr w:type="gramStart"/>
      <w:r w:rsidRPr="002055D8">
        <w:rPr>
          <w:lang w:val="en-US"/>
        </w:rPr>
        <w:t>Actualités</w:t>
      </w:r>
      <w:proofErr w:type="spellEnd"/>
      <w:r w:rsidRPr="002055D8">
        <w:rPr>
          <w:lang w:val="en-US"/>
        </w:rPr>
        <w:t>.</w:t>
      </w:r>
      <w:proofErr w:type="gramEnd"/>
      <w:r w:rsidRPr="002055D8">
        <w:rPr>
          <w:lang w:val="en-US"/>
        </w:rPr>
        <w:t xml:space="preserve"> </w:t>
      </w:r>
      <w:proofErr w:type="gramStart"/>
      <w:r w:rsidRPr="002055D8">
        <w:rPr>
          <w:lang w:val="en-US"/>
        </w:rPr>
        <w:t xml:space="preserve">16 </w:t>
      </w:r>
      <w:proofErr w:type="spellStart"/>
      <w:r w:rsidRPr="002055D8">
        <w:rPr>
          <w:lang w:val="en-US"/>
        </w:rPr>
        <w:t>novembre</w:t>
      </w:r>
      <w:proofErr w:type="spellEnd"/>
      <w:r w:rsidRPr="002055D8">
        <w:rPr>
          <w:lang w:val="en-US"/>
        </w:rPr>
        <w:t xml:space="preserve"> 2020.</w:t>
      </w:r>
      <w:proofErr w:type="gramEnd"/>
    </w:p>
  </w:footnote>
  <w:footnote w:id="7">
    <w:p w14:paraId="62700D90" w14:textId="5033A02A" w:rsidR="00A066F1" w:rsidRPr="002055D8" w:rsidRDefault="00A066F1" w:rsidP="00C109DC">
      <w:pPr>
        <w:pStyle w:val="FootnoteText"/>
        <w:ind w:left="720" w:hanging="360"/>
        <w:jc w:val="both"/>
        <w:rPr>
          <w:lang w:val="en-US"/>
        </w:rPr>
      </w:pPr>
      <w:r w:rsidRPr="00CA0025">
        <w:rPr>
          <w:rStyle w:val="FootnoteReference"/>
          <w:vertAlign w:val="baseline"/>
        </w:rPr>
        <w:footnoteRef/>
      </w:r>
      <w:r w:rsidRPr="002055D8">
        <w:rPr>
          <w:lang w:val="en-US"/>
        </w:rPr>
        <w:t>.</w:t>
      </w:r>
      <w:r w:rsidRPr="002055D8">
        <w:rPr>
          <w:lang w:val="en-US"/>
        </w:rPr>
        <w:tab/>
      </w:r>
      <w:hyperlink r:id="rId5" w:history="1">
        <w:r w:rsidRPr="002055D8">
          <w:rPr>
            <w:rStyle w:val="Hyperlink"/>
            <w:lang w:val="en-US"/>
          </w:rPr>
          <w:t xml:space="preserve">Cascading Risks of </w:t>
        </w:r>
        <w:proofErr w:type="spellStart"/>
        <w:r w:rsidRPr="002055D8">
          <w:rPr>
            <w:rStyle w:val="Hyperlink"/>
            <w:lang w:val="en-US"/>
          </w:rPr>
          <w:t>COVID</w:t>
        </w:r>
        <w:proofErr w:type="spellEnd"/>
        <w:r w:rsidRPr="002055D8">
          <w:rPr>
            <w:rStyle w:val="Hyperlink"/>
            <w:lang w:val="en-US"/>
          </w:rPr>
          <w:t xml:space="preserve">-19 Resurgence </w:t>
        </w:r>
        <w:proofErr w:type="gramStart"/>
        <w:r w:rsidRPr="002055D8">
          <w:rPr>
            <w:rStyle w:val="Hyperlink"/>
            <w:lang w:val="en-US"/>
          </w:rPr>
          <w:t>During</w:t>
        </w:r>
        <w:proofErr w:type="gramEnd"/>
        <w:r w:rsidRPr="002055D8">
          <w:rPr>
            <w:rStyle w:val="Hyperlink"/>
            <w:lang w:val="en-US"/>
          </w:rPr>
          <w:t xml:space="preserve"> an Active 2020 Atlantic Hurricane Season</w:t>
        </w:r>
      </w:hyperlink>
      <w:r w:rsidRPr="002055D8">
        <w:rPr>
          <w:lang w:val="en-US"/>
        </w:rPr>
        <w:t xml:space="preserve">. </w:t>
      </w:r>
      <w:proofErr w:type="gramStart"/>
      <w:r w:rsidRPr="002055D8">
        <w:rPr>
          <w:lang w:val="en-US"/>
        </w:rPr>
        <w:t xml:space="preserve">Schultz, James M.; Fugate, Craig; </w:t>
      </w:r>
      <w:proofErr w:type="spellStart"/>
      <w:r w:rsidRPr="002055D8">
        <w:rPr>
          <w:lang w:val="en-US"/>
        </w:rPr>
        <w:t>Galea</w:t>
      </w:r>
      <w:proofErr w:type="spellEnd"/>
      <w:r w:rsidRPr="002055D8">
        <w:rPr>
          <w:lang w:val="en-US"/>
        </w:rPr>
        <w:t xml:space="preserve">, </w:t>
      </w:r>
      <w:proofErr w:type="spellStart"/>
      <w:r w:rsidRPr="002055D8">
        <w:rPr>
          <w:lang w:val="en-US"/>
        </w:rPr>
        <w:t>Sandro</w:t>
      </w:r>
      <w:proofErr w:type="spellEnd"/>
      <w:r w:rsidRPr="002055D8">
        <w:rPr>
          <w:lang w:val="en-US"/>
        </w:rPr>
        <w:t xml:space="preserve"> (12 </w:t>
      </w:r>
      <w:proofErr w:type="spellStart"/>
      <w:r w:rsidRPr="002055D8">
        <w:rPr>
          <w:lang w:val="en-US"/>
        </w:rPr>
        <w:t>août</w:t>
      </w:r>
      <w:proofErr w:type="spellEnd"/>
      <w:r w:rsidRPr="002055D8">
        <w:rPr>
          <w:lang w:val="en-US"/>
        </w:rPr>
        <w:t xml:space="preserve"> 2020).</w:t>
      </w:r>
      <w:proofErr w:type="gramEnd"/>
      <w:r w:rsidRPr="002055D8">
        <w:rPr>
          <w:lang w:val="en-US"/>
        </w:rPr>
        <w:t xml:space="preserve"> </w:t>
      </w:r>
      <w:proofErr w:type="gramStart"/>
      <w:r w:rsidRPr="002055D8">
        <w:rPr>
          <w:lang w:val="en-US"/>
        </w:rPr>
        <w:t>Journal of the American Medical Association.</w:t>
      </w:r>
      <w:proofErr w:type="gramEnd"/>
    </w:p>
  </w:footnote>
  <w:footnote w:id="8">
    <w:p w14:paraId="59EA287C" w14:textId="67943BA7" w:rsidR="00991EC8" w:rsidRPr="00CA0025" w:rsidRDefault="00991EC8" w:rsidP="00C109DC">
      <w:pPr>
        <w:pStyle w:val="FootnoteText"/>
        <w:ind w:left="720" w:hanging="360"/>
        <w:jc w:val="both"/>
      </w:pPr>
      <w:r w:rsidRPr="00CA0025">
        <w:rPr>
          <w:rStyle w:val="FootnoteReference"/>
          <w:vertAlign w:val="baseline"/>
        </w:rPr>
        <w:footnoteRef/>
      </w:r>
      <w:r w:rsidRPr="002055D8">
        <w:rPr>
          <w:lang w:val="en-US"/>
        </w:rPr>
        <w:t>.</w:t>
      </w:r>
      <w:r w:rsidRPr="002055D8">
        <w:rPr>
          <w:lang w:val="en-US"/>
        </w:rPr>
        <w:tab/>
      </w:r>
      <w:hyperlink r:id="rId6" w:history="1">
        <w:proofErr w:type="spellStart"/>
        <w:r w:rsidRPr="002055D8">
          <w:rPr>
            <w:rStyle w:val="Hyperlink"/>
            <w:lang w:val="en-US"/>
          </w:rPr>
          <w:t>IFRC</w:t>
        </w:r>
        <w:proofErr w:type="spellEnd"/>
        <w:r w:rsidRPr="002055D8">
          <w:rPr>
            <w:rStyle w:val="Hyperlink"/>
            <w:lang w:val="en-US"/>
          </w:rPr>
          <w:t xml:space="preserve"> concerned about impact of Hurricane Eta on coronavirus transmission</w:t>
        </w:r>
      </w:hyperlink>
      <w:r w:rsidRPr="002055D8">
        <w:rPr>
          <w:lang w:val="en-US"/>
        </w:rPr>
        <w:t xml:space="preserve">. </w:t>
      </w:r>
      <w:r w:rsidRPr="00CA0025">
        <w:t xml:space="preserve">Fédération internationale des Sociétés de la Croix-Rouge et du Croissant-Rouge. Actualités. 10 novembre 2020.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F3887" w14:textId="0FDFDE0A" w:rsidR="0073480E" w:rsidRPr="009C75F5" w:rsidRDefault="00FA607C">
    <w:pPr>
      <w:pStyle w:val="Header"/>
      <w:jc w:val="center"/>
      <w:rPr>
        <w:sz w:val="22"/>
        <w:szCs w:val="22"/>
      </w:rPr>
    </w:pPr>
    <w:r w:rsidRPr="009C75F5">
      <w:rPr>
        <w:sz w:val="22"/>
      </w:rPr>
      <w:fldChar w:fldCharType="begin"/>
    </w:r>
    <w:r w:rsidRPr="009C75F5">
      <w:rPr>
        <w:sz w:val="22"/>
      </w:rPr>
      <w:instrText xml:space="preserve"> PAGE   \* MERGEFORMAT </w:instrText>
    </w:r>
    <w:r w:rsidRPr="009C75F5">
      <w:rPr>
        <w:sz w:val="22"/>
      </w:rPr>
      <w:fldChar w:fldCharType="separate"/>
    </w:r>
    <w:r w:rsidR="002055D8">
      <w:rPr>
        <w:noProof/>
        <w:sz w:val="22"/>
      </w:rPr>
      <w:t>- 2 -</w:t>
    </w:r>
    <w:r w:rsidRPr="009C75F5">
      <w:rPr>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DE37F" w14:textId="77777777" w:rsidR="0073480E" w:rsidRDefault="009B0021">
    <w:pPr>
      <w:pStyle w:val="Header"/>
    </w:pPr>
    <w:r>
      <w:rPr>
        <w:noProof/>
        <w:lang w:val="en-US"/>
      </w:rPr>
      <mc:AlternateContent>
        <mc:Choice Requires="wps">
          <w:drawing>
            <wp:anchor distT="0" distB="0" distL="114300" distR="114300" simplePos="0" relativeHeight="251658752" behindDoc="0" locked="0" layoutInCell="1" allowOverlap="1" wp14:anchorId="548B743E" wp14:editId="04F75434">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849FB" w14:textId="77777777" w:rsidR="00921E9E" w:rsidRPr="00133A15"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ORGANISATION DES ÉTATS AMÉRICAINS </w:t>
                          </w:r>
                        </w:p>
                        <w:p w14:paraId="7EDAFC18" w14:textId="77777777" w:rsidR="00921E9E" w:rsidRPr="00133A15" w:rsidRDefault="00FA607C" w:rsidP="00921E9E">
                          <w:pPr>
                            <w:pStyle w:val="Header"/>
                            <w:tabs>
                              <w:tab w:val="left" w:pos="900"/>
                            </w:tabs>
                            <w:spacing w:line="0" w:lineRule="atLeast"/>
                            <w:jc w:val="center"/>
                            <w:rPr>
                              <w:rFonts w:ascii="Garamond" w:hAnsi="Garamond"/>
                              <w:b/>
                              <w:szCs w:val="22"/>
                            </w:rPr>
                          </w:pPr>
                          <w:r>
                            <w:rPr>
                              <w:rFonts w:ascii="Garamond" w:hAnsi="Garamond"/>
                              <w:b/>
                            </w:rPr>
                            <w:t xml:space="preserve">Conseil interaméricain pour le développement intégré </w:t>
                          </w:r>
                        </w:p>
                        <w:p w14:paraId="320623B9" w14:textId="77777777" w:rsidR="00921E9E" w:rsidRPr="00EA7DE7" w:rsidRDefault="00FA607C" w:rsidP="00921E9E">
                          <w:pPr>
                            <w:pStyle w:val="Header"/>
                            <w:tabs>
                              <w:tab w:val="left" w:pos="900"/>
                            </w:tabs>
                            <w:spacing w:line="0" w:lineRule="atLeast"/>
                            <w:jc w:val="center"/>
                            <w:rPr>
                              <w:b/>
                              <w:szCs w:val="22"/>
                            </w:rPr>
                          </w:pPr>
                          <w:r>
                            <w:rPr>
                              <w:rFonts w:ascii="Garamond" w:hAnsi="Garamond"/>
                              <w:b/>
                            </w:rPr>
                            <w:t>(</w:t>
                          </w:r>
                          <w:proofErr w:type="spellStart"/>
                          <w:r>
                            <w:rPr>
                              <w:rFonts w:ascii="Garamond" w:hAnsi="Garamond"/>
                              <w:b/>
                            </w:rPr>
                            <w:t>CIDI</w:t>
                          </w:r>
                          <w:proofErr w:type="spellEnd"/>
                          <w:r>
                            <w:rPr>
                              <w:rFonts w:ascii="Garamond" w:hAnsi="Garamond"/>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GThAIAAA8FAAAOAAAAZHJzL2Uyb0RvYy54bWysVNuO2yAQfa/Uf0C8Z30p2djWOqu9NFWl&#10;7UXa7QcQwDGqDRRI7G3Vf++Ak2y2F6mq6gcMzHCYmXOGi8ux79BOWCe1qnF2lmIkFNNcqk2NPz2s&#10;ZgVGzlPFaaeVqPGjcPhy+fLFxWAqketWd1xYBCDKVYOpceu9qZLEsVb01J1pIxQYG2176mFpNwm3&#10;dAD0vkvyND1PBm25sZoJ52D3djLiZcRvGsH8h6ZxwqOuxhCbj6ON4zqMyfKCVhtLTSvZPgz6D1H0&#10;VCq49Ah1Sz1FWyt/geols9rpxp8x3Se6aSQTMQfIJkt/yua+pUbEXKA4zhzL5P4fLHu/+2iR5DXO&#10;MVK0B4oexOjRtR5RFqozGFeB070BNz/CNrAcM3XmTrPPDil901K1EVfW6qEVlEN08WRycnTCcQFk&#10;PbzTHK6hW68j0NjYPpQOioEAHVh6PDITQmGwSRZ5UZA5RgxsBXmVF5G6hFaH08Y6/0boHoVJjS0w&#10;H9Hp7s55yANcDy7hMqc7yVey6+LCbtY3nUU7CipZxS+kDkeeuXUqOCsdjk3maQeChDuCLYQbWf9W&#10;ZjlJr/NytjovFjOyIvNZuUiLWZqV1+V5Skpyu/oeAsxI1UrOhbqTShwUmJG/Y3jfC5N2ogbRUONy&#10;ns8niv6YZBq/3yXZSw8N2cke6nx0olUg9rXikDatPJXdNE+ehx9LBjU4/GNVogwC85MG/LgeASVo&#10;Y635IwjCauALWIdXBCattl8xGqAja+y+bKkVGHVvFYiqzAgJLRwXZL7IYWFPLetTC1UMoGrsMZqm&#10;N35q+62xctPCTZOMlb4CITYyauQpKkghLKDrYjL7FyK09ek6ej29Y8sfAAAA//8DAFBLAwQUAAYA&#10;CAAAACEAM2VPet4AAAAJAQAADwAAAGRycy9kb3ducmV2LnhtbEyP3U6DQBCF7018h8008ca0C0r5&#10;k6FRE423rX2ABaZAyu4Sdlvo2zte6eVkvpzznWK36EFcaXK9NQjhJgBBprZNb1qE4/fHOgXhvDKN&#10;GqwhhBs52JX3d4XKGzubPV0PvhUcYlyuEDrvx1xKV3ekldvYkQz/TnbSyvM5tbKZ1MzhepBPQRBL&#10;rXrDDZ0a6b2j+ny4aITT1/y4zebq0x+TfRS/qT6p7A3xYbW8voDwtPg/GH71WR1KdqrsxTRODAhx&#10;FjGJsE4y3sRAGkYhiAph+5yCLAv5f0H5AwAA//8DAFBLAQItABQABgAIAAAAIQC2gziS/gAAAOEB&#10;AAATAAAAAAAAAAAAAAAAAAAAAABbQ29udGVudF9UeXBlc10ueG1sUEsBAi0AFAAGAAgAAAAhADj9&#10;If/WAAAAlAEAAAsAAAAAAAAAAAAAAAAALwEAAF9yZWxzLy5yZWxzUEsBAi0AFAAGAAgAAAAhAI6E&#10;UZOEAgAADwUAAA4AAAAAAAAAAAAAAAAALgIAAGRycy9lMm9Eb2MueG1sUEsBAi0AFAAGAAgAAAAh&#10;ADNlT3reAAAACQEAAA8AAAAAAAAAAAAAAAAA3gQAAGRycy9kb3ducmV2LnhtbFBLBQYAAAAABAAE&#10;APMAAADpBQAAAAA=&#10;" stroked="f">
              <v:textbox>
                <w:txbxContent>
                  <w:p w14:paraId="401849FB" w14:textId="77777777" w:rsidR="00921E9E" w:rsidRPr="00133A15"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ORGANISATION DES ÉTATS AMÉRICAINS </w:t>
                    </w:r>
                  </w:p>
                  <w:p w14:paraId="7EDAFC18" w14:textId="77777777" w:rsidR="00921E9E" w:rsidRPr="00133A15" w:rsidRDefault="00FA607C" w:rsidP="00921E9E">
                    <w:pPr>
                      <w:pStyle w:val="Header"/>
                      <w:tabs>
                        <w:tab w:val="left" w:pos="900"/>
                      </w:tabs>
                      <w:spacing w:line="0" w:lineRule="atLeast"/>
                      <w:jc w:val="center"/>
                      <w:rPr>
                        <w:rFonts w:ascii="Garamond" w:hAnsi="Garamond"/>
                        <w:b/>
                        <w:szCs w:val="22"/>
                      </w:rPr>
                    </w:pPr>
                    <w:r>
                      <w:rPr>
                        <w:rFonts w:ascii="Garamond" w:hAnsi="Garamond"/>
                        <w:b/>
                      </w:rPr>
                      <w:t xml:space="preserve">Conseil interaméricain pour le développement intégré </w:t>
                    </w:r>
                  </w:p>
                  <w:p w14:paraId="320623B9" w14:textId="77777777" w:rsidR="00921E9E" w:rsidRPr="00EA7DE7" w:rsidRDefault="00FA607C" w:rsidP="00921E9E">
                    <w:pPr>
                      <w:pStyle w:val="Header"/>
                      <w:tabs>
                        <w:tab w:val="left" w:pos="900"/>
                      </w:tabs>
                      <w:spacing w:line="0" w:lineRule="atLeast"/>
                      <w:jc w:val="center"/>
                      <w:rPr>
                        <w:b/>
                        <w:szCs w:val="22"/>
                      </w:rPr>
                    </w:pPr>
                    <w:r>
                      <w:rPr>
                        <w:rFonts w:ascii="Garamond" w:hAnsi="Garamond"/>
                        <w:b/>
                      </w:rPr>
                      <w:t>(</w:t>
                    </w:r>
                    <w:proofErr w:type="spellStart"/>
                    <w:r>
                      <w:rPr>
                        <w:rFonts w:ascii="Garamond" w:hAnsi="Garamond"/>
                        <w:b/>
                      </w:rPr>
                      <w:t>CIDI</w:t>
                    </w:r>
                    <w:proofErr w:type="spellEnd"/>
                    <w:r>
                      <w:rPr>
                        <w:rFonts w:ascii="Garamond" w:hAnsi="Garamond"/>
                        <w:b/>
                      </w:rPr>
                      <w:t>)</w:t>
                    </w: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14:anchorId="1F661507" wp14:editId="2A41619F">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A07CA" w14:textId="77777777" w:rsidR="0073480E" w:rsidRDefault="009B0021" w:rsidP="00AB7175">
                          <w:pPr>
                            <w:ind w:right="-130"/>
                          </w:pPr>
                          <w:r>
                            <w:rPr>
                              <w:rFonts w:ascii="News Gothic MT" w:hAnsi="News Gothic MT"/>
                              <w:noProof/>
                              <w:color w:val="000000"/>
                              <w:lang w:val="en-US"/>
                            </w:rPr>
                            <w:drawing>
                              <wp:inline distT="0" distB="0" distL="0" distR="0" wp14:anchorId="34CE1C5B" wp14:editId="6222A3BA">
                                <wp:extent cx="1106805" cy="768985"/>
                                <wp:effectExtent l="0" t="0" r="0" b="0"/>
                                <wp:docPr id="3"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7689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g4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VcriBEIbZa5K9eRekSUp1OG+v8G647FBY1tqB8&#10;RCeHe+cDG1KdUiJ7LQXbCCnjxu62t9KiAwGXbOIvFgBFTtOkCslKh2Mj4vgGSMIdIRboRtW/lVle&#10;pDd5OdssVstZsSnms3KZrmZpVt6Ui7Qoi7vN90AwK6pWMMbVvVD85MCs+DuFj7Mweid6EPU1Luf5&#10;fJRoyt5Ni0zj709FdsLDQErRQZ/PSaQKwr5WDMomlSdCjuvkZ/qxy9CD03/sSrRBUH70gB+2w9Fv&#10;ABYsstXsCXxhNcgGCsPHBBattl8x6mEwa+y+7InlGMm3CrxVZkURJjluivkyh42dRrbTCFEUoGrs&#10;MRqXt36c/r2xYtfCTaOblb4GPzYiWuWZ1dHFMHyxpuOHIkz3dB+znj9n6x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HI2SDiGAgAAFgUAAA4AAAAAAAAAAAAAAAAALgIAAGRycy9lMm9Eb2MueG1sUEsBAi0AFAAGAAgA&#10;AAAhAMT58IffAAAACwEAAA8AAAAAAAAAAAAAAAAA4AQAAGRycy9kb3ducmV2LnhtbFBLBQYAAAAA&#10;BAAEAPMAAADsBQAAAAA=&#10;" stroked="f">
              <v:textbox>
                <w:txbxContent>
                  <w:p w14:paraId="699A07CA" w14:textId="77777777" w:rsidR="0073480E" w:rsidRDefault="009B0021" w:rsidP="00AB7175">
                    <w:pPr>
                      <w:ind w:right="-130"/>
                    </w:pPr>
                    <w:r>
                      <w:rPr>
                        <w:rFonts w:ascii="News Gothic MT" w:hAnsi="News Gothic MT"/>
                        <w:noProof/>
                        <w:color w:val="000000"/>
                        <w:lang w:val="en-US"/>
                      </w:rPr>
                      <w:drawing>
                        <wp:inline distT="0" distB="0" distL="0" distR="0" wp14:anchorId="34CE1C5B" wp14:editId="6222A3BA">
                          <wp:extent cx="1106805" cy="768985"/>
                          <wp:effectExtent l="0" t="0" r="0" b="0"/>
                          <wp:docPr id="3"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768985"/>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6704" behindDoc="0" locked="0" layoutInCell="1" allowOverlap="1" wp14:anchorId="294ACD75" wp14:editId="35B8B9ED">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5A4D5D52" w14:textId="77777777" w:rsidR="001B0828" w:rsidRDefault="001B08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44A5"/>
    <w:multiLevelType w:val="hybridMultilevel"/>
    <w:tmpl w:val="7ABCECBC"/>
    <w:lvl w:ilvl="0" w:tplc="5F7A31D6">
      <w:start w:val="100"/>
      <w:numFmt w:val="bullet"/>
      <w:lvlText w:val="-"/>
      <w:lvlJc w:val="left"/>
      <w:pPr>
        <w:ind w:left="360" w:hanging="360"/>
      </w:pPr>
      <w:rPr>
        <w:rFonts w:ascii="Courier New" w:eastAsiaTheme="minorHAnsi" w:hAnsi="Courier New" w:cs="Courier New"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71698"/>
    <w:multiLevelType w:val="hybridMultilevel"/>
    <w:tmpl w:val="DACC8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1923AB"/>
    <w:multiLevelType w:val="hybridMultilevel"/>
    <w:tmpl w:val="41EC8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11570"/>
    <w:multiLevelType w:val="hybridMultilevel"/>
    <w:tmpl w:val="16BEEAE6"/>
    <w:lvl w:ilvl="0" w:tplc="906286D8">
      <w:start w:val="1"/>
      <w:numFmt w:val="bullet"/>
      <w:lvlText w:val=""/>
      <w:lvlJc w:val="left"/>
      <w:pPr>
        <w:ind w:left="1080" w:hanging="360"/>
      </w:pPr>
      <w:rPr>
        <w:rFonts w:ascii="Symbol" w:hAnsi="Symbol" w:hint="default"/>
      </w:rPr>
    </w:lvl>
    <w:lvl w:ilvl="1" w:tplc="B66255CE" w:tentative="1">
      <w:start w:val="1"/>
      <w:numFmt w:val="bullet"/>
      <w:lvlText w:val="o"/>
      <w:lvlJc w:val="left"/>
      <w:pPr>
        <w:ind w:left="1800" w:hanging="360"/>
      </w:pPr>
      <w:rPr>
        <w:rFonts w:ascii="Courier New" w:hAnsi="Courier New" w:cs="Courier New" w:hint="default"/>
      </w:rPr>
    </w:lvl>
    <w:lvl w:ilvl="2" w:tplc="1B40B27E" w:tentative="1">
      <w:start w:val="1"/>
      <w:numFmt w:val="bullet"/>
      <w:lvlText w:val=""/>
      <w:lvlJc w:val="left"/>
      <w:pPr>
        <w:ind w:left="2520" w:hanging="360"/>
      </w:pPr>
      <w:rPr>
        <w:rFonts w:ascii="Wingdings" w:hAnsi="Wingdings" w:hint="default"/>
      </w:rPr>
    </w:lvl>
    <w:lvl w:ilvl="3" w:tplc="2C367014" w:tentative="1">
      <w:start w:val="1"/>
      <w:numFmt w:val="bullet"/>
      <w:lvlText w:val=""/>
      <w:lvlJc w:val="left"/>
      <w:pPr>
        <w:ind w:left="3240" w:hanging="360"/>
      </w:pPr>
      <w:rPr>
        <w:rFonts w:ascii="Symbol" w:hAnsi="Symbol" w:hint="default"/>
      </w:rPr>
    </w:lvl>
    <w:lvl w:ilvl="4" w:tplc="139A527A" w:tentative="1">
      <w:start w:val="1"/>
      <w:numFmt w:val="bullet"/>
      <w:lvlText w:val="o"/>
      <w:lvlJc w:val="left"/>
      <w:pPr>
        <w:ind w:left="3960" w:hanging="360"/>
      </w:pPr>
      <w:rPr>
        <w:rFonts w:ascii="Courier New" w:hAnsi="Courier New" w:cs="Courier New" w:hint="default"/>
      </w:rPr>
    </w:lvl>
    <w:lvl w:ilvl="5" w:tplc="72443B40" w:tentative="1">
      <w:start w:val="1"/>
      <w:numFmt w:val="bullet"/>
      <w:lvlText w:val=""/>
      <w:lvlJc w:val="left"/>
      <w:pPr>
        <w:ind w:left="4680" w:hanging="360"/>
      </w:pPr>
      <w:rPr>
        <w:rFonts w:ascii="Wingdings" w:hAnsi="Wingdings" w:hint="default"/>
      </w:rPr>
    </w:lvl>
    <w:lvl w:ilvl="6" w:tplc="6F2A1078" w:tentative="1">
      <w:start w:val="1"/>
      <w:numFmt w:val="bullet"/>
      <w:lvlText w:val=""/>
      <w:lvlJc w:val="left"/>
      <w:pPr>
        <w:ind w:left="5400" w:hanging="360"/>
      </w:pPr>
      <w:rPr>
        <w:rFonts w:ascii="Symbol" w:hAnsi="Symbol" w:hint="default"/>
      </w:rPr>
    </w:lvl>
    <w:lvl w:ilvl="7" w:tplc="4F560A5A" w:tentative="1">
      <w:start w:val="1"/>
      <w:numFmt w:val="bullet"/>
      <w:lvlText w:val="o"/>
      <w:lvlJc w:val="left"/>
      <w:pPr>
        <w:ind w:left="6120" w:hanging="360"/>
      </w:pPr>
      <w:rPr>
        <w:rFonts w:ascii="Courier New" w:hAnsi="Courier New" w:cs="Courier New" w:hint="default"/>
      </w:rPr>
    </w:lvl>
    <w:lvl w:ilvl="8" w:tplc="86C6CA9E" w:tentative="1">
      <w:start w:val="1"/>
      <w:numFmt w:val="bullet"/>
      <w:lvlText w:val=""/>
      <w:lvlJc w:val="left"/>
      <w:pPr>
        <w:ind w:left="6840" w:hanging="360"/>
      </w:pPr>
      <w:rPr>
        <w:rFonts w:ascii="Wingdings" w:hAnsi="Wingdings" w:hint="default"/>
      </w:rPr>
    </w:lvl>
  </w:abstractNum>
  <w:abstractNum w:abstractNumId="5">
    <w:nsid w:val="22B946C0"/>
    <w:multiLevelType w:val="hybridMultilevel"/>
    <w:tmpl w:val="071AE9F8"/>
    <w:lvl w:ilvl="0" w:tplc="4EAC9BEA">
      <w:start w:val="1"/>
      <w:numFmt w:val="upperRoman"/>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E7E6C35"/>
    <w:multiLevelType w:val="hybridMultilevel"/>
    <w:tmpl w:val="F1725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AC4ECE"/>
    <w:multiLevelType w:val="hybridMultilevel"/>
    <w:tmpl w:val="E7041B4A"/>
    <w:lvl w:ilvl="0" w:tplc="325A002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12A046F"/>
    <w:multiLevelType w:val="hybridMultilevel"/>
    <w:tmpl w:val="ABB8463E"/>
    <w:lvl w:ilvl="0" w:tplc="4A52A7D2">
      <w:start w:val="1"/>
      <w:numFmt w:val="bullet"/>
      <w:lvlText w:val="•"/>
      <w:lvlJc w:val="left"/>
      <w:pPr>
        <w:tabs>
          <w:tab w:val="num" w:pos="720"/>
        </w:tabs>
        <w:ind w:left="720" w:hanging="360"/>
      </w:pPr>
      <w:rPr>
        <w:rFonts w:ascii="Arial" w:hAnsi="Arial" w:hint="default"/>
      </w:rPr>
    </w:lvl>
    <w:lvl w:ilvl="1" w:tplc="BBCAAEC6" w:tentative="1">
      <w:start w:val="1"/>
      <w:numFmt w:val="bullet"/>
      <w:lvlText w:val="•"/>
      <w:lvlJc w:val="left"/>
      <w:pPr>
        <w:tabs>
          <w:tab w:val="num" w:pos="1440"/>
        </w:tabs>
        <w:ind w:left="1440" w:hanging="360"/>
      </w:pPr>
      <w:rPr>
        <w:rFonts w:ascii="Arial" w:hAnsi="Arial" w:hint="default"/>
      </w:rPr>
    </w:lvl>
    <w:lvl w:ilvl="2" w:tplc="7172BC58" w:tentative="1">
      <w:start w:val="1"/>
      <w:numFmt w:val="bullet"/>
      <w:lvlText w:val="•"/>
      <w:lvlJc w:val="left"/>
      <w:pPr>
        <w:tabs>
          <w:tab w:val="num" w:pos="2160"/>
        </w:tabs>
        <w:ind w:left="2160" w:hanging="360"/>
      </w:pPr>
      <w:rPr>
        <w:rFonts w:ascii="Arial" w:hAnsi="Arial" w:hint="default"/>
      </w:rPr>
    </w:lvl>
    <w:lvl w:ilvl="3" w:tplc="0684449C" w:tentative="1">
      <w:start w:val="1"/>
      <w:numFmt w:val="bullet"/>
      <w:lvlText w:val="•"/>
      <w:lvlJc w:val="left"/>
      <w:pPr>
        <w:tabs>
          <w:tab w:val="num" w:pos="2880"/>
        </w:tabs>
        <w:ind w:left="2880" w:hanging="360"/>
      </w:pPr>
      <w:rPr>
        <w:rFonts w:ascii="Arial" w:hAnsi="Arial" w:hint="default"/>
      </w:rPr>
    </w:lvl>
    <w:lvl w:ilvl="4" w:tplc="60086C04" w:tentative="1">
      <w:start w:val="1"/>
      <w:numFmt w:val="bullet"/>
      <w:lvlText w:val="•"/>
      <w:lvlJc w:val="left"/>
      <w:pPr>
        <w:tabs>
          <w:tab w:val="num" w:pos="3600"/>
        </w:tabs>
        <w:ind w:left="3600" w:hanging="360"/>
      </w:pPr>
      <w:rPr>
        <w:rFonts w:ascii="Arial" w:hAnsi="Arial" w:hint="default"/>
      </w:rPr>
    </w:lvl>
    <w:lvl w:ilvl="5" w:tplc="43B4B97C" w:tentative="1">
      <w:start w:val="1"/>
      <w:numFmt w:val="bullet"/>
      <w:lvlText w:val="•"/>
      <w:lvlJc w:val="left"/>
      <w:pPr>
        <w:tabs>
          <w:tab w:val="num" w:pos="4320"/>
        </w:tabs>
        <w:ind w:left="4320" w:hanging="360"/>
      </w:pPr>
      <w:rPr>
        <w:rFonts w:ascii="Arial" w:hAnsi="Arial" w:hint="default"/>
      </w:rPr>
    </w:lvl>
    <w:lvl w:ilvl="6" w:tplc="424E1E0E" w:tentative="1">
      <w:start w:val="1"/>
      <w:numFmt w:val="bullet"/>
      <w:lvlText w:val="•"/>
      <w:lvlJc w:val="left"/>
      <w:pPr>
        <w:tabs>
          <w:tab w:val="num" w:pos="5040"/>
        </w:tabs>
        <w:ind w:left="5040" w:hanging="360"/>
      </w:pPr>
      <w:rPr>
        <w:rFonts w:ascii="Arial" w:hAnsi="Arial" w:hint="default"/>
      </w:rPr>
    </w:lvl>
    <w:lvl w:ilvl="7" w:tplc="51D4B82A" w:tentative="1">
      <w:start w:val="1"/>
      <w:numFmt w:val="bullet"/>
      <w:lvlText w:val="•"/>
      <w:lvlJc w:val="left"/>
      <w:pPr>
        <w:tabs>
          <w:tab w:val="num" w:pos="5760"/>
        </w:tabs>
        <w:ind w:left="5760" w:hanging="360"/>
      </w:pPr>
      <w:rPr>
        <w:rFonts w:ascii="Arial" w:hAnsi="Arial" w:hint="default"/>
      </w:rPr>
    </w:lvl>
    <w:lvl w:ilvl="8" w:tplc="A156F210" w:tentative="1">
      <w:start w:val="1"/>
      <w:numFmt w:val="bullet"/>
      <w:lvlText w:val="•"/>
      <w:lvlJc w:val="left"/>
      <w:pPr>
        <w:tabs>
          <w:tab w:val="num" w:pos="6480"/>
        </w:tabs>
        <w:ind w:left="6480" w:hanging="360"/>
      </w:pPr>
      <w:rPr>
        <w:rFonts w:ascii="Arial" w:hAnsi="Arial" w:hint="default"/>
      </w:rPr>
    </w:lvl>
  </w:abstractNum>
  <w:abstractNum w:abstractNumId="12">
    <w:nsid w:val="52123FF8"/>
    <w:multiLevelType w:val="hybridMultilevel"/>
    <w:tmpl w:val="EDDCDA8E"/>
    <w:lvl w:ilvl="0" w:tplc="016CDB90">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BC3554"/>
    <w:multiLevelType w:val="hybridMultilevel"/>
    <w:tmpl w:val="1A64F3C8"/>
    <w:lvl w:ilvl="0" w:tplc="3C26C850">
      <w:start w:val="1"/>
      <w:numFmt w:val="bullet"/>
      <w:lvlText w:val=""/>
      <w:lvlJc w:val="left"/>
      <w:pPr>
        <w:ind w:left="720" w:hanging="360"/>
      </w:pPr>
      <w:rPr>
        <w:rFonts w:ascii="Symbol" w:hAnsi="Symbol" w:hint="default"/>
      </w:rPr>
    </w:lvl>
    <w:lvl w:ilvl="1" w:tplc="48B80BB0" w:tentative="1">
      <w:start w:val="1"/>
      <w:numFmt w:val="bullet"/>
      <w:lvlText w:val="o"/>
      <w:lvlJc w:val="left"/>
      <w:pPr>
        <w:ind w:left="1440" w:hanging="360"/>
      </w:pPr>
      <w:rPr>
        <w:rFonts w:ascii="Courier New" w:hAnsi="Courier New" w:cs="Courier New" w:hint="default"/>
      </w:rPr>
    </w:lvl>
    <w:lvl w:ilvl="2" w:tplc="BBB217AC" w:tentative="1">
      <w:start w:val="1"/>
      <w:numFmt w:val="bullet"/>
      <w:lvlText w:val=""/>
      <w:lvlJc w:val="left"/>
      <w:pPr>
        <w:ind w:left="2160" w:hanging="360"/>
      </w:pPr>
      <w:rPr>
        <w:rFonts w:ascii="Wingdings" w:hAnsi="Wingdings" w:hint="default"/>
      </w:rPr>
    </w:lvl>
    <w:lvl w:ilvl="3" w:tplc="8C8C6A32" w:tentative="1">
      <w:start w:val="1"/>
      <w:numFmt w:val="bullet"/>
      <w:lvlText w:val=""/>
      <w:lvlJc w:val="left"/>
      <w:pPr>
        <w:ind w:left="2880" w:hanging="360"/>
      </w:pPr>
      <w:rPr>
        <w:rFonts w:ascii="Symbol" w:hAnsi="Symbol" w:hint="default"/>
      </w:rPr>
    </w:lvl>
    <w:lvl w:ilvl="4" w:tplc="65B0A84E" w:tentative="1">
      <w:start w:val="1"/>
      <w:numFmt w:val="bullet"/>
      <w:lvlText w:val="o"/>
      <w:lvlJc w:val="left"/>
      <w:pPr>
        <w:ind w:left="3600" w:hanging="360"/>
      </w:pPr>
      <w:rPr>
        <w:rFonts w:ascii="Courier New" w:hAnsi="Courier New" w:cs="Courier New" w:hint="default"/>
      </w:rPr>
    </w:lvl>
    <w:lvl w:ilvl="5" w:tplc="3BC8D5DA" w:tentative="1">
      <w:start w:val="1"/>
      <w:numFmt w:val="bullet"/>
      <w:lvlText w:val=""/>
      <w:lvlJc w:val="left"/>
      <w:pPr>
        <w:ind w:left="4320" w:hanging="360"/>
      </w:pPr>
      <w:rPr>
        <w:rFonts w:ascii="Wingdings" w:hAnsi="Wingdings" w:hint="default"/>
      </w:rPr>
    </w:lvl>
    <w:lvl w:ilvl="6" w:tplc="9864CC9A" w:tentative="1">
      <w:start w:val="1"/>
      <w:numFmt w:val="bullet"/>
      <w:lvlText w:val=""/>
      <w:lvlJc w:val="left"/>
      <w:pPr>
        <w:ind w:left="5040" w:hanging="360"/>
      </w:pPr>
      <w:rPr>
        <w:rFonts w:ascii="Symbol" w:hAnsi="Symbol" w:hint="default"/>
      </w:rPr>
    </w:lvl>
    <w:lvl w:ilvl="7" w:tplc="A442161E" w:tentative="1">
      <w:start w:val="1"/>
      <w:numFmt w:val="bullet"/>
      <w:lvlText w:val="o"/>
      <w:lvlJc w:val="left"/>
      <w:pPr>
        <w:ind w:left="5760" w:hanging="360"/>
      </w:pPr>
      <w:rPr>
        <w:rFonts w:ascii="Courier New" w:hAnsi="Courier New" w:cs="Courier New" w:hint="default"/>
      </w:rPr>
    </w:lvl>
    <w:lvl w:ilvl="8" w:tplc="F01C2AAE" w:tentative="1">
      <w:start w:val="1"/>
      <w:numFmt w:val="bullet"/>
      <w:lvlText w:val=""/>
      <w:lvlJc w:val="left"/>
      <w:pPr>
        <w:ind w:left="6480" w:hanging="360"/>
      </w:pPr>
      <w:rPr>
        <w:rFonts w:ascii="Wingdings" w:hAnsi="Wingdings" w:hint="default"/>
      </w:rPr>
    </w:lvl>
  </w:abstractNum>
  <w:abstractNum w:abstractNumId="14">
    <w:nsid w:val="78B57D26"/>
    <w:multiLevelType w:val="hybridMultilevel"/>
    <w:tmpl w:val="DC5E8800"/>
    <w:lvl w:ilvl="0" w:tplc="2D4640B4">
      <w:start w:val="1"/>
      <w:numFmt w:val="bullet"/>
      <w:lvlText w:val=""/>
      <w:lvlJc w:val="left"/>
      <w:pPr>
        <w:ind w:left="720" w:hanging="360"/>
      </w:pPr>
      <w:rPr>
        <w:rFonts w:ascii="Symbol" w:hAnsi="Symbol" w:hint="default"/>
      </w:rPr>
    </w:lvl>
    <w:lvl w:ilvl="1" w:tplc="8EB665BE" w:tentative="1">
      <w:start w:val="1"/>
      <w:numFmt w:val="bullet"/>
      <w:lvlText w:val="o"/>
      <w:lvlJc w:val="left"/>
      <w:pPr>
        <w:ind w:left="1440" w:hanging="360"/>
      </w:pPr>
      <w:rPr>
        <w:rFonts w:ascii="Courier New" w:hAnsi="Courier New" w:cs="Courier New" w:hint="default"/>
      </w:rPr>
    </w:lvl>
    <w:lvl w:ilvl="2" w:tplc="B8DA0FAC" w:tentative="1">
      <w:start w:val="1"/>
      <w:numFmt w:val="bullet"/>
      <w:lvlText w:val=""/>
      <w:lvlJc w:val="left"/>
      <w:pPr>
        <w:ind w:left="2160" w:hanging="360"/>
      </w:pPr>
      <w:rPr>
        <w:rFonts w:ascii="Wingdings" w:hAnsi="Wingdings" w:hint="default"/>
      </w:rPr>
    </w:lvl>
    <w:lvl w:ilvl="3" w:tplc="AC420A96" w:tentative="1">
      <w:start w:val="1"/>
      <w:numFmt w:val="bullet"/>
      <w:lvlText w:val=""/>
      <w:lvlJc w:val="left"/>
      <w:pPr>
        <w:ind w:left="2880" w:hanging="360"/>
      </w:pPr>
      <w:rPr>
        <w:rFonts w:ascii="Symbol" w:hAnsi="Symbol" w:hint="default"/>
      </w:rPr>
    </w:lvl>
    <w:lvl w:ilvl="4" w:tplc="9894E08C" w:tentative="1">
      <w:start w:val="1"/>
      <w:numFmt w:val="bullet"/>
      <w:lvlText w:val="o"/>
      <w:lvlJc w:val="left"/>
      <w:pPr>
        <w:ind w:left="3600" w:hanging="360"/>
      </w:pPr>
      <w:rPr>
        <w:rFonts w:ascii="Courier New" w:hAnsi="Courier New" w:cs="Courier New" w:hint="default"/>
      </w:rPr>
    </w:lvl>
    <w:lvl w:ilvl="5" w:tplc="F8A8E8DA" w:tentative="1">
      <w:start w:val="1"/>
      <w:numFmt w:val="bullet"/>
      <w:lvlText w:val=""/>
      <w:lvlJc w:val="left"/>
      <w:pPr>
        <w:ind w:left="4320" w:hanging="360"/>
      </w:pPr>
      <w:rPr>
        <w:rFonts w:ascii="Wingdings" w:hAnsi="Wingdings" w:hint="default"/>
      </w:rPr>
    </w:lvl>
    <w:lvl w:ilvl="6" w:tplc="9D10FBA6" w:tentative="1">
      <w:start w:val="1"/>
      <w:numFmt w:val="bullet"/>
      <w:lvlText w:val=""/>
      <w:lvlJc w:val="left"/>
      <w:pPr>
        <w:ind w:left="5040" w:hanging="360"/>
      </w:pPr>
      <w:rPr>
        <w:rFonts w:ascii="Symbol" w:hAnsi="Symbol" w:hint="default"/>
      </w:rPr>
    </w:lvl>
    <w:lvl w:ilvl="7" w:tplc="ADFE800A" w:tentative="1">
      <w:start w:val="1"/>
      <w:numFmt w:val="bullet"/>
      <w:lvlText w:val="o"/>
      <w:lvlJc w:val="left"/>
      <w:pPr>
        <w:ind w:left="5760" w:hanging="360"/>
      </w:pPr>
      <w:rPr>
        <w:rFonts w:ascii="Courier New" w:hAnsi="Courier New" w:cs="Courier New" w:hint="default"/>
      </w:rPr>
    </w:lvl>
    <w:lvl w:ilvl="8" w:tplc="8F124436" w:tentative="1">
      <w:start w:val="1"/>
      <w:numFmt w:val="bullet"/>
      <w:lvlText w:val=""/>
      <w:lvlJc w:val="left"/>
      <w:pPr>
        <w:ind w:left="6480" w:hanging="360"/>
      </w:pPr>
      <w:rPr>
        <w:rFonts w:ascii="Wingdings" w:hAnsi="Wingdings" w:hint="default"/>
      </w:rPr>
    </w:lvl>
  </w:abstractNum>
  <w:abstractNum w:abstractNumId="15">
    <w:nsid w:val="7C1B636A"/>
    <w:multiLevelType w:val="hybridMultilevel"/>
    <w:tmpl w:val="2AAC6FD4"/>
    <w:lvl w:ilvl="0" w:tplc="A8844008">
      <w:start w:val="1"/>
      <w:numFmt w:val="bullet"/>
      <w:lvlText w:val="•"/>
      <w:lvlJc w:val="left"/>
      <w:pPr>
        <w:tabs>
          <w:tab w:val="num" w:pos="720"/>
        </w:tabs>
        <w:ind w:left="720" w:hanging="360"/>
      </w:pPr>
      <w:rPr>
        <w:rFonts w:ascii="Arial" w:hAnsi="Arial" w:hint="default"/>
      </w:rPr>
    </w:lvl>
    <w:lvl w:ilvl="1" w:tplc="FAD8B604" w:tentative="1">
      <w:start w:val="1"/>
      <w:numFmt w:val="bullet"/>
      <w:lvlText w:val="•"/>
      <w:lvlJc w:val="left"/>
      <w:pPr>
        <w:tabs>
          <w:tab w:val="num" w:pos="1440"/>
        </w:tabs>
        <w:ind w:left="1440" w:hanging="360"/>
      </w:pPr>
      <w:rPr>
        <w:rFonts w:ascii="Arial" w:hAnsi="Arial" w:hint="default"/>
      </w:rPr>
    </w:lvl>
    <w:lvl w:ilvl="2" w:tplc="3C2A8C8C" w:tentative="1">
      <w:start w:val="1"/>
      <w:numFmt w:val="bullet"/>
      <w:lvlText w:val="•"/>
      <w:lvlJc w:val="left"/>
      <w:pPr>
        <w:tabs>
          <w:tab w:val="num" w:pos="2160"/>
        </w:tabs>
        <w:ind w:left="2160" w:hanging="360"/>
      </w:pPr>
      <w:rPr>
        <w:rFonts w:ascii="Arial" w:hAnsi="Arial" w:hint="default"/>
      </w:rPr>
    </w:lvl>
    <w:lvl w:ilvl="3" w:tplc="44B2C764" w:tentative="1">
      <w:start w:val="1"/>
      <w:numFmt w:val="bullet"/>
      <w:lvlText w:val="•"/>
      <w:lvlJc w:val="left"/>
      <w:pPr>
        <w:tabs>
          <w:tab w:val="num" w:pos="2880"/>
        </w:tabs>
        <w:ind w:left="2880" w:hanging="360"/>
      </w:pPr>
      <w:rPr>
        <w:rFonts w:ascii="Arial" w:hAnsi="Arial" w:hint="default"/>
      </w:rPr>
    </w:lvl>
    <w:lvl w:ilvl="4" w:tplc="F1E8E904" w:tentative="1">
      <w:start w:val="1"/>
      <w:numFmt w:val="bullet"/>
      <w:lvlText w:val="•"/>
      <w:lvlJc w:val="left"/>
      <w:pPr>
        <w:tabs>
          <w:tab w:val="num" w:pos="3600"/>
        </w:tabs>
        <w:ind w:left="3600" w:hanging="360"/>
      </w:pPr>
      <w:rPr>
        <w:rFonts w:ascii="Arial" w:hAnsi="Arial" w:hint="default"/>
      </w:rPr>
    </w:lvl>
    <w:lvl w:ilvl="5" w:tplc="EBA265BE" w:tentative="1">
      <w:start w:val="1"/>
      <w:numFmt w:val="bullet"/>
      <w:lvlText w:val="•"/>
      <w:lvlJc w:val="left"/>
      <w:pPr>
        <w:tabs>
          <w:tab w:val="num" w:pos="4320"/>
        </w:tabs>
        <w:ind w:left="4320" w:hanging="360"/>
      </w:pPr>
      <w:rPr>
        <w:rFonts w:ascii="Arial" w:hAnsi="Arial" w:hint="default"/>
      </w:rPr>
    </w:lvl>
    <w:lvl w:ilvl="6" w:tplc="CAFA4E98" w:tentative="1">
      <w:start w:val="1"/>
      <w:numFmt w:val="bullet"/>
      <w:lvlText w:val="•"/>
      <w:lvlJc w:val="left"/>
      <w:pPr>
        <w:tabs>
          <w:tab w:val="num" w:pos="5040"/>
        </w:tabs>
        <w:ind w:left="5040" w:hanging="360"/>
      </w:pPr>
      <w:rPr>
        <w:rFonts w:ascii="Arial" w:hAnsi="Arial" w:hint="default"/>
      </w:rPr>
    </w:lvl>
    <w:lvl w:ilvl="7" w:tplc="B2A4ABD0" w:tentative="1">
      <w:start w:val="1"/>
      <w:numFmt w:val="bullet"/>
      <w:lvlText w:val="•"/>
      <w:lvlJc w:val="left"/>
      <w:pPr>
        <w:tabs>
          <w:tab w:val="num" w:pos="5760"/>
        </w:tabs>
        <w:ind w:left="5760" w:hanging="360"/>
      </w:pPr>
      <w:rPr>
        <w:rFonts w:ascii="Arial" w:hAnsi="Arial" w:hint="default"/>
      </w:rPr>
    </w:lvl>
    <w:lvl w:ilvl="8" w:tplc="B8C2696C" w:tentative="1">
      <w:start w:val="1"/>
      <w:numFmt w:val="bullet"/>
      <w:lvlText w:val="•"/>
      <w:lvlJc w:val="left"/>
      <w:pPr>
        <w:tabs>
          <w:tab w:val="num" w:pos="6480"/>
        </w:tabs>
        <w:ind w:left="6480" w:hanging="360"/>
      </w:pPr>
      <w:rPr>
        <w:rFonts w:ascii="Arial" w:hAnsi="Arial" w:hint="default"/>
      </w:rPr>
    </w:lvl>
  </w:abstractNum>
  <w:abstractNum w:abstractNumId="16">
    <w:nsid w:val="7D672C04"/>
    <w:multiLevelType w:val="hybridMultilevel"/>
    <w:tmpl w:val="A1D0237C"/>
    <w:lvl w:ilvl="0" w:tplc="B694F622">
      <w:start w:val="1"/>
      <w:numFmt w:val="bullet"/>
      <w:lvlText w:val="•"/>
      <w:lvlJc w:val="left"/>
      <w:pPr>
        <w:tabs>
          <w:tab w:val="num" w:pos="720"/>
        </w:tabs>
        <w:ind w:left="720" w:hanging="360"/>
      </w:pPr>
      <w:rPr>
        <w:rFonts w:ascii="Arial" w:hAnsi="Arial" w:hint="default"/>
      </w:rPr>
    </w:lvl>
    <w:lvl w:ilvl="1" w:tplc="137824D4" w:tentative="1">
      <w:start w:val="1"/>
      <w:numFmt w:val="bullet"/>
      <w:lvlText w:val="•"/>
      <w:lvlJc w:val="left"/>
      <w:pPr>
        <w:tabs>
          <w:tab w:val="num" w:pos="1440"/>
        </w:tabs>
        <w:ind w:left="1440" w:hanging="360"/>
      </w:pPr>
      <w:rPr>
        <w:rFonts w:ascii="Arial" w:hAnsi="Arial" w:hint="default"/>
      </w:rPr>
    </w:lvl>
    <w:lvl w:ilvl="2" w:tplc="3E5E11DC" w:tentative="1">
      <w:start w:val="1"/>
      <w:numFmt w:val="bullet"/>
      <w:lvlText w:val="•"/>
      <w:lvlJc w:val="left"/>
      <w:pPr>
        <w:tabs>
          <w:tab w:val="num" w:pos="2160"/>
        </w:tabs>
        <w:ind w:left="2160" w:hanging="360"/>
      </w:pPr>
      <w:rPr>
        <w:rFonts w:ascii="Arial" w:hAnsi="Arial" w:hint="default"/>
      </w:rPr>
    </w:lvl>
    <w:lvl w:ilvl="3" w:tplc="93940738" w:tentative="1">
      <w:start w:val="1"/>
      <w:numFmt w:val="bullet"/>
      <w:lvlText w:val="•"/>
      <w:lvlJc w:val="left"/>
      <w:pPr>
        <w:tabs>
          <w:tab w:val="num" w:pos="2880"/>
        </w:tabs>
        <w:ind w:left="2880" w:hanging="360"/>
      </w:pPr>
      <w:rPr>
        <w:rFonts w:ascii="Arial" w:hAnsi="Arial" w:hint="default"/>
      </w:rPr>
    </w:lvl>
    <w:lvl w:ilvl="4" w:tplc="6A7EE642" w:tentative="1">
      <w:start w:val="1"/>
      <w:numFmt w:val="bullet"/>
      <w:lvlText w:val="•"/>
      <w:lvlJc w:val="left"/>
      <w:pPr>
        <w:tabs>
          <w:tab w:val="num" w:pos="3600"/>
        </w:tabs>
        <w:ind w:left="3600" w:hanging="360"/>
      </w:pPr>
      <w:rPr>
        <w:rFonts w:ascii="Arial" w:hAnsi="Arial" w:hint="default"/>
      </w:rPr>
    </w:lvl>
    <w:lvl w:ilvl="5" w:tplc="153E295E" w:tentative="1">
      <w:start w:val="1"/>
      <w:numFmt w:val="bullet"/>
      <w:lvlText w:val="•"/>
      <w:lvlJc w:val="left"/>
      <w:pPr>
        <w:tabs>
          <w:tab w:val="num" w:pos="4320"/>
        </w:tabs>
        <w:ind w:left="4320" w:hanging="360"/>
      </w:pPr>
      <w:rPr>
        <w:rFonts w:ascii="Arial" w:hAnsi="Arial" w:hint="default"/>
      </w:rPr>
    </w:lvl>
    <w:lvl w:ilvl="6" w:tplc="69602886" w:tentative="1">
      <w:start w:val="1"/>
      <w:numFmt w:val="bullet"/>
      <w:lvlText w:val="•"/>
      <w:lvlJc w:val="left"/>
      <w:pPr>
        <w:tabs>
          <w:tab w:val="num" w:pos="5040"/>
        </w:tabs>
        <w:ind w:left="5040" w:hanging="360"/>
      </w:pPr>
      <w:rPr>
        <w:rFonts w:ascii="Arial" w:hAnsi="Arial" w:hint="default"/>
      </w:rPr>
    </w:lvl>
    <w:lvl w:ilvl="7" w:tplc="0F708E7E" w:tentative="1">
      <w:start w:val="1"/>
      <w:numFmt w:val="bullet"/>
      <w:lvlText w:val="•"/>
      <w:lvlJc w:val="left"/>
      <w:pPr>
        <w:tabs>
          <w:tab w:val="num" w:pos="5760"/>
        </w:tabs>
        <w:ind w:left="5760" w:hanging="360"/>
      </w:pPr>
      <w:rPr>
        <w:rFonts w:ascii="Arial" w:hAnsi="Arial" w:hint="default"/>
      </w:rPr>
    </w:lvl>
    <w:lvl w:ilvl="8" w:tplc="0B0C1194"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5"/>
  </w:num>
  <w:num w:numId="3">
    <w:abstractNumId w:val="4"/>
  </w:num>
  <w:num w:numId="4">
    <w:abstractNumId w:val="14"/>
  </w:num>
  <w:num w:numId="5">
    <w:abstractNumId w:val="6"/>
  </w:num>
  <w:num w:numId="6">
    <w:abstractNumId w:val="5"/>
  </w:num>
  <w:num w:numId="7">
    <w:abstractNumId w:val="5"/>
  </w:num>
  <w:num w:numId="8">
    <w:abstractNumId w:val="13"/>
  </w:num>
  <w:num w:numId="9">
    <w:abstractNumId w:val="1"/>
  </w:num>
  <w:num w:numId="10">
    <w:abstractNumId w:val="11"/>
  </w:num>
  <w:num w:numId="11">
    <w:abstractNumId w:val="15"/>
  </w:num>
  <w:num w:numId="12">
    <w:abstractNumId w:val="12"/>
  </w:num>
  <w:num w:numId="13">
    <w:abstractNumId w:val="2"/>
  </w:num>
  <w:num w:numId="14">
    <w:abstractNumId w:val="1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7"/>
  </w:num>
  <w:num w:numId="18">
    <w:abstractNumId w:val="10"/>
  </w:num>
  <w:num w:numId="19">
    <w:abstractNumId w:val="9"/>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3737D5B-8688-4836-905C-7B9ECD5EB404}"/>
    <w:docVar w:name="dgnword-eventsink" w:val="100576536"/>
  </w:docVars>
  <w:rsids>
    <w:rsidRoot w:val="007F2774"/>
    <w:rsid w:val="000018FC"/>
    <w:rsid w:val="000056C7"/>
    <w:rsid w:val="00006F66"/>
    <w:rsid w:val="00011272"/>
    <w:rsid w:val="000129E8"/>
    <w:rsid w:val="0001316F"/>
    <w:rsid w:val="00017567"/>
    <w:rsid w:val="000205EC"/>
    <w:rsid w:val="0002282A"/>
    <w:rsid w:val="00022A50"/>
    <w:rsid w:val="00023FF1"/>
    <w:rsid w:val="00031116"/>
    <w:rsid w:val="00031C2F"/>
    <w:rsid w:val="0003346F"/>
    <w:rsid w:val="000404E4"/>
    <w:rsid w:val="000427B5"/>
    <w:rsid w:val="0004682E"/>
    <w:rsid w:val="00046C7C"/>
    <w:rsid w:val="00050886"/>
    <w:rsid w:val="00050CEF"/>
    <w:rsid w:val="00061861"/>
    <w:rsid w:val="00064A6B"/>
    <w:rsid w:val="00064DCC"/>
    <w:rsid w:val="0006522E"/>
    <w:rsid w:val="000661F4"/>
    <w:rsid w:val="00066E87"/>
    <w:rsid w:val="0006783F"/>
    <w:rsid w:val="00070537"/>
    <w:rsid w:val="000736AA"/>
    <w:rsid w:val="00073CCC"/>
    <w:rsid w:val="00074325"/>
    <w:rsid w:val="00074E66"/>
    <w:rsid w:val="0008508C"/>
    <w:rsid w:val="00085B75"/>
    <w:rsid w:val="0008602B"/>
    <w:rsid w:val="00094337"/>
    <w:rsid w:val="00095374"/>
    <w:rsid w:val="000969F9"/>
    <w:rsid w:val="00097899"/>
    <w:rsid w:val="000A0033"/>
    <w:rsid w:val="000A72E3"/>
    <w:rsid w:val="000B1025"/>
    <w:rsid w:val="000B1FCF"/>
    <w:rsid w:val="000B43F5"/>
    <w:rsid w:val="000B6478"/>
    <w:rsid w:val="000B6D64"/>
    <w:rsid w:val="000C119A"/>
    <w:rsid w:val="000C3347"/>
    <w:rsid w:val="000C3438"/>
    <w:rsid w:val="000C344F"/>
    <w:rsid w:val="000C4880"/>
    <w:rsid w:val="000C4A18"/>
    <w:rsid w:val="000C4E12"/>
    <w:rsid w:val="000C6064"/>
    <w:rsid w:val="000C6A76"/>
    <w:rsid w:val="000C7FFE"/>
    <w:rsid w:val="000D2D2E"/>
    <w:rsid w:val="000D35E7"/>
    <w:rsid w:val="000D4368"/>
    <w:rsid w:val="000D540D"/>
    <w:rsid w:val="000D6070"/>
    <w:rsid w:val="000E1DB2"/>
    <w:rsid w:val="000E279F"/>
    <w:rsid w:val="000E313E"/>
    <w:rsid w:val="000E3C83"/>
    <w:rsid w:val="000E439E"/>
    <w:rsid w:val="000E589A"/>
    <w:rsid w:val="000F02B7"/>
    <w:rsid w:val="000F077A"/>
    <w:rsid w:val="000F189B"/>
    <w:rsid w:val="000F1E02"/>
    <w:rsid w:val="00101D39"/>
    <w:rsid w:val="00102ACA"/>
    <w:rsid w:val="001050AD"/>
    <w:rsid w:val="0010530F"/>
    <w:rsid w:val="001069A4"/>
    <w:rsid w:val="00106BF9"/>
    <w:rsid w:val="00106D57"/>
    <w:rsid w:val="001157EA"/>
    <w:rsid w:val="00120C78"/>
    <w:rsid w:val="00125642"/>
    <w:rsid w:val="00125970"/>
    <w:rsid w:val="001259E2"/>
    <w:rsid w:val="0012611C"/>
    <w:rsid w:val="0013037E"/>
    <w:rsid w:val="00133A15"/>
    <w:rsid w:val="0013464D"/>
    <w:rsid w:val="0013492E"/>
    <w:rsid w:val="001405C9"/>
    <w:rsid w:val="00142D34"/>
    <w:rsid w:val="00146D49"/>
    <w:rsid w:val="00146FB1"/>
    <w:rsid w:val="00147F9E"/>
    <w:rsid w:val="00150AE4"/>
    <w:rsid w:val="00152D2E"/>
    <w:rsid w:val="00153DD8"/>
    <w:rsid w:val="0015580A"/>
    <w:rsid w:val="00160DD0"/>
    <w:rsid w:val="00162429"/>
    <w:rsid w:val="00163948"/>
    <w:rsid w:val="0016428D"/>
    <w:rsid w:val="0016660D"/>
    <w:rsid w:val="00166C73"/>
    <w:rsid w:val="001675E2"/>
    <w:rsid w:val="001719EE"/>
    <w:rsid w:val="00171B89"/>
    <w:rsid w:val="00180746"/>
    <w:rsid w:val="00183C2C"/>
    <w:rsid w:val="00183F59"/>
    <w:rsid w:val="001842C2"/>
    <w:rsid w:val="00187102"/>
    <w:rsid w:val="00187D59"/>
    <w:rsid w:val="00191AA0"/>
    <w:rsid w:val="00193A06"/>
    <w:rsid w:val="001A460B"/>
    <w:rsid w:val="001B0828"/>
    <w:rsid w:val="001B0AB0"/>
    <w:rsid w:val="001B0C5C"/>
    <w:rsid w:val="001B31A0"/>
    <w:rsid w:val="001C3064"/>
    <w:rsid w:val="001C6DC5"/>
    <w:rsid w:val="001D0221"/>
    <w:rsid w:val="001D1222"/>
    <w:rsid w:val="001D285A"/>
    <w:rsid w:val="001D5C19"/>
    <w:rsid w:val="001D738C"/>
    <w:rsid w:val="001D78E8"/>
    <w:rsid w:val="001E109D"/>
    <w:rsid w:val="001E1652"/>
    <w:rsid w:val="001E3150"/>
    <w:rsid w:val="001E3C78"/>
    <w:rsid w:val="001E5172"/>
    <w:rsid w:val="001F2739"/>
    <w:rsid w:val="001F756B"/>
    <w:rsid w:val="0020227F"/>
    <w:rsid w:val="002024FE"/>
    <w:rsid w:val="00203839"/>
    <w:rsid w:val="00203B24"/>
    <w:rsid w:val="0020460C"/>
    <w:rsid w:val="002050F0"/>
    <w:rsid w:val="002055D8"/>
    <w:rsid w:val="002119ED"/>
    <w:rsid w:val="0021263B"/>
    <w:rsid w:val="00216850"/>
    <w:rsid w:val="00222AFE"/>
    <w:rsid w:val="00224B2B"/>
    <w:rsid w:val="00224C3F"/>
    <w:rsid w:val="00225597"/>
    <w:rsid w:val="0022713E"/>
    <w:rsid w:val="00234996"/>
    <w:rsid w:val="002352E7"/>
    <w:rsid w:val="00235CB9"/>
    <w:rsid w:val="00236B14"/>
    <w:rsid w:val="00237585"/>
    <w:rsid w:val="002409D6"/>
    <w:rsid w:val="002506DA"/>
    <w:rsid w:val="00253004"/>
    <w:rsid w:val="0026183C"/>
    <w:rsid w:val="00261F76"/>
    <w:rsid w:val="00264202"/>
    <w:rsid w:val="0026449A"/>
    <w:rsid w:val="00265F00"/>
    <w:rsid w:val="0026779F"/>
    <w:rsid w:val="00267E1B"/>
    <w:rsid w:val="002704E2"/>
    <w:rsid w:val="00271614"/>
    <w:rsid w:val="0027412E"/>
    <w:rsid w:val="00274564"/>
    <w:rsid w:val="00277682"/>
    <w:rsid w:val="00280612"/>
    <w:rsid w:val="002822E7"/>
    <w:rsid w:val="0028278B"/>
    <w:rsid w:val="00282ED9"/>
    <w:rsid w:val="00283B9D"/>
    <w:rsid w:val="0028696A"/>
    <w:rsid w:val="00286D8C"/>
    <w:rsid w:val="0029276F"/>
    <w:rsid w:val="00292D64"/>
    <w:rsid w:val="002942BD"/>
    <w:rsid w:val="002A03E9"/>
    <w:rsid w:val="002A0FB3"/>
    <w:rsid w:val="002A1985"/>
    <w:rsid w:val="002A1CB2"/>
    <w:rsid w:val="002A3CB5"/>
    <w:rsid w:val="002A63EC"/>
    <w:rsid w:val="002B2168"/>
    <w:rsid w:val="002B2DE0"/>
    <w:rsid w:val="002B541D"/>
    <w:rsid w:val="002B56D2"/>
    <w:rsid w:val="002B6EEE"/>
    <w:rsid w:val="002C0112"/>
    <w:rsid w:val="002C0187"/>
    <w:rsid w:val="002C17AC"/>
    <w:rsid w:val="002C1BDD"/>
    <w:rsid w:val="002C3EDD"/>
    <w:rsid w:val="002C6B0D"/>
    <w:rsid w:val="002D07B4"/>
    <w:rsid w:val="002D3A25"/>
    <w:rsid w:val="002D412D"/>
    <w:rsid w:val="002D6FD5"/>
    <w:rsid w:val="002E259C"/>
    <w:rsid w:val="002E2CC7"/>
    <w:rsid w:val="002E3061"/>
    <w:rsid w:val="002E609F"/>
    <w:rsid w:val="002E6B3F"/>
    <w:rsid w:val="002F0A27"/>
    <w:rsid w:val="002F0AF9"/>
    <w:rsid w:val="002F2544"/>
    <w:rsid w:val="002F25F2"/>
    <w:rsid w:val="002F5352"/>
    <w:rsid w:val="002F5F89"/>
    <w:rsid w:val="002F7829"/>
    <w:rsid w:val="00305D01"/>
    <w:rsid w:val="00305E93"/>
    <w:rsid w:val="0031086B"/>
    <w:rsid w:val="0031130C"/>
    <w:rsid w:val="003116AC"/>
    <w:rsid w:val="00312CA2"/>
    <w:rsid w:val="00312E32"/>
    <w:rsid w:val="00315E23"/>
    <w:rsid w:val="003200A4"/>
    <w:rsid w:val="0032713A"/>
    <w:rsid w:val="00327382"/>
    <w:rsid w:val="003302CF"/>
    <w:rsid w:val="0033103C"/>
    <w:rsid w:val="00335ABE"/>
    <w:rsid w:val="003366D5"/>
    <w:rsid w:val="00343793"/>
    <w:rsid w:val="00345C27"/>
    <w:rsid w:val="00345DCF"/>
    <w:rsid w:val="00350910"/>
    <w:rsid w:val="003523D9"/>
    <w:rsid w:val="003529F3"/>
    <w:rsid w:val="00352BB7"/>
    <w:rsid w:val="00353D7A"/>
    <w:rsid w:val="00354054"/>
    <w:rsid w:val="00355967"/>
    <w:rsid w:val="003567C5"/>
    <w:rsid w:val="00356E08"/>
    <w:rsid w:val="00357684"/>
    <w:rsid w:val="00361898"/>
    <w:rsid w:val="00362D68"/>
    <w:rsid w:val="00362DA5"/>
    <w:rsid w:val="00364EB4"/>
    <w:rsid w:val="003663DE"/>
    <w:rsid w:val="003715E1"/>
    <w:rsid w:val="003721E7"/>
    <w:rsid w:val="00374F0A"/>
    <w:rsid w:val="0037599C"/>
    <w:rsid w:val="003775B4"/>
    <w:rsid w:val="003805E5"/>
    <w:rsid w:val="003836D2"/>
    <w:rsid w:val="003862D2"/>
    <w:rsid w:val="00390A70"/>
    <w:rsid w:val="00390D0F"/>
    <w:rsid w:val="003923A6"/>
    <w:rsid w:val="003945DC"/>
    <w:rsid w:val="00395B6C"/>
    <w:rsid w:val="003A1DD1"/>
    <w:rsid w:val="003A50F3"/>
    <w:rsid w:val="003A5B70"/>
    <w:rsid w:val="003B1D31"/>
    <w:rsid w:val="003B2254"/>
    <w:rsid w:val="003B40C4"/>
    <w:rsid w:val="003B4130"/>
    <w:rsid w:val="003B4489"/>
    <w:rsid w:val="003C1542"/>
    <w:rsid w:val="003C27AB"/>
    <w:rsid w:val="003C332F"/>
    <w:rsid w:val="003C448A"/>
    <w:rsid w:val="003D0721"/>
    <w:rsid w:val="003D13AD"/>
    <w:rsid w:val="003D3AED"/>
    <w:rsid w:val="003D4305"/>
    <w:rsid w:val="003D67B6"/>
    <w:rsid w:val="003D7799"/>
    <w:rsid w:val="003E018C"/>
    <w:rsid w:val="003E04C0"/>
    <w:rsid w:val="003E4E9B"/>
    <w:rsid w:val="003E687F"/>
    <w:rsid w:val="003E68C3"/>
    <w:rsid w:val="003E7518"/>
    <w:rsid w:val="003E7F87"/>
    <w:rsid w:val="003F023D"/>
    <w:rsid w:val="003F4FA0"/>
    <w:rsid w:val="003F6FF7"/>
    <w:rsid w:val="003F7B1F"/>
    <w:rsid w:val="004011CB"/>
    <w:rsid w:val="00410ED3"/>
    <w:rsid w:val="004123EC"/>
    <w:rsid w:val="00412CD0"/>
    <w:rsid w:val="00413FE5"/>
    <w:rsid w:val="00414A9D"/>
    <w:rsid w:val="00417C96"/>
    <w:rsid w:val="00420CBA"/>
    <w:rsid w:val="00421AA1"/>
    <w:rsid w:val="004249B9"/>
    <w:rsid w:val="004279F5"/>
    <w:rsid w:val="00427E8A"/>
    <w:rsid w:val="0043293F"/>
    <w:rsid w:val="004330BC"/>
    <w:rsid w:val="0043588E"/>
    <w:rsid w:val="00435F73"/>
    <w:rsid w:val="004372E7"/>
    <w:rsid w:val="00443606"/>
    <w:rsid w:val="00450075"/>
    <w:rsid w:val="0045141C"/>
    <w:rsid w:val="00451729"/>
    <w:rsid w:val="00457B19"/>
    <w:rsid w:val="00461F49"/>
    <w:rsid w:val="0046301C"/>
    <w:rsid w:val="00463A6B"/>
    <w:rsid w:val="0046512F"/>
    <w:rsid w:val="00467329"/>
    <w:rsid w:val="00467A8F"/>
    <w:rsid w:val="00473A3B"/>
    <w:rsid w:val="00474D29"/>
    <w:rsid w:val="00476255"/>
    <w:rsid w:val="00484153"/>
    <w:rsid w:val="004843BF"/>
    <w:rsid w:val="00484B6F"/>
    <w:rsid w:val="00490731"/>
    <w:rsid w:val="0049246C"/>
    <w:rsid w:val="00493B12"/>
    <w:rsid w:val="00494F25"/>
    <w:rsid w:val="00496643"/>
    <w:rsid w:val="00496BBC"/>
    <w:rsid w:val="004A1D26"/>
    <w:rsid w:val="004A2853"/>
    <w:rsid w:val="004A29E0"/>
    <w:rsid w:val="004A5232"/>
    <w:rsid w:val="004A6065"/>
    <w:rsid w:val="004A7C48"/>
    <w:rsid w:val="004B2B39"/>
    <w:rsid w:val="004B2D0E"/>
    <w:rsid w:val="004B387B"/>
    <w:rsid w:val="004B5C41"/>
    <w:rsid w:val="004B6A6F"/>
    <w:rsid w:val="004C139D"/>
    <w:rsid w:val="004C4F55"/>
    <w:rsid w:val="004D1A42"/>
    <w:rsid w:val="004D2279"/>
    <w:rsid w:val="004D2D2E"/>
    <w:rsid w:val="004D3825"/>
    <w:rsid w:val="004D4046"/>
    <w:rsid w:val="004D44C9"/>
    <w:rsid w:val="004D7FB5"/>
    <w:rsid w:val="004E4B3D"/>
    <w:rsid w:val="004E62A6"/>
    <w:rsid w:val="004F0EF3"/>
    <w:rsid w:val="004F16DE"/>
    <w:rsid w:val="004F1AED"/>
    <w:rsid w:val="004F4571"/>
    <w:rsid w:val="004F6805"/>
    <w:rsid w:val="0050011F"/>
    <w:rsid w:val="00502854"/>
    <w:rsid w:val="0050667F"/>
    <w:rsid w:val="005112C3"/>
    <w:rsid w:val="0051320B"/>
    <w:rsid w:val="00513B4E"/>
    <w:rsid w:val="00514EDB"/>
    <w:rsid w:val="00520355"/>
    <w:rsid w:val="00531BB7"/>
    <w:rsid w:val="005336D0"/>
    <w:rsid w:val="0053678B"/>
    <w:rsid w:val="005401AD"/>
    <w:rsid w:val="00540938"/>
    <w:rsid w:val="00540AB4"/>
    <w:rsid w:val="005462E3"/>
    <w:rsid w:val="0055186F"/>
    <w:rsid w:val="00553E7C"/>
    <w:rsid w:val="005621FB"/>
    <w:rsid w:val="00562221"/>
    <w:rsid w:val="00564C90"/>
    <w:rsid w:val="00564FA3"/>
    <w:rsid w:val="005679D8"/>
    <w:rsid w:val="00571D5C"/>
    <w:rsid w:val="00573594"/>
    <w:rsid w:val="00573A36"/>
    <w:rsid w:val="00575576"/>
    <w:rsid w:val="00577517"/>
    <w:rsid w:val="0058420A"/>
    <w:rsid w:val="00594069"/>
    <w:rsid w:val="005A255F"/>
    <w:rsid w:val="005A4577"/>
    <w:rsid w:val="005A5372"/>
    <w:rsid w:val="005A5D50"/>
    <w:rsid w:val="005A62F8"/>
    <w:rsid w:val="005A69E3"/>
    <w:rsid w:val="005A70C5"/>
    <w:rsid w:val="005B5F61"/>
    <w:rsid w:val="005B7D03"/>
    <w:rsid w:val="005C17AE"/>
    <w:rsid w:val="005C2050"/>
    <w:rsid w:val="005C20AF"/>
    <w:rsid w:val="005C2862"/>
    <w:rsid w:val="005D1365"/>
    <w:rsid w:val="005D3D10"/>
    <w:rsid w:val="005D44CE"/>
    <w:rsid w:val="005D74F2"/>
    <w:rsid w:val="005E07F1"/>
    <w:rsid w:val="005E085B"/>
    <w:rsid w:val="005E0977"/>
    <w:rsid w:val="005E1121"/>
    <w:rsid w:val="005E3A24"/>
    <w:rsid w:val="005F1964"/>
    <w:rsid w:val="005F29C1"/>
    <w:rsid w:val="005F78BB"/>
    <w:rsid w:val="00600777"/>
    <w:rsid w:val="00601AF2"/>
    <w:rsid w:val="00602980"/>
    <w:rsid w:val="00607AA8"/>
    <w:rsid w:val="00611D28"/>
    <w:rsid w:val="006123C5"/>
    <w:rsid w:val="00612E0C"/>
    <w:rsid w:val="00621C03"/>
    <w:rsid w:val="00622F41"/>
    <w:rsid w:val="00623C3A"/>
    <w:rsid w:val="006309A9"/>
    <w:rsid w:val="0063190B"/>
    <w:rsid w:val="0063413B"/>
    <w:rsid w:val="00634E7B"/>
    <w:rsid w:val="006374D0"/>
    <w:rsid w:val="006402B5"/>
    <w:rsid w:val="00641862"/>
    <w:rsid w:val="00642AD3"/>
    <w:rsid w:val="00642E66"/>
    <w:rsid w:val="0064346E"/>
    <w:rsid w:val="00643E86"/>
    <w:rsid w:val="0064648A"/>
    <w:rsid w:val="00651316"/>
    <w:rsid w:val="006525AA"/>
    <w:rsid w:val="00655B90"/>
    <w:rsid w:val="006610EF"/>
    <w:rsid w:val="00663628"/>
    <w:rsid w:val="00663D49"/>
    <w:rsid w:val="00663F3D"/>
    <w:rsid w:val="00666B25"/>
    <w:rsid w:val="00670C77"/>
    <w:rsid w:val="00670E8A"/>
    <w:rsid w:val="006711F3"/>
    <w:rsid w:val="006715BA"/>
    <w:rsid w:val="006716CD"/>
    <w:rsid w:val="00673626"/>
    <w:rsid w:val="00675634"/>
    <w:rsid w:val="00676074"/>
    <w:rsid w:val="006800BE"/>
    <w:rsid w:val="00680EA5"/>
    <w:rsid w:val="006839FF"/>
    <w:rsid w:val="00685580"/>
    <w:rsid w:val="0068655B"/>
    <w:rsid w:val="00686FEA"/>
    <w:rsid w:val="00687846"/>
    <w:rsid w:val="00691B9D"/>
    <w:rsid w:val="0069379D"/>
    <w:rsid w:val="00693B37"/>
    <w:rsid w:val="00697C70"/>
    <w:rsid w:val="006A16D7"/>
    <w:rsid w:val="006A1A6B"/>
    <w:rsid w:val="006A483E"/>
    <w:rsid w:val="006A545B"/>
    <w:rsid w:val="006A5B97"/>
    <w:rsid w:val="006A6025"/>
    <w:rsid w:val="006A67F9"/>
    <w:rsid w:val="006A7AFF"/>
    <w:rsid w:val="006B20C5"/>
    <w:rsid w:val="006B21AD"/>
    <w:rsid w:val="006B2A8A"/>
    <w:rsid w:val="006B3BA2"/>
    <w:rsid w:val="006B6A53"/>
    <w:rsid w:val="006B710A"/>
    <w:rsid w:val="006C581A"/>
    <w:rsid w:val="006C665E"/>
    <w:rsid w:val="006C6F0E"/>
    <w:rsid w:val="006D11BB"/>
    <w:rsid w:val="006D193D"/>
    <w:rsid w:val="006D513A"/>
    <w:rsid w:val="006D7239"/>
    <w:rsid w:val="006E2472"/>
    <w:rsid w:val="006F0712"/>
    <w:rsid w:val="006F3B62"/>
    <w:rsid w:val="006F4488"/>
    <w:rsid w:val="006F6D7A"/>
    <w:rsid w:val="006F7BAD"/>
    <w:rsid w:val="007008BA"/>
    <w:rsid w:val="007025BF"/>
    <w:rsid w:val="0070275F"/>
    <w:rsid w:val="00703316"/>
    <w:rsid w:val="007075C4"/>
    <w:rsid w:val="00714735"/>
    <w:rsid w:val="00716EF8"/>
    <w:rsid w:val="00720C9D"/>
    <w:rsid w:val="00721843"/>
    <w:rsid w:val="00722693"/>
    <w:rsid w:val="00723DE2"/>
    <w:rsid w:val="0072562F"/>
    <w:rsid w:val="007269A3"/>
    <w:rsid w:val="00730E0A"/>
    <w:rsid w:val="00731A03"/>
    <w:rsid w:val="007325A6"/>
    <w:rsid w:val="007326F5"/>
    <w:rsid w:val="00733CA7"/>
    <w:rsid w:val="0073480E"/>
    <w:rsid w:val="00734C2E"/>
    <w:rsid w:val="00736367"/>
    <w:rsid w:val="007418D6"/>
    <w:rsid w:val="0074286A"/>
    <w:rsid w:val="00743DD7"/>
    <w:rsid w:val="007443E9"/>
    <w:rsid w:val="007467EF"/>
    <w:rsid w:val="007537DA"/>
    <w:rsid w:val="00756232"/>
    <w:rsid w:val="007642BF"/>
    <w:rsid w:val="007648E4"/>
    <w:rsid w:val="00766F68"/>
    <w:rsid w:val="0076783E"/>
    <w:rsid w:val="007703A2"/>
    <w:rsid w:val="00772068"/>
    <w:rsid w:val="00772F05"/>
    <w:rsid w:val="00777E14"/>
    <w:rsid w:val="007803E0"/>
    <w:rsid w:val="00781CB8"/>
    <w:rsid w:val="00781D3F"/>
    <w:rsid w:val="007829F8"/>
    <w:rsid w:val="00783480"/>
    <w:rsid w:val="00787435"/>
    <w:rsid w:val="007875B3"/>
    <w:rsid w:val="00791916"/>
    <w:rsid w:val="0079320F"/>
    <w:rsid w:val="00794A66"/>
    <w:rsid w:val="00794BF4"/>
    <w:rsid w:val="00796149"/>
    <w:rsid w:val="007A16A6"/>
    <w:rsid w:val="007A307C"/>
    <w:rsid w:val="007B08BF"/>
    <w:rsid w:val="007B1300"/>
    <w:rsid w:val="007B2DE5"/>
    <w:rsid w:val="007B3C68"/>
    <w:rsid w:val="007B5591"/>
    <w:rsid w:val="007B6A70"/>
    <w:rsid w:val="007B6AD7"/>
    <w:rsid w:val="007B6E4E"/>
    <w:rsid w:val="007B7D90"/>
    <w:rsid w:val="007C1C2A"/>
    <w:rsid w:val="007C2A94"/>
    <w:rsid w:val="007C2BE9"/>
    <w:rsid w:val="007C4674"/>
    <w:rsid w:val="007C565B"/>
    <w:rsid w:val="007C6CAB"/>
    <w:rsid w:val="007D0B50"/>
    <w:rsid w:val="007D2223"/>
    <w:rsid w:val="007D3DC1"/>
    <w:rsid w:val="007D5C3E"/>
    <w:rsid w:val="007D764E"/>
    <w:rsid w:val="007E064D"/>
    <w:rsid w:val="007E1D64"/>
    <w:rsid w:val="007E4931"/>
    <w:rsid w:val="007E4BB3"/>
    <w:rsid w:val="007E51BF"/>
    <w:rsid w:val="007E53AE"/>
    <w:rsid w:val="007E57B0"/>
    <w:rsid w:val="007E6118"/>
    <w:rsid w:val="007E6D06"/>
    <w:rsid w:val="007F13AB"/>
    <w:rsid w:val="007F22EF"/>
    <w:rsid w:val="007F2774"/>
    <w:rsid w:val="007F4737"/>
    <w:rsid w:val="007F4DAA"/>
    <w:rsid w:val="007F5E7F"/>
    <w:rsid w:val="007F764A"/>
    <w:rsid w:val="00800761"/>
    <w:rsid w:val="00801C23"/>
    <w:rsid w:val="008023AC"/>
    <w:rsid w:val="008023EA"/>
    <w:rsid w:val="008026FE"/>
    <w:rsid w:val="008100D6"/>
    <w:rsid w:val="00815A1F"/>
    <w:rsid w:val="00820F66"/>
    <w:rsid w:val="00821E7C"/>
    <w:rsid w:val="00821F13"/>
    <w:rsid w:val="00827358"/>
    <w:rsid w:val="00827421"/>
    <w:rsid w:val="0083030C"/>
    <w:rsid w:val="00830510"/>
    <w:rsid w:val="00836CCC"/>
    <w:rsid w:val="0084046A"/>
    <w:rsid w:val="00841C10"/>
    <w:rsid w:val="0084632F"/>
    <w:rsid w:val="008544A4"/>
    <w:rsid w:val="0085646C"/>
    <w:rsid w:val="008566A0"/>
    <w:rsid w:val="00860083"/>
    <w:rsid w:val="00860DE1"/>
    <w:rsid w:val="00861D2D"/>
    <w:rsid w:val="00862858"/>
    <w:rsid w:val="00862870"/>
    <w:rsid w:val="00863A23"/>
    <w:rsid w:val="00865686"/>
    <w:rsid w:val="00865B5C"/>
    <w:rsid w:val="00866605"/>
    <w:rsid w:val="008672B9"/>
    <w:rsid w:val="00871019"/>
    <w:rsid w:val="00872150"/>
    <w:rsid w:val="008765A9"/>
    <w:rsid w:val="008814B8"/>
    <w:rsid w:val="008819DA"/>
    <w:rsid w:val="00887A65"/>
    <w:rsid w:val="0089063B"/>
    <w:rsid w:val="00890C34"/>
    <w:rsid w:val="008917B9"/>
    <w:rsid w:val="008918DC"/>
    <w:rsid w:val="00896014"/>
    <w:rsid w:val="00897BA2"/>
    <w:rsid w:val="008A2F14"/>
    <w:rsid w:val="008A78C9"/>
    <w:rsid w:val="008B2788"/>
    <w:rsid w:val="008B356D"/>
    <w:rsid w:val="008B3A12"/>
    <w:rsid w:val="008B4134"/>
    <w:rsid w:val="008B4897"/>
    <w:rsid w:val="008B5AF8"/>
    <w:rsid w:val="008C254E"/>
    <w:rsid w:val="008C3418"/>
    <w:rsid w:val="008C4706"/>
    <w:rsid w:val="008C5979"/>
    <w:rsid w:val="008C70BC"/>
    <w:rsid w:val="008D2C52"/>
    <w:rsid w:val="008D57AD"/>
    <w:rsid w:val="008D583C"/>
    <w:rsid w:val="008D5C20"/>
    <w:rsid w:val="008D602B"/>
    <w:rsid w:val="008E3638"/>
    <w:rsid w:val="008E51CF"/>
    <w:rsid w:val="008F0B95"/>
    <w:rsid w:val="008F6B33"/>
    <w:rsid w:val="008F747C"/>
    <w:rsid w:val="009005B4"/>
    <w:rsid w:val="00900FAC"/>
    <w:rsid w:val="0090209F"/>
    <w:rsid w:val="009054CB"/>
    <w:rsid w:val="00906230"/>
    <w:rsid w:val="00910645"/>
    <w:rsid w:val="009115B6"/>
    <w:rsid w:val="00915E7D"/>
    <w:rsid w:val="00920867"/>
    <w:rsid w:val="00920F2A"/>
    <w:rsid w:val="00921B83"/>
    <w:rsid w:val="00921E9E"/>
    <w:rsid w:val="00922D98"/>
    <w:rsid w:val="00924BA1"/>
    <w:rsid w:val="00926E3A"/>
    <w:rsid w:val="009304AE"/>
    <w:rsid w:val="0093064C"/>
    <w:rsid w:val="00930D3E"/>
    <w:rsid w:val="009311DD"/>
    <w:rsid w:val="0093336F"/>
    <w:rsid w:val="00934680"/>
    <w:rsid w:val="00934888"/>
    <w:rsid w:val="0093527F"/>
    <w:rsid w:val="009363DC"/>
    <w:rsid w:val="00942059"/>
    <w:rsid w:val="00942174"/>
    <w:rsid w:val="00943F3F"/>
    <w:rsid w:val="00945D81"/>
    <w:rsid w:val="00947C3A"/>
    <w:rsid w:val="00951334"/>
    <w:rsid w:val="009527B1"/>
    <w:rsid w:val="009571C8"/>
    <w:rsid w:val="0096142F"/>
    <w:rsid w:val="00962EF0"/>
    <w:rsid w:val="00965A6D"/>
    <w:rsid w:val="00966EB0"/>
    <w:rsid w:val="0097131C"/>
    <w:rsid w:val="00971815"/>
    <w:rsid w:val="00980349"/>
    <w:rsid w:val="0098331D"/>
    <w:rsid w:val="00986E8C"/>
    <w:rsid w:val="00991130"/>
    <w:rsid w:val="00991EC8"/>
    <w:rsid w:val="009937AE"/>
    <w:rsid w:val="009948AD"/>
    <w:rsid w:val="009979A7"/>
    <w:rsid w:val="009A077F"/>
    <w:rsid w:val="009A07F3"/>
    <w:rsid w:val="009A194A"/>
    <w:rsid w:val="009A5A1A"/>
    <w:rsid w:val="009B0021"/>
    <w:rsid w:val="009B2AE9"/>
    <w:rsid w:val="009B2F59"/>
    <w:rsid w:val="009B307F"/>
    <w:rsid w:val="009B7F51"/>
    <w:rsid w:val="009C3EA4"/>
    <w:rsid w:val="009C6F26"/>
    <w:rsid w:val="009C75F5"/>
    <w:rsid w:val="009C7695"/>
    <w:rsid w:val="009C7AAB"/>
    <w:rsid w:val="009D0A52"/>
    <w:rsid w:val="009D5805"/>
    <w:rsid w:val="009E1EBA"/>
    <w:rsid w:val="009E3F62"/>
    <w:rsid w:val="009E628C"/>
    <w:rsid w:val="009E7FA4"/>
    <w:rsid w:val="009F0791"/>
    <w:rsid w:val="009F42FD"/>
    <w:rsid w:val="00A0623F"/>
    <w:rsid w:val="00A06676"/>
    <w:rsid w:val="00A066F1"/>
    <w:rsid w:val="00A06AF5"/>
    <w:rsid w:val="00A06E9F"/>
    <w:rsid w:val="00A06FE9"/>
    <w:rsid w:val="00A07A97"/>
    <w:rsid w:val="00A115F5"/>
    <w:rsid w:val="00A12EA0"/>
    <w:rsid w:val="00A13E2C"/>
    <w:rsid w:val="00A16A35"/>
    <w:rsid w:val="00A21C1C"/>
    <w:rsid w:val="00A22E10"/>
    <w:rsid w:val="00A232CD"/>
    <w:rsid w:val="00A23402"/>
    <w:rsid w:val="00A2384A"/>
    <w:rsid w:val="00A23E00"/>
    <w:rsid w:val="00A256AB"/>
    <w:rsid w:val="00A3042A"/>
    <w:rsid w:val="00A313C3"/>
    <w:rsid w:val="00A323C5"/>
    <w:rsid w:val="00A33B48"/>
    <w:rsid w:val="00A34777"/>
    <w:rsid w:val="00A36552"/>
    <w:rsid w:val="00A44C39"/>
    <w:rsid w:val="00A455AA"/>
    <w:rsid w:val="00A46E27"/>
    <w:rsid w:val="00A5263A"/>
    <w:rsid w:val="00A52CAE"/>
    <w:rsid w:val="00A54FD7"/>
    <w:rsid w:val="00A61635"/>
    <w:rsid w:val="00A62A7E"/>
    <w:rsid w:val="00A65508"/>
    <w:rsid w:val="00A67CD8"/>
    <w:rsid w:val="00A719C7"/>
    <w:rsid w:val="00A74B2B"/>
    <w:rsid w:val="00A763C3"/>
    <w:rsid w:val="00A8081F"/>
    <w:rsid w:val="00A840AC"/>
    <w:rsid w:val="00A8430B"/>
    <w:rsid w:val="00A851C2"/>
    <w:rsid w:val="00A86D6C"/>
    <w:rsid w:val="00A870BA"/>
    <w:rsid w:val="00A9158D"/>
    <w:rsid w:val="00A9203C"/>
    <w:rsid w:val="00A946F7"/>
    <w:rsid w:val="00A96D30"/>
    <w:rsid w:val="00A97B79"/>
    <w:rsid w:val="00A97D78"/>
    <w:rsid w:val="00AA2258"/>
    <w:rsid w:val="00AA2AE0"/>
    <w:rsid w:val="00AA31CF"/>
    <w:rsid w:val="00AA68E7"/>
    <w:rsid w:val="00AA75C8"/>
    <w:rsid w:val="00AA7CBB"/>
    <w:rsid w:val="00AB7175"/>
    <w:rsid w:val="00AC1121"/>
    <w:rsid w:val="00AC1F96"/>
    <w:rsid w:val="00AC3A0C"/>
    <w:rsid w:val="00AC4232"/>
    <w:rsid w:val="00AC6E4F"/>
    <w:rsid w:val="00AC7FA2"/>
    <w:rsid w:val="00AD4B7D"/>
    <w:rsid w:val="00AD6394"/>
    <w:rsid w:val="00AE13AF"/>
    <w:rsid w:val="00AE6180"/>
    <w:rsid w:val="00AE63F7"/>
    <w:rsid w:val="00AF06BC"/>
    <w:rsid w:val="00AF0C03"/>
    <w:rsid w:val="00AF139E"/>
    <w:rsid w:val="00AF2B93"/>
    <w:rsid w:val="00AF44A0"/>
    <w:rsid w:val="00AF6FBC"/>
    <w:rsid w:val="00AF7CDD"/>
    <w:rsid w:val="00B04801"/>
    <w:rsid w:val="00B13720"/>
    <w:rsid w:val="00B16016"/>
    <w:rsid w:val="00B177E6"/>
    <w:rsid w:val="00B211D8"/>
    <w:rsid w:val="00B21F82"/>
    <w:rsid w:val="00B234AF"/>
    <w:rsid w:val="00B270A2"/>
    <w:rsid w:val="00B27F1B"/>
    <w:rsid w:val="00B32702"/>
    <w:rsid w:val="00B331AE"/>
    <w:rsid w:val="00B35227"/>
    <w:rsid w:val="00B35B30"/>
    <w:rsid w:val="00B427A8"/>
    <w:rsid w:val="00B43107"/>
    <w:rsid w:val="00B439EC"/>
    <w:rsid w:val="00B44978"/>
    <w:rsid w:val="00B47109"/>
    <w:rsid w:val="00B50945"/>
    <w:rsid w:val="00B5122D"/>
    <w:rsid w:val="00B530CB"/>
    <w:rsid w:val="00B53242"/>
    <w:rsid w:val="00B5382C"/>
    <w:rsid w:val="00B563FC"/>
    <w:rsid w:val="00B5781C"/>
    <w:rsid w:val="00B6151A"/>
    <w:rsid w:val="00B61C73"/>
    <w:rsid w:val="00B624CF"/>
    <w:rsid w:val="00B63B4B"/>
    <w:rsid w:val="00B66809"/>
    <w:rsid w:val="00B6694A"/>
    <w:rsid w:val="00B70E4D"/>
    <w:rsid w:val="00B72C6E"/>
    <w:rsid w:val="00B749C7"/>
    <w:rsid w:val="00B82374"/>
    <w:rsid w:val="00B847B7"/>
    <w:rsid w:val="00B90CD0"/>
    <w:rsid w:val="00B919C1"/>
    <w:rsid w:val="00B930C9"/>
    <w:rsid w:val="00B94C7D"/>
    <w:rsid w:val="00B97D8D"/>
    <w:rsid w:val="00BA3604"/>
    <w:rsid w:val="00BA58BC"/>
    <w:rsid w:val="00BA6C13"/>
    <w:rsid w:val="00BB2C43"/>
    <w:rsid w:val="00BB4A78"/>
    <w:rsid w:val="00BB5152"/>
    <w:rsid w:val="00BB53B5"/>
    <w:rsid w:val="00BB6E62"/>
    <w:rsid w:val="00BB7135"/>
    <w:rsid w:val="00BB73A8"/>
    <w:rsid w:val="00BC3F45"/>
    <w:rsid w:val="00BC4795"/>
    <w:rsid w:val="00BC47CE"/>
    <w:rsid w:val="00BC5445"/>
    <w:rsid w:val="00BC7B0E"/>
    <w:rsid w:val="00BD07F0"/>
    <w:rsid w:val="00BD2433"/>
    <w:rsid w:val="00BD2D0D"/>
    <w:rsid w:val="00BD3DD0"/>
    <w:rsid w:val="00BD4B3F"/>
    <w:rsid w:val="00BD583F"/>
    <w:rsid w:val="00BD6CF4"/>
    <w:rsid w:val="00BE0DFE"/>
    <w:rsid w:val="00BE28BD"/>
    <w:rsid w:val="00BE3015"/>
    <w:rsid w:val="00BF03BE"/>
    <w:rsid w:val="00BF08CE"/>
    <w:rsid w:val="00BF1293"/>
    <w:rsid w:val="00BF3A74"/>
    <w:rsid w:val="00BF3EEB"/>
    <w:rsid w:val="00BF722D"/>
    <w:rsid w:val="00C02DB7"/>
    <w:rsid w:val="00C02DEE"/>
    <w:rsid w:val="00C05556"/>
    <w:rsid w:val="00C07B9C"/>
    <w:rsid w:val="00C10749"/>
    <w:rsid w:val="00C109DC"/>
    <w:rsid w:val="00C11323"/>
    <w:rsid w:val="00C1169D"/>
    <w:rsid w:val="00C17BCA"/>
    <w:rsid w:val="00C223D4"/>
    <w:rsid w:val="00C24AFA"/>
    <w:rsid w:val="00C24CF7"/>
    <w:rsid w:val="00C32157"/>
    <w:rsid w:val="00C32208"/>
    <w:rsid w:val="00C327E3"/>
    <w:rsid w:val="00C35638"/>
    <w:rsid w:val="00C36BAA"/>
    <w:rsid w:val="00C41591"/>
    <w:rsid w:val="00C45F98"/>
    <w:rsid w:val="00C46BCF"/>
    <w:rsid w:val="00C4712F"/>
    <w:rsid w:val="00C47346"/>
    <w:rsid w:val="00C50ACB"/>
    <w:rsid w:val="00C51DDA"/>
    <w:rsid w:val="00C52216"/>
    <w:rsid w:val="00C52488"/>
    <w:rsid w:val="00C52D9C"/>
    <w:rsid w:val="00C607E3"/>
    <w:rsid w:val="00C61825"/>
    <w:rsid w:val="00C6350D"/>
    <w:rsid w:val="00C6456D"/>
    <w:rsid w:val="00C66752"/>
    <w:rsid w:val="00C70DF9"/>
    <w:rsid w:val="00C714D0"/>
    <w:rsid w:val="00C73C34"/>
    <w:rsid w:val="00C81A83"/>
    <w:rsid w:val="00C81B13"/>
    <w:rsid w:val="00C83711"/>
    <w:rsid w:val="00C8384A"/>
    <w:rsid w:val="00C878A5"/>
    <w:rsid w:val="00C90BA2"/>
    <w:rsid w:val="00C92818"/>
    <w:rsid w:val="00C93F82"/>
    <w:rsid w:val="00C94C2B"/>
    <w:rsid w:val="00C95A94"/>
    <w:rsid w:val="00C962B2"/>
    <w:rsid w:val="00CA0025"/>
    <w:rsid w:val="00CA12D4"/>
    <w:rsid w:val="00CA21CF"/>
    <w:rsid w:val="00CA2349"/>
    <w:rsid w:val="00CA376D"/>
    <w:rsid w:val="00CA389E"/>
    <w:rsid w:val="00CA4D6A"/>
    <w:rsid w:val="00CB0A35"/>
    <w:rsid w:val="00CB2F2F"/>
    <w:rsid w:val="00CB3520"/>
    <w:rsid w:val="00CB38CF"/>
    <w:rsid w:val="00CC112D"/>
    <w:rsid w:val="00CC49AE"/>
    <w:rsid w:val="00CC550E"/>
    <w:rsid w:val="00CC7FAC"/>
    <w:rsid w:val="00CD3A0E"/>
    <w:rsid w:val="00CD3B89"/>
    <w:rsid w:val="00CD472D"/>
    <w:rsid w:val="00CE107A"/>
    <w:rsid w:val="00CE4454"/>
    <w:rsid w:val="00CE52EB"/>
    <w:rsid w:val="00CF4554"/>
    <w:rsid w:val="00CF4D95"/>
    <w:rsid w:val="00CF629A"/>
    <w:rsid w:val="00CF6933"/>
    <w:rsid w:val="00CF6FDB"/>
    <w:rsid w:val="00D051B4"/>
    <w:rsid w:val="00D07BD9"/>
    <w:rsid w:val="00D108CD"/>
    <w:rsid w:val="00D11EB0"/>
    <w:rsid w:val="00D12A50"/>
    <w:rsid w:val="00D16168"/>
    <w:rsid w:val="00D23253"/>
    <w:rsid w:val="00D307BF"/>
    <w:rsid w:val="00D31989"/>
    <w:rsid w:val="00D324C0"/>
    <w:rsid w:val="00D32A6A"/>
    <w:rsid w:val="00D3590A"/>
    <w:rsid w:val="00D5095B"/>
    <w:rsid w:val="00D57730"/>
    <w:rsid w:val="00D643E9"/>
    <w:rsid w:val="00D64A20"/>
    <w:rsid w:val="00D64EA6"/>
    <w:rsid w:val="00D6769E"/>
    <w:rsid w:val="00D676CC"/>
    <w:rsid w:val="00D777D6"/>
    <w:rsid w:val="00D80335"/>
    <w:rsid w:val="00D81864"/>
    <w:rsid w:val="00D8755F"/>
    <w:rsid w:val="00D90AEF"/>
    <w:rsid w:val="00D91A63"/>
    <w:rsid w:val="00DA289E"/>
    <w:rsid w:val="00DA297F"/>
    <w:rsid w:val="00DA67FE"/>
    <w:rsid w:val="00DB35D8"/>
    <w:rsid w:val="00DB360D"/>
    <w:rsid w:val="00DB36EA"/>
    <w:rsid w:val="00DB3B6E"/>
    <w:rsid w:val="00DB5D3D"/>
    <w:rsid w:val="00DB6AF9"/>
    <w:rsid w:val="00DC24A9"/>
    <w:rsid w:val="00DC4BF4"/>
    <w:rsid w:val="00DC4C4A"/>
    <w:rsid w:val="00DC520A"/>
    <w:rsid w:val="00DD0139"/>
    <w:rsid w:val="00DD0DD6"/>
    <w:rsid w:val="00DD53C8"/>
    <w:rsid w:val="00DE3F3B"/>
    <w:rsid w:val="00DE77FE"/>
    <w:rsid w:val="00DF16BA"/>
    <w:rsid w:val="00DF1F8F"/>
    <w:rsid w:val="00DF3027"/>
    <w:rsid w:val="00DF34F4"/>
    <w:rsid w:val="00DF59E9"/>
    <w:rsid w:val="00E0149A"/>
    <w:rsid w:val="00E0378E"/>
    <w:rsid w:val="00E0439B"/>
    <w:rsid w:val="00E0528B"/>
    <w:rsid w:val="00E06590"/>
    <w:rsid w:val="00E06B40"/>
    <w:rsid w:val="00E072BE"/>
    <w:rsid w:val="00E149E7"/>
    <w:rsid w:val="00E16177"/>
    <w:rsid w:val="00E209E8"/>
    <w:rsid w:val="00E2178D"/>
    <w:rsid w:val="00E23168"/>
    <w:rsid w:val="00E26F54"/>
    <w:rsid w:val="00E302E1"/>
    <w:rsid w:val="00E31F17"/>
    <w:rsid w:val="00E32772"/>
    <w:rsid w:val="00E3284A"/>
    <w:rsid w:val="00E35485"/>
    <w:rsid w:val="00E3639A"/>
    <w:rsid w:val="00E40079"/>
    <w:rsid w:val="00E423A7"/>
    <w:rsid w:val="00E4284D"/>
    <w:rsid w:val="00E4336F"/>
    <w:rsid w:val="00E44EA2"/>
    <w:rsid w:val="00E477DB"/>
    <w:rsid w:val="00E50C47"/>
    <w:rsid w:val="00E51CC2"/>
    <w:rsid w:val="00E55047"/>
    <w:rsid w:val="00E55B8A"/>
    <w:rsid w:val="00E61585"/>
    <w:rsid w:val="00E6304F"/>
    <w:rsid w:val="00E73352"/>
    <w:rsid w:val="00E74B99"/>
    <w:rsid w:val="00E754BF"/>
    <w:rsid w:val="00E755CB"/>
    <w:rsid w:val="00E829D2"/>
    <w:rsid w:val="00E84D5C"/>
    <w:rsid w:val="00E904F7"/>
    <w:rsid w:val="00E90F30"/>
    <w:rsid w:val="00E922F4"/>
    <w:rsid w:val="00E93BD9"/>
    <w:rsid w:val="00E946CB"/>
    <w:rsid w:val="00EA16D2"/>
    <w:rsid w:val="00EA447A"/>
    <w:rsid w:val="00EA4683"/>
    <w:rsid w:val="00EA7DE7"/>
    <w:rsid w:val="00EB09BC"/>
    <w:rsid w:val="00EB3EC6"/>
    <w:rsid w:val="00EB5671"/>
    <w:rsid w:val="00EB6891"/>
    <w:rsid w:val="00EB69E3"/>
    <w:rsid w:val="00EB6C10"/>
    <w:rsid w:val="00EB7237"/>
    <w:rsid w:val="00EB72B9"/>
    <w:rsid w:val="00EB7C4A"/>
    <w:rsid w:val="00EC00D8"/>
    <w:rsid w:val="00EC1ECD"/>
    <w:rsid w:val="00EC21CF"/>
    <w:rsid w:val="00EC5E91"/>
    <w:rsid w:val="00EC7711"/>
    <w:rsid w:val="00ED147B"/>
    <w:rsid w:val="00ED1B92"/>
    <w:rsid w:val="00ED1F5F"/>
    <w:rsid w:val="00ED2AF4"/>
    <w:rsid w:val="00ED2DE0"/>
    <w:rsid w:val="00ED313E"/>
    <w:rsid w:val="00ED6D4C"/>
    <w:rsid w:val="00ED7AC8"/>
    <w:rsid w:val="00ED7C6A"/>
    <w:rsid w:val="00EE29AE"/>
    <w:rsid w:val="00EE51B7"/>
    <w:rsid w:val="00EE78C5"/>
    <w:rsid w:val="00EE7D67"/>
    <w:rsid w:val="00EF0110"/>
    <w:rsid w:val="00EF468D"/>
    <w:rsid w:val="00EF56E6"/>
    <w:rsid w:val="00EF5709"/>
    <w:rsid w:val="00EF7311"/>
    <w:rsid w:val="00F013AE"/>
    <w:rsid w:val="00F018EE"/>
    <w:rsid w:val="00F0248D"/>
    <w:rsid w:val="00F029FE"/>
    <w:rsid w:val="00F03E97"/>
    <w:rsid w:val="00F0479A"/>
    <w:rsid w:val="00F0621C"/>
    <w:rsid w:val="00F103CE"/>
    <w:rsid w:val="00F10A06"/>
    <w:rsid w:val="00F141D8"/>
    <w:rsid w:val="00F16B8E"/>
    <w:rsid w:val="00F213D6"/>
    <w:rsid w:val="00F215FE"/>
    <w:rsid w:val="00F2260E"/>
    <w:rsid w:val="00F22877"/>
    <w:rsid w:val="00F256C7"/>
    <w:rsid w:val="00F25E58"/>
    <w:rsid w:val="00F270B0"/>
    <w:rsid w:val="00F31B9A"/>
    <w:rsid w:val="00F37557"/>
    <w:rsid w:val="00F41933"/>
    <w:rsid w:val="00F42FB3"/>
    <w:rsid w:val="00F4735E"/>
    <w:rsid w:val="00F47E62"/>
    <w:rsid w:val="00F5197F"/>
    <w:rsid w:val="00F524DB"/>
    <w:rsid w:val="00F530B2"/>
    <w:rsid w:val="00F53223"/>
    <w:rsid w:val="00F60677"/>
    <w:rsid w:val="00F639BA"/>
    <w:rsid w:val="00F663E8"/>
    <w:rsid w:val="00F7428D"/>
    <w:rsid w:val="00F75E26"/>
    <w:rsid w:val="00F76DC9"/>
    <w:rsid w:val="00F773E4"/>
    <w:rsid w:val="00F77685"/>
    <w:rsid w:val="00F8041D"/>
    <w:rsid w:val="00F8105E"/>
    <w:rsid w:val="00F8743C"/>
    <w:rsid w:val="00F87541"/>
    <w:rsid w:val="00F90D4E"/>
    <w:rsid w:val="00F915A8"/>
    <w:rsid w:val="00F915ED"/>
    <w:rsid w:val="00F91F7C"/>
    <w:rsid w:val="00F942A4"/>
    <w:rsid w:val="00F94488"/>
    <w:rsid w:val="00FA0EC8"/>
    <w:rsid w:val="00FA2D14"/>
    <w:rsid w:val="00FA607C"/>
    <w:rsid w:val="00FA61C9"/>
    <w:rsid w:val="00FA6A04"/>
    <w:rsid w:val="00FB0853"/>
    <w:rsid w:val="00FB6445"/>
    <w:rsid w:val="00FB7C5C"/>
    <w:rsid w:val="00FC16EC"/>
    <w:rsid w:val="00FC73C7"/>
    <w:rsid w:val="00FC7A8F"/>
    <w:rsid w:val="00FD02D9"/>
    <w:rsid w:val="00FD4184"/>
    <w:rsid w:val="00FD4F65"/>
    <w:rsid w:val="00FD5E4D"/>
    <w:rsid w:val="00FD6D29"/>
    <w:rsid w:val="00FE356F"/>
    <w:rsid w:val="00FE404F"/>
    <w:rsid w:val="00FE4DD7"/>
    <w:rsid w:val="00FE6CCA"/>
    <w:rsid w:val="00FE7AA0"/>
    <w:rsid w:val="00FF0964"/>
    <w:rsid w:val="00FF5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5C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BB6E62"/>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uiPriority w:val="99"/>
    <w:rsid w:val="00653821"/>
    <w:rPr>
      <w:vertAlign w:val="superscript"/>
      <w:lang w:val="fr-CA"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fr-CA"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fr-CA"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fr-CA"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fr-CA"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fr-CA" w:eastAsia="en-US"/>
    </w:rPr>
  </w:style>
  <w:style w:type="character" w:customStyle="1" w:styleId="style21">
    <w:name w:val="style21"/>
    <w:rsid w:val="00F869FB"/>
    <w:rPr>
      <w:sz w:val="24"/>
      <w:szCs w:val="24"/>
      <w:lang w:val="fr-CA"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fr-CA"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fr-CA"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UnresolvedMention1">
    <w:name w:val="Unresolved Mention1"/>
    <w:basedOn w:val="DefaultParagraphFont"/>
    <w:uiPriority w:val="99"/>
    <w:semiHidden/>
    <w:unhideWhenUsed/>
    <w:rsid w:val="00A313C3"/>
    <w:rPr>
      <w:color w:val="605E5C"/>
      <w:shd w:val="clear" w:color="auto" w:fill="E1DFDD"/>
    </w:rPr>
  </w:style>
  <w:style w:type="character" w:customStyle="1" w:styleId="Heading2Char">
    <w:name w:val="Heading 2 Char"/>
    <w:basedOn w:val="DefaultParagraphFont"/>
    <w:link w:val="Heading2"/>
    <w:semiHidden/>
    <w:rsid w:val="00BB6E62"/>
    <w:rPr>
      <w:rFonts w:asciiTheme="majorHAnsi" w:eastAsiaTheme="majorEastAsia" w:hAnsiTheme="majorHAnsi" w:cstheme="majorBidi"/>
      <w:b/>
      <w:bCs/>
      <w:i/>
      <w:iCs/>
      <w:sz w:val="28"/>
      <w:szCs w:val="28"/>
    </w:rPr>
  </w:style>
  <w:style w:type="character" w:customStyle="1" w:styleId="UnresolvedMention2">
    <w:name w:val="Unresolved Mention2"/>
    <w:basedOn w:val="DefaultParagraphFont"/>
    <w:uiPriority w:val="99"/>
    <w:semiHidden/>
    <w:unhideWhenUsed/>
    <w:rsid w:val="00BF722D"/>
    <w:rPr>
      <w:color w:val="605E5C"/>
      <w:shd w:val="clear" w:color="auto" w:fill="E1DFDD"/>
    </w:rPr>
  </w:style>
  <w:style w:type="paragraph" w:styleId="TOC1">
    <w:name w:val="toc 1"/>
    <w:basedOn w:val="Normal"/>
    <w:next w:val="Normal"/>
    <w:uiPriority w:val="39"/>
    <w:rsid w:val="0098331D"/>
    <w:pPr>
      <w:tabs>
        <w:tab w:val="right" w:leader="dot" w:pos="9360"/>
      </w:tabs>
      <w:suppressAutoHyphens/>
      <w:spacing w:before="480"/>
      <w:ind w:left="720" w:right="720" w:hanging="720"/>
      <w:jc w:val="both"/>
    </w:pPr>
    <w:rPr>
      <w:sz w:val="22"/>
    </w:rPr>
  </w:style>
  <w:style w:type="paragraph" w:styleId="CommentSubject">
    <w:name w:val="annotation subject"/>
    <w:basedOn w:val="CommentText"/>
    <w:next w:val="CommentText"/>
    <w:link w:val="CommentSubjectChar"/>
    <w:semiHidden/>
    <w:unhideWhenUsed/>
    <w:rsid w:val="00315E23"/>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315E23"/>
    <w:rPr>
      <w:rFonts w:ascii="Calibri" w:eastAsia="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BB6E62"/>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uiPriority w:val="99"/>
    <w:rsid w:val="00653821"/>
    <w:rPr>
      <w:vertAlign w:val="superscript"/>
      <w:lang w:val="fr-CA"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fr-CA"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fr-CA"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fr-CA"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fr-CA"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fr-CA" w:eastAsia="en-US"/>
    </w:rPr>
  </w:style>
  <w:style w:type="character" w:customStyle="1" w:styleId="style21">
    <w:name w:val="style21"/>
    <w:rsid w:val="00F869FB"/>
    <w:rPr>
      <w:sz w:val="24"/>
      <w:szCs w:val="24"/>
      <w:lang w:val="fr-CA"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fr-CA"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fr-CA"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UnresolvedMention1">
    <w:name w:val="Unresolved Mention1"/>
    <w:basedOn w:val="DefaultParagraphFont"/>
    <w:uiPriority w:val="99"/>
    <w:semiHidden/>
    <w:unhideWhenUsed/>
    <w:rsid w:val="00A313C3"/>
    <w:rPr>
      <w:color w:val="605E5C"/>
      <w:shd w:val="clear" w:color="auto" w:fill="E1DFDD"/>
    </w:rPr>
  </w:style>
  <w:style w:type="character" w:customStyle="1" w:styleId="Heading2Char">
    <w:name w:val="Heading 2 Char"/>
    <w:basedOn w:val="DefaultParagraphFont"/>
    <w:link w:val="Heading2"/>
    <w:semiHidden/>
    <w:rsid w:val="00BB6E62"/>
    <w:rPr>
      <w:rFonts w:asciiTheme="majorHAnsi" w:eastAsiaTheme="majorEastAsia" w:hAnsiTheme="majorHAnsi" w:cstheme="majorBidi"/>
      <w:b/>
      <w:bCs/>
      <w:i/>
      <w:iCs/>
      <w:sz w:val="28"/>
      <w:szCs w:val="28"/>
    </w:rPr>
  </w:style>
  <w:style w:type="character" w:customStyle="1" w:styleId="UnresolvedMention2">
    <w:name w:val="Unresolved Mention2"/>
    <w:basedOn w:val="DefaultParagraphFont"/>
    <w:uiPriority w:val="99"/>
    <w:semiHidden/>
    <w:unhideWhenUsed/>
    <w:rsid w:val="00BF722D"/>
    <w:rPr>
      <w:color w:val="605E5C"/>
      <w:shd w:val="clear" w:color="auto" w:fill="E1DFDD"/>
    </w:rPr>
  </w:style>
  <w:style w:type="paragraph" w:styleId="TOC1">
    <w:name w:val="toc 1"/>
    <w:basedOn w:val="Normal"/>
    <w:next w:val="Normal"/>
    <w:uiPriority w:val="39"/>
    <w:rsid w:val="0098331D"/>
    <w:pPr>
      <w:tabs>
        <w:tab w:val="right" w:leader="dot" w:pos="9360"/>
      </w:tabs>
      <w:suppressAutoHyphens/>
      <w:spacing w:before="480"/>
      <w:ind w:left="720" w:right="720" w:hanging="720"/>
      <w:jc w:val="both"/>
    </w:pPr>
    <w:rPr>
      <w:sz w:val="22"/>
    </w:rPr>
  </w:style>
  <w:style w:type="paragraph" w:styleId="CommentSubject">
    <w:name w:val="annotation subject"/>
    <w:basedOn w:val="CommentText"/>
    <w:next w:val="CommentText"/>
    <w:link w:val="CommentSubjectChar"/>
    <w:semiHidden/>
    <w:unhideWhenUsed/>
    <w:rsid w:val="00315E23"/>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315E23"/>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8110">
      <w:bodyDiv w:val="1"/>
      <w:marLeft w:val="0"/>
      <w:marRight w:val="0"/>
      <w:marTop w:val="0"/>
      <w:marBottom w:val="0"/>
      <w:divBdr>
        <w:top w:val="none" w:sz="0" w:space="0" w:color="auto"/>
        <w:left w:val="none" w:sz="0" w:space="0" w:color="auto"/>
        <w:bottom w:val="none" w:sz="0" w:space="0" w:color="auto"/>
        <w:right w:val="none" w:sz="0" w:space="0" w:color="auto"/>
      </w:divBdr>
      <w:divsChild>
        <w:div w:id="1422213081">
          <w:marLeft w:val="547"/>
          <w:marRight w:val="0"/>
          <w:marTop w:val="115"/>
          <w:marBottom w:val="0"/>
          <w:divBdr>
            <w:top w:val="none" w:sz="0" w:space="0" w:color="auto"/>
            <w:left w:val="none" w:sz="0" w:space="0" w:color="auto"/>
            <w:bottom w:val="none" w:sz="0" w:space="0" w:color="auto"/>
            <w:right w:val="none" w:sz="0" w:space="0" w:color="auto"/>
          </w:divBdr>
        </w:div>
      </w:divsChild>
    </w:div>
    <w:div w:id="228079746">
      <w:bodyDiv w:val="1"/>
      <w:marLeft w:val="0"/>
      <w:marRight w:val="0"/>
      <w:marTop w:val="0"/>
      <w:marBottom w:val="0"/>
      <w:divBdr>
        <w:top w:val="none" w:sz="0" w:space="0" w:color="auto"/>
        <w:left w:val="none" w:sz="0" w:space="0" w:color="auto"/>
        <w:bottom w:val="none" w:sz="0" w:space="0" w:color="auto"/>
        <w:right w:val="none" w:sz="0" w:space="0" w:color="auto"/>
      </w:divBdr>
    </w:div>
    <w:div w:id="263732971">
      <w:bodyDiv w:val="1"/>
      <w:marLeft w:val="0"/>
      <w:marRight w:val="0"/>
      <w:marTop w:val="0"/>
      <w:marBottom w:val="0"/>
      <w:divBdr>
        <w:top w:val="none" w:sz="0" w:space="0" w:color="auto"/>
        <w:left w:val="none" w:sz="0" w:space="0" w:color="auto"/>
        <w:bottom w:val="none" w:sz="0" w:space="0" w:color="auto"/>
        <w:right w:val="none" w:sz="0" w:space="0" w:color="auto"/>
      </w:divBdr>
    </w:div>
    <w:div w:id="329139640">
      <w:bodyDiv w:val="1"/>
      <w:marLeft w:val="0"/>
      <w:marRight w:val="0"/>
      <w:marTop w:val="0"/>
      <w:marBottom w:val="0"/>
      <w:divBdr>
        <w:top w:val="none" w:sz="0" w:space="0" w:color="auto"/>
        <w:left w:val="none" w:sz="0" w:space="0" w:color="auto"/>
        <w:bottom w:val="none" w:sz="0" w:space="0" w:color="auto"/>
        <w:right w:val="none" w:sz="0" w:space="0" w:color="auto"/>
      </w:divBdr>
    </w:div>
    <w:div w:id="386301230">
      <w:bodyDiv w:val="1"/>
      <w:marLeft w:val="0"/>
      <w:marRight w:val="0"/>
      <w:marTop w:val="0"/>
      <w:marBottom w:val="0"/>
      <w:divBdr>
        <w:top w:val="none" w:sz="0" w:space="0" w:color="auto"/>
        <w:left w:val="none" w:sz="0" w:space="0" w:color="auto"/>
        <w:bottom w:val="none" w:sz="0" w:space="0" w:color="auto"/>
        <w:right w:val="none" w:sz="0" w:space="0" w:color="auto"/>
      </w:divBdr>
    </w:div>
    <w:div w:id="423306363">
      <w:bodyDiv w:val="1"/>
      <w:marLeft w:val="0"/>
      <w:marRight w:val="0"/>
      <w:marTop w:val="0"/>
      <w:marBottom w:val="0"/>
      <w:divBdr>
        <w:top w:val="none" w:sz="0" w:space="0" w:color="auto"/>
        <w:left w:val="none" w:sz="0" w:space="0" w:color="auto"/>
        <w:bottom w:val="none" w:sz="0" w:space="0" w:color="auto"/>
        <w:right w:val="none" w:sz="0" w:space="0" w:color="auto"/>
      </w:divBdr>
      <w:divsChild>
        <w:div w:id="1253509666">
          <w:marLeft w:val="0"/>
          <w:marRight w:val="0"/>
          <w:marTop w:val="0"/>
          <w:marBottom w:val="0"/>
          <w:divBdr>
            <w:top w:val="none" w:sz="0" w:space="0" w:color="auto"/>
            <w:left w:val="none" w:sz="0" w:space="0" w:color="auto"/>
            <w:bottom w:val="none" w:sz="0" w:space="0" w:color="auto"/>
            <w:right w:val="none" w:sz="0" w:space="0" w:color="auto"/>
          </w:divBdr>
        </w:div>
        <w:div w:id="889465781">
          <w:marLeft w:val="0"/>
          <w:marRight w:val="0"/>
          <w:marTop w:val="0"/>
          <w:marBottom w:val="0"/>
          <w:divBdr>
            <w:top w:val="none" w:sz="0" w:space="0" w:color="auto"/>
            <w:left w:val="none" w:sz="0" w:space="0" w:color="auto"/>
            <w:bottom w:val="none" w:sz="0" w:space="0" w:color="auto"/>
            <w:right w:val="none" w:sz="0" w:space="0" w:color="auto"/>
          </w:divBdr>
        </w:div>
        <w:div w:id="1201893573">
          <w:marLeft w:val="0"/>
          <w:marRight w:val="0"/>
          <w:marTop w:val="0"/>
          <w:marBottom w:val="0"/>
          <w:divBdr>
            <w:top w:val="none" w:sz="0" w:space="0" w:color="auto"/>
            <w:left w:val="none" w:sz="0" w:space="0" w:color="auto"/>
            <w:bottom w:val="none" w:sz="0" w:space="0" w:color="auto"/>
            <w:right w:val="none" w:sz="0" w:space="0" w:color="auto"/>
          </w:divBdr>
        </w:div>
        <w:div w:id="1844517017">
          <w:marLeft w:val="0"/>
          <w:marRight w:val="0"/>
          <w:marTop w:val="0"/>
          <w:marBottom w:val="0"/>
          <w:divBdr>
            <w:top w:val="none" w:sz="0" w:space="0" w:color="auto"/>
            <w:left w:val="none" w:sz="0" w:space="0" w:color="auto"/>
            <w:bottom w:val="none" w:sz="0" w:space="0" w:color="auto"/>
            <w:right w:val="none" w:sz="0" w:space="0" w:color="auto"/>
          </w:divBdr>
        </w:div>
        <w:div w:id="1082681517">
          <w:marLeft w:val="0"/>
          <w:marRight w:val="0"/>
          <w:marTop w:val="0"/>
          <w:marBottom w:val="0"/>
          <w:divBdr>
            <w:top w:val="none" w:sz="0" w:space="0" w:color="auto"/>
            <w:left w:val="none" w:sz="0" w:space="0" w:color="auto"/>
            <w:bottom w:val="none" w:sz="0" w:space="0" w:color="auto"/>
            <w:right w:val="none" w:sz="0" w:space="0" w:color="auto"/>
          </w:divBdr>
        </w:div>
        <w:div w:id="1661733111">
          <w:marLeft w:val="0"/>
          <w:marRight w:val="0"/>
          <w:marTop w:val="0"/>
          <w:marBottom w:val="0"/>
          <w:divBdr>
            <w:top w:val="none" w:sz="0" w:space="0" w:color="auto"/>
            <w:left w:val="none" w:sz="0" w:space="0" w:color="auto"/>
            <w:bottom w:val="none" w:sz="0" w:space="0" w:color="auto"/>
            <w:right w:val="none" w:sz="0" w:space="0" w:color="auto"/>
          </w:divBdr>
        </w:div>
        <w:div w:id="2016152169">
          <w:marLeft w:val="0"/>
          <w:marRight w:val="0"/>
          <w:marTop w:val="0"/>
          <w:marBottom w:val="0"/>
          <w:divBdr>
            <w:top w:val="none" w:sz="0" w:space="0" w:color="auto"/>
            <w:left w:val="none" w:sz="0" w:space="0" w:color="auto"/>
            <w:bottom w:val="none" w:sz="0" w:space="0" w:color="auto"/>
            <w:right w:val="none" w:sz="0" w:space="0" w:color="auto"/>
          </w:divBdr>
        </w:div>
        <w:div w:id="1701274862">
          <w:marLeft w:val="0"/>
          <w:marRight w:val="0"/>
          <w:marTop w:val="0"/>
          <w:marBottom w:val="0"/>
          <w:divBdr>
            <w:top w:val="none" w:sz="0" w:space="0" w:color="auto"/>
            <w:left w:val="none" w:sz="0" w:space="0" w:color="auto"/>
            <w:bottom w:val="none" w:sz="0" w:space="0" w:color="auto"/>
            <w:right w:val="none" w:sz="0" w:space="0" w:color="auto"/>
          </w:divBdr>
        </w:div>
        <w:div w:id="663361131">
          <w:marLeft w:val="0"/>
          <w:marRight w:val="0"/>
          <w:marTop w:val="0"/>
          <w:marBottom w:val="0"/>
          <w:divBdr>
            <w:top w:val="none" w:sz="0" w:space="0" w:color="auto"/>
            <w:left w:val="none" w:sz="0" w:space="0" w:color="auto"/>
            <w:bottom w:val="none" w:sz="0" w:space="0" w:color="auto"/>
            <w:right w:val="none" w:sz="0" w:space="0" w:color="auto"/>
          </w:divBdr>
        </w:div>
      </w:divsChild>
    </w:div>
    <w:div w:id="455678383">
      <w:bodyDiv w:val="1"/>
      <w:marLeft w:val="0"/>
      <w:marRight w:val="0"/>
      <w:marTop w:val="0"/>
      <w:marBottom w:val="0"/>
      <w:divBdr>
        <w:top w:val="none" w:sz="0" w:space="0" w:color="auto"/>
        <w:left w:val="none" w:sz="0" w:space="0" w:color="auto"/>
        <w:bottom w:val="none" w:sz="0" w:space="0" w:color="auto"/>
        <w:right w:val="none" w:sz="0" w:space="0" w:color="auto"/>
      </w:divBdr>
    </w:div>
    <w:div w:id="481242675">
      <w:bodyDiv w:val="1"/>
      <w:marLeft w:val="0"/>
      <w:marRight w:val="0"/>
      <w:marTop w:val="0"/>
      <w:marBottom w:val="0"/>
      <w:divBdr>
        <w:top w:val="none" w:sz="0" w:space="0" w:color="auto"/>
        <w:left w:val="none" w:sz="0" w:space="0" w:color="auto"/>
        <w:bottom w:val="none" w:sz="0" w:space="0" w:color="auto"/>
        <w:right w:val="none" w:sz="0" w:space="0" w:color="auto"/>
      </w:divBdr>
      <w:divsChild>
        <w:div w:id="1829056152">
          <w:marLeft w:val="547"/>
          <w:marRight w:val="0"/>
          <w:marTop w:val="154"/>
          <w:marBottom w:val="0"/>
          <w:divBdr>
            <w:top w:val="none" w:sz="0" w:space="0" w:color="auto"/>
            <w:left w:val="none" w:sz="0" w:space="0" w:color="auto"/>
            <w:bottom w:val="none" w:sz="0" w:space="0" w:color="auto"/>
            <w:right w:val="none" w:sz="0" w:space="0" w:color="auto"/>
          </w:divBdr>
        </w:div>
        <w:div w:id="562565733">
          <w:marLeft w:val="547"/>
          <w:marRight w:val="0"/>
          <w:marTop w:val="154"/>
          <w:marBottom w:val="0"/>
          <w:divBdr>
            <w:top w:val="none" w:sz="0" w:space="0" w:color="auto"/>
            <w:left w:val="none" w:sz="0" w:space="0" w:color="auto"/>
            <w:bottom w:val="none" w:sz="0" w:space="0" w:color="auto"/>
            <w:right w:val="none" w:sz="0" w:space="0" w:color="auto"/>
          </w:divBdr>
        </w:div>
        <w:div w:id="2025353264">
          <w:marLeft w:val="547"/>
          <w:marRight w:val="0"/>
          <w:marTop w:val="154"/>
          <w:marBottom w:val="0"/>
          <w:divBdr>
            <w:top w:val="none" w:sz="0" w:space="0" w:color="auto"/>
            <w:left w:val="none" w:sz="0" w:space="0" w:color="auto"/>
            <w:bottom w:val="none" w:sz="0" w:space="0" w:color="auto"/>
            <w:right w:val="none" w:sz="0" w:space="0" w:color="auto"/>
          </w:divBdr>
        </w:div>
      </w:divsChild>
    </w:div>
    <w:div w:id="816648249">
      <w:bodyDiv w:val="1"/>
      <w:marLeft w:val="0"/>
      <w:marRight w:val="0"/>
      <w:marTop w:val="0"/>
      <w:marBottom w:val="0"/>
      <w:divBdr>
        <w:top w:val="none" w:sz="0" w:space="0" w:color="auto"/>
        <w:left w:val="none" w:sz="0" w:space="0" w:color="auto"/>
        <w:bottom w:val="none" w:sz="0" w:space="0" w:color="auto"/>
        <w:right w:val="none" w:sz="0" w:space="0" w:color="auto"/>
      </w:divBdr>
      <w:divsChild>
        <w:div w:id="998848874">
          <w:marLeft w:val="0"/>
          <w:marRight w:val="0"/>
          <w:marTop w:val="0"/>
          <w:marBottom w:val="48"/>
          <w:divBdr>
            <w:top w:val="none" w:sz="0" w:space="0" w:color="auto"/>
            <w:left w:val="none" w:sz="0" w:space="0" w:color="auto"/>
            <w:bottom w:val="none" w:sz="0" w:space="0" w:color="auto"/>
            <w:right w:val="none" w:sz="0" w:space="0" w:color="auto"/>
          </w:divBdr>
        </w:div>
      </w:divsChild>
    </w:div>
    <w:div w:id="1351447274">
      <w:bodyDiv w:val="1"/>
      <w:marLeft w:val="0"/>
      <w:marRight w:val="0"/>
      <w:marTop w:val="0"/>
      <w:marBottom w:val="0"/>
      <w:divBdr>
        <w:top w:val="none" w:sz="0" w:space="0" w:color="auto"/>
        <w:left w:val="none" w:sz="0" w:space="0" w:color="auto"/>
        <w:bottom w:val="none" w:sz="0" w:space="0" w:color="auto"/>
        <w:right w:val="none" w:sz="0" w:space="0" w:color="auto"/>
      </w:divBdr>
      <w:divsChild>
        <w:div w:id="142310207">
          <w:marLeft w:val="0"/>
          <w:marRight w:val="0"/>
          <w:marTop w:val="0"/>
          <w:marBottom w:val="0"/>
          <w:divBdr>
            <w:top w:val="none" w:sz="0" w:space="0" w:color="auto"/>
            <w:left w:val="none" w:sz="0" w:space="0" w:color="auto"/>
            <w:bottom w:val="none" w:sz="0" w:space="0" w:color="auto"/>
            <w:right w:val="none" w:sz="0" w:space="0" w:color="auto"/>
          </w:divBdr>
        </w:div>
        <w:div w:id="1462655684">
          <w:marLeft w:val="0"/>
          <w:marRight w:val="0"/>
          <w:marTop w:val="0"/>
          <w:marBottom w:val="0"/>
          <w:divBdr>
            <w:top w:val="none" w:sz="0" w:space="0" w:color="auto"/>
            <w:left w:val="none" w:sz="0" w:space="0" w:color="auto"/>
            <w:bottom w:val="none" w:sz="0" w:space="0" w:color="auto"/>
            <w:right w:val="none" w:sz="0" w:space="0" w:color="auto"/>
          </w:divBdr>
        </w:div>
        <w:div w:id="766539052">
          <w:marLeft w:val="0"/>
          <w:marRight w:val="0"/>
          <w:marTop w:val="0"/>
          <w:marBottom w:val="0"/>
          <w:divBdr>
            <w:top w:val="none" w:sz="0" w:space="0" w:color="auto"/>
            <w:left w:val="none" w:sz="0" w:space="0" w:color="auto"/>
            <w:bottom w:val="none" w:sz="0" w:space="0" w:color="auto"/>
            <w:right w:val="none" w:sz="0" w:space="0" w:color="auto"/>
          </w:divBdr>
        </w:div>
        <w:div w:id="908150130">
          <w:marLeft w:val="0"/>
          <w:marRight w:val="0"/>
          <w:marTop w:val="0"/>
          <w:marBottom w:val="0"/>
          <w:divBdr>
            <w:top w:val="none" w:sz="0" w:space="0" w:color="auto"/>
            <w:left w:val="none" w:sz="0" w:space="0" w:color="auto"/>
            <w:bottom w:val="none" w:sz="0" w:space="0" w:color="auto"/>
            <w:right w:val="none" w:sz="0" w:space="0" w:color="auto"/>
          </w:divBdr>
        </w:div>
        <w:div w:id="1366562531">
          <w:marLeft w:val="0"/>
          <w:marRight w:val="0"/>
          <w:marTop w:val="0"/>
          <w:marBottom w:val="0"/>
          <w:divBdr>
            <w:top w:val="none" w:sz="0" w:space="0" w:color="auto"/>
            <w:left w:val="none" w:sz="0" w:space="0" w:color="auto"/>
            <w:bottom w:val="none" w:sz="0" w:space="0" w:color="auto"/>
            <w:right w:val="none" w:sz="0" w:space="0" w:color="auto"/>
          </w:divBdr>
        </w:div>
        <w:div w:id="320238632">
          <w:marLeft w:val="0"/>
          <w:marRight w:val="0"/>
          <w:marTop w:val="0"/>
          <w:marBottom w:val="0"/>
          <w:divBdr>
            <w:top w:val="none" w:sz="0" w:space="0" w:color="auto"/>
            <w:left w:val="none" w:sz="0" w:space="0" w:color="auto"/>
            <w:bottom w:val="none" w:sz="0" w:space="0" w:color="auto"/>
            <w:right w:val="none" w:sz="0" w:space="0" w:color="auto"/>
          </w:divBdr>
        </w:div>
        <w:div w:id="1471096169">
          <w:marLeft w:val="0"/>
          <w:marRight w:val="0"/>
          <w:marTop w:val="0"/>
          <w:marBottom w:val="0"/>
          <w:divBdr>
            <w:top w:val="none" w:sz="0" w:space="0" w:color="auto"/>
            <w:left w:val="none" w:sz="0" w:space="0" w:color="auto"/>
            <w:bottom w:val="none" w:sz="0" w:space="0" w:color="auto"/>
            <w:right w:val="none" w:sz="0" w:space="0" w:color="auto"/>
          </w:divBdr>
        </w:div>
      </w:divsChild>
    </w:div>
    <w:div w:id="1502236961">
      <w:bodyDiv w:val="1"/>
      <w:marLeft w:val="0"/>
      <w:marRight w:val="0"/>
      <w:marTop w:val="0"/>
      <w:marBottom w:val="0"/>
      <w:divBdr>
        <w:top w:val="none" w:sz="0" w:space="0" w:color="auto"/>
        <w:left w:val="none" w:sz="0" w:space="0" w:color="auto"/>
        <w:bottom w:val="none" w:sz="0" w:space="0" w:color="auto"/>
        <w:right w:val="none" w:sz="0" w:space="0" w:color="auto"/>
      </w:divBdr>
    </w:div>
    <w:div w:id="1732313791">
      <w:bodyDiv w:val="1"/>
      <w:marLeft w:val="0"/>
      <w:marRight w:val="0"/>
      <w:marTop w:val="0"/>
      <w:marBottom w:val="0"/>
      <w:divBdr>
        <w:top w:val="none" w:sz="0" w:space="0" w:color="auto"/>
        <w:left w:val="none" w:sz="0" w:space="0" w:color="auto"/>
        <w:bottom w:val="none" w:sz="0" w:space="0" w:color="auto"/>
        <w:right w:val="none" w:sz="0" w:space="0" w:color="auto"/>
      </w:divBdr>
      <w:divsChild>
        <w:div w:id="1766149178">
          <w:marLeft w:val="547"/>
          <w:marRight w:val="0"/>
          <w:marTop w:val="15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nglobalcompact.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ata4sdg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eforum.org/platforms/covid-action-platfor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connectingbusiness.org/about" TargetMode="External"/><Relationship Id="rId4" Type="http://schemas.microsoft.com/office/2007/relationships/stylesWithEffects" Target="stylesWithEffects.xml"/><Relationship Id="rId9" Type="http://schemas.openxmlformats.org/officeDocument/2006/relationships/hyperlink" Target="https://americasbd.org/" TargetMode="External"/><Relationship Id="rId14" Type="http://schemas.openxmlformats.org/officeDocument/2006/relationships/hyperlink" Target="https://sustainabledevelopment.un.org/partnership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oaa.gov/news/2020-atlantic-hurricane-season-takes-infamous-top-spot-for-busiest-on-record" TargetMode="External"/><Relationship Id="rId2" Type="http://schemas.openxmlformats.org/officeDocument/2006/relationships/hyperlink" Target="http://scm.oas.org/Ag/documentos/Documentos/AG08174E03.docx" TargetMode="External"/><Relationship Id="rId1" Type="http://schemas.openxmlformats.org/officeDocument/2006/relationships/hyperlink" Target="http://scm.oas.org/Ag/documentos/Documentos/AG08174E03.docx" TargetMode="External"/><Relationship Id="rId6" Type="http://schemas.openxmlformats.org/officeDocument/2006/relationships/hyperlink" Target="https://media.ifrc.org/ifrc/2020/11/10/ifrc-concerned-impact-hurricane-eta-coronavirus-transmission/" TargetMode="External"/><Relationship Id="rId5" Type="http://schemas.openxmlformats.org/officeDocument/2006/relationships/hyperlink" Target="https://www.researchgate.net/publication/343631663_Cascading_Risks_of_COVID-19_Resurgence_During_an_Active_2020_Atlantic_Hurricane_Season" TargetMode="External"/><Relationship Id="rId4" Type="http://schemas.openxmlformats.org/officeDocument/2006/relationships/hyperlink" Target="https://www.nesdis.noaa.gov/content/hurricane-iota-becomes-2020's-strongest-hurricane-threatens-central-america?utm_source=Social%20Media&amp;utm_medium=Twitter&amp;utm_campaign=HurricaneIota-IOD_20201116"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FA168-DD36-4464-9D55-5DD20E286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TotalTime>
  <Pages>5</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creator>DCT</dc:creator>
  <cp:lastModifiedBy>Santos, Ada</cp:lastModifiedBy>
  <cp:revision>3</cp:revision>
  <cp:lastPrinted>2018-08-24T16:52:00Z</cp:lastPrinted>
  <dcterms:created xsi:type="dcterms:W3CDTF">2020-11-30T22:17:00Z</dcterms:created>
  <dcterms:modified xsi:type="dcterms:W3CDTF">2020-12-01T14:58:00Z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