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D2737" w14:textId="77777777" w:rsidR="00722693" w:rsidRPr="00B76CC5" w:rsidRDefault="00FA607C" w:rsidP="00B70E4D">
      <w:pPr>
        <w:tabs>
          <w:tab w:val="left" w:pos="7200"/>
        </w:tabs>
        <w:ind w:right="-1080"/>
        <w:jc w:val="both"/>
        <w:rPr>
          <w:sz w:val="22"/>
          <w:szCs w:val="22"/>
          <w:lang w:val="pt-BR"/>
        </w:rPr>
      </w:pPr>
      <w:bookmarkStart w:id="0" w:name="_top"/>
      <w:bookmarkEnd w:id="0"/>
      <w:r w:rsidRPr="00B76CC5">
        <w:rPr>
          <w:sz w:val="22"/>
          <w:szCs w:val="22"/>
        </w:rPr>
        <w:tab/>
      </w:r>
      <w:r w:rsidRPr="00B76CC5">
        <w:rPr>
          <w:sz w:val="22"/>
          <w:szCs w:val="22"/>
          <w:lang w:val="pt-BR"/>
        </w:rPr>
        <w:t>OEA/Ser.W</w:t>
      </w:r>
    </w:p>
    <w:p w14:paraId="59B65FBE" w14:textId="42E52155" w:rsidR="00722693" w:rsidRPr="00B1025E" w:rsidRDefault="00FA607C" w:rsidP="00B70E4D">
      <w:pPr>
        <w:tabs>
          <w:tab w:val="left" w:pos="7200"/>
        </w:tabs>
        <w:ind w:right="-1080"/>
        <w:jc w:val="both"/>
        <w:rPr>
          <w:sz w:val="22"/>
          <w:szCs w:val="22"/>
          <w:lang w:val="pt-BR"/>
        </w:rPr>
      </w:pPr>
      <w:r w:rsidRPr="00B76CC5">
        <w:rPr>
          <w:sz w:val="22"/>
          <w:szCs w:val="22"/>
          <w:lang w:val="pt-BR"/>
        </w:rPr>
        <w:tab/>
      </w:r>
      <w:r w:rsidRPr="00B1025E">
        <w:rPr>
          <w:sz w:val="22"/>
          <w:szCs w:val="22"/>
          <w:lang w:val="pt-BR"/>
        </w:rPr>
        <w:t>CIDI/INF.</w:t>
      </w:r>
      <w:r w:rsidR="00B1025E">
        <w:rPr>
          <w:sz w:val="22"/>
          <w:szCs w:val="22"/>
          <w:lang w:val="pt-BR"/>
        </w:rPr>
        <w:t>397/</w:t>
      </w:r>
      <w:r w:rsidR="00237585" w:rsidRPr="00B1025E">
        <w:rPr>
          <w:sz w:val="22"/>
          <w:szCs w:val="22"/>
          <w:lang w:val="pt-BR"/>
        </w:rPr>
        <w:t>20</w:t>
      </w:r>
    </w:p>
    <w:p w14:paraId="4483D20B" w14:textId="742295E9" w:rsidR="00921E9E" w:rsidRPr="00B76CC5" w:rsidRDefault="00FA607C" w:rsidP="00B70E4D">
      <w:pPr>
        <w:tabs>
          <w:tab w:val="left" w:pos="7200"/>
        </w:tabs>
        <w:ind w:right="-1080"/>
        <w:jc w:val="both"/>
        <w:rPr>
          <w:sz w:val="22"/>
          <w:szCs w:val="22"/>
        </w:rPr>
      </w:pPr>
      <w:r w:rsidRPr="00B1025E">
        <w:rPr>
          <w:sz w:val="22"/>
          <w:szCs w:val="22"/>
          <w:lang w:val="pt-BR"/>
        </w:rPr>
        <w:tab/>
      </w:r>
      <w:r w:rsidR="0038288B" w:rsidRPr="00B76CC5">
        <w:rPr>
          <w:sz w:val="22"/>
          <w:szCs w:val="22"/>
        </w:rPr>
        <w:t>15 Decembe</w:t>
      </w:r>
      <w:r w:rsidR="00C727F7">
        <w:rPr>
          <w:sz w:val="22"/>
          <w:szCs w:val="22"/>
        </w:rPr>
        <w:t>r</w:t>
      </w:r>
      <w:r w:rsidR="004A7C48" w:rsidRPr="00B76CC5">
        <w:rPr>
          <w:sz w:val="22"/>
          <w:szCs w:val="22"/>
        </w:rPr>
        <w:t xml:space="preserve"> 20</w:t>
      </w:r>
      <w:r w:rsidR="000B6478" w:rsidRPr="00B76CC5">
        <w:rPr>
          <w:sz w:val="22"/>
          <w:szCs w:val="22"/>
        </w:rPr>
        <w:t>20</w:t>
      </w:r>
    </w:p>
    <w:p w14:paraId="5F1787F8" w14:textId="3F5D7279" w:rsidR="00921E9E" w:rsidRPr="00B76CC5" w:rsidRDefault="00FA607C" w:rsidP="00B70E4D">
      <w:pPr>
        <w:pBdr>
          <w:bottom w:val="single" w:sz="12" w:space="1" w:color="auto"/>
        </w:pBdr>
        <w:tabs>
          <w:tab w:val="left" w:pos="7200"/>
        </w:tabs>
        <w:ind w:right="-389"/>
        <w:jc w:val="both"/>
        <w:rPr>
          <w:sz w:val="22"/>
          <w:szCs w:val="22"/>
        </w:rPr>
      </w:pPr>
      <w:r w:rsidRPr="00B76CC5">
        <w:rPr>
          <w:sz w:val="22"/>
          <w:szCs w:val="22"/>
        </w:rPr>
        <w:tab/>
        <w:t xml:space="preserve">Original: </w:t>
      </w:r>
      <w:r w:rsidR="000B6478" w:rsidRPr="00B76CC5">
        <w:rPr>
          <w:sz w:val="22"/>
          <w:szCs w:val="22"/>
        </w:rPr>
        <w:t>English</w:t>
      </w:r>
    </w:p>
    <w:p w14:paraId="7EFD68F1" w14:textId="77777777" w:rsidR="00B70E4D" w:rsidRPr="00B76CC5" w:rsidRDefault="00B70E4D" w:rsidP="00C109DC">
      <w:pPr>
        <w:pBdr>
          <w:bottom w:val="single" w:sz="12" w:space="1" w:color="auto"/>
        </w:pBdr>
        <w:tabs>
          <w:tab w:val="left" w:pos="7200"/>
        </w:tabs>
        <w:ind w:right="-389"/>
        <w:jc w:val="both"/>
        <w:rPr>
          <w:sz w:val="22"/>
          <w:szCs w:val="22"/>
        </w:rPr>
      </w:pPr>
    </w:p>
    <w:p w14:paraId="24C81694" w14:textId="3E378F45" w:rsidR="00722693" w:rsidRPr="00B76CC5" w:rsidRDefault="00722693" w:rsidP="00B70E4D">
      <w:pPr>
        <w:tabs>
          <w:tab w:val="left" w:pos="7200"/>
        </w:tabs>
        <w:ind w:right="-1080"/>
        <w:jc w:val="center"/>
        <w:rPr>
          <w:sz w:val="22"/>
          <w:szCs w:val="22"/>
        </w:rPr>
      </w:pPr>
    </w:p>
    <w:p w14:paraId="294DEA60" w14:textId="77777777" w:rsidR="00723DE2" w:rsidRPr="00B76CC5" w:rsidRDefault="00723DE2" w:rsidP="00B70E4D">
      <w:pPr>
        <w:jc w:val="center"/>
        <w:rPr>
          <w:rFonts w:eastAsia="Calibri"/>
          <w:sz w:val="22"/>
          <w:szCs w:val="22"/>
        </w:rPr>
      </w:pPr>
    </w:p>
    <w:p w14:paraId="336FE805" w14:textId="77777777" w:rsidR="0038288B" w:rsidRPr="00B76CC5" w:rsidRDefault="0038288B" w:rsidP="0038288B">
      <w:pPr>
        <w:ind w:left="-917"/>
        <w:rPr>
          <w:sz w:val="22"/>
          <w:szCs w:val="22"/>
        </w:rPr>
      </w:pPr>
    </w:p>
    <w:p w14:paraId="26AF2A7D" w14:textId="77777777" w:rsidR="0038288B" w:rsidRPr="00B76CC5" w:rsidRDefault="0038288B" w:rsidP="0038288B">
      <w:pPr>
        <w:ind w:right="1"/>
        <w:jc w:val="center"/>
        <w:rPr>
          <w:rFonts w:eastAsia="Calibri"/>
          <w:b/>
          <w:sz w:val="22"/>
          <w:szCs w:val="22"/>
        </w:rPr>
      </w:pPr>
    </w:p>
    <w:p w14:paraId="0817BB27" w14:textId="77777777" w:rsidR="0038288B" w:rsidRPr="00B76CC5" w:rsidRDefault="0038288B" w:rsidP="0038288B">
      <w:pPr>
        <w:ind w:right="1"/>
        <w:jc w:val="center"/>
        <w:rPr>
          <w:rFonts w:eastAsia="Calibri"/>
          <w:b/>
          <w:sz w:val="22"/>
          <w:szCs w:val="22"/>
        </w:rPr>
      </w:pPr>
    </w:p>
    <w:p w14:paraId="5A1A5293" w14:textId="77777777" w:rsidR="0038288B" w:rsidRPr="00B76CC5" w:rsidRDefault="0038288B" w:rsidP="0038288B">
      <w:pPr>
        <w:ind w:right="1"/>
        <w:jc w:val="center"/>
        <w:rPr>
          <w:rFonts w:eastAsia="Calibri"/>
          <w:b/>
          <w:sz w:val="22"/>
          <w:szCs w:val="22"/>
        </w:rPr>
      </w:pPr>
    </w:p>
    <w:p w14:paraId="6788F12C" w14:textId="77777777" w:rsidR="0038288B" w:rsidRPr="00B76CC5" w:rsidRDefault="0038288B" w:rsidP="0038288B">
      <w:pPr>
        <w:ind w:right="1"/>
        <w:jc w:val="center"/>
        <w:rPr>
          <w:rFonts w:eastAsia="Calibri"/>
          <w:b/>
          <w:sz w:val="22"/>
          <w:szCs w:val="22"/>
        </w:rPr>
      </w:pPr>
    </w:p>
    <w:p w14:paraId="798CE3B1" w14:textId="77777777" w:rsidR="0038288B" w:rsidRPr="00B76CC5" w:rsidRDefault="0038288B" w:rsidP="0038288B">
      <w:pPr>
        <w:ind w:right="1"/>
        <w:jc w:val="center"/>
        <w:rPr>
          <w:rFonts w:eastAsia="Calibri"/>
          <w:b/>
          <w:sz w:val="22"/>
          <w:szCs w:val="22"/>
        </w:rPr>
      </w:pPr>
    </w:p>
    <w:p w14:paraId="78DD02FF" w14:textId="77777777" w:rsidR="0038288B" w:rsidRPr="00B76CC5" w:rsidRDefault="0038288B" w:rsidP="0038288B">
      <w:pPr>
        <w:ind w:right="1"/>
        <w:jc w:val="center"/>
        <w:rPr>
          <w:rFonts w:eastAsia="Calibri"/>
          <w:b/>
          <w:sz w:val="22"/>
          <w:szCs w:val="22"/>
        </w:rPr>
      </w:pPr>
    </w:p>
    <w:p w14:paraId="73EA499D" w14:textId="77777777" w:rsidR="0038288B" w:rsidRPr="00B76CC5" w:rsidRDefault="0038288B" w:rsidP="0038288B">
      <w:pPr>
        <w:ind w:right="1"/>
        <w:jc w:val="center"/>
        <w:rPr>
          <w:rFonts w:eastAsia="Calibri"/>
          <w:b/>
          <w:sz w:val="22"/>
          <w:szCs w:val="22"/>
        </w:rPr>
      </w:pPr>
    </w:p>
    <w:p w14:paraId="5D1C70C6" w14:textId="77777777" w:rsidR="0038288B" w:rsidRPr="00B76CC5" w:rsidRDefault="0038288B" w:rsidP="0038288B">
      <w:pPr>
        <w:ind w:right="1"/>
        <w:jc w:val="center"/>
        <w:rPr>
          <w:rFonts w:eastAsia="Calibri"/>
          <w:b/>
          <w:sz w:val="22"/>
          <w:szCs w:val="22"/>
        </w:rPr>
      </w:pPr>
    </w:p>
    <w:p w14:paraId="7FBA3F28" w14:textId="77777777" w:rsidR="0038288B" w:rsidRPr="00B76CC5" w:rsidRDefault="0038288B" w:rsidP="0038288B">
      <w:pPr>
        <w:ind w:right="1"/>
        <w:jc w:val="center"/>
        <w:rPr>
          <w:rFonts w:eastAsia="Calibri"/>
          <w:b/>
          <w:sz w:val="22"/>
          <w:szCs w:val="22"/>
        </w:rPr>
      </w:pPr>
    </w:p>
    <w:p w14:paraId="5BAF34B0" w14:textId="1372A865" w:rsidR="0038288B" w:rsidRPr="00B76CC5" w:rsidRDefault="0038288B" w:rsidP="0038288B">
      <w:pPr>
        <w:snapToGrid w:val="0"/>
        <w:jc w:val="center"/>
        <w:rPr>
          <w:color w:val="000000"/>
          <w:sz w:val="22"/>
          <w:szCs w:val="22"/>
        </w:rPr>
      </w:pPr>
      <w:r w:rsidRPr="00B76CC5">
        <w:rPr>
          <w:color w:val="000000"/>
          <w:sz w:val="22"/>
          <w:szCs w:val="22"/>
        </w:rPr>
        <w:t>PRESENTATION BY THE EXCUTIVE SECRETARY FOR INTEGRAL DEVELOPMENT,</w:t>
      </w:r>
    </w:p>
    <w:p w14:paraId="6B851AB4" w14:textId="3C5FC7FD" w:rsidR="0038288B" w:rsidRPr="00B76CC5" w:rsidRDefault="0038288B" w:rsidP="0038288B">
      <w:pPr>
        <w:snapToGrid w:val="0"/>
        <w:jc w:val="center"/>
        <w:rPr>
          <w:color w:val="000000"/>
          <w:sz w:val="22"/>
          <w:szCs w:val="22"/>
        </w:rPr>
      </w:pPr>
      <w:r w:rsidRPr="00B76CC5">
        <w:rPr>
          <w:color w:val="000000"/>
          <w:sz w:val="22"/>
          <w:szCs w:val="22"/>
        </w:rPr>
        <w:t>MRS</w:t>
      </w:r>
      <w:r w:rsidR="00797961">
        <w:rPr>
          <w:color w:val="000000"/>
          <w:sz w:val="22"/>
          <w:szCs w:val="22"/>
        </w:rPr>
        <w:t>.</w:t>
      </w:r>
      <w:bookmarkStart w:id="1" w:name="_GoBack"/>
      <w:bookmarkEnd w:id="1"/>
      <w:r w:rsidRPr="00B76CC5">
        <w:rPr>
          <w:color w:val="000000"/>
          <w:sz w:val="22"/>
          <w:szCs w:val="22"/>
        </w:rPr>
        <w:t xml:space="preserve"> KIM OSBORNE</w:t>
      </w:r>
    </w:p>
    <w:p w14:paraId="6C5E5244" w14:textId="77777777" w:rsidR="0038288B" w:rsidRPr="00B76CC5" w:rsidRDefault="0038288B" w:rsidP="0038288B">
      <w:pPr>
        <w:snapToGrid w:val="0"/>
        <w:jc w:val="center"/>
        <w:rPr>
          <w:color w:val="000000"/>
          <w:sz w:val="22"/>
          <w:szCs w:val="22"/>
        </w:rPr>
      </w:pPr>
    </w:p>
    <w:p w14:paraId="7986E3AD" w14:textId="77777777" w:rsidR="0038288B" w:rsidRPr="00B76CC5" w:rsidRDefault="0038288B" w:rsidP="0038288B">
      <w:pPr>
        <w:snapToGrid w:val="0"/>
        <w:jc w:val="center"/>
        <w:rPr>
          <w:color w:val="000000"/>
          <w:sz w:val="22"/>
          <w:szCs w:val="22"/>
        </w:rPr>
      </w:pPr>
      <w:r w:rsidRPr="00B76CC5">
        <w:rPr>
          <w:color w:val="000000"/>
          <w:sz w:val="22"/>
          <w:szCs w:val="22"/>
        </w:rPr>
        <w:t>DURING THE REGULAR MEETING OF THE</w:t>
      </w:r>
    </w:p>
    <w:p w14:paraId="46D9501E" w14:textId="77777777" w:rsidR="0038288B" w:rsidRPr="00B76CC5" w:rsidRDefault="0038288B" w:rsidP="0038288B">
      <w:pPr>
        <w:snapToGrid w:val="0"/>
        <w:jc w:val="center"/>
        <w:rPr>
          <w:color w:val="000000"/>
          <w:sz w:val="22"/>
          <w:szCs w:val="22"/>
        </w:rPr>
      </w:pPr>
      <w:r w:rsidRPr="00B76CC5">
        <w:rPr>
          <w:color w:val="000000"/>
          <w:sz w:val="22"/>
          <w:szCs w:val="22"/>
        </w:rPr>
        <w:t xml:space="preserve"> INTER-AMERICAN COUNCIL FOR INTEGRAL DEVELOPMENT ON </w:t>
      </w:r>
    </w:p>
    <w:p w14:paraId="5AB79370" w14:textId="77777777" w:rsidR="00B76CC5" w:rsidRPr="00B76CC5" w:rsidRDefault="00B76CC5" w:rsidP="00B76CC5">
      <w:pPr>
        <w:rPr>
          <w:color w:val="000000"/>
          <w:sz w:val="22"/>
          <w:szCs w:val="22"/>
        </w:rPr>
      </w:pPr>
    </w:p>
    <w:p w14:paraId="5BDE2A9E" w14:textId="77777777" w:rsidR="00B76CC5" w:rsidRPr="00B76CC5" w:rsidRDefault="00B76CC5" w:rsidP="00B76CC5">
      <w:pPr>
        <w:jc w:val="center"/>
        <w:rPr>
          <w:bCs/>
          <w:sz w:val="22"/>
          <w:szCs w:val="22"/>
        </w:rPr>
      </w:pPr>
      <w:r w:rsidRPr="00B76CC5">
        <w:rPr>
          <w:bCs/>
          <w:sz w:val="22"/>
          <w:szCs w:val="22"/>
        </w:rPr>
        <w:t xml:space="preserve">MULTI STAKEHOLDER PARTNERSHIPS FOR BUILDING RESILIENCE TO </w:t>
      </w:r>
    </w:p>
    <w:p w14:paraId="7FFF36C2" w14:textId="76D170B8" w:rsidR="00B76CC5" w:rsidRPr="00B76CC5" w:rsidRDefault="00B76CC5" w:rsidP="00B76CC5">
      <w:pPr>
        <w:jc w:val="center"/>
        <w:rPr>
          <w:sz w:val="22"/>
          <w:szCs w:val="22"/>
        </w:rPr>
      </w:pPr>
      <w:r w:rsidRPr="00B76CC5">
        <w:rPr>
          <w:bCs/>
          <w:sz w:val="22"/>
          <w:szCs w:val="22"/>
        </w:rPr>
        <w:t>EXTERNAL SHOCKS</w:t>
      </w:r>
    </w:p>
    <w:p w14:paraId="4F5CC05C" w14:textId="77777777" w:rsidR="0038288B" w:rsidRPr="00B76CC5" w:rsidRDefault="0038288B" w:rsidP="0038288B">
      <w:pPr>
        <w:jc w:val="center"/>
        <w:outlineLvl w:val="0"/>
        <w:rPr>
          <w:color w:val="000000"/>
          <w:sz w:val="22"/>
          <w:szCs w:val="22"/>
        </w:rPr>
      </w:pPr>
    </w:p>
    <w:p w14:paraId="344C734C" w14:textId="25061557" w:rsidR="0038288B" w:rsidRPr="00B76CC5" w:rsidRDefault="0038288B" w:rsidP="0038288B">
      <w:pPr>
        <w:jc w:val="center"/>
        <w:outlineLvl w:val="0"/>
        <w:rPr>
          <w:color w:val="000000"/>
          <w:sz w:val="22"/>
          <w:szCs w:val="22"/>
        </w:rPr>
      </w:pPr>
      <w:r w:rsidRPr="00B76CC5">
        <w:rPr>
          <w:color w:val="000000"/>
          <w:sz w:val="22"/>
          <w:szCs w:val="22"/>
        </w:rPr>
        <w:t>HELD DECEMBER 8, 2020</w:t>
      </w:r>
    </w:p>
    <w:p w14:paraId="6724C628" w14:textId="74BD175E" w:rsidR="0038288B" w:rsidRPr="00B76CC5" w:rsidRDefault="0038288B" w:rsidP="0038288B">
      <w:pPr>
        <w:ind w:right="1"/>
        <w:jc w:val="center"/>
        <w:rPr>
          <w:rFonts w:eastAsia="Calibri"/>
          <w:sz w:val="22"/>
          <w:szCs w:val="22"/>
        </w:rPr>
      </w:pPr>
      <w:r w:rsidRPr="00B76CC5">
        <w:rPr>
          <w:color w:val="000000"/>
          <w:sz w:val="22"/>
          <w:szCs w:val="22"/>
        </w:rPr>
        <w:br w:type="page"/>
      </w:r>
    </w:p>
    <w:p w14:paraId="11413B80" w14:textId="77777777" w:rsidR="00B76CC5" w:rsidRPr="00B76CC5" w:rsidRDefault="00B76CC5" w:rsidP="00B76CC5">
      <w:pPr>
        <w:snapToGrid w:val="0"/>
        <w:jc w:val="center"/>
        <w:rPr>
          <w:color w:val="000000"/>
          <w:sz w:val="22"/>
          <w:szCs w:val="22"/>
        </w:rPr>
      </w:pPr>
      <w:r w:rsidRPr="00B76CC5">
        <w:rPr>
          <w:color w:val="000000"/>
          <w:sz w:val="22"/>
          <w:szCs w:val="22"/>
        </w:rPr>
        <w:lastRenderedPageBreak/>
        <w:t>PRESENTATION BY THE EXCUTIVE SECRETARY FOR INTEGRAL DEVELOPMENT,</w:t>
      </w:r>
    </w:p>
    <w:p w14:paraId="0F7E7FD5" w14:textId="16A5DFA9" w:rsidR="00B76CC5" w:rsidRPr="00B76CC5" w:rsidRDefault="00B76CC5" w:rsidP="00B76CC5">
      <w:pPr>
        <w:snapToGrid w:val="0"/>
        <w:jc w:val="center"/>
        <w:rPr>
          <w:sz w:val="22"/>
          <w:szCs w:val="22"/>
        </w:rPr>
      </w:pPr>
      <w:r w:rsidRPr="00B76CC5">
        <w:rPr>
          <w:color w:val="000000"/>
          <w:sz w:val="22"/>
          <w:szCs w:val="22"/>
        </w:rPr>
        <w:t>MRS. KIM OSBORNE, DURING THE REGULAR MEETING OF THE. INTER-AMERICAN COUNCIL FOR INTEGRAL DEVELOPMENT ON .</w:t>
      </w:r>
      <w:r w:rsidRPr="00B76CC5">
        <w:rPr>
          <w:bCs/>
          <w:sz w:val="22"/>
          <w:szCs w:val="22"/>
        </w:rPr>
        <w:t>MULTI STAKEHOLDER PARTNERSHIPS FOR BUILDING RESILIENCE TO EXTERNAL SHOCKS</w:t>
      </w:r>
    </w:p>
    <w:p w14:paraId="69CED603" w14:textId="77777777" w:rsidR="00B76CC5" w:rsidRPr="00B76CC5" w:rsidRDefault="00B76CC5" w:rsidP="00B76CC5">
      <w:pPr>
        <w:jc w:val="center"/>
        <w:outlineLvl w:val="0"/>
        <w:rPr>
          <w:color w:val="000000"/>
          <w:sz w:val="22"/>
          <w:szCs w:val="22"/>
        </w:rPr>
      </w:pPr>
      <w:r w:rsidRPr="00B76CC5">
        <w:rPr>
          <w:color w:val="000000"/>
          <w:sz w:val="22"/>
          <w:szCs w:val="22"/>
        </w:rPr>
        <w:t>HELD DECEMBER 8, 2020</w:t>
      </w:r>
    </w:p>
    <w:p w14:paraId="491391FE" w14:textId="77777777" w:rsidR="00B76CC5" w:rsidRPr="00B76CC5" w:rsidRDefault="00B76CC5" w:rsidP="0038288B">
      <w:pPr>
        <w:ind w:left="10" w:right="1" w:hanging="10"/>
        <w:jc w:val="center"/>
        <w:rPr>
          <w:rFonts w:eastAsia="Calibri"/>
          <w:sz w:val="22"/>
          <w:szCs w:val="22"/>
        </w:rPr>
      </w:pPr>
    </w:p>
    <w:p w14:paraId="19C8F3E9" w14:textId="2D1CE896" w:rsidR="0038288B" w:rsidRPr="00B76CC5" w:rsidRDefault="0038288B" w:rsidP="0038288B">
      <w:pPr>
        <w:ind w:left="10" w:right="1" w:hanging="10"/>
        <w:jc w:val="center"/>
        <w:rPr>
          <w:sz w:val="22"/>
          <w:szCs w:val="22"/>
        </w:rPr>
      </w:pPr>
      <w:r w:rsidRPr="00B76CC5">
        <w:rPr>
          <w:rFonts w:eastAsia="Calibri"/>
          <w:sz w:val="22"/>
          <w:szCs w:val="22"/>
        </w:rPr>
        <w:t xml:space="preserve">SEDI PARTNERSHIPS 2020 </w:t>
      </w:r>
    </w:p>
    <w:p w14:paraId="74A6606E" w14:textId="784A9FCA" w:rsidR="0038288B" w:rsidRPr="00B76CC5" w:rsidRDefault="0038288B" w:rsidP="0038288B">
      <w:pPr>
        <w:rPr>
          <w:sz w:val="22"/>
          <w:szCs w:val="22"/>
        </w:rPr>
      </w:pPr>
    </w:p>
    <w:p w14:paraId="70F4886D" w14:textId="77777777" w:rsidR="00B76CC5" w:rsidRPr="00B76CC5" w:rsidRDefault="00B76CC5" w:rsidP="00B76CC5">
      <w:pPr>
        <w:tabs>
          <w:tab w:val="left" w:pos="720"/>
        </w:tabs>
        <w:ind w:firstLine="10"/>
        <w:jc w:val="both"/>
        <w:rPr>
          <w:sz w:val="22"/>
          <w:szCs w:val="22"/>
        </w:rPr>
      </w:pPr>
      <w:r w:rsidRPr="00B76CC5">
        <w:rPr>
          <w:sz w:val="22"/>
          <w:szCs w:val="22"/>
        </w:rPr>
        <w:tab/>
      </w:r>
    </w:p>
    <w:p w14:paraId="2DCE52E0" w14:textId="18994082" w:rsidR="0038288B" w:rsidRPr="00B76CC5" w:rsidRDefault="00B76CC5" w:rsidP="00B76CC5">
      <w:pPr>
        <w:tabs>
          <w:tab w:val="left" w:pos="720"/>
          <w:tab w:val="left" w:pos="1440"/>
          <w:tab w:val="left" w:pos="2160"/>
        </w:tabs>
        <w:ind w:firstLine="10"/>
        <w:jc w:val="both"/>
        <w:rPr>
          <w:sz w:val="22"/>
          <w:szCs w:val="22"/>
        </w:rPr>
      </w:pPr>
      <w:r w:rsidRPr="00B76CC5">
        <w:rPr>
          <w:sz w:val="22"/>
          <w:szCs w:val="22"/>
        </w:rPr>
        <w:tab/>
      </w:r>
      <w:r w:rsidR="0038288B" w:rsidRPr="00B76CC5">
        <w:rPr>
          <w:sz w:val="22"/>
          <w:szCs w:val="22"/>
        </w:rPr>
        <w:t xml:space="preserve">Overcoming the daunting economic and social challenges that our member states face and which have been exacerbated by the COVID‐19 pandemic, requires strong multi‐sectoral, multi stakeholder partnerships that can harness expertise, knowledge, funding, and other resources necessary to build back resilient and inclusive economies. </w:t>
      </w:r>
    </w:p>
    <w:p w14:paraId="5F4E190A" w14:textId="77777777" w:rsidR="0038288B" w:rsidRPr="00B76CC5" w:rsidRDefault="0038288B" w:rsidP="00B76CC5">
      <w:pPr>
        <w:tabs>
          <w:tab w:val="left" w:pos="720"/>
          <w:tab w:val="left" w:pos="1440"/>
          <w:tab w:val="left" w:pos="2160"/>
        </w:tabs>
        <w:jc w:val="both"/>
        <w:rPr>
          <w:sz w:val="22"/>
          <w:szCs w:val="22"/>
        </w:rPr>
      </w:pPr>
      <w:r w:rsidRPr="00B76CC5">
        <w:rPr>
          <w:sz w:val="22"/>
          <w:szCs w:val="22"/>
        </w:rPr>
        <w:t xml:space="preserve"> </w:t>
      </w:r>
    </w:p>
    <w:p w14:paraId="52238147" w14:textId="4DA13B97" w:rsidR="0038288B" w:rsidRPr="00B76CC5" w:rsidRDefault="00B76CC5" w:rsidP="00B76CC5">
      <w:pPr>
        <w:tabs>
          <w:tab w:val="left" w:pos="720"/>
          <w:tab w:val="left" w:pos="1440"/>
          <w:tab w:val="left" w:pos="2160"/>
        </w:tabs>
        <w:ind w:left="-15" w:right="-13" w:firstLine="25"/>
        <w:jc w:val="both"/>
        <w:rPr>
          <w:sz w:val="22"/>
          <w:szCs w:val="22"/>
        </w:rPr>
      </w:pPr>
      <w:r w:rsidRPr="00B76CC5">
        <w:rPr>
          <w:sz w:val="22"/>
          <w:szCs w:val="22"/>
        </w:rPr>
        <w:tab/>
      </w:r>
      <w:r w:rsidR="0038288B" w:rsidRPr="00B76CC5">
        <w:rPr>
          <w:sz w:val="22"/>
          <w:szCs w:val="22"/>
        </w:rPr>
        <w:t>The</w:t>
      </w:r>
      <w:r w:rsidRPr="00B76CC5">
        <w:rPr>
          <w:sz w:val="22"/>
          <w:szCs w:val="22"/>
        </w:rPr>
        <w:t xml:space="preserve"> Executive Secretariat for Integral Development of the Organization of American States (</w:t>
      </w:r>
      <w:r w:rsidR="0038288B" w:rsidRPr="00B76CC5">
        <w:rPr>
          <w:sz w:val="22"/>
          <w:szCs w:val="22"/>
        </w:rPr>
        <w:t>OAS/SEDI</w:t>
      </w:r>
      <w:r w:rsidRPr="00B76CC5">
        <w:rPr>
          <w:sz w:val="22"/>
          <w:szCs w:val="22"/>
        </w:rPr>
        <w:t>)</w:t>
      </w:r>
      <w:r w:rsidR="0038288B" w:rsidRPr="00B76CC5">
        <w:rPr>
          <w:sz w:val="22"/>
          <w:szCs w:val="22"/>
        </w:rPr>
        <w:t xml:space="preserve"> has developed concrete partnerships to expand our reach and impact in member states. Our partners are diverse and provide a wide range of support from direct technical assistance, mentoring, training and capacity building, and access to tools and services, they include the private sector, universities, development banks, think‐tanks, foundations and other actors.  </w:t>
      </w:r>
    </w:p>
    <w:p w14:paraId="3723692B" w14:textId="77777777" w:rsidR="0038288B" w:rsidRPr="00B76CC5" w:rsidRDefault="0038288B" w:rsidP="00B76CC5">
      <w:pPr>
        <w:tabs>
          <w:tab w:val="left" w:pos="720"/>
          <w:tab w:val="left" w:pos="1440"/>
          <w:tab w:val="left" w:pos="2160"/>
        </w:tabs>
        <w:jc w:val="both"/>
        <w:rPr>
          <w:sz w:val="22"/>
          <w:szCs w:val="22"/>
        </w:rPr>
      </w:pPr>
      <w:r w:rsidRPr="00B76CC5">
        <w:rPr>
          <w:sz w:val="22"/>
          <w:szCs w:val="22"/>
        </w:rPr>
        <w:t xml:space="preserve"> </w:t>
      </w:r>
    </w:p>
    <w:p w14:paraId="2E9CBBC2" w14:textId="77777777" w:rsidR="00B76CC5" w:rsidRPr="00B76CC5" w:rsidRDefault="00B76CC5" w:rsidP="00B76CC5">
      <w:pPr>
        <w:tabs>
          <w:tab w:val="left" w:pos="720"/>
          <w:tab w:val="left" w:pos="1440"/>
          <w:tab w:val="left" w:pos="2160"/>
        </w:tabs>
        <w:ind w:left="-15" w:right="-13"/>
        <w:jc w:val="both"/>
        <w:rPr>
          <w:sz w:val="22"/>
          <w:szCs w:val="22"/>
        </w:rPr>
      </w:pPr>
      <w:r w:rsidRPr="00B76CC5">
        <w:rPr>
          <w:sz w:val="22"/>
          <w:szCs w:val="22"/>
        </w:rPr>
        <w:tab/>
      </w:r>
      <w:r w:rsidR="0038288B" w:rsidRPr="00B76CC5">
        <w:rPr>
          <w:sz w:val="22"/>
          <w:szCs w:val="22"/>
        </w:rPr>
        <w:t xml:space="preserve">Given the limited time I will highlight only a few of our partners at today’s meeting with some information on the joint impact that we are having in our region. As I speak, we continue to build partnerships and I am encouraged with the potential for expanding our pool of partners going forward. Based on recent discussions with many actors, I can confirm that agendas are aligning. Public officials, the international community, businesspersons, institutions, and companies are all poised to collaborate and work together ‐ the potential for growth and for expanding our reach through partnerships is trending in the right direction.  </w:t>
      </w:r>
    </w:p>
    <w:p w14:paraId="33E68DFA" w14:textId="77777777" w:rsidR="00B76CC5" w:rsidRPr="00B76CC5" w:rsidRDefault="00B76CC5" w:rsidP="00B76CC5">
      <w:pPr>
        <w:tabs>
          <w:tab w:val="left" w:pos="720"/>
          <w:tab w:val="left" w:pos="1440"/>
          <w:tab w:val="left" w:pos="2160"/>
        </w:tabs>
        <w:ind w:left="-15" w:right="-13"/>
        <w:jc w:val="both"/>
        <w:rPr>
          <w:sz w:val="22"/>
          <w:szCs w:val="22"/>
        </w:rPr>
      </w:pPr>
    </w:p>
    <w:p w14:paraId="5407581A" w14:textId="566D230D" w:rsidR="0038288B" w:rsidRPr="00B76CC5" w:rsidRDefault="0038288B" w:rsidP="00B76CC5">
      <w:pPr>
        <w:tabs>
          <w:tab w:val="left" w:pos="720"/>
          <w:tab w:val="left" w:pos="1440"/>
          <w:tab w:val="left" w:pos="2160"/>
        </w:tabs>
        <w:ind w:left="-15" w:right="-13"/>
        <w:jc w:val="both"/>
        <w:rPr>
          <w:sz w:val="22"/>
          <w:szCs w:val="22"/>
        </w:rPr>
      </w:pPr>
      <w:r w:rsidRPr="00497D4E">
        <w:rPr>
          <w:b/>
          <w:sz w:val="22"/>
          <w:szCs w:val="22"/>
        </w:rPr>
        <w:t>DEPARTMENT OF ECONOMIC DEVELOPMENT (DED</w:t>
      </w:r>
      <w:r w:rsidRPr="00B76CC5">
        <w:rPr>
          <w:sz w:val="22"/>
          <w:szCs w:val="22"/>
        </w:rPr>
        <w:t>)</w:t>
      </w:r>
      <w:r w:rsidRPr="00B76CC5">
        <w:rPr>
          <w:sz w:val="22"/>
          <w:szCs w:val="22"/>
          <w:u w:color="000000"/>
        </w:rPr>
        <w:t xml:space="preserve"> </w:t>
      </w:r>
    </w:p>
    <w:p w14:paraId="38CBB08B" w14:textId="667F75BE" w:rsidR="0038288B" w:rsidRPr="00B76CC5" w:rsidRDefault="0038288B" w:rsidP="00B76CC5">
      <w:pPr>
        <w:tabs>
          <w:tab w:val="left" w:pos="720"/>
          <w:tab w:val="left" w:pos="1440"/>
          <w:tab w:val="left" w:pos="2160"/>
        </w:tabs>
        <w:jc w:val="both"/>
        <w:rPr>
          <w:sz w:val="22"/>
          <w:szCs w:val="22"/>
        </w:rPr>
      </w:pPr>
    </w:p>
    <w:p w14:paraId="794088D4" w14:textId="7999D54D" w:rsidR="0038288B" w:rsidRPr="00B76CC5" w:rsidRDefault="00B76CC5" w:rsidP="00B76CC5">
      <w:pPr>
        <w:tabs>
          <w:tab w:val="left" w:pos="720"/>
          <w:tab w:val="left" w:pos="1440"/>
          <w:tab w:val="left" w:pos="2160"/>
        </w:tabs>
        <w:ind w:left="-15" w:right="-13"/>
        <w:jc w:val="both"/>
        <w:rPr>
          <w:sz w:val="22"/>
          <w:szCs w:val="22"/>
        </w:rPr>
      </w:pPr>
      <w:r w:rsidRPr="00B76CC5">
        <w:rPr>
          <w:rFonts w:eastAsia="Calibri"/>
          <w:b/>
          <w:sz w:val="22"/>
          <w:szCs w:val="22"/>
        </w:rPr>
        <w:tab/>
      </w:r>
      <w:r w:rsidR="0038288B" w:rsidRPr="00B76CC5">
        <w:rPr>
          <w:rFonts w:eastAsia="Calibri"/>
          <w:b/>
          <w:sz w:val="22"/>
          <w:szCs w:val="22"/>
        </w:rPr>
        <w:t xml:space="preserve">MSMEs: </w:t>
      </w:r>
      <w:r w:rsidR="0038288B" w:rsidRPr="00B76CC5">
        <w:rPr>
          <w:sz w:val="22"/>
          <w:szCs w:val="22"/>
        </w:rPr>
        <w:t xml:space="preserve">The weight of stronger, more productive, competitive, and digitalized micro, small, and medium‐sized enterprises (MSMEs) for our region’s economic and social recovery cannot be overstated.  </w:t>
      </w:r>
    </w:p>
    <w:p w14:paraId="3BCE2008" w14:textId="77777777" w:rsidR="0038288B" w:rsidRPr="00B76CC5" w:rsidRDefault="0038288B" w:rsidP="00B76CC5">
      <w:pPr>
        <w:tabs>
          <w:tab w:val="left" w:pos="720"/>
          <w:tab w:val="left" w:pos="1440"/>
          <w:tab w:val="left" w:pos="2160"/>
        </w:tabs>
        <w:jc w:val="both"/>
        <w:rPr>
          <w:sz w:val="22"/>
          <w:szCs w:val="22"/>
        </w:rPr>
      </w:pPr>
      <w:r w:rsidRPr="00B76CC5">
        <w:rPr>
          <w:sz w:val="22"/>
          <w:szCs w:val="22"/>
        </w:rPr>
        <w:t xml:space="preserve"> </w:t>
      </w:r>
    </w:p>
    <w:p w14:paraId="6DAFA5D9" w14:textId="77777777" w:rsidR="0038288B" w:rsidRPr="00B76CC5" w:rsidRDefault="0038288B" w:rsidP="00B76CC5">
      <w:pPr>
        <w:numPr>
          <w:ilvl w:val="0"/>
          <w:numId w:val="22"/>
        </w:numPr>
        <w:tabs>
          <w:tab w:val="left" w:pos="720"/>
          <w:tab w:val="left" w:pos="1440"/>
          <w:tab w:val="left" w:pos="2160"/>
        </w:tabs>
        <w:ind w:left="1440" w:right="-13" w:hanging="720"/>
        <w:jc w:val="both"/>
        <w:rPr>
          <w:sz w:val="22"/>
          <w:szCs w:val="22"/>
        </w:rPr>
      </w:pPr>
      <w:r w:rsidRPr="00B76CC5">
        <w:rPr>
          <w:sz w:val="22"/>
          <w:szCs w:val="22"/>
        </w:rPr>
        <w:t xml:space="preserve">Our long‐standing partnership with the </w:t>
      </w:r>
      <w:r w:rsidRPr="00B76CC5">
        <w:rPr>
          <w:rFonts w:eastAsia="Calibri"/>
          <w:b/>
          <w:sz w:val="22"/>
          <w:szCs w:val="22"/>
        </w:rPr>
        <w:t>Permanent Mission of the United States to the OAS</w:t>
      </w:r>
      <w:r w:rsidRPr="00B76CC5">
        <w:rPr>
          <w:sz w:val="22"/>
          <w:szCs w:val="22"/>
        </w:rPr>
        <w:t xml:space="preserve"> has supported and funded the implementation of the </w:t>
      </w:r>
      <w:r w:rsidRPr="00B76CC5">
        <w:rPr>
          <w:rFonts w:eastAsia="Calibri"/>
          <w:sz w:val="22"/>
          <w:szCs w:val="22"/>
        </w:rPr>
        <w:t xml:space="preserve">Caribbean SBDC Program </w:t>
      </w:r>
      <w:r w:rsidRPr="00B76CC5">
        <w:rPr>
          <w:sz w:val="22"/>
          <w:szCs w:val="22"/>
        </w:rPr>
        <w:t xml:space="preserve">since 2012, enabling the delivery of standardized quality technical assistance by MSME support institutions to clients in a manner that provides measurable results and economic impact. In 2020, over 5,700 small businesses were served, 977 new businesses started and over 12,000 jobs supported in 6 CARICOM countries. Sales revenue amounted to more than $67 million and profits generated topped $7 million. In recent years, significant efforts have been undertaken to coordinate with other donors and partners to leverage funding. Partnerships with the </w:t>
      </w:r>
      <w:r w:rsidRPr="00B76CC5">
        <w:rPr>
          <w:rFonts w:eastAsia="Calibri"/>
          <w:b/>
          <w:sz w:val="22"/>
          <w:szCs w:val="22"/>
        </w:rPr>
        <w:t>Caribbean Export Development Agency</w:t>
      </w:r>
      <w:r w:rsidRPr="00B76CC5">
        <w:rPr>
          <w:sz w:val="22"/>
          <w:szCs w:val="22"/>
        </w:rPr>
        <w:t xml:space="preserve"> and the IDB‐funded </w:t>
      </w:r>
      <w:r w:rsidRPr="00B76CC5">
        <w:rPr>
          <w:rFonts w:eastAsia="Calibri"/>
          <w:b/>
          <w:sz w:val="22"/>
          <w:szCs w:val="22"/>
        </w:rPr>
        <w:t>Compete Caribbean Program</w:t>
      </w:r>
      <w:r w:rsidRPr="00B76CC5">
        <w:rPr>
          <w:sz w:val="22"/>
          <w:szCs w:val="22"/>
        </w:rPr>
        <w:t xml:space="preserve"> in the area of capacity building, for example, have provided critical support and resources to existing SBDC programs, and in so doing, has augured towards their future sustainability. </w:t>
      </w:r>
    </w:p>
    <w:p w14:paraId="067A78F6" w14:textId="3FF8386B" w:rsidR="0038288B" w:rsidRPr="00B76CC5" w:rsidRDefault="0038288B" w:rsidP="00B76CC5">
      <w:pPr>
        <w:tabs>
          <w:tab w:val="left" w:pos="720"/>
          <w:tab w:val="left" w:pos="1440"/>
          <w:tab w:val="left" w:pos="2160"/>
        </w:tabs>
        <w:ind w:left="360"/>
        <w:jc w:val="both"/>
        <w:rPr>
          <w:sz w:val="22"/>
          <w:szCs w:val="22"/>
        </w:rPr>
      </w:pPr>
    </w:p>
    <w:p w14:paraId="237F240D" w14:textId="77777777" w:rsidR="0038288B" w:rsidRPr="00B76CC5" w:rsidRDefault="0038288B" w:rsidP="00B76CC5">
      <w:pPr>
        <w:numPr>
          <w:ilvl w:val="0"/>
          <w:numId w:val="22"/>
        </w:numPr>
        <w:tabs>
          <w:tab w:val="left" w:pos="720"/>
          <w:tab w:val="left" w:pos="1440"/>
          <w:tab w:val="left" w:pos="2160"/>
        </w:tabs>
        <w:ind w:left="1440" w:right="-13" w:hanging="720"/>
        <w:jc w:val="both"/>
        <w:rPr>
          <w:sz w:val="22"/>
          <w:szCs w:val="22"/>
        </w:rPr>
      </w:pPr>
      <w:r w:rsidRPr="00B76CC5">
        <w:rPr>
          <w:sz w:val="22"/>
          <w:szCs w:val="22"/>
        </w:rPr>
        <w:lastRenderedPageBreak/>
        <w:t xml:space="preserve">Customized virtual training programs for MSMEs will be available at the beginning of 2021 through a partnership with </w:t>
      </w:r>
      <w:r w:rsidRPr="00B76CC5">
        <w:rPr>
          <w:rFonts w:eastAsia="Calibri"/>
          <w:b/>
          <w:sz w:val="22"/>
          <w:szCs w:val="22"/>
        </w:rPr>
        <w:t xml:space="preserve">WhatApps, </w:t>
      </w:r>
      <w:r w:rsidRPr="00B76CC5">
        <w:rPr>
          <w:sz w:val="22"/>
          <w:szCs w:val="22"/>
        </w:rPr>
        <w:t xml:space="preserve">and collaboration with </w:t>
      </w:r>
      <w:r w:rsidRPr="00B76CC5">
        <w:rPr>
          <w:rFonts w:eastAsia="Calibri"/>
          <w:b/>
          <w:sz w:val="22"/>
          <w:szCs w:val="22"/>
        </w:rPr>
        <w:t>eBay</w:t>
      </w:r>
      <w:r w:rsidRPr="00B76CC5">
        <w:rPr>
          <w:sz w:val="22"/>
          <w:szCs w:val="22"/>
        </w:rPr>
        <w:t xml:space="preserve"> and </w:t>
      </w:r>
      <w:r w:rsidRPr="00B76CC5">
        <w:rPr>
          <w:rFonts w:eastAsia="Calibri"/>
          <w:b/>
          <w:sz w:val="22"/>
          <w:szCs w:val="22"/>
        </w:rPr>
        <w:t>Google</w:t>
      </w:r>
      <w:r w:rsidRPr="00B76CC5">
        <w:rPr>
          <w:sz w:val="22"/>
          <w:szCs w:val="22"/>
        </w:rPr>
        <w:t xml:space="preserve">. The training will expand MSMEs digital footprint and increase their internationalization efforts and opportunities for engaging in ecommerce. To ensure sustainability, these partnerships also include a train‐thetrainer program for the authorities responsible for supporting the MSME sector. </w:t>
      </w:r>
    </w:p>
    <w:p w14:paraId="5F96C06A" w14:textId="508C55A5" w:rsidR="0038288B" w:rsidRPr="00B76CC5" w:rsidRDefault="0038288B" w:rsidP="00B76CC5">
      <w:pPr>
        <w:tabs>
          <w:tab w:val="left" w:pos="720"/>
          <w:tab w:val="left" w:pos="1440"/>
          <w:tab w:val="left" w:pos="2160"/>
        </w:tabs>
        <w:jc w:val="both"/>
        <w:rPr>
          <w:sz w:val="22"/>
          <w:szCs w:val="22"/>
        </w:rPr>
      </w:pPr>
    </w:p>
    <w:p w14:paraId="35609D77" w14:textId="7B846B22" w:rsidR="0038288B" w:rsidRPr="00B76CC5" w:rsidRDefault="00B76CC5" w:rsidP="00B76CC5">
      <w:pPr>
        <w:tabs>
          <w:tab w:val="left" w:pos="720"/>
          <w:tab w:val="left" w:pos="1440"/>
          <w:tab w:val="left" w:pos="2160"/>
        </w:tabs>
        <w:ind w:left="720" w:hanging="735"/>
        <w:jc w:val="both"/>
        <w:rPr>
          <w:rFonts w:eastAsia="Calibri"/>
          <w:b/>
          <w:sz w:val="22"/>
          <w:szCs w:val="22"/>
        </w:rPr>
      </w:pPr>
      <w:r w:rsidRPr="00B76CC5">
        <w:rPr>
          <w:rFonts w:eastAsia="Calibri"/>
          <w:b/>
          <w:sz w:val="22"/>
          <w:szCs w:val="22"/>
        </w:rPr>
        <w:tab/>
      </w:r>
      <w:r w:rsidR="0038288B" w:rsidRPr="00B76CC5">
        <w:rPr>
          <w:rFonts w:eastAsia="Calibri"/>
          <w:b/>
          <w:sz w:val="22"/>
          <w:szCs w:val="22"/>
        </w:rPr>
        <w:t xml:space="preserve">Competitiveness, Productivity, and Innovation: </w:t>
      </w:r>
    </w:p>
    <w:p w14:paraId="19165A23" w14:textId="77777777" w:rsidR="00B76CC5" w:rsidRPr="00B76CC5" w:rsidRDefault="00B76CC5" w:rsidP="00B76CC5">
      <w:pPr>
        <w:tabs>
          <w:tab w:val="left" w:pos="720"/>
          <w:tab w:val="left" w:pos="1440"/>
          <w:tab w:val="left" w:pos="2160"/>
        </w:tabs>
        <w:ind w:left="-5" w:hanging="10"/>
        <w:jc w:val="both"/>
        <w:rPr>
          <w:sz w:val="22"/>
          <w:szCs w:val="22"/>
        </w:rPr>
      </w:pPr>
    </w:p>
    <w:p w14:paraId="5685BAD7" w14:textId="77777777" w:rsidR="0038288B" w:rsidRPr="00B76CC5" w:rsidRDefault="0038288B" w:rsidP="00B76CC5">
      <w:pPr>
        <w:numPr>
          <w:ilvl w:val="0"/>
          <w:numId w:val="22"/>
        </w:numPr>
        <w:tabs>
          <w:tab w:val="left" w:pos="720"/>
          <w:tab w:val="left" w:pos="1440"/>
          <w:tab w:val="left" w:pos="2160"/>
        </w:tabs>
        <w:ind w:left="1440" w:right="-13" w:hanging="720"/>
        <w:jc w:val="both"/>
        <w:rPr>
          <w:sz w:val="22"/>
          <w:szCs w:val="22"/>
        </w:rPr>
      </w:pPr>
      <w:r w:rsidRPr="00B76CC5">
        <w:rPr>
          <w:sz w:val="22"/>
          <w:szCs w:val="22"/>
        </w:rPr>
        <w:t>Our Americas Competitiveness Exchange (ACE), which has become the premier economic development, innovation, and entrepreneurial network in the region would not be possible without the unwavering support of the</w:t>
      </w:r>
      <w:r w:rsidRPr="00B76CC5">
        <w:rPr>
          <w:rFonts w:eastAsia="Calibri"/>
          <w:b/>
          <w:sz w:val="22"/>
          <w:szCs w:val="22"/>
        </w:rPr>
        <w:t xml:space="preserve"> U.S. Department of Commerce</w:t>
      </w:r>
      <w:r w:rsidRPr="00B76CC5">
        <w:rPr>
          <w:sz w:val="22"/>
          <w:szCs w:val="22"/>
        </w:rPr>
        <w:t xml:space="preserve"> and </w:t>
      </w:r>
      <w:r w:rsidRPr="00B76CC5">
        <w:rPr>
          <w:rFonts w:eastAsia="Calibri"/>
          <w:b/>
          <w:sz w:val="22"/>
          <w:szCs w:val="22"/>
        </w:rPr>
        <w:t>U.S. Permanent Mission to the OAS</w:t>
      </w:r>
      <w:r w:rsidRPr="00B76CC5">
        <w:rPr>
          <w:sz w:val="22"/>
          <w:szCs w:val="22"/>
        </w:rPr>
        <w:t xml:space="preserve">. The ACE program focuses on sharing good practices and opportunities to promote actionable partnerships between senior‐level decision‐makers from across the Americas and top innovation hubs, advanced research and technology centers, cuttingedge companies, and leading academic institutions visited in each edition of the ACE. 12 successful editions have been held since 2014 showcasing 57 regions and 900+ projects, benefiting over 36,500 entrepreneurs and recipients from accelerator programs, and creating 1,000+ jobs. </w:t>
      </w:r>
    </w:p>
    <w:p w14:paraId="635DB76D" w14:textId="77777777" w:rsidR="0038288B" w:rsidRPr="00B76CC5" w:rsidRDefault="0038288B" w:rsidP="00B76CC5">
      <w:pPr>
        <w:tabs>
          <w:tab w:val="left" w:pos="720"/>
          <w:tab w:val="left" w:pos="1440"/>
          <w:tab w:val="left" w:pos="2160"/>
        </w:tabs>
        <w:jc w:val="both"/>
        <w:rPr>
          <w:sz w:val="22"/>
          <w:szCs w:val="22"/>
        </w:rPr>
      </w:pPr>
      <w:r w:rsidRPr="00B76CC5">
        <w:rPr>
          <w:sz w:val="22"/>
          <w:szCs w:val="22"/>
        </w:rPr>
        <w:t xml:space="preserve"> </w:t>
      </w:r>
    </w:p>
    <w:p w14:paraId="1D52AAF7" w14:textId="77777777" w:rsidR="0038288B" w:rsidRPr="00B76CC5" w:rsidRDefault="0038288B" w:rsidP="00B76CC5">
      <w:pPr>
        <w:numPr>
          <w:ilvl w:val="0"/>
          <w:numId w:val="22"/>
        </w:numPr>
        <w:tabs>
          <w:tab w:val="left" w:pos="720"/>
          <w:tab w:val="left" w:pos="1440"/>
          <w:tab w:val="left" w:pos="2160"/>
        </w:tabs>
        <w:ind w:left="1440" w:right="-13" w:hanging="720"/>
        <w:jc w:val="both"/>
        <w:rPr>
          <w:sz w:val="22"/>
          <w:szCs w:val="22"/>
        </w:rPr>
      </w:pPr>
      <w:r w:rsidRPr="00B76CC5">
        <w:rPr>
          <w:rFonts w:eastAsia="Calibri"/>
          <w:b/>
          <w:sz w:val="22"/>
          <w:szCs w:val="22"/>
        </w:rPr>
        <w:t>Walmart and CONAMER (National Commission for Regulatory Reform) of Mexico</w:t>
      </w:r>
      <w:r w:rsidRPr="00B76CC5">
        <w:rPr>
          <w:sz w:val="22"/>
          <w:szCs w:val="22"/>
        </w:rPr>
        <w:t xml:space="preserve"> have provided technical and financial resources and capacity building in the context of the RIAC Group of Experts on Subnational Competitiveness (GTECS) to advance the sharing of good regulatory practices on construction permitting and the launch of</w:t>
      </w:r>
      <w:r w:rsidRPr="00B76CC5">
        <w:rPr>
          <w:rFonts w:eastAsia="Calibri"/>
          <w:b/>
          <w:sz w:val="22"/>
          <w:szCs w:val="22"/>
        </w:rPr>
        <w:t xml:space="preserve"> </w:t>
      </w:r>
      <w:r w:rsidRPr="00B76CC5">
        <w:rPr>
          <w:sz w:val="22"/>
          <w:szCs w:val="22"/>
        </w:rPr>
        <w:t xml:space="preserve">an Inter‐American Construction Permits Certification Pilot Program to support countries with the implementation of a single window process. Four countries have indicated their interest in joining the Pilot Program: Guatemala, El Salvador, Colombia, and Honduras.  </w:t>
      </w:r>
    </w:p>
    <w:p w14:paraId="07757B75" w14:textId="0373B553" w:rsidR="0038288B" w:rsidRPr="00B76CC5" w:rsidRDefault="0038288B" w:rsidP="00B76CC5">
      <w:pPr>
        <w:tabs>
          <w:tab w:val="left" w:pos="720"/>
          <w:tab w:val="left" w:pos="1440"/>
          <w:tab w:val="left" w:pos="2160"/>
        </w:tabs>
        <w:jc w:val="both"/>
        <w:rPr>
          <w:sz w:val="22"/>
          <w:szCs w:val="22"/>
        </w:rPr>
      </w:pPr>
    </w:p>
    <w:p w14:paraId="410DF40C" w14:textId="3B62BC51" w:rsidR="0038288B" w:rsidRPr="00B76CC5" w:rsidRDefault="00B76CC5" w:rsidP="00B76CC5">
      <w:pPr>
        <w:tabs>
          <w:tab w:val="left" w:pos="720"/>
          <w:tab w:val="left" w:pos="1440"/>
          <w:tab w:val="left" w:pos="2160"/>
        </w:tabs>
        <w:ind w:left="720" w:hanging="10"/>
        <w:jc w:val="both"/>
        <w:rPr>
          <w:b/>
          <w:sz w:val="22"/>
          <w:szCs w:val="22"/>
        </w:rPr>
      </w:pPr>
      <w:r w:rsidRPr="00B76CC5">
        <w:rPr>
          <w:rFonts w:eastAsia="Calibri"/>
          <w:b/>
          <w:sz w:val="22"/>
          <w:szCs w:val="22"/>
        </w:rPr>
        <w:t>Science and Technology:</w:t>
      </w:r>
    </w:p>
    <w:p w14:paraId="292EC17E" w14:textId="77777777" w:rsidR="00B76CC5" w:rsidRPr="00B76CC5" w:rsidRDefault="00B76CC5" w:rsidP="00B76CC5">
      <w:pPr>
        <w:tabs>
          <w:tab w:val="left" w:pos="720"/>
          <w:tab w:val="left" w:pos="1440"/>
          <w:tab w:val="left" w:pos="2160"/>
        </w:tabs>
        <w:ind w:left="360" w:right="-13"/>
        <w:jc w:val="both"/>
        <w:rPr>
          <w:sz w:val="22"/>
          <w:szCs w:val="22"/>
        </w:rPr>
      </w:pPr>
    </w:p>
    <w:p w14:paraId="4F584135" w14:textId="041AE427" w:rsidR="0038288B" w:rsidRPr="00B76CC5" w:rsidRDefault="0038288B" w:rsidP="00B76CC5">
      <w:pPr>
        <w:numPr>
          <w:ilvl w:val="0"/>
          <w:numId w:val="22"/>
        </w:numPr>
        <w:tabs>
          <w:tab w:val="left" w:pos="720"/>
          <w:tab w:val="left" w:pos="1440"/>
          <w:tab w:val="left" w:pos="2160"/>
        </w:tabs>
        <w:ind w:left="1440" w:right="-13" w:hanging="720"/>
        <w:jc w:val="both"/>
        <w:rPr>
          <w:sz w:val="22"/>
          <w:szCs w:val="22"/>
        </w:rPr>
      </w:pPr>
      <w:r w:rsidRPr="00B76CC5">
        <w:rPr>
          <w:color w:val="333333"/>
          <w:sz w:val="22"/>
          <w:szCs w:val="22"/>
        </w:rPr>
        <w:t xml:space="preserve">The </w:t>
      </w:r>
      <w:r w:rsidRPr="00B76CC5">
        <w:rPr>
          <w:rFonts w:eastAsia="Calibri"/>
          <w:b/>
          <w:sz w:val="22"/>
          <w:szCs w:val="22"/>
        </w:rPr>
        <w:t xml:space="preserve">National Council of Science, Technology and Technological Innovation (CONCYTEC) of Peru </w:t>
      </w:r>
      <w:r w:rsidRPr="00B76CC5">
        <w:rPr>
          <w:sz w:val="22"/>
          <w:szCs w:val="22"/>
        </w:rPr>
        <w:t xml:space="preserve">helped launch </w:t>
      </w:r>
      <w:r w:rsidRPr="00B76CC5">
        <w:rPr>
          <w:rFonts w:eastAsia="Calibri"/>
          <w:sz w:val="22"/>
          <w:szCs w:val="22"/>
        </w:rPr>
        <w:t xml:space="preserve">Prospecta Americas </w:t>
      </w:r>
      <w:r w:rsidRPr="00B76CC5">
        <w:rPr>
          <w:sz w:val="22"/>
          <w:szCs w:val="22"/>
        </w:rPr>
        <w:t xml:space="preserve">in 2019, an OAS regional platform which aims to map trends and future technological developments in sectors of critical importance for the Americas, and to provide inputs to OAS member states in the formulation of public policies. Prospecta Americas follows a partnerships‐based approach, that will lead to the establishment of 10 Centers of Excellence across the region to facilitate hemispheric research, collaboration, and social appropriation of transformative technologies such as Artificial Intelligence, Big Data, Blockchain, Quantum Computing, Gene Editing and others. Brazil, Colombia, Costa Rica, Chile, Mexico, and Peru have expressed interest in hosting such Centers. The State of Hidalgo, Mexico, has offered to host </w:t>
      </w:r>
      <w:r w:rsidRPr="00B76CC5">
        <w:rPr>
          <w:rFonts w:eastAsia="Calibri"/>
          <w:sz w:val="22"/>
          <w:szCs w:val="22"/>
        </w:rPr>
        <w:t>Prospecta Americas</w:t>
      </w:r>
      <w:r w:rsidRPr="00B76CC5">
        <w:rPr>
          <w:sz w:val="22"/>
          <w:szCs w:val="22"/>
        </w:rPr>
        <w:t xml:space="preserve"> in 2021. </w:t>
      </w:r>
    </w:p>
    <w:p w14:paraId="07CA67B9" w14:textId="1A26DA02" w:rsidR="0038288B" w:rsidRPr="00B76CC5" w:rsidRDefault="0038288B" w:rsidP="00B76CC5">
      <w:pPr>
        <w:tabs>
          <w:tab w:val="left" w:pos="720"/>
          <w:tab w:val="left" w:pos="1440"/>
          <w:tab w:val="left" w:pos="2160"/>
        </w:tabs>
        <w:ind w:left="1440" w:hanging="720"/>
        <w:jc w:val="both"/>
        <w:rPr>
          <w:sz w:val="22"/>
          <w:szCs w:val="22"/>
        </w:rPr>
      </w:pPr>
    </w:p>
    <w:p w14:paraId="7AF9D309" w14:textId="1EE485D3" w:rsidR="0038288B" w:rsidRPr="00B76CC5" w:rsidRDefault="0038288B" w:rsidP="00B76CC5">
      <w:pPr>
        <w:tabs>
          <w:tab w:val="left" w:pos="720"/>
          <w:tab w:val="left" w:pos="1440"/>
          <w:tab w:val="left" w:pos="2160"/>
        </w:tabs>
        <w:ind w:left="1440" w:hanging="720"/>
        <w:jc w:val="both"/>
        <w:rPr>
          <w:rFonts w:eastAsia="Calibri"/>
          <w:b/>
          <w:sz w:val="22"/>
          <w:szCs w:val="22"/>
        </w:rPr>
      </w:pPr>
      <w:r w:rsidRPr="00B76CC5">
        <w:rPr>
          <w:rFonts w:eastAsia="Calibri"/>
          <w:b/>
          <w:sz w:val="22"/>
          <w:szCs w:val="22"/>
        </w:rPr>
        <w:t>Tourism and Culture:</w:t>
      </w:r>
    </w:p>
    <w:p w14:paraId="3FEEA54D" w14:textId="77777777" w:rsidR="00B76CC5" w:rsidRPr="00B76CC5" w:rsidRDefault="00B76CC5" w:rsidP="00B76CC5">
      <w:pPr>
        <w:tabs>
          <w:tab w:val="left" w:pos="720"/>
          <w:tab w:val="left" w:pos="1440"/>
          <w:tab w:val="left" w:pos="2160"/>
        </w:tabs>
        <w:ind w:left="1440" w:hanging="720"/>
        <w:jc w:val="both"/>
        <w:rPr>
          <w:sz w:val="22"/>
          <w:szCs w:val="22"/>
        </w:rPr>
      </w:pPr>
    </w:p>
    <w:p w14:paraId="5D21EE43" w14:textId="77777777" w:rsidR="0038288B" w:rsidRPr="00B76CC5" w:rsidRDefault="0038288B" w:rsidP="00B76CC5">
      <w:pPr>
        <w:numPr>
          <w:ilvl w:val="0"/>
          <w:numId w:val="22"/>
        </w:numPr>
        <w:tabs>
          <w:tab w:val="left" w:pos="720"/>
          <w:tab w:val="left" w:pos="1440"/>
          <w:tab w:val="left" w:pos="2160"/>
        </w:tabs>
        <w:ind w:left="1440" w:right="-13" w:hanging="720"/>
        <w:jc w:val="both"/>
        <w:rPr>
          <w:sz w:val="22"/>
          <w:szCs w:val="22"/>
        </w:rPr>
      </w:pPr>
      <w:r w:rsidRPr="00B76CC5">
        <w:rPr>
          <w:sz w:val="22"/>
          <w:szCs w:val="22"/>
        </w:rPr>
        <w:t xml:space="preserve">We are working in partnership with the </w:t>
      </w:r>
      <w:r w:rsidRPr="00B76CC5">
        <w:rPr>
          <w:rFonts w:eastAsia="Calibri"/>
          <w:b/>
          <w:sz w:val="22"/>
          <w:szCs w:val="22"/>
        </w:rPr>
        <w:t>United Nations World Tourism Organization (UNWTO)</w:t>
      </w:r>
      <w:r w:rsidRPr="00B76CC5">
        <w:rPr>
          <w:sz w:val="22"/>
          <w:szCs w:val="22"/>
        </w:rPr>
        <w:t xml:space="preserve"> to offer joint capacity building opportunities and generate </w:t>
      </w:r>
      <w:r w:rsidRPr="00B76CC5">
        <w:rPr>
          <w:sz w:val="22"/>
          <w:szCs w:val="22"/>
        </w:rPr>
        <w:lastRenderedPageBreak/>
        <w:t xml:space="preserve">knowledge products for OAS member states, particularly in support of the 2030 Agenda. A recent joint publication on </w:t>
      </w:r>
      <w:r w:rsidRPr="00B76CC5">
        <w:rPr>
          <w:rFonts w:eastAsia="Calibri"/>
          <w:sz w:val="22"/>
          <w:szCs w:val="22"/>
        </w:rPr>
        <w:t xml:space="preserve">“Tourism and the Sustainable Development Goals: Good Practices in the Americas” </w:t>
      </w:r>
      <w:r w:rsidRPr="00B76CC5">
        <w:rPr>
          <w:sz w:val="22"/>
          <w:szCs w:val="22"/>
        </w:rPr>
        <w:t xml:space="preserve">highlighted actions and progress in tourism institutions in OAS member states in support of the SDGs. </w:t>
      </w:r>
    </w:p>
    <w:p w14:paraId="79BE730D" w14:textId="465C4635" w:rsidR="0038288B" w:rsidRPr="00B76CC5" w:rsidRDefault="0038288B" w:rsidP="00B76CC5">
      <w:pPr>
        <w:tabs>
          <w:tab w:val="left" w:pos="720"/>
          <w:tab w:val="left" w:pos="1440"/>
          <w:tab w:val="left" w:pos="2160"/>
        </w:tabs>
        <w:jc w:val="both"/>
        <w:rPr>
          <w:sz w:val="22"/>
          <w:szCs w:val="22"/>
        </w:rPr>
      </w:pPr>
    </w:p>
    <w:p w14:paraId="63E7F636" w14:textId="77777777" w:rsidR="00B76CC5" w:rsidRPr="00B76CC5" w:rsidRDefault="0038288B" w:rsidP="00B76CC5">
      <w:pPr>
        <w:numPr>
          <w:ilvl w:val="0"/>
          <w:numId w:val="22"/>
        </w:numPr>
        <w:tabs>
          <w:tab w:val="left" w:pos="720"/>
          <w:tab w:val="left" w:pos="1440"/>
          <w:tab w:val="left" w:pos="2160"/>
        </w:tabs>
        <w:ind w:left="1440" w:right="-13" w:hanging="720"/>
        <w:jc w:val="both"/>
        <w:rPr>
          <w:sz w:val="22"/>
          <w:szCs w:val="22"/>
        </w:rPr>
      </w:pPr>
      <w:r w:rsidRPr="00B76CC5">
        <w:rPr>
          <w:sz w:val="22"/>
          <w:szCs w:val="22"/>
        </w:rPr>
        <w:t xml:space="preserve">The </w:t>
      </w:r>
      <w:r w:rsidRPr="00B76CC5">
        <w:rPr>
          <w:rFonts w:eastAsia="Calibri"/>
          <w:b/>
          <w:sz w:val="22"/>
          <w:szCs w:val="22"/>
        </w:rPr>
        <w:t>George Washington University</w:t>
      </w:r>
      <w:r w:rsidRPr="00B76CC5">
        <w:rPr>
          <w:sz w:val="22"/>
          <w:szCs w:val="22"/>
        </w:rPr>
        <w:t xml:space="preserve"> and the </w:t>
      </w:r>
      <w:r w:rsidRPr="00B76CC5">
        <w:rPr>
          <w:rFonts w:eastAsia="Calibri"/>
          <w:b/>
          <w:sz w:val="22"/>
          <w:szCs w:val="22"/>
        </w:rPr>
        <w:t>United States Bureau of Indian Affairs</w:t>
      </w:r>
      <w:r w:rsidRPr="00B76CC5">
        <w:rPr>
          <w:sz w:val="22"/>
          <w:szCs w:val="22"/>
        </w:rPr>
        <w:t xml:space="preserve"> have partnered with us on the organization of the </w:t>
      </w:r>
      <w:r w:rsidRPr="00B76CC5">
        <w:rPr>
          <w:rFonts w:eastAsia="Calibri"/>
          <w:sz w:val="22"/>
          <w:szCs w:val="22"/>
        </w:rPr>
        <w:t>First Indigenous Tourism Forum</w:t>
      </w:r>
      <w:r w:rsidRPr="00B76CC5">
        <w:rPr>
          <w:sz w:val="22"/>
          <w:szCs w:val="22"/>
        </w:rPr>
        <w:t xml:space="preserve"> of the Americas in October 2020. The Forum, and a series of webinars held at the sub‐regional level, helped to build awareness on the need to foster sustainable economic activities in the tourism sector, specifically for historically disadvantaged indigenous communities. It also highlighted the importance of strengthening the institutions responsible for community–based rural tourism and the guidelines for the operation of sustainable community tourism in the Americas ‐ a key constituency of the Inter‐American Committee on Tourism (CITUR).</w:t>
      </w:r>
    </w:p>
    <w:p w14:paraId="00BFB91B" w14:textId="77777777" w:rsidR="00B76CC5" w:rsidRPr="00B76CC5" w:rsidRDefault="00B76CC5" w:rsidP="00B76CC5">
      <w:pPr>
        <w:pStyle w:val="ListParagraph0"/>
        <w:rPr>
          <w:sz w:val="22"/>
          <w:szCs w:val="22"/>
        </w:rPr>
      </w:pPr>
    </w:p>
    <w:p w14:paraId="3CE8928A" w14:textId="25D12793" w:rsidR="0038288B" w:rsidRPr="00B76CC5" w:rsidRDefault="0038288B" w:rsidP="00B76CC5">
      <w:pPr>
        <w:tabs>
          <w:tab w:val="left" w:pos="720"/>
          <w:tab w:val="left" w:pos="1440"/>
          <w:tab w:val="left" w:pos="2160"/>
        </w:tabs>
        <w:ind w:right="-13"/>
        <w:jc w:val="both"/>
        <w:rPr>
          <w:b/>
          <w:sz w:val="22"/>
          <w:szCs w:val="22"/>
        </w:rPr>
      </w:pPr>
      <w:r w:rsidRPr="00B76CC5">
        <w:rPr>
          <w:b/>
          <w:sz w:val="22"/>
          <w:szCs w:val="22"/>
        </w:rPr>
        <w:t>DEPARTMENT OF SUSTAINABLE DEVELOPMENT (DSD)</w:t>
      </w:r>
      <w:r w:rsidRPr="00B76CC5">
        <w:rPr>
          <w:b/>
          <w:sz w:val="22"/>
          <w:szCs w:val="22"/>
          <w:u w:color="000000"/>
        </w:rPr>
        <w:t xml:space="preserve"> </w:t>
      </w:r>
    </w:p>
    <w:p w14:paraId="414A9EEF" w14:textId="6D4E403E" w:rsidR="0038288B" w:rsidRPr="00B76CC5" w:rsidRDefault="0038288B" w:rsidP="00B76CC5">
      <w:pPr>
        <w:tabs>
          <w:tab w:val="left" w:pos="720"/>
          <w:tab w:val="left" w:pos="1440"/>
          <w:tab w:val="left" w:pos="2160"/>
        </w:tabs>
        <w:jc w:val="both"/>
        <w:rPr>
          <w:sz w:val="22"/>
          <w:szCs w:val="22"/>
        </w:rPr>
      </w:pPr>
    </w:p>
    <w:p w14:paraId="66C018C1" w14:textId="65C691CC" w:rsidR="0038288B" w:rsidRDefault="00B76CC5" w:rsidP="00B76CC5">
      <w:pPr>
        <w:tabs>
          <w:tab w:val="left" w:pos="720"/>
          <w:tab w:val="left" w:pos="1440"/>
          <w:tab w:val="left" w:pos="2160"/>
          <w:tab w:val="center" w:pos="2881"/>
        </w:tabs>
        <w:ind w:left="-15"/>
        <w:jc w:val="both"/>
        <w:rPr>
          <w:rFonts w:eastAsia="Calibri"/>
          <w:b/>
          <w:sz w:val="22"/>
          <w:szCs w:val="22"/>
        </w:rPr>
      </w:pPr>
      <w:r>
        <w:rPr>
          <w:rFonts w:eastAsia="Calibri"/>
          <w:b/>
          <w:sz w:val="22"/>
          <w:szCs w:val="22"/>
        </w:rPr>
        <w:tab/>
      </w:r>
      <w:r w:rsidR="0038288B" w:rsidRPr="00B76CC5">
        <w:rPr>
          <w:rFonts w:eastAsia="Calibri"/>
          <w:b/>
          <w:sz w:val="22"/>
          <w:szCs w:val="22"/>
        </w:rPr>
        <w:t>Sustainable Energy:</w:t>
      </w:r>
      <w:r w:rsidRPr="00B76CC5">
        <w:rPr>
          <w:rFonts w:eastAsia="Calibri"/>
          <w:b/>
          <w:sz w:val="22"/>
          <w:szCs w:val="22"/>
        </w:rPr>
        <w:t xml:space="preserve"> </w:t>
      </w:r>
    </w:p>
    <w:p w14:paraId="0DD41A4D" w14:textId="77777777" w:rsidR="00B76CC5" w:rsidRPr="00B76CC5" w:rsidRDefault="00B76CC5" w:rsidP="00B76CC5">
      <w:pPr>
        <w:tabs>
          <w:tab w:val="left" w:pos="720"/>
          <w:tab w:val="left" w:pos="1440"/>
          <w:tab w:val="left" w:pos="2160"/>
          <w:tab w:val="center" w:pos="2881"/>
        </w:tabs>
        <w:ind w:left="-15"/>
        <w:jc w:val="both"/>
        <w:rPr>
          <w:sz w:val="22"/>
          <w:szCs w:val="22"/>
        </w:rPr>
      </w:pPr>
    </w:p>
    <w:p w14:paraId="72828D76" w14:textId="77777777" w:rsidR="0038288B" w:rsidRPr="00B76CC5" w:rsidRDefault="0038288B" w:rsidP="00B76CC5">
      <w:pPr>
        <w:numPr>
          <w:ilvl w:val="0"/>
          <w:numId w:val="23"/>
        </w:numPr>
        <w:tabs>
          <w:tab w:val="left" w:pos="720"/>
          <w:tab w:val="left" w:pos="1440"/>
          <w:tab w:val="left" w:pos="2160"/>
        </w:tabs>
        <w:ind w:left="1440" w:right="-13" w:hanging="720"/>
        <w:jc w:val="both"/>
        <w:rPr>
          <w:sz w:val="22"/>
          <w:szCs w:val="22"/>
        </w:rPr>
      </w:pPr>
      <w:r w:rsidRPr="00B76CC5">
        <w:rPr>
          <w:sz w:val="22"/>
          <w:szCs w:val="22"/>
        </w:rPr>
        <w:t xml:space="preserve">Since 2009, the </w:t>
      </w:r>
      <w:r w:rsidRPr="00B76CC5">
        <w:rPr>
          <w:rFonts w:eastAsia="Calibri"/>
          <w:b/>
          <w:sz w:val="22"/>
          <w:szCs w:val="22"/>
        </w:rPr>
        <w:t>Permanent Mission of the United States to the OAS</w:t>
      </w:r>
      <w:r w:rsidRPr="00B76CC5">
        <w:rPr>
          <w:sz w:val="22"/>
          <w:szCs w:val="22"/>
        </w:rPr>
        <w:t xml:space="preserve"> has offered financial support for the implementation of the Energy and Climate Partnership of the Americas (ECPA). Additionally, the </w:t>
      </w:r>
      <w:r w:rsidRPr="00B76CC5">
        <w:rPr>
          <w:rFonts w:eastAsia="Calibri"/>
          <w:b/>
          <w:sz w:val="22"/>
          <w:szCs w:val="22"/>
        </w:rPr>
        <w:t>U.S. Department of Energy</w:t>
      </w:r>
      <w:r w:rsidRPr="00B76CC5">
        <w:rPr>
          <w:sz w:val="22"/>
          <w:szCs w:val="22"/>
        </w:rPr>
        <w:t xml:space="preserve"> and the </w:t>
      </w:r>
      <w:r w:rsidRPr="00B76CC5">
        <w:rPr>
          <w:rFonts w:eastAsia="Calibri"/>
          <w:b/>
          <w:sz w:val="22"/>
          <w:szCs w:val="22"/>
        </w:rPr>
        <w:t>U.S. National Institute for Standards and Technology</w:t>
      </w:r>
      <w:r w:rsidRPr="00B76CC5">
        <w:rPr>
          <w:sz w:val="22"/>
          <w:szCs w:val="22"/>
        </w:rPr>
        <w:t xml:space="preserve"> provide technical resources to develop measurable and impactful interventions in the field of sustainable energy. ECPA stands as the only hemispheric platform for energy dialogue and cooperation gathering all OAS Member States and engaging governments and companies in the promotion of energy sustainability. The OAS/SEDI has successfully leveraged this program and is bringing‐in other valuable partners. One of many examples are GE and MIT, which helped to assess the viability of policy and technology options deployed by Latin American and Caribbean countries to meet their NDCs under the Paris Agreement, a contribution valued at $100,000 dollars. Other partners include CARICOM, CXC and GIZ, which trained teachers on the use of the Green Engineering syllabus for primary and secondary schools in the Caribbean, a contribution valued at $60,000 dollars, among many more. </w:t>
      </w:r>
    </w:p>
    <w:p w14:paraId="7D4234E4" w14:textId="14902E8C" w:rsidR="0038288B" w:rsidRPr="00B76CC5" w:rsidRDefault="0038288B" w:rsidP="00B76CC5">
      <w:pPr>
        <w:tabs>
          <w:tab w:val="left" w:pos="720"/>
          <w:tab w:val="left" w:pos="1440"/>
          <w:tab w:val="left" w:pos="2160"/>
        </w:tabs>
        <w:jc w:val="both"/>
        <w:rPr>
          <w:sz w:val="22"/>
          <w:szCs w:val="22"/>
        </w:rPr>
      </w:pPr>
    </w:p>
    <w:p w14:paraId="6FF40B35" w14:textId="7C1C5A24" w:rsidR="0038288B" w:rsidRDefault="0038288B" w:rsidP="00B76CC5">
      <w:pPr>
        <w:tabs>
          <w:tab w:val="left" w:pos="720"/>
          <w:tab w:val="left" w:pos="1440"/>
          <w:tab w:val="left" w:pos="2160"/>
          <w:tab w:val="center" w:pos="5760"/>
        </w:tabs>
        <w:ind w:left="720"/>
        <w:jc w:val="both"/>
        <w:rPr>
          <w:rFonts w:eastAsia="Calibri"/>
          <w:b/>
          <w:sz w:val="22"/>
          <w:szCs w:val="22"/>
        </w:rPr>
      </w:pPr>
      <w:r w:rsidRPr="00B76CC5">
        <w:rPr>
          <w:rFonts w:eastAsia="Calibri"/>
          <w:b/>
          <w:sz w:val="22"/>
          <w:szCs w:val="22"/>
        </w:rPr>
        <w:t>Integrated Management of Water Resources:</w:t>
      </w:r>
    </w:p>
    <w:p w14:paraId="66BB1E8C" w14:textId="77777777" w:rsidR="00B76CC5" w:rsidRPr="00B76CC5" w:rsidRDefault="00B76CC5" w:rsidP="00B76CC5">
      <w:pPr>
        <w:tabs>
          <w:tab w:val="left" w:pos="720"/>
          <w:tab w:val="left" w:pos="1440"/>
          <w:tab w:val="left" w:pos="2160"/>
          <w:tab w:val="center" w:pos="5760"/>
        </w:tabs>
        <w:ind w:left="-15"/>
        <w:jc w:val="both"/>
        <w:rPr>
          <w:sz w:val="22"/>
          <w:szCs w:val="22"/>
        </w:rPr>
      </w:pPr>
    </w:p>
    <w:p w14:paraId="005EDE2E" w14:textId="77777777" w:rsidR="0038288B" w:rsidRPr="00B76CC5" w:rsidRDefault="0038288B" w:rsidP="00B76CC5">
      <w:pPr>
        <w:numPr>
          <w:ilvl w:val="0"/>
          <w:numId w:val="23"/>
        </w:numPr>
        <w:tabs>
          <w:tab w:val="left" w:pos="720"/>
          <w:tab w:val="left" w:pos="1440"/>
          <w:tab w:val="left" w:pos="2160"/>
        </w:tabs>
        <w:ind w:left="1440" w:right="-13" w:hanging="720"/>
        <w:jc w:val="both"/>
        <w:rPr>
          <w:sz w:val="22"/>
          <w:szCs w:val="22"/>
        </w:rPr>
      </w:pPr>
      <w:r w:rsidRPr="00B76CC5">
        <w:rPr>
          <w:sz w:val="22"/>
          <w:szCs w:val="22"/>
        </w:rPr>
        <w:t xml:space="preserve">Our major partners in the area of water management are the </w:t>
      </w:r>
      <w:r w:rsidRPr="00B76CC5">
        <w:rPr>
          <w:rFonts w:eastAsia="Calibri"/>
          <w:b/>
          <w:sz w:val="22"/>
          <w:szCs w:val="22"/>
        </w:rPr>
        <w:t>Inter‐American Development Bank (IDB)</w:t>
      </w:r>
      <w:r w:rsidRPr="00B76CC5">
        <w:rPr>
          <w:sz w:val="22"/>
          <w:szCs w:val="22"/>
        </w:rPr>
        <w:t xml:space="preserve">, The </w:t>
      </w:r>
      <w:r w:rsidRPr="00B76CC5">
        <w:rPr>
          <w:rFonts w:eastAsia="Calibri"/>
          <w:b/>
          <w:sz w:val="22"/>
          <w:szCs w:val="22"/>
        </w:rPr>
        <w:t>United Nations Environmental Program (UNEP)</w:t>
      </w:r>
      <w:r w:rsidRPr="00B76CC5">
        <w:rPr>
          <w:sz w:val="22"/>
          <w:szCs w:val="22"/>
        </w:rPr>
        <w:t xml:space="preserve">, and the </w:t>
      </w:r>
      <w:r w:rsidRPr="00B76CC5">
        <w:rPr>
          <w:rFonts w:eastAsia="Calibri"/>
          <w:b/>
          <w:sz w:val="22"/>
          <w:szCs w:val="22"/>
        </w:rPr>
        <w:t>Latin American Development Bank (CAF)</w:t>
      </w:r>
      <w:r w:rsidRPr="00B76CC5">
        <w:rPr>
          <w:sz w:val="22"/>
          <w:szCs w:val="22"/>
        </w:rPr>
        <w:t xml:space="preserve">, with a combined in‐cash contribution of nearly 13 million dollars directly executed by the OAS/SEDI. In 2020, an investment portfolio of 25 projects was developed to promote the integrated management of the water resources in la Plata Basin (Argentina, Bolivia, Brazil, Uruguay, and Paraguay), which totals 90 million dollars of in‐cash financing and in‐kind contributions estimated at 1 billion dollars. The projects address priority areas of action defined by the countries, including improving water management, early warning systems, navigation, agriculture and hydroelectric in the Basin. New developments </w:t>
      </w:r>
      <w:r w:rsidRPr="00B76CC5">
        <w:rPr>
          <w:sz w:val="22"/>
          <w:szCs w:val="22"/>
        </w:rPr>
        <w:lastRenderedPageBreak/>
        <w:t xml:space="preserve">within this portfolio will focus on sanitation, particularly as it relates to COVID‐19 prevention and response. </w:t>
      </w:r>
    </w:p>
    <w:p w14:paraId="4D16AC49" w14:textId="6E52FCA4" w:rsidR="0038288B" w:rsidRPr="00B76CC5" w:rsidRDefault="0038288B" w:rsidP="00B76CC5">
      <w:pPr>
        <w:tabs>
          <w:tab w:val="left" w:pos="720"/>
          <w:tab w:val="left" w:pos="1440"/>
          <w:tab w:val="left" w:pos="2160"/>
        </w:tabs>
        <w:jc w:val="both"/>
        <w:rPr>
          <w:sz w:val="22"/>
          <w:szCs w:val="22"/>
        </w:rPr>
      </w:pPr>
    </w:p>
    <w:p w14:paraId="79DC5CAF" w14:textId="7D440158" w:rsidR="0038288B" w:rsidRDefault="00B76CC5" w:rsidP="00B76CC5">
      <w:pPr>
        <w:tabs>
          <w:tab w:val="left" w:pos="720"/>
          <w:tab w:val="left" w:pos="1440"/>
          <w:tab w:val="left" w:pos="2160"/>
          <w:tab w:val="center" w:pos="3601"/>
        </w:tabs>
        <w:ind w:left="-15"/>
        <w:jc w:val="both"/>
        <w:rPr>
          <w:rFonts w:eastAsia="Calibri"/>
          <w:b/>
          <w:sz w:val="22"/>
          <w:szCs w:val="22"/>
        </w:rPr>
      </w:pPr>
      <w:r>
        <w:rPr>
          <w:rFonts w:eastAsia="Calibri"/>
          <w:b/>
          <w:sz w:val="22"/>
          <w:szCs w:val="22"/>
        </w:rPr>
        <w:tab/>
      </w:r>
      <w:r w:rsidR="0038288B" w:rsidRPr="00B76CC5">
        <w:rPr>
          <w:rFonts w:eastAsia="Calibri"/>
          <w:b/>
          <w:sz w:val="22"/>
          <w:szCs w:val="22"/>
        </w:rPr>
        <w:t>Disaster Risk Management:</w:t>
      </w:r>
      <w:r>
        <w:rPr>
          <w:rFonts w:eastAsia="Calibri"/>
          <w:b/>
          <w:sz w:val="22"/>
          <w:szCs w:val="22"/>
        </w:rPr>
        <w:t xml:space="preserve"> </w:t>
      </w:r>
    </w:p>
    <w:p w14:paraId="34F47EC9" w14:textId="77777777" w:rsidR="00B76CC5" w:rsidRPr="00B76CC5" w:rsidRDefault="00B76CC5" w:rsidP="00B76CC5">
      <w:pPr>
        <w:tabs>
          <w:tab w:val="left" w:pos="720"/>
          <w:tab w:val="left" w:pos="1440"/>
          <w:tab w:val="left" w:pos="2160"/>
          <w:tab w:val="center" w:pos="3601"/>
        </w:tabs>
        <w:ind w:left="-15"/>
        <w:jc w:val="both"/>
        <w:rPr>
          <w:sz w:val="22"/>
          <w:szCs w:val="22"/>
        </w:rPr>
      </w:pPr>
    </w:p>
    <w:p w14:paraId="4C54FA87" w14:textId="5558F85C" w:rsidR="0038288B" w:rsidRPr="00B76CC5" w:rsidRDefault="0038288B" w:rsidP="00333EE9">
      <w:pPr>
        <w:numPr>
          <w:ilvl w:val="0"/>
          <w:numId w:val="23"/>
        </w:numPr>
        <w:tabs>
          <w:tab w:val="left" w:pos="720"/>
          <w:tab w:val="left" w:pos="1440"/>
          <w:tab w:val="left" w:pos="2160"/>
        </w:tabs>
        <w:ind w:left="1440" w:right="-13" w:hanging="720"/>
        <w:jc w:val="both"/>
        <w:rPr>
          <w:sz w:val="22"/>
          <w:szCs w:val="22"/>
        </w:rPr>
      </w:pPr>
      <w:r w:rsidRPr="00B76CC5">
        <w:rPr>
          <w:sz w:val="22"/>
          <w:szCs w:val="22"/>
        </w:rPr>
        <w:t xml:space="preserve">Launched in 2020 and funded by the </w:t>
      </w:r>
      <w:r w:rsidRPr="00B76CC5">
        <w:rPr>
          <w:rFonts w:eastAsia="Calibri"/>
          <w:b/>
          <w:sz w:val="22"/>
          <w:szCs w:val="22"/>
        </w:rPr>
        <w:t>US Department of State</w:t>
      </w:r>
      <w:r w:rsidRPr="00B76CC5">
        <w:rPr>
          <w:sz w:val="22"/>
          <w:szCs w:val="22"/>
        </w:rPr>
        <w:t xml:space="preserve">, the project </w:t>
      </w:r>
      <w:r w:rsidRPr="00B76CC5">
        <w:rPr>
          <w:rFonts w:eastAsia="Calibri"/>
          <w:sz w:val="22"/>
          <w:szCs w:val="22"/>
        </w:rPr>
        <w:t>“Building the Resilience of the Small Tourism Enterprises in the Caribbean to Disasters”</w:t>
      </w:r>
      <w:r w:rsidRPr="00B76CC5">
        <w:rPr>
          <w:sz w:val="22"/>
          <w:szCs w:val="22"/>
        </w:rPr>
        <w:t xml:space="preserve"> has already trained more than 260 business owners or managers and 30 emergency management professionals to assist small tourism enterprises in the Caribbean in overcoming national and corporate level challenges that affect business continuity during and after catastrophic events. The project relies heavily on partnerships with specialized agencies like the </w:t>
      </w:r>
      <w:r w:rsidRPr="00B76CC5">
        <w:rPr>
          <w:rFonts w:eastAsia="Calibri"/>
          <w:b/>
          <w:sz w:val="22"/>
          <w:szCs w:val="22"/>
        </w:rPr>
        <w:t>Caribbean Disaster Emergency Management Agency (CDEMA)</w:t>
      </w:r>
      <w:r w:rsidRPr="00B76CC5">
        <w:rPr>
          <w:sz w:val="22"/>
          <w:szCs w:val="22"/>
        </w:rPr>
        <w:t xml:space="preserve">, the </w:t>
      </w:r>
      <w:r w:rsidRPr="00B76CC5">
        <w:rPr>
          <w:rFonts w:eastAsia="Calibri"/>
          <w:b/>
          <w:sz w:val="22"/>
          <w:szCs w:val="22"/>
        </w:rPr>
        <w:t xml:space="preserve">Caribbean Tourism Organization (CTO), the Caribbean Hotel and Tourism Association  </w:t>
      </w:r>
      <w:r w:rsidRPr="00B76CC5">
        <w:rPr>
          <w:sz w:val="22"/>
          <w:szCs w:val="22"/>
        </w:rPr>
        <w:t xml:space="preserve">and the </w:t>
      </w:r>
      <w:r w:rsidRPr="00B76CC5">
        <w:rPr>
          <w:rFonts w:eastAsia="Calibri"/>
          <w:b/>
          <w:sz w:val="22"/>
          <w:szCs w:val="22"/>
        </w:rPr>
        <w:t>Federal Emergency Management Agency (FEMA)</w:t>
      </w:r>
      <w:r w:rsidRPr="00B76CC5">
        <w:rPr>
          <w:sz w:val="22"/>
          <w:szCs w:val="22"/>
        </w:rPr>
        <w:t xml:space="preserve"> as it aims to establish highlevel policy dialogue between government, private sector actors, and other relevant stakeholders for strengthening contingency plans and ensuring business continuity after a disaster. </w:t>
      </w:r>
    </w:p>
    <w:p w14:paraId="0E3377C5" w14:textId="1EFA0C11" w:rsidR="0038288B" w:rsidRPr="00B76CC5" w:rsidRDefault="0038288B" w:rsidP="00B76CC5">
      <w:pPr>
        <w:tabs>
          <w:tab w:val="left" w:pos="720"/>
          <w:tab w:val="left" w:pos="1440"/>
          <w:tab w:val="left" w:pos="2160"/>
        </w:tabs>
        <w:jc w:val="both"/>
        <w:rPr>
          <w:sz w:val="22"/>
          <w:szCs w:val="22"/>
        </w:rPr>
      </w:pPr>
    </w:p>
    <w:p w14:paraId="67868A5E" w14:textId="77777777" w:rsidR="0038288B" w:rsidRPr="00B76CC5" w:rsidRDefault="0038288B" w:rsidP="00B76CC5">
      <w:pPr>
        <w:tabs>
          <w:tab w:val="left" w:pos="720"/>
          <w:tab w:val="left" w:pos="1440"/>
          <w:tab w:val="left" w:pos="2160"/>
        </w:tabs>
        <w:jc w:val="both"/>
        <w:rPr>
          <w:sz w:val="22"/>
          <w:szCs w:val="22"/>
        </w:rPr>
      </w:pPr>
      <w:r w:rsidRPr="00B76CC5">
        <w:rPr>
          <w:rFonts w:eastAsia="Calibri"/>
          <w:b/>
          <w:sz w:val="22"/>
          <w:szCs w:val="22"/>
          <w:u w:val="single" w:color="000000"/>
        </w:rPr>
        <w:t>DEPARTMENT FOR HUMAN DEVELOPMENT, EDUCATION AND EMPLOYMENT (DHDEE)</w:t>
      </w:r>
      <w:r w:rsidRPr="00B76CC5">
        <w:rPr>
          <w:rFonts w:eastAsia="Calibri"/>
          <w:b/>
          <w:sz w:val="22"/>
          <w:szCs w:val="22"/>
        </w:rPr>
        <w:t xml:space="preserve"> </w:t>
      </w:r>
    </w:p>
    <w:p w14:paraId="2F773521" w14:textId="3BA97812" w:rsidR="0038288B" w:rsidRPr="00B76CC5" w:rsidRDefault="0038288B" w:rsidP="00B76CC5">
      <w:pPr>
        <w:tabs>
          <w:tab w:val="left" w:pos="720"/>
          <w:tab w:val="left" w:pos="1440"/>
          <w:tab w:val="left" w:pos="2160"/>
        </w:tabs>
        <w:jc w:val="both"/>
        <w:rPr>
          <w:sz w:val="22"/>
          <w:szCs w:val="22"/>
        </w:rPr>
      </w:pPr>
    </w:p>
    <w:p w14:paraId="0B3E0BEF" w14:textId="77777777" w:rsidR="0038288B" w:rsidRPr="00B76CC5" w:rsidRDefault="0038288B" w:rsidP="00497D4E">
      <w:pPr>
        <w:tabs>
          <w:tab w:val="left" w:pos="720"/>
          <w:tab w:val="left" w:pos="1440"/>
          <w:tab w:val="left" w:pos="2160"/>
        </w:tabs>
        <w:ind w:left="-15" w:right="-13" w:firstLine="735"/>
        <w:jc w:val="both"/>
        <w:rPr>
          <w:sz w:val="22"/>
          <w:szCs w:val="22"/>
        </w:rPr>
      </w:pPr>
      <w:r w:rsidRPr="00B76CC5">
        <w:rPr>
          <w:sz w:val="22"/>
          <w:szCs w:val="22"/>
        </w:rPr>
        <w:t xml:space="preserve">In addition to the valuable partnership established with Structuralia, presented today, the DHDEE extends scholarships opportunities and contributes to enhance quality education in the region in collaboration with many other partners.  </w:t>
      </w:r>
    </w:p>
    <w:p w14:paraId="665C743D" w14:textId="28931212" w:rsidR="0038288B" w:rsidRPr="00B76CC5" w:rsidRDefault="0038288B" w:rsidP="00B76CC5">
      <w:pPr>
        <w:tabs>
          <w:tab w:val="left" w:pos="720"/>
          <w:tab w:val="left" w:pos="1440"/>
          <w:tab w:val="left" w:pos="2160"/>
        </w:tabs>
        <w:jc w:val="both"/>
        <w:rPr>
          <w:sz w:val="22"/>
          <w:szCs w:val="22"/>
        </w:rPr>
      </w:pPr>
    </w:p>
    <w:p w14:paraId="03E42CA5" w14:textId="05E57B78" w:rsidR="0038288B" w:rsidRPr="00B76CC5" w:rsidRDefault="0038288B" w:rsidP="00B76CC5">
      <w:pPr>
        <w:numPr>
          <w:ilvl w:val="0"/>
          <w:numId w:val="23"/>
        </w:numPr>
        <w:tabs>
          <w:tab w:val="left" w:pos="720"/>
          <w:tab w:val="left" w:pos="1440"/>
          <w:tab w:val="left" w:pos="2160"/>
        </w:tabs>
        <w:ind w:left="1440" w:right="-13" w:hanging="720"/>
        <w:jc w:val="both"/>
        <w:rPr>
          <w:sz w:val="22"/>
          <w:szCs w:val="22"/>
        </w:rPr>
      </w:pPr>
      <w:r w:rsidRPr="00B76CC5">
        <w:rPr>
          <w:rFonts w:eastAsia="Calibri"/>
          <w:b/>
          <w:sz w:val="22"/>
          <w:szCs w:val="22"/>
        </w:rPr>
        <w:t>PAEC Brazil with Grupo Coimbra: 3,880 of students</w:t>
      </w:r>
      <w:r w:rsidRPr="00B76CC5">
        <w:rPr>
          <w:sz w:val="22"/>
          <w:szCs w:val="22"/>
        </w:rPr>
        <w:t xml:space="preserve"> have been granted scholarships to complete master’s and doctoral degrees in more than </w:t>
      </w:r>
      <w:r w:rsidRPr="00B76CC5">
        <w:rPr>
          <w:rFonts w:eastAsia="Calibri"/>
          <w:b/>
          <w:sz w:val="22"/>
          <w:szCs w:val="22"/>
        </w:rPr>
        <w:t>700</w:t>
      </w:r>
      <w:r w:rsidRPr="00B76CC5">
        <w:rPr>
          <w:sz w:val="22"/>
          <w:szCs w:val="22"/>
        </w:rPr>
        <w:t xml:space="preserve"> highly specialized programs throughout Brazil as a result of our partnership with </w:t>
      </w:r>
      <w:r w:rsidRPr="00B76CC5">
        <w:rPr>
          <w:rFonts w:eastAsia="Calibri"/>
          <w:b/>
          <w:sz w:val="22"/>
          <w:szCs w:val="22"/>
        </w:rPr>
        <w:t>the Coimbra Group of Brazilian Universities (CGBU)</w:t>
      </w:r>
      <w:r w:rsidRPr="00B76CC5">
        <w:rPr>
          <w:sz w:val="22"/>
          <w:szCs w:val="22"/>
        </w:rPr>
        <w:t>.  The Brazil Scholarships Program promotes academic mobility, university internationalization and human development in the hemisphere; has effectively strengthened the ties of Latin America and the Caribbean with Brazil, and helped to promote Brazil as a leader in internationalization in higher education. The total value of the program since its inception in 2011 is nearly $200 million dollars</w:t>
      </w:r>
      <w:r w:rsidRPr="00B76CC5">
        <w:rPr>
          <w:rFonts w:eastAsia="Calibri"/>
          <w:b/>
          <w:sz w:val="22"/>
          <w:szCs w:val="22"/>
        </w:rPr>
        <w:t xml:space="preserve"> </w:t>
      </w:r>
      <w:r w:rsidRPr="00B76CC5">
        <w:rPr>
          <w:sz w:val="22"/>
          <w:szCs w:val="22"/>
        </w:rPr>
        <w:t>benefiting</w:t>
      </w:r>
      <w:r w:rsidRPr="00B76CC5">
        <w:rPr>
          <w:rFonts w:eastAsia="Calibri"/>
          <w:b/>
          <w:sz w:val="22"/>
          <w:szCs w:val="22"/>
        </w:rPr>
        <w:t xml:space="preserve"> </w:t>
      </w:r>
      <w:r w:rsidRPr="00B76CC5">
        <w:rPr>
          <w:sz w:val="22"/>
          <w:szCs w:val="22"/>
        </w:rPr>
        <w:t>students from 30</w:t>
      </w:r>
      <w:r w:rsidRPr="00B76CC5">
        <w:rPr>
          <w:rFonts w:eastAsia="Calibri"/>
          <w:b/>
          <w:sz w:val="22"/>
          <w:szCs w:val="22"/>
        </w:rPr>
        <w:t xml:space="preserve"> </w:t>
      </w:r>
      <w:r w:rsidRPr="00B76CC5">
        <w:rPr>
          <w:sz w:val="22"/>
          <w:szCs w:val="22"/>
        </w:rPr>
        <w:t>countries.</w:t>
      </w:r>
    </w:p>
    <w:p w14:paraId="6391594E" w14:textId="3576E392" w:rsidR="0038288B" w:rsidRPr="00B76CC5" w:rsidRDefault="0038288B" w:rsidP="00B76CC5">
      <w:pPr>
        <w:tabs>
          <w:tab w:val="left" w:pos="720"/>
          <w:tab w:val="left" w:pos="1440"/>
          <w:tab w:val="left" w:pos="2160"/>
        </w:tabs>
        <w:ind w:left="1440" w:hanging="720"/>
        <w:jc w:val="both"/>
        <w:rPr>
          <w:sz w:val="22"/>
          <w:szCs w:val="22"/>
        </w:rPr>
      </w:pPr>
    </w:p>
    <w:p w14:paraId="5A1BFB59" w14:textId="77777777" w:rsidR="0038288B" w:rsidRPr="00B76CC5" w:rsidRDefault="0038288B" w:rsidP="00B76CC5">
      <w:pPr>
        <w:numPr>
          <w:ilvl w:val="0"/>
          <w:numId w:val="23"/>
        </w:numPr>
        <w:tabs>
          <w:tab w:val="left" w:pos="720"/>
          <w:tab w:val="left" w:pos="1440"/>
          <w:tab w:val="left" w:pos="2160"/>
        </w:tabs>
        <w:ind w:left="1440" w:right="-13" w:hanging="720"/>
        <w:jc w:val="both"/>
        <w:rPr>
          <w:sz w:val="22"/>
          <w:szCs w:val="22"/>
        </w:rPr>
      </w:pPr>
      <w:r w:rsidRPr="00B76CC5">
        <w:rPr>
          <w:rFonts w:eastAsia="Calibri"/>
          <w:b/>
          <w:sz w:val="22"/>
          <w:szCs w:val="22"/>
        </w:rPr>
        <w:t xml:space="preserve">PAEC Mexico: </w:t>
      </w:r>
      <w:r w:rsidRPr="00B76CC5">
        <w:rPr>
          <w:sz w:val="22"/>
          <w:szCs w:val="22"/>
        </w:rPr>
        <w:t xml:space="preserve">The OAS‐ CONACYT‐AMEXCID Scholarship Program is one of the OAS pillar scholarships programs and is part of a strategic alliance and collaboration with the government of Mexico. Since 2013, more than </w:t>
      </w:r>
      <w:r w:rsidRPr="00B76CC5">
        <w:rPr>
          <w:rFonts w:eastAsia="Calibri"/>
          <w:b/>
          <w:sz w:val="22"/>
          <w:szCs w:val="22"/>
        </w:rPr>
        <w:t>3,400 scholarships</w:t>
      </w:r>
      <w:r w:rsidRPr="00B76CC5">
        <w:rPr>
          <w:sz w:val="22"/>
          <w:szCs w:val="22"/>
        </w:rPr>
        <w:t xml:space="preserve"> have been awarded to students from 27 OAS Member States, expanding educational opportunities in the areas of science and engineering and strengthen human development in the Americas. The total estimated value of the program since its inception is close to $173 million dollars. </w:t>
      </w:r>
    </w:p>
    <w:p w14:paraId="7E866264" w14:textId="663E2216" w:rsidR="0038288B" w:rsidRPr="00B76CC5" w:rsidRDefault="0038288B" w:rsidP="00B76CC5">
      <w:pPr>
        <w:tabs>
          <w:tab w:val="left" w:pos="720"/>
          <w:tab w:val="left" w:pos="1440"/>
          <w:tab w:val="left" w:pos="2160"/>
        </w:tabs>
        <w:jc w:val="both"/>
        <w:rPr>
          <w:sz w:val="22"/>
          <w:szCs w:val="22"/>
        </w:rPr>
      </w:pPr>
    </w:p>
    <w:p w14:paraId="04798719" w14:textId="77777777" w:rsidR="0038288B" w:rsidRPr="00B76CC5" w:rsidRDefault="0038288B" w:rsidP="00B76CC5">
      <w:pPr>
        <w:numPr>
          <w:ilvl w:val="0"/>
          <w:numId w:val="23"/>
        </w:numPr>
        <w:tabs>
          <w:tab w:val="left" w:pos="720"/>
          <w:tab w:val="left" w:pos="1440"/>
          <w:tab w:val="left" w:pos="2160"/>
        </w:tabs>
        <w:ind w:left="1440" w:right="-13" w:hanging="720"/>
        <w:jc w:val="both"/>
        <w:rPr>
          <w:sz w:val="22"/>
          <w:szCs w:val="22"/>
        </w:rPr>
      </w:pPr>
      <w:r w:rsidRPr="00B76CC5">
        <w:rPr>
          <w:rFonts w:eastAsia="Calibri"/>
          <w:b/>
          <w:sz w:val="22"/>
          <w:szCs w:val="22"/>
        </w:rPr>
        <w:t xml:space="preserve">Partners for ITEN: </w:t>
      </w:r>
      <w:r w:rsidRPr="00B76CC5">
        <w:rPr>
          <w:sz w:val="22"/>
          <w:szCs w:val="22"/>
        </w:rPr>
        <w:t xml:space="preserve">A successful partnership between The University of the West Indies Open Campus (based in Barbados) with our Inter‐American Teacher Education Network (ITEN) has served to </w:t>
      </w:r>
      <w:r w:rsidRPr="00B76CC5">
        <w:rPr>
          <w:rFonts w:eastAsia="Calibri"/>
          <w:sz w:val="22"/>
          <w:szCs w:val="22"/>
        </w:rPr>
        <w:t xml:space="preserve">institutionalize </w:t>
      </w:r>
      <w:r w:rsidRPr="00B76CC5">
        <w:rPr>
          <w:sz w:val="22"/>
          <w:szCs w:val="22"/>
        </w:rPr>
        <w:t xml:space="preserve">STREAM education (science, technology, research, engineering, arts, and math) in an accredited academic program that services the Caribbean. Concrete actions include the creation of the UWI‐ITEN </w:t>
      </w:r>
      <w:r w:rsidRPr="00B76CC5">
        <w:rPr>
          <w:sz w:val="22"/>
          <w:szCs w:val="22"/>
        </w:rPr>
        <w:lastRenderedPageBreak/>
        <w:t xml:space="preserve">STREAM Virtual Community and incorporation of ITEN‐developed STREAM activities into two course syllabi.  </w:t>
      </w:r>
    </w:p>
    <w:p w14:paraId="45408BCB" w14:textId="0429E37F" w:rsidR="0038288B" w:rsidRPr="00B76CC5" w:rsidRDefault="0038288B" w:rsidP="00B76CC5">
      <w:pPr>
        <w:tabs>
          <w:tab w:val="left" w:pos="720"/>
          <w:tab w:val="left" w:pos="1440"/>
          <w:tab w:val="left" w:pos="2160"/>
        </w:tabs>
        <w:jc w:val="both"/>
        <w:rPr>
          <w:sz w:val="22"/>
          <w:szCs w:val="22"/>
        </w:rPr>
      </w:pPr>
    </w:p>
    <w:p w14:paraId="21EFC9D1" w14:textId="77777777" w:rsidR="00B76CC5" w:rsidRDefault="0038288B" w:rsidP="00B76CC5">
      <w:pPr>
        <w:numPr>
          <w:ilvl w:val="0"/>
          <w:numId w:val="23"/>
        </w:numPr>
        <w:tabs>
          <w:tab w:val="left" w:pos="720"/>
          <w:tab w:val="left" w:pos="1440"/>
          <w:tab w:val="left" w:pos="2160"/>
        </w:tabs>
        <w:ind w:left="1440" w:right="-13" w:hanging="720"/>
        <w:jc w:val="both"/>
        <w:rPr>
          <w:sz w:val="22"/>
          <w:szCs w:val="22"/>
        </w:rPr>
      </w:pPr>
      <w:r w:rsidRPr="00B76CC5">
        <w:rPr>
          <w:rFonts w:eastAsia="Calibri"/>
          <w:b/>
          <w:sz w:val="22"/>
          <w:szCs w:val="22"/>
        </w:rPr>
        <w:t xml:space="preserve">Partners of the Educational Portal of the Americas: </w:t>
      </w:r>
      <w:r w:rsidRPr="00B76CC5">
        <w:rPr>
          <w:sz w:val="22"/>
          <w:szCs w:val="22"/>
        </w:rPr>
        <w:t xml:space="preserve">The </w:t>
      </w:r>
      <w:r w:rsidRPr="00B76CC5">
        <w:rPr>
          <w:rFonts w:eastAsia="Calibri"/>
          <w:b/>
          <w:sz w:val="22"/>
          <w:szCs w:val="22"/>
        </w:rPr>
        <w:t>OAS‐ProFuturo</w:t>
      </w:r>
      <w:r w:rsidRPr="00B76CC5">
        <w:rPr>
          <w:sz w:val="22"/>
          <w:szCs w:val="22"/>
        </w:rPr>
        <w:t xml:space="preserve"> </w:t>
      </w:r>
      <w:r w:rsidRPr="00B76CC5">
        <w:rPr>
          <w:rFonts w:eastAsia="Calibri"/>
          <w:b/>
          <w:sz w:val="22"/>
          <w:szCs w:val="22"/>
        </w:rPr>
        <w:t>Foundation</w:t>
      </w:r>
      <w:r w:rsidRPr="00B76CC5">
        <w:rPr>
          <w:sz w:val="22"/>
          <w:szCs w:val="22"/>
        </w:rPr>
        <w:t xml:space="preserve"> alliance seeks to provide access to quality digital education in disadvantaged areas of 5 Caribbean countries, by providing teacher training, technological equipment, and digital didactic contents to schools. Since its inception in 2018, a total of 92 schools have received tablets and computers; access to an online education platform for the management of teaching processes; free digital contents; training and support for participating teachers. In response to the COVID‐19 pandemic, new online courses on innovation and ICT, and other digital education content is been offered. The Program has trained 3,659 teachers with a train‐the‐trainers model, surpassing the original goal by over 100%. Fundación ProFuturo’s contribution to the project is valued over $1.3 million dollars.  </w:t>
      </w:r>
    </w:p>
    <w:p w14:paraId="4F8E72A2" w14:textId="77777777" w:rsidR="00B76CC5" w:rsidRDefault="00B76CC5" w:rsidP="00B76CC5">
      <w:pPr>
        <w:pStyle w:val="ListParagraph0"/>
        <w:rPr>
          <w:sz w:val="22"/>
          <w:szCs w:val="22"/>
        </w:rPr>
      </w:pPr>
    </w:p>
    <w:p w14:paraId="693F318D" w14:textId="4DDFE8B8" w:rsidR="0038288B" w:rsidRPr="00B76CC5" w:rsidRDefault="0038288B" w:rsidP="00B76CC5">
      <w:pPr>
        <w:tabs>
          <w:tab w:val="left" w:pos="720"/>
          <w:tab w:val="left" w:pos="1440"/>
          <w:tab w:val="left" w:pos="2160"/>
        </w:tabs>
        <w:ind w:right="-13"/>
        <w:jc w:val="both"/>
        <w:rPr>
          <w:b/>
          <w:sz w:val="22"/>
          <w:szCs w:val="22"/>
        </w:rPr>
      </w:pPr>
      <w:r w:rsidRPr="00B76CC5">
        <w:rPr>
          <w:sz w:val="22"/>
          <w:szCs w:val="22"/>
        </w:rPr>
        <w:t>SECR</w:t>
      </w:r>
      <w:r w:rsidRPr="00B76CC5">
        <w:rPr>
          <w:b/>
          <w:sz w:val="22"/>
          <w:szCs w:val="22"/>
        </w:rPr>
        <w:t>ETARIAT OF THE INTER‐AMERICAN COMMITTEE ON PORTS (CIP)</w:t>
      </w:r>
      <w:r w:rsidRPr="00B76CC5">
        <w:rPr>
          <w:b/>
          <w:sz w:val="22"/>
          <w:szCs w:val="22"/>
          <w:u w:color="000000"/>
        </w:rPr>
        <w:t xml:space="preserve"> </w:t>
      </w:r>
    </w:p>
    <w:p w14:paraId="385CDE9E" w14:textId="60FD6D82" w:rsidR="0038288B" w:rsidRPr="00B76CC5" w:rsidRDefault="0038288B" w:rsidP="00B76CC5">
      <w:pPr>
        <w:tabs>
          <w:tab w:val="left" w:pos="720"/>
          <w:tab w:val="left" w:pos="1440"/>
          <w:tab w:val="left" w:pos="2160"/>
        </w:tabs>
        <w:jc w:val="both"/>
        <w:rPr>
          <w:sz w:val="22"/>
          <w:szCs w:val="22"/>
        </w:rPr>
      </w:pPr>
    </w:p>
    <w:p w14:paraId="5DD5188E" w14:textId="348DDBF5" w:rsidR="0038288B" w:rsidRDefault="0038288B" w:rsidP="00B76CC5">
      <w:pPr>
        <w:tabs>
          <w:tab w:val="left" w:pos="720"/>
          <w:tab w:val="left" w:pos="1440"/>
          <w:tab w:val="left" w:pos="2160"/>
        </w:tabs>
        <w:ind w:left="-5" w:firstLine="725"/>
        <w:jc w:val="both"/>
        <w:rPr>
          <w:rFonts w:eastAsia="Calibri"/>
          <w:b/>
          <w:sz w:val="22"/>
          <w:szCs w:val="22"/>
        </w:rPr>
      </w:pPr>
      <w:r w:rsidRPr="00B76CC5">
        <w:rPr>
          <w:rFonts w:eastAsia="Calibri"/>
          <w:b/>
          <w:sz w:val="22"/>
          <w:szCs w:val="22"/>
        </w:rPr>
        <w:t>Disaster Risk Management and Resiliency:</w:t>
      </w:r>
    </w:p>
    <w:p w14:paraId="413C1414" w14:textId="77777777" w:rsidR="00B76CC5" w:rsidRPr="00B76CC5" w:rsidRDefault="00B76CC5" w:rsidP="00B76CC5">
      <w:pPr>
        <w:tabs>
          <w:tab w:val="left" w:pos="720"/>
          <w:tab w:val="left" w:pos="1440"/>
          <w:tab w:val="left" w:pos="2160"/>
        </w:tabs>
        <w:jc w:val="both"/>
        <w:rPr>
          <w:sz w:val="22"/>
          <w:szCs w:val="22"/>
        </w:rPr>
      </w:pPr>
    </w:p>
    <w:p w14:paraId="531BF286" w14:textId="77777777" w:rsidR="0038288B" w:rsidRPr="00B76CC5" w:rsidRDefault="0038288B" w:rsidP="00B76CC5">
      <w:pPr>
        <w:numPr>
          <w:ilvl w:val="0"/>
          <w:numId w:val="24"/>
        </w:numPr>
        <w:tabs>
          <w:tab w:val="left" w:pos="720"/>
          <w:tab w:val="left" w:pos="1440"/>
          <w:tab w:val="left" w:pos="2160"/>
        </w:tabs>
        <w:ind w:left="1440" w:right="-13" w:hanging="720"/>
        <w:jc w:val="both"/>
        <w:rPr>
          <w:sz w:val="22"/>
          <w:szCs w:val="22"/>
        </w:rPr>
      </w:pPr>
      <w:r w:rsidRPr="00B76CC5">
        <w:rPr>
          <w:sz w:val="22"/>
          <w:szCs w:val="22"/>
        </w:rPr>
        <w:t xml:space="preserve">A new CIP Project </w:t>
      </w:r>
      <w:r w:rsidRPr="00B76CC5">
        <w:rPr>
          <w:rFonts w:eastAsia="Calibri"/>
          <w:sz w:val="22"/>
          <w:szCs w:val="22"/>
        </w:rPr>
        <w:t xml:space="preserve">“Improved Disaster Mitigation for Ports in the Caribbean” </w:t>
      </w:r>
      <w:r w:rsidRPr="00B76CC5">
        <w:rPr>
          <w:sz w:val="22"/>
          <w:szCs w:val="22"/>
        </w:rPr>
        <w:t xml:space="preserve">designed to improve responses by national port authorities to natural disasters and increase port and business resiliency in the Caribbean is being funded by the governments of Italy and the United States. Their contributions are leveraging strategic in‐kind support from key partners such as the </w:t>
      </w:r>
      <w:r w:rsidRPr="00B76CC5">
        <w:rPr>
          <w:rFonts w:eastAsia="Calibri"/>
          <w:b/>
          <w:sz w:val="22"/>
          <w:szCs w:val="22"/>
        </w:rPr>
        <w:t>Caribbean Disaster Management Agency (CDMA)</w:t>
      </w:r>
      <w:r w:rsidRPr="00B76CC5">
        <w:rPr>
          <w:sz w:val="22"/>
          <w:szCs w:val="22"/>
        </w:rPr>
        <w:t xml:space="preserve">, the </w:t>
      </w:r>
      <w:r w:rsidRPr="00B76CC5">
        <w:rPr>
          <w:rFonts w:eastAsia="Calibri"/>
          <w:b/>
          <w:sz w:val="22"/>
          <w:szCs w:val="22"/>
        </w:rPr>
        <w:t>Port Management, Association of the Caribbean (PMAC)</w:t>
      </w:r>
      <w:r w:rsidRPr="00B76CC5">
        <w:rPr>
          <w:sz w:val="22"/>
          <w:szCs w:val="22"/>
        </w:rPr>
        <w:t xml:space="preserve"> and the </w:t>
      </w:r>
      <w:r w:rsidRPr="00B76CC5">
        <w:rPr>
          <w:rFonts w:eastAsia="Calibri"/>
          <w:b/>
          <w:sz w:val="22"/>
          <w:szCs w:val="22"/>
        </w:rPr>
        <w:t>Caribbean Shipping Association (CSA).</w:t>
      </w:r>
      <w:r w:rsidRPr="00B76CC5">
        <w:rPr>
          <w:sz w:val="22"/>
          <w:szCs w:val="22"/>
        </w:rPr>
        <w:t xml:space="preserve"> </w:t>
      </w:r>
    </w:p>
    <w:p w14:paraId="4DAF4DD4" w14:textId="5E11D3CB" w:rsidR="0038288B" w:rsidRPr="00B76CC5" w:rsidRDefault="0038288B" w:rsidP="00B76CC5">
      <w:pPr>
        <w:tabs>
          <w:tab w:val="left" w:pos="720"/>
          <w:tab w:val="left" w:pos="1440"/>
          <w:tab w:val="left" w:pos="2160"/>
        </w:tabs>
        <w:jc w:val="both"/>
        <w:rPr>
          <w:sz w:val="22"/>
          <w:szCs w:val="22"/>
        </w:rPr>
      </w:pPr>
    </w:p>
    <w:p w14:paraId="594996A8" w14:textId="668FF60B" w:rsidR="0038288B" w:rsidRDefault="0038288B" w:rsidP="00B76CC5">
      <w:pPr>
        <w:tabs>
          <w:tab w:val="left" w:pos="720"/>
          <w:tab w:val="left" w:pos="1440"/>
          <w:tab w:val="left" w:pos="2160"/>
        </w:tabs>
        <w:ind w:left="1440" w:hanging="720"/>
        <w:jc w:val="both"/>
        <w:rPr>
          <w:rFonts w:eastAsia="Calibri"/>
          <w:b/>
          <w:sz w:val="22"/>
          <w:szCs w:val="22"/>
        </w:rPr>
      </w:pPr>
      <w:r w:rsidRPr="00B76CC5">
        <w:rPr>
          <w:rFonts w:eastAsia="Calibri"/>
          <w:b/>
          <w:sz w:val="22"/>
          <w:szCs w:val="22"/>
        </w:rPr>
        <w:t>Education and Training:</w:t>
      </w:r>
    </w:p>
    <w:p w14:paraId="3BDEFD61" w14:textId="77777777" w:rsidR="00B76CC5" w:rsidRPr="00B76CC5" w:rsidRDefault="00B76CC5" w:rsidP="00497D4E">
      <w:pPr>
        <w:tabs>
          <w:tab w:val="left" w:pos="720"/>
          <w:tab w:val="left" w:pos="1440"/>
          <w:tab w:val="left" w:pos="2160"/>
        </w:tabs>
        <w:jc w:val="both"/>
        <w:rPr>
          <w:sz w:val="22"/>
          <w:szCs w:val="22"/>
        </w:rPr>
      </w:pPr>
    </w:p>
    <w:p w14:paraId="7725804C" w14:textId="77777777" w:rsidR="0038288B" w:rsidRPr="00B76CC5" w:rsidRDefault="0038288B" w:rsidP="00B76CC5">
      <w:pPr>
        <w:numPr>
          <w:ilvl w:val="0"/>
          <w:numId w:val="24"/>
        </w:numPr>
        <w:tabs>
          <w:tab w:val="left" w:pos="720"/>
          <w:tab w:val="left" w:pos="1440"/>
          <w:tab w:val="left" w:pos="2160"/>
        </w:tabs>
        <w:ind w:left="1440" w:right="-13" w:hanging="720"/>
        <w:jc w:val="both"/>
        <w:rPr>
          <w:sz w:val="22"/>
          <w:szCs w:val="22"/>
        </w:rPr>
      </w:pPr>
      <w:r w:rsidRPr="00B76CC5">
        <w:rPr>
          <w:sz w:val="22"/>
          <w:szCs w:val="22"/>
        </w:rPr>
        <w:t xml:space="preserve">Through strategic partnerships, the CIP Secretariat has built a robust Technical and Human Capacity Building Program that offers hundreds of port officers from the Americas certified professional development courses in key portdevelopment areas, including Logistics and Operations; Sustainable Management and Environmental Protection; Security and Safety; Dredging and Inland Ports, Port Legislation and Contract Negotiation, Social Responsibility and Gender Equality; among others. Strategic partners include </w:t>
      </w:r>
      <w:r w:rsidRPr="00B76CC5">
        <w:rPr>
          <w:rFonts w:eastAsia="Calibri"/>
          <w:b/>
          <w:sz w:val="22"/>
          <w:szCs w:val="22"/>
        </w:rPr>
        <w:t xml:space="preserve">Puertos del Estado of the Government from Spain, </w:t>
      </w:r>
      <w:r w:rsidRPr="00B76CC5">
        <w:rPr>
          <w:sz w:val="22"/>
          <w:szCs w:val="22"/>
        </w:rPr>
        <w:t xml:space="preserve">the </w:t>
      </w:r>
      <w:r w:rsidRPr="00B76CC5">
        <w:rPr>
          <w:rFonts w:eastAsia="Calibri"/>
          <w:b/>
          <w:sz w:val="22"/>
          <w:szCs w:val="22"/>
        </w:rPr>
        <w:t>National Port Authority of Peru (APN), Fundación Valencia Port, the government of the United States, and the Mexico International Network for Ship and Port Facility Security (Red PBIP).</w:t>
      </w:r>
      <w:r w:rsidRPr="00B76CC5">
        <w:rPr>
          <w:sz w:val="22"/>
          <w:szCs w:val="22"/>
        </w:rPr>
        <w:t xml:space="preserve"> </w:t>
      </w:r>
    </w:p>
    <w:p w14:paraId="32A8DBE7" w14:textId="4F6DC748" w:rsidR="00497D4E" w:rsidRDefault="00497D4E" w:rsidP="00497D4E">
      <w:pPr>
        <w:tabs>
          <w:tab w:val="left" w:pos="720"/>
          <w:tab w:val="left" w:pos="1440"/>
          <w:tab w:val="left" w:pos="2160"/>
        </w:tabs>
        <w:jc w:val="both"/>
        <w:rPr>
          <w:sz w:val="22"/>
          <w:szCs w:val="22"/>
        </w:rPr>
      </w:pPr>
    </w:p>
    <w:p w14:paraId="46036C22" w14:textId="77777777" w:rsidR="00497D4E" w:rsidRDefault="00497D4E" w:rsidP="00497D4E">
      <w:pPr>
        <w:tabs>
          <w:tab w:val="left" w:pos="720"/>
          <w:tab w:val="left" w:pos="1440"/>
          <w:tab w:val="left" w:pos="2160"/>
        </w:tabs>
        <w:jc w:val="both"/>
        <w:rPr>
          <w:sz w:val="22"/>
          <w:szCs w:val="22"/>
        </w:rPr>
      </w:pPr>
      <w:r>
        <w:rPr>
          <w:sz w:val="22"/>
          <w:szCs w:val="22"/>
        </w:rPr>
        <w:t xml:space="preserve"> </w:t>
      </w:r>
      <w:r>
        <w:rPr>
          <w:sz w:val="22"/>
          <w:szCs w:val="22"/>
        </w:rPr>
        <w:tab/>
      </w:r>
      <w:r w:rsidR="0038288B" w:rsidRPr="00B76CC5">
        <w:rPr>
          <w:rFonts w:eastAsia="Calibri"/>
          <w:sz w:val="22"/>
          <w:szCs w:val="22"/>
        </w:rPr>
        <w:t xml:space="preserve">In 2021 and beyond we will continue to pursue new partnerships as we seek to expand the reach and impact of our work. </w:t>
      </w:r>
    </w:p>
    <w:p w14:paraId="4AAE89EF" w14:textId="77777777" w:rsidR="00497D4E" w:rsidRDefault="00497D4E" w:rsidP="00497D4E">
      <w:pPr>
        <w:tabs>
          <w:tab w:val="left" w:pos="720"/>
          <w:tab w:val="left" w:pos="1440"/>
          <w:tab w:val="left" w:pos="2160"/>
        </w:tabs>
        <w:jc w:val="both"/>
        <w:rPr>
          <w:sz w:val="22"/>
          <w:szCs w:val="22"/>
        </w:rPr>
      </w:pPr>
    </w:p>
    <w:p w14:paraId="58728441" w14:textId="77D454F1" w:rsidR="0038288B" w:rsidRDefault="00497D4E" w:rsidP="00497D4E">
      <w:pPr>
        <w:tabs>
          <w:tab w:val="left" w:pos="720"/>
          <w:tab w:val="left" w:pos="1440"/>
          <w:tab w:val="left" w:pos="2160"/>
        </w:tabs>
        <w:jc w:val="both"/>
        <w:rPr>
          <w:rFonts w:eastAsia="Calibri"/>
          <w:sz w:val="22"/>
          <w:szCs w:val="22"/>
        </w:rPr>
      </w:pPr>
      <w:r>
        <w:rPr>
          <w:rFonts w:eastAsia="Calibri"/>
          <w:sz w:val="22"/>
          <w:szCs w:val="22"/>
        </w:rPr>
        <w:tab/>
      </w:r>
      <w:r w:rsidR="0038288B" w:rsidRPr="00B76CC5">
        <w:rPr>
          <w:rFonts w:eastAsia="Calibri"/>
          <w:sz w:val="22"/>
          <w:szCs w:val="22"/>
        </w:rPr>
        <w:t>Chair, I take this opportunity to that all our partners large and small for their invaluable contribution to our work and by extension to our member states.</w:t>
      </w:r>
    </w:p>
    <w:p w14:paraId="27CB9431" w14:textId="77777777" w:rsidR="00497D4E" w:rsidRPr="00B76CC5" w:rsidRDefault="00497D4E" w:rsidP="00497D4E">
      <w:pPr>
        <w:tabs>
          <w:tab w:val="left" w:pos="720"/>
          <w:tab w:val="left" w:pos="1440"/>
          <w:tab w:val="left" w:pos="2160"/>
        </w:tabs>
        <w:jc w:val="both"/>
        <w:rPr>
          <w:sz w:val="22"/>
          <w:szCs w:val="22"/>
        </w:rPr>
      </w:pPr>
    </w:p>
    <w:p w14:paraId="46CFCAAA" w14:textId="1F2FA550" w:rsidR="0038288B" w:rsidRPr="00B76CC5" w:rsidRDefault="0038288B" w:rsidP="00497D4E">
      <w:pPr>
        <w:tabs>
          <w:tab w:val="left" w:pos="720"/>
          <w:tab w:val="left" w:pos="1440"/>
          <w:tab w:val="left" w:pos="2160"/>
        </w:tabs>
        <w:ind w:left="-5" w:firstLine="725"/>
        <w:jc w:val="both"/>
        <w:rPr>
          <w:sz w:val="22"/>
          <w:szCs w:val="22"/>
        </w:rPr>
      </w:pPr>
      <w:r w:rsidRPr="00B76CC5">
        <w:rPr>
          <w:rFonts w:eastAsia="Calibri"/>
          <w:sz w:val="22"/>
          <w:szCs w:val="22"/>
        </w:rPr>
        <w:t>Finally Chair, my special thanks</w:t>
      </w:r>
      <w:r w:rsidR="00497D4E">
        <w:rPr>
          <w:rFonts w:eastAsia="Calibri"/>
          <w:sz w:val="22"/>
          <w:szCs w:val="22"/>
        </w:rPr>
        <w:t xml:space="preserve"> </w:t>
      </w:r>
      <w:r w:rsidRPr="00B76CC5">
        <w:rPr>
          <w:rFonts w:eastAsia="Calibri"/>
          <w:sz w:val="22"/>
          <w:szCs w:val="22"/>
        </w:rPr>
        <w:t xml:space="preserve">to the team at SEDI for their hard work and dedication and their tireless efforts in pursuit of partnerships that add value to our member. Since this is only time, I </w:t>
      </w:r>
      <w:r w:rsidRPr="00B76CC5">
        <w:rPr>
          <w:rFonts w:eastAsia="Calibri"/>
          <w:sz w:val="22"/>
          <w:szCs w:val="22"/>
        </w:rPr>
        <w:lastRenderedPageBreak/>
        <w:t xml:space="preserve">will take the floor in this final meeting of the CIDI for the year, I wish everyone a happy Christmas and lets continue our journey together towards improving the lives and livelihoods of the  people of the Americas. </w:t>
      </w:r>
    </w:p>
    <w:p w14:paraId="2C9EBE11" w14:textId="77777777" w:rsidR="0038288B" w:rsidRPr="00B76CC5" w:rsidRDefault="0038288B" w:rsidP="00B76CC5">
      <w:pPr>
        <w:tabs>
          <w:tab w:val="left" w:pos="720"/>
          <w:tab w:val="left" w:pos="1440"/>
          <w:tab w:val="left" w:pos="2160"/>
        </w:tabs>
        <w:jc w:val="both"/>
        <w:rPr>
          <w:sz w:val="22"/>
          <w:szCs w:val="22"/>
        </w:rPr>
      </w:pPr>
      <w:r w:rsidRPr="00B76CC5">
        <w:rPr>
          <w:rFonts w:eastAsia="Calibri"/>
          <w:sz w:val="22"/>
          <w:szCs w:val="22"/>
        </w:rPr>
        <w:t xml:space="preserve"> </w:t>
      </w:r>
    </w:p>
    <w:p w14:paraId="60EE51A3" w14:textId="4BC0A7B5" w:rsidR="0038288B" w:rsidRPr="00B76CC5" w:rsidRDefault="0038288B" w:rsidP="00497D4E">
      <w:pPr>
        <w:tabs>
          <w:tab w:val="left" w:pos="720"/>
          <w:tab w:val="left" w:pos="1440"/>
          <w:tab w:val="left" w:pos="2160"/>
        </w:tabs>
        <w:ind w:left="-5" w:firstLine="725"/>
        <w:jc w:val="both"/>
        <w:rPr>
          <w:sz w:val="22"/>
          <w:szCs w:val="22"/>
        </w:rPr>
      </w:pPr>
      <w:r w:rsidRPr="00B76CC5">
        <w:rPr>
          <w:rFonts w:eastAsia="Calibri"/>
          <w:sz w:val="22"/>
          <w:szCs w:val="22"/>
        </w:rPr>
        <w:t xml:space="preserve">I much obliged for your attention. </w:t>
      </w:r>
    </w:p>
    <w:p w14:paraId="31BED4A6" w14:textId="77777777" w:rsidR="0038288B" w:rsidRPr="00B76CC5" w:rsidRDefault="0038288B" w:rsidP="00B76CC5">
      <w:pPr>
        <w:tabs>
          <w:tab w:val="left" w:pos="720"/>
          <w:tab w:val="left" w:pos="1440"/>
          <w:tab w:val="left" w:pos="2160"/>
        </w:tabs>
        <w:jc w:val="both"/>
        <w:rPr>
          <w:sz w:val="22"/>
          <w:szCs w:val="22"/>
        </w:rPr>
      </w:pPr>
      <w:r w:rsidRPr="00B76CC5">
        <w:rPr>
          <w:rFonts w:eastAsia="Calibri"/>
          <w:sz w:val="22"/>
          <w:szCs w:val="22"/>
        </w:rPr>
        <w:t xml:space="preserve"> </w:t>
      </w:r>
    </w:p>
    <w:p w14:paraId="00F0B681" w14:textId="77777777" w:rsidR="0038288B" w:rsidRPr="00B76CC5" w:rsidRDefault="0038288B" w:rsidP="00B76CC5">
      <w:pPr>
        <w:tabs>
          <w:tab w:val="left" w:pos="720"/>
          <w:tab w:val="left" w:pos="1440"/>
          <w:tab w:val="left" w:pos="2160"/>
        </w:tabs>
        <w:jc w:val="both"/>
        <w:rPr>
          <w:sz w:val="22"/>
          <w:szCs w:val="22"/>
        </w:rPr>
      </w:pPr>
      <w:r w:rsidRPr="00B76CC5">
        <w:rPr>
          <w:rFonts w:eastAsia="Calibri"/>
          <w:sz w:val="22"/>
          <w:szCs w:val="22"/>
        </w:rPr>
        <w:t xml:space="preserve"> </w:t>
      </w:r>
    </w:p>
    <w:p w14:paraId="2D96304E" w14:textId="0BBC61FD" w:rsidR="0038288B" w:rsidRPr="00B76CC5" w:rsidRDefault="0038288B" w:rsidP="00497D4E">
      <w:pPr>
        <w:tabs>
          <w:tab w:val="left" w:pos="720"/>
          <w:tab w:val="left" w:pos="1440"/>
          <w:tab w:val="left" w:pos="2160"/>
        </w:tabs>
        <w:jc w:val="both"/>
        <w:rPr>
          <w:sz w:val="22"/>
          <w:szCs w:val="22"/>
        </w:rPr>
      </w:pPr>
    </w:p>
    <w:p w14:paraId="75C7F813" w14:textId="77777777" w:rsidR="0038288B" w:rsidRPr="00B76CC5" w:rsidRDefault="0038288B" w:rsidP="00B76CC5">
      <w:pPr>
        <w:tabs>
          <w:tab w:val="left" w:pos="720"/>
          <w:tab w:val="left" w:pos="1440"/>
          <w:tab w:val="left" w:pos="2160"/>
        </w:tabs>
        <w:jc w:val="both"/>
        <w:rPr>
          <w:sz w:val="22"/>
          <w:szCs w:val="22"/>
        </w:rPr>
      </w:pPr>
      <w:r w:rsidRPr="00B76CC5">
        <w:rPr>
          <w:rFonts w:eastAsia="Calibri"/>
          <w:sz w:val="22"/>
          <w:szCs w:val="22"/>
        </w:rPr>
        <w:t xml:space="preserve"> </w:t>
      </w:r>
    </w:p>
    <w:p w14:paraId="1384F125" w14:textId="77777777" w:rsidR="0038288B" w:rsidRPr="00B76CC5" w:rsidRDefault="0038288B" w:rsidP="00B76CC5">
      <w:pPr>
        <w:tabs>
          <w:tab w:val="left" w:pos="720"/>
          <w:tab w:val="left" w:pos="1440"/>
          <w:tab w:val="left" w:pos="2160"/>
        </w:tabs>
        <w:jc w:val="both"/>
        <w:rPr>
          <w:sz w:val="22"/>
          <w:szCs w:val="22"/>
        </w:rPr>
      </w:pPr>
      <w:r w:rsidRPr="00B76CC5">
        <w:rPr>
          <w:rFonts w:eastAsia="Calibri"/>
          <w:sz w:val="22"/>
          <w:szCs w:val="22"/>
        </w:rPr>
        <w:t xml:space="preserve"> </w:t>
      </w:r>
    </w:p>
    <w:p w14:paraId="6E23DA73" w14:textId="77777777" w:rsidR="0038288B" w:rsidRPr="00B76CC5" w:rsidRDefault="0038288B" w:rsidP="00B76CC5">
      <w:pPr>
        <w:tabs>
          <w:tab w:val="left" w:pos="720"/>
          <w:tab w:val="left" w:pos="1440"/>
          <w:tab w:val="left" w:pos="2160"/>
        </w:tabs>
        <w:jc w:val="both"/>
        <w:rPr>
          <w:sz w:val="22"/>
          <w:szCs w:val="22"/>
        </w:rPr>
      </w:pPr>
      <w:r w:rsidRPr="00B76CC5">
        <w:rPr>
          <w:rFonts w:eastAsia="Calibri"/>
          <w:sz w:val="22"/>
          <w:szCs w:val="22"/>
        </w:rPr>
        <w:t xml:space="preserve"> </w:t>
      </w:r>
    </w:p>
    <w:p w14:paraId="70806EF3" w14:textId="77777777" w:rsidR="0038288B" w:rsidRPr="00B76CC5" w:rsidRDefault="0038288B" w:rsidP="00B76CC5">
      <w:pPr>
        <w:tabs>
          <w:tab w:val="left" w:pos="720"/>
          <w:tab w:val="left" w:pos="1440"/>
          <w:tab w:val="left" w:pos="2160"/>
        </w:tabs>
        <w:jc w:val="both"/>
        <w:rPr>
          <w:sz w:val="22"/>
          <w:szCs w:val="22"/>
        </w:rPr>
      </w:pPr>
      <w:r w:rsidRPr="00B76CC5">
        <w:rPr>
          <w:rFonts w:eastAsia="Calibri"/>
          <w:sz w:val="22"/>
          <w:szCs w:val="22"/>
        </w:rPr>
        <w:t xml:space="preserve"> </w:t>
      </w:r>
    </w:p>
    <w:p w14:paraId="0A2D662E" w14:textId="77777777" w:rsidR="0038288B" w:rsidRPr="00B76CC5" w:rsidRDefault="0038288B" w:rsidP="00B76CC5">
      <w:pPr>
        <w:tabs>
          <w:tab w:val="left" w:pos="720"/>
          <w:tab w:val="left" w:pos="1440"/>
          <w:tab w:val="left" w:pos="2160"/>
        </w:tabs>
        <w:jc w:val="both"/>
        <w:rPr>
          <w:sz w:val="22"/>
          <w:szCs w:val="22"/>
        </w:rPr>
      </w:pPr>
      <w:r w:rsidRPr="00B76CC5">
        <w:rPr>
          <w:rFonts w:eastAsia="Calibri"/>
          <w:sz w:val="22"/>
          <w:szCs w:val="22"/>
        </w:rPr>
        <w:t xml:space="preserve"> </w:t>
      </w:r>
    </w:p>
    <w:p w14:paraId="0AB5969B" w14:textId="77777777" w:rsidR="0038288B" w:rsidRPr="00B76CC5" w:rsidRDefault="0038288B" w:rsidP="00B76CC5">
      <w:pPr>
        <w:tabs>
          <w:tab w:val="left" w:pos="720"/>
          <w:tab w:val="left" w:pos="1440"/>
          <w:tab w:val="left" w:pos="2160"/>
        </w:tabs>
        <w:jc w:val="both"/>
        <w:rPr>
          <w:sz w:val="22"/>
          <w:szCs w:val="22"/>
        </w:rPr>
      </w:pPr>
      <w:r w:rsidRPr="00B76CC5">
        <w:rPr>
          <w:rFonts w:eastAsia="Calibri"/>
          <w:sz w:val="22"/>
          <w:szCs w:val="22"/>
        </w:rPr>
        <w:t xml:space="preserve"> </w:t>
      </w:r>
    </w:p>
    <w:p w14:paraId="68460AF9" w14:textId="4D05947D" w:rsidR="000B6478" w:rsidRPr="00B76CC5" w:rsidRDefault="0023293E" w:rsidP="00B76CC5">
      <w:pPr>
        <w:ind w:left="1440"/>
        <w:contextualSpacing/>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6A1E611D" wp14:editId="47CBA04B">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8FC41B0" w14:textId="79DA0AB8" w:rsidR="0023293E" w:rsidRPr="0023293E" w:rsidRDefault="0023293E">
                            <w:pPr>
                              <w:rPr>
                                <w:sz w:val="18"/>
                              </w:rPr>
                            </w:pPr>
                            <w:r>
                              <w:rPr>
                                <w:sz w:val="18"/>
                              </w:rPr>
                              <w:fldChar w:fldCharType="begin"/>
                            </w:r>
                            <w:r>
                              <w:rPr>
                                <w:sz w:val="18"/>
                              </w:rPr>
                              <w:instrText xml:space="preserve"> FILENAME  \* MERGEFORMAT </w:instrText>
                            </w:r>
                            <w:r>
                              <w:rPr>
                                <w:sz w:val="18"/>
                              </w:rPr>
                              <w:fldChar w:fldCharType="separate"/>
                            </w:r>
                            <w:r>
                              <w:rPr>
                                <w:noProof/>
                                <w:sz w:val="18"/>
                              </w:rPr>
                              <w:t>CIDRP03053E01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1E611D"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14:paraId="78FC41B0" w14:textId="79DA0AB8" w:rsidR="0023293E" w:rsidRPr="0023293E" w:rsidRDefault="0023293E">
                      <w:pPr>
                        <w:rPr>
                          <w:sz w:val="18"/>
                        </w:rPr>
                      </w:pPr>
                      <w:r>
                        <w:rPr>
                          <w:sz w:val="18"/>
                        </w:rPr>
                        <w:fldChar w:fldCharType="begin"/>
                      </w:r>
                      <w:r>
                        <w:rPr>
                          <w:sz w:val="18"/>
                        </w:rPr>
                        <w:instrText xml:space="preserve"> FILENAME  \* MERGEFORMAT </w:instrText>
                      </w:r>
                      <w:r>
                        <w:rPr>
                          <w:sz w:val="18"/>
                        </w:rPr>
                        <w:fldChar w:fldCharType="separate"/>
                      </w:r>
                      <w:r>
                        <w:rPr>
                          <w:noProof/>
                          <w:sz w:val="18"/>
                        </w:rPr>
                        <w:t>CIDRP03053E01</w:t>
                      </w:r>
                      <w:r>
                        <w:rPr>
                          <w:sz w:val="18"/>
                        </w:rPr>
                        <w:fldChar w:fldCharType="end"/>
                      </w:r>
                    </w:p>
                  </w:txbxContent>
                </v:textbox>
                <w10:wrap anchory="page"/>
                <w10:anchorlock/>
              </v:shape>
            </w:pict>
          </mc:Fallback>
        </mc:AlternateContent>
      </w:r>
    </w:p>
    <w:sectPr w:rsidR="000B6478" w:rsidRPr="00B76CC5" w:rsidSect="00B76CC5">
      <w:headerReference w:type="default" r:id="rId8"/>
      <w:headerReference w:type="first" r:id="rId9"/>
      <w:type w:val="continuous"/>
      <w:pgSz w:w="12240" w:h="15840" w:code="1"/>
      <w:pgMar w:top="2160" w:right="1570" w:bottom="1296" w:left="1670" w:header="1296" w:footer="432" w:gutter="0"/>
      <w:pgNumType w:fmt="numberInDash"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C760D" w14:textId="77777777" w:rsidR="003F46EA" w:rsidRDefault="003F46EA">
      <w:r>
        <w:separator/>
      </w:r>
    </w:p>
  </w:endnote>
  <w:endnote w:type="continuationSeparator" w:id="0">
    <w:p w14:paraId="386F61FB" w14:textId="77777777" w:rsidR="003F46EA" w:rsidRDefault="003F46EA">
      <w:r>
        <w:continuationSeparator/>
      </w:r>
    </w:p>
  </w:endnote>
  <w:endnote w:type="continuationNotice" w:id="1">
    <w:p w14:paraId="60B5F787" w14:textId="77777777" w:rsidR="003F46EA" w:rsidRDefault="003F4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EB668" w14:textId="77777777" w:rsidR="003F46EA" w:rsidRDefault="003F46EA">
      <w:r>
        <w:separator/>
      </w:r>
    </w:p>
  </w:footnote>
  <w:footnote w:type="continuationSeparator" w:id="0">
    <w:p w14:paraId="40B8E7B0" w14:textId="77777777" w:rsidR="003F46EA" w:rsidRDefault="003F46EA">
      <w:r>
        <w:continuationSeparator/>
      </w:r>
    </w:p>
  </w:footnote>
  <w:footnote w:type="continuationNotice" w:id="1">
    <w:p w14:paraId="79114705" w14:textId="77777777" w:rsidR="003F46EA" w:rsidRDefault="003F46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F3887" w14:textId="7FEB624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797961">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E37F" w14:textId="77777777" w:rsidR="0073480E" w:rsidRDefault="009B0021">
    <w:pPr>
      <w:pStyle w:val="Header"/>
    </w:pPr>
    <w:r>
      <w:rPr>
        <w:noProof/>
      </w:rPr>
      <mc:AlternateContent>
        <mc:Choice Requires="wps">
          <w:drawing>
            <wp:anchor distT="0" distB="0" distL="114300" distR="114300" simplePos="0" relativeHeight="251658752" behindDoc="0" locked="0" layoutInCell="1" allowOverlap="1" wp14:anchorId="548B743E" wp14:editId="04F75434">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849FB"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7EDAFC18"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320623B9" w14:textId="77777777"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B743E"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" stroked="f">
              <v:textbox>
                <w:txbxContent>
                  <w:p w14:paraId="401849FB"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7EDAFC18"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320623B9" w14:textId="77777777"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F661507" wp14:editId="2A41619F">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A07CA" w14:textId="77777777" w:rsidR="0073480E" w:rsidRDefault="009B0021" w:rsidP="00AB7175">
                          <w:pPr>
                            <w:ind w:right="-130"/>
                          </w:pPr>
                          <w:r>
                            <w:rPr>
                              <w:rFonts w:ascii="News Gothic MT" w:hAnsi="News Gothic MT"/>
                              <w:noProof/>
                              <w:color w:val="000000"/>
                            </w:rPr>
                            <w:drawing>
                              <wp:inline distT="0" distB="0" distL="0" distR="0" wp14:anchorId="34CE1C5B" wp14:editId="6222A3BA">
                                <wp:extent cx="1106805" cy="768985"/>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61507"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699A07CA" w14:textId="77777777" w:rsidR="0073480E" w:rsidRDefault="009B0021" w:rsidP="00AB7175">
                    <w:pPr>
                      <w:ind w:right="-130"/>
                    </w:pPr>
                    <w:r>
                      <w:rPr>
                        <w:rFonts w:ascii="News Gothic MT" w:hAnsi="News Gothic MT"/>
                        <w:noProof/>
                        <w:color w:val="000000"/>
                      </w:rPr>
                      <w:drawing>
                        <wp:inline distT="0" distB="0" distL="0" distR="0" wp14:anchorId="34CE1C5B" wp14:editId="6222A3BA">
                          <wp:extent cx="1106805" cy="768985"/>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94ACD75" wp14:editId="35B8B9ED">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5A4D5D52"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DA3"/>
    <w:multiLevelType w:val="hybridMultilevel"/>
    <w:tmpl w:val="95E61F64"/>
    <w:lvl w:ilvl="0" w:tplc="B4D0FF4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1A2D12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AACCFB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C36781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CE0607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E626F3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3A01F3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CD40D8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55E394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1844A5"/>
    <w:multiLevelType w:val="hybridMultilevel"/>
    <w:tmpl w:val="7ABCECBC"/>
    <w:lvl w:ilvl="0" w:tplc="5F7A31D6">
      <w:start w:val="100"/>
      <w:numFmt w:val="bullet"/>
      <w:lvlText w:val="-"/>
      <w:lvlJc w:val="left"/>
      <w:pPr>
        <w:ind w:left="360" w:hanging="360"/>
      </w:pPr>
      <w:rPr>
        <w:rFonts w:ascii="Courier New" w:eastAsiaTheme="minorHAnsi" w:hAnsi="Courier New" w:cs="Courier New"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71698"/>
    <w:multiLevelType w:val="hybridMultilevel"/>
    <w:tmpl w:val="DACC8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11570"/>
    <w:multiLevelType w:val="hybridMultilevel"/>
    <w:tmpl w:val="16BEEAE6"/>
    <w:lvl w:ilvl="0" w:tplc="906286D8">
      <w:start w:val="1"/>
      <w:numFmt w:val="bullet"/>
      <w:lvlText w:val=""/>
      <w:lvlJc w:val="left"/>
      <w:pPr>
        <w:ind w:left="1080" w:hanging="360"/>
      </w:pPr>
      <w:rPr>
        <w:rFonts w:ascii="Symbol" w:hAnsi="Symbol" w:hint="default"/>
      </w:rPr>
    </w:lvl>
    <w:lvl w:ilvl="1" w:tplc="B66255CE" w:tentative="1">
      <w:start w:val="1"/>
      <w:numFmt w:val="bullet"/>
      <w:lvlText w:val="o"/>
      <w:lvlJc w:val="left"/>
      <w:pPr>
        <w:ind w:left="1800" w:hanging="360"/>
      </w:pPr>
      <w:rPr>
        <w:rFonts w:ascii="Courier New" w:hAnsi="Courier New" w:cs="Courier New" w:hint="default"/>
      </w:rPr>
    </w:lvl>
    <w:lvl w:ilvl="2" w:tplc="1B40B27E" w:tentative="1">
      <w:start w:val="1"/>
      <w:numFmt w:val="bullet"/>
      <w:lvlText w:val=""/>
      <w:lvlJc w:val="left"/>
      <w:pPr>
        <w:ind w:left="2520" w:hanging="360"/>
      </w:pPr>
      <w:rPr>
        <w:rFonts w:ascii="Wingdings" w:hAnsi="Wingdings" w:hint="default"/>
      </w:rPr>
    </w:lvl>
    <w:lvl w:ilvl="3" w:tplc="2C367014" w:tentative="1">
      <w:start w:val="1"/>
      <w:numFmt w:val="bullet"/>
      <w:lvlText w:val=""/>
      <w:lvlJc w:val="left"/>
      <w:pPr>
        <w:ind w:left="3240" w:hanging="360"/>
      </w:pPr>
      <w:rPr>
        <w:rFonts w:ascii="Symbol" w:hAnsi="Symbol" w:hint="default"/>
      </w:rPr>
    </w:lvl>
    <w:lvl w:ilvl="4" w:tplc="139A527A" w:tentative="1">
      <w:start w:val="1"/>
      <w:numFmt w:val="bullet"/>
      <w:lvlText w:val="o"/>
      <w:lvlJc w:val="left"/>
      <w:pPr>
        <w:ind w:left="3960" w:hanging="360"/>
      </w:pPr>
      <w:rPr>
        <w:rFonts w:ascii="Courier New" w:hAnsi="Courier New" w:cs="Courier New" w:hint="default"/>
      </w:rPr>
    </w:lvl>
    <w:lvl w:ilvl="5" w:tplc="72443B40" w:tentative="1">
      <w:start w:val="1"/>
      <w:numFmt w:val="bullet"/>
      <w:lvlText w:val=""/>
      <w:lvlJc w:val="left"/>
      <w:pPr>
        <w:ind w:left="4680" w:hanging="360"/>
      </w:pPr>
      <w:rPr>
        <w:rFonts w:ascii="Wingdings" w:hAnsi="Wingdings" w:hint="default"/>
      </w:rPr>
    </w:lvl>
    <w:lvl w:ilvl="6" w:tplc="6F2A1078" w:tentative="1">
      <w:start w:val="1"/>
      <w:numFmt w:val="bullet"/>
      <w:lvlText w:val=""/>
      <w:lvlJc w:val="left"/>
      <w:pPr>
        <w:ind w:left="5400" w:hanging="360"/>
      </w:pPr>
      <w:rPr>
        <w:rFonts w:ascii="Symbol" w:hAnsi="Symbol" w:hint="default"/>
      </w:rPr>
    </w:lvl>
    <w:lvl w:ilvl="7" w:tplc="4F560A5A" w:tentative="1">
      <w:start w:val="1"/>
      <w:numFmt w:val="bullet"/>
      <w:lvlText w:val="o"/>
      <w:lvlJc w:val="left"/>
      <w:pPr>
        <w:ind w:left="6120" w:hanging="360"/>
      </w:pPr>
      <w:rPr>
        <w:rFonts w:ascii="Courier New" w:hAnsi="Courier New" w:cs="Courier New" w:hint="default"/>
      </w:rPr>
    </w:lvl>
    <w:lvl w:ilvl="8" w:tplc="86C6CA9E" w:tentative="1">
      <w:start w:val="1"/>
      <w:numFmt w:val="bullet"/>
      <w:lvlText w:val=""/>
      <w:lvlJc w:val="left"/>
      <w:pPr>
        <w:ind w:left="6840" w:hanging="360"/>
      </w:pPr>
      <w:rPr>
        <w:rFonts w:ascii="Wingdings" w:hAnsi="Wingdings" w:hint="default"/>
      </w:rPr>
    </w:lvl>
  </w:abstractNum>
  <w:abstractNum w:abstractNumId="6" w15:restartNumberingAfterBreak="0">
    <w:nsid w:val="22B946C0"/>
    <w:multiLevelType w:val="hybridMultilevel"/>
    <w:tmpl w:val="3DCC13D0"/>
    <w:lvl w:ilvl="0" w:tplc="04090013">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40A45EF"/>
    <w:multiLevelType w:val="hybridMultilevel"/>
    <w:tmpl w:val="689A419C"/>
    <w:lvl w:ilvl="0" w:tplc="8BA2545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0826E2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29A58B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DAC927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8CD86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CDC6E1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4EE0F6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A008B0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72BBC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B72F0F"/>
    <w:multiLevelType w:val="hybridMultilevel"/>
    <w:tmpl w:val="2F506AD8"/>
    <w:lvl w:ilvl="0" w:tplc="6AAA824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F6AF5A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4267AF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6A8F5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BA85CC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D8E7F1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4C4E01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282CA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54C6EE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6D8383C"/>
    <w:multiLevelType w:val="hybridMultilevel"/>
    <w:tmpl w:val="353A73BA"/>
    <w:lvl w:ilvl="0" w:tplc="E4C63176">
      <w:start w:val="1"/>
      <w:numFmt w:val="decimal"/>
      <w:lvlText w:val="%1."/>
      <w:lvlJc w:val="left"/>
      <w:pPr>
        <w:tabs>
          <w:tab w:val="num" w:pos="360"/>
        </w:tabs>
        <w:ind w:left="36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11"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E7E6C35"/>
    <w:multiLevelType w:val="hybridMultilevel"/>
    <w:tmpl w:val="F1725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C4ECE"/>
    <w:multiLevelType w:val="hybridMultilevel"/>
    <w:tmpl w:val="E7041B4A"/>
    <w:lvl w:ilvl="0" w:tplc="325A002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2A046F"/>
    <w:multiLevelType w:val="hybridMultilevel"/>
    <w:tmpl w:val="ABB8463E"/>
    <w:lvl w:ilvl="0" w:tplc="4A52A7D2">
      <w:start w:val="1"/>
      <w:numFmt w:val="bullet"/>
      <w:lvlText w:val="•"/>
      <w:lvlJc w:val="left"/>
      <w:pPr>
        <w:tabs>
          <w:tab w:val="num" w:pos="720"/>
        </w:tabs>
        <w:ind w:left="720" w:hanging="360"/>
      </w:pPr>
      <w:rPr>
        <w:rFonts w:ascii="Arial" w:hAnsi="Arial" w:hint="default"/>
      </w:rPr>
    </w:lvl>
    <w:lvl w:ilvl="1" w:tplc="BBCAAEC6" w:tentative="1">
      <w:start w:val="1"/>
      <w:numFmt w:val="bullet"/>
      <w:lvlText w:val="•"/>
      <w:lvlJc w:val="left"/>
      <w:pPr>
        <w:tabs>
          <w:tab w:val="num" w:pos="1440"/>
        </w:tabs>
        <w:ind w:left="1440" w:hanging="360"/>
      </w:pPr>
      <w:rPr>
        <w:rFonts w:ascii="Arial" w:hAnsi="Arial" w:hint="default"/>
      </w:rPr>
    </w:lvl>
    <w:lvl w:ilvl="2" w:tplc="7172BC58" w:tentative="1">
      <w:start w:val="1"/>
      <w:numFmt w:val="bullet"/>
      <w:lvlText w:val="•"/>
      <w:lvlJc w:val="left"/>
      <w:pPr>
        <w:tabs>
          <w:tab w:val="num" w:pos="2160"/>
        </w:tabs>
        <w:ind w:left="2160" w:hanging="360"/>
      </w:pPr>
      <w:rPr>
        <w:rFonts w:ascii="Arial" w:hAnsi="Arial" w:hint="default"/>
      </w:rPr>
    </w:lvl>
    <w:lvl w:ilvl="3" w:tplc="0684449C" w:tentative="1">
      <w:start w:val="1"/>
      <w:numFmt w:val="bullet"/>
      <w:lvlText w:val="•"/>
      <w:lvlJc w:val="left"/>
      <w:pPr>
        <w:tabs>
          <w:tab w:val="num" w:pos="2880"/>
        </w:tabs>
        <w:ind w:left="2880" w:hanging="360"/>
      </w:pPr>
      <w:rPr>
        <w:rFonts w:ascii="Arial" w:hAnsi="Arial" w:hint="default"/>
      </w:rPr>
    </w:lvl>
    <w:lvl w:ilvl="4" w:tplc="60086C04" w:tentative="1">
      <w:start w:val="1"/>
      <w:numFmt w:val="bullet"/>
      <w:lvlText w:val="•"/>
      <w:lvlJc w:val="left"/>
      <w:pPr>
        <w:tabs>
          <w:tab w:val="num" w:pos="3600"/>
        </w:tabs>
        <w:ind w:left="3600" w:hanging="360"/>
      </w:pPr>
      <w:rPr>
        <w:rFonts w:ascii="Arial" w:hAnsi="Arial" w:hint="default"/>
      </w:rPr>
    </w:lvl>
    <w:lvl w:ilvl="5" w:tplc="43B4B97C" w:tentative="1">
      <w:start w:val="1"/>
      <w:numFmt w:val="bullet"/>
      <w:lvlText w:val="•"/>
      <w:lvlJc w:val="left"/>
      <w:pPr>
        <w:tabs>
          <w:tab w:val="num" w:pos="4320"/>
        </w:tabs>
        <w:ind w:left="4320" w:hanging="360"/>
      </w:pPr>
      <w:rPr>
        <w:rFonts w:ascii="Arial" w:hAnsi="Arial" w:hint="default"/>
      </w:rPr>
    </w:lvl>
    <w:lvl w:ilvl="6" w:tplc="424E1E0E" w:tentative="1">
      <w:start w:val="1"/>
      <w:numFmt w:val="bullet"/>
      <w:lvlText w:val="•"/>
      <w:lvlJc w:val="left"/>
      <w:pPr>
        <w:tabs>
          <w:tab w:val="num" w:pos="5040"/>
        </w:tabs>
        <w:ind w:left="5040" w:hanging="360"/>
      </w:pPr>
      <w:rPr>
        <w:rFonts w:ascii="Arial" w:hAnsi="Arial" w:hint="default"/>
      </w:rPr>
    </w:lvl>
    <w:lvl w:ilvl="7" w:tplc="51D4B82A" w:tentative="1">
      <w:start w:val="1"/>
      <w:numFmt w:val="bullet"/>
      <w:lvlText w:val="•"/>
      <w:lvlJc w:val="left"/>
      <w:pPr>
        <w:tabs>
          <w:tab w:val="num" w:pos="5760"/>
        </w:tabs>
        <w:ind w:left="5760" w:hanging="360"/>
      </w:pPr>
      <w:rPr>
        <w:rFonts w:ascii="Arial" w:hAnsi="Arial" w:hint="default"/>
      </w:rPr>
    </w:lvl>
    <w:lvl w:ilvl="8" w:tplc="A156F2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123FF8"/>
    <w:multiLevelType w:val="hybridMultilevel"/>
    <w:tmpl w:val="EDDCDA8E"/>
    <w:lvl w:ilvl="0" w:tplc="016CDB90">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BC3554"/>
    <w:multiLevelType w:val="hybridMultilevel"/>
    <w:tmpl w:val="1A64F3C8"/>
    <w:lvl w:ilvl="0" w:tplc="3C26C850">
      <w:start w:val="1"/>
      <w:numFmt w:val="bullet"/>
      <w:lvlText w:val=""/>
      <w:lvlJc w:val="left"/>
      <w:pPr>
        <w:ind w:left="720" w:hanging="360"/>
      </w:pPr>
      <w:rPr>
        <w:rFonts w:ascii="Symbol" w:hAnsi="Symbol" w:hint="default"/>
      </w:rPr>
    </w:lvl>
    <w:lvl w:ilvl="1" w:tplc="48B80BB0" w:tentative="1">
      <w:start w:val="1"/>
      <w:numFmt w:val="bullet"/>
      <w:lvlText w:val="o"/>
      <w:lvlJc w:val="left"/>
      <w:pPr>
        <w:ind w:left="1440" w:hanging="360"/>
      </w:pPr>
      <w:rPr>
        <w:rFonts w:ascii="Courier New" w:hAnsi="Courier New" w:cs="Courier New" w:hint="default"/>
      </w:rPr>
    </w:lvl>
    <w:lvl w:ilvl="2" w:tplc="BBB217AC" w:tentative="1">
      <w:start w:val="1"/>
      <w:numFmt w:val="bullet"/>
      <w:lvlText w:val=""/>
      <w:lvlJc w:val="left"/>
      <w:pPr>
        <w:ind w:left="2160" w:hanging="360"/>
      </w:pPr>
      <w:rPr>
        <w:rFonts w:ascii="Wingdings" w:hAnsi="Wingdings" w:hint="default"/>
      </w:rPr>
    </w:lvl>
    <w:lvl w:ilvl="3" w:tplc="8C8C6A32" w:tentative="1">
      <w:start w:val="1"/>
      <w:numFmt w:val="bullet"/>
      <w:lvlText w:val=""/>
      <w:lvlJc w:val="left"/>
      <w:pPr>
        <w:ind w:left="2880" w:hanging="360"/>
      </w:pPr>
      <w:rPr>
        <w:rFonts w:ascii="Symbol" w:hAnsi="Symbol" w:hint="default"/>
      </w:rPr>
    </w:lvl>
    <w:lvl w:ilvl="4" w:tplc="65B0A84E" w:tentative="1">
      <w:start w:val="1"/>
      <w:numFmt w:val="bullet"/>
      <w:lvlText w:val="o"/>
      <w:lvlJc w:val="left"/>
      <w:pPr>
        <w:ind w:left="3600" w:hanging="360"/>
      </w:pPr>
      <w:rPr>
        <w:rFonts w:ascii="Courier New" w:hAnsi="Courier New" w:cs="Courier New" w:hint="default"/>
      </w:rPr>
    </w:lvl>
    <w:lvl w:ilvl="5" w:tplc="3BC8D5DA" w:tentative="1">
      <w:start w:val="1"/>
      <w:numFmt w:val="bullet"/>
      <w:lvlText w:val=""/>
      <w:lvlJc w:val="left"/>
      <w:pPr>
        <w:ind w:left="4320" w:hanging="360"/>
      </w:pPr>
      <w:rPr>
        <w:rFonts w:ascii="Wingdings" w:hAnsi="Wingdings" w:hint="default"/>
      </w:rPr>
    </w:lvl>
    <w:lvl w:ilvl="6" w:tplc="9864CC9A" w:tentative="1">
      <w:start w:val="1"/>
      <w:numFmt w:val="bullet"/>
      <w:lvlText w:val=""/>
      <w:lvlJc w:val="left"/>
      <w:pPr>
        <w:ind w:left="5040" w:hanging="360"/>
      </w:pPr>
      <w:rPr>
        <w:rFonts w:ascii="Symbol" w:hAnsi="Symbol" w:hint="default"/>
      </w:rPr>
    </w:lvl>
    <w:lvl w:ilvl="7" w:tplc="A442161E" w:tentative="1">
      <w:start w:val="1"/>
      <w:numFmt w:val="bullet"/>
      <w:lvlText w:val="o"/>
      <w:lvlJc w:val="left"/>
      <w:pPr>
        <w:ind w:left="5760" w:hanging="360"/>
      </w:pPr>
      <w:rPr>
        <w:rFonts w:ascii="Courier New" w:hAnsi="Courier New" w:cs="Courier New" w:hint="default"/>
      </w:rPr>
    </w:lvl>
    <w:lvl w:ilvl="8" w:tplc="F01C2AAE" w:tentative="1">
      <w:start w:val="1"/>
      <w:numFmt w:val="bullet"/>
      <w:lvlText w:val=""/>
      <w:lvlJc w:val="left"/>
      <w:pPr>
        <w:ind w:left="6480" w:hanging="360"/>
      </w:pPr>
      <w:rPr>
        <w:rFonts w:ascii="Wingdings" w:hAnsi="Wingdings" w:hint="default"/>
      </w:rPr>
    </w:lvl>
  </w:abstractNum>
  <w:abstractNum w:abstractNumId="18" w15:restartNumberingAfterBreak="0">
    <w:nsid w:val="78B57D26"/>
    <w:multiLevelType w:val="hybridMultilevel"/>
    <w:tmpl w:val="DC5E8800"/>
    <w:lvl w:ilvl="0" w:tplc="2D4640B4">
      <w:start w:val="1"/>
      <w:numFmt w:val="bullet"/>
      <w:lvlText w:val=""/>
      <w:lvlJc w:val="left"/>
      <w:pPr>
        <w:ind w:left="720" w:hanging="360"/>
      </w:pPr>
      <w:rPr>
        <w:rFonts w:ascii="Symbol" w:hAnsi="Symbol" w:hint="default"/>
      </w:rPr>
    </w:lvl>
    <w:lvl w:ilvl="1" w:tplc="8EB665BE" w:tentative="1">
      <w:start w:val="1"/>
      <w:numFmt w:val="bullet"/>
      <w:lvlText w:val="o"/>
      <w:lvlJc w:val="left"/>
      <w:pPr>
        <w:ind w:left="1440" w:hanging="360"/>
      </w:pPr>
      <w:rPr>
        <w:rFonts w:ascii="Courier New" w:hAnsi="Courier New" w:cs="Courier New" w:hint="default"/>
      </w:rPr>
    </w:lvl>
    <w:lvl w:ilvl="2" w:tplc="B8DA0FAC" w:tentative="1">
      <w:start w:val="1"/>
      <w:numFmt w:val="bullet"/>
      <w:lvlText w:val=""/>
      <w:lvlJc w:val="left"/>
      <w:pPr>
        <w:ind w:left="2160" w:hanging="360"/>
      </w:pPr>
      <w:rPr>
        <w:rFonts w:ascii="Wingdings" w:hAnsi="Wingdings" w:hint="default"/>
      </w:rPr>
    </w:lvl>
    <w:lvl w:ilvl="3" w:tplc="AC420A96" w:tentative="1">
      <w:start w:val="1"/>
      <w:numFmt w:val="bullet"/>
      <w:lvlText w:val=""/>
      <w:lvlJc w:val="left"/>
      <w:pPr>
        <w:ind w:left="2880" w:hanging="360"/>
      </w:pPr>
      <w:rPr>
        <w:rFonts w:ascii="Symbol" w:hAnsi="Symbol" w:hint="default"/>
      </w:rPr>
    </w:lvl>
    <w:lvl w:ilvl="4" w:tplc="9894E08C" w:tentative="1">
      <w:start w:val="1"/>
      <w:numFmt w:val="bullet"/>
      <w:lvlText w:val="o"/>
      <w:lvlJc w:val="left"/>
      <w:pPr>
        <w:ind w:left="3600" w:hanging="360"/>
      </w:pPr>
      <w:rPr>
        <w:rFonts w:ascii="Courier New" w:hAnsi="Courier New" w:cs="Courier New" w:hint="default"/>
      </w:rPr>
    </w:lvl>
    <w:lvl w:ilvl="5" w:tplc="F8A8E8DA" w:tentative="1">
      <w:start w:val="1"/>
      <w:numFmt w:val="bullet"/>
      <w:lvlText w:val=""/>
      <w:lvlJc w:val="left"/>
      <w:pPr>
        <w:ind w:left="4320" w:hanging="360"/>
      </w:pPr>
      <w:rPr>
        <w:rFonts w:ascii="Wingdings" w:hAnsi="Wingdings" w:hint="default"/>
      </w:rPr>
    </w:lvl>
    <w:lvl w:ilvl="6" w:tplc="9D10FBA6" w:tentative="1">
      <w:start w:val="1"/>
      <w:numFmt w:val="bullet"/>
      <w:lvlText w:val=""/>
      <w:lvlJc w:val="left"/>
      <w:pPr>
        <w:ind w:left="5040" w:hanging="360"/>
      </w:pPr>
      <w:rPr>
        <w:rFonts w:ascii="Symbol" w:hAnsi="Symbol" w:hint="default"/>
      </w:rPr>
    </w:lvl>
    <w:lvl w:ilvl="7" w:tplc="ADFE800A" w:tentative="1">
      <w:start w:val="1"/>
      <w:numFmt w:val="bullet"/>
      <w:lvlText w:val="o"/>
      <w:lvlJc w:val="left"/>
      <w:pPr>
        <w:ind w:left="5760" w:hanging="360"/>
      </w:pPr>
      <w:rPr>
        <w:rFonts w:ascii="Courier New" w:hAnsi="Courier New" w:cs="Courier New" w:hint="default"/>
      </w:rPr>
    </w:lvl>
    <w:lvl w:ilvl="8" w:tplc="8F124436" w:tentative="1">
      <w:start w:val="1"/>
      <w:numFmt w:val="bullet"/>
      <w:lvlText w:val=""/>
      <w:lvlJc w:val="left"/>
      <w:pPr>
        <w:ind w:left="6480" w:hanging="360"/>
      </w:pPr>
      <w:rPr>
        <w:rFonts w:ascii="Wingdings" w:hAnsi="Wingdings" w:hint="default"/>
      </w:rPr>
    </w:lvl>
  </w:abstractNum>
  <w:abstractNum w:abstractNumId="19" w15:restartNumberingAfterBreak="0">
    <w:nsid w:val="7C1B636A"/>
    <w:multiLevelType w:val="hybridMultilevel"/>
    <w:tmpl w:val="2AAC6FD4"/>
    <w:lvl w:ilvl="0" w:tplc="A8844008">
      <w:start w:val="1"/>
      <w:numFmt w:val="bullet"/>
      <w:lvlText w:val="•"/>
      <w:lvlJc w:val="left"/>
      <w:pPr>
        <w:tabs>
          <w:tab w:val="num" w:pos="720"/>
        </w:tabs>
        <w:ind w:left="720" w:hanging="360"/>
      </w:pPr>
      <w:rPr>
        <w:rFonts w:ascii="Arial" w:hAnsi="Arial" w:hint="default"/>
      </w:rPr>
    </w:lvl>
    <w:lvl w:ilvl="1" w:tplc="FAD8B604" w:tentative="1">
      <w:start w:val="1"/>
      <w:numFmt w:val="bullet"/>
      <w:lvlText w:val="•"/>
      <w:lvlJc w:val="left"/>
      <w:pPr>
        <w:tabs>
          <w:tab w:val="num" w:pos="1440"/>
        </w:tabs>
        <w:ind w:left="1440" w:hanging="360"/>
      </w:pPr>
      <w:rPr>
        <w:rFonts w:ascii="Arial" w:hAnsi="Arial" w:hint="default"/>
      </w:rPr>
    </w:lvl>
    <w:lvl w:ilvl="2" w:tplc="3C2A8C8C" w:tentative="1">
      <w:start w:val="1"/>
      <w:numFmt w:val="bullet"/>
      <w:lvlText w:val="•"/>
      <w:lvlJc w:val="left"/>
      <w:pPr>
        <w:tabs>
          <w:tab w:val="num" w:pos="2160"/>
        </w:tabs>
        <w:ind w:left="2160" w:hanging="360"/>
      </w:pPr>
      <w:rPr>
        <w:rFonts w:ascii="Arial" w:hAnsi="Arial" w:hint="default"/>
      </w:rPr>
    </w:lvl>
    <w:lvl w:ilvl="3" w:tplc="44B2C764" w:tentative="1">
      <w:start w:val="1"/>
      <w:numFmt w:val="bullet"/>
      <w:lvlText w:val="•"/>
      <w:lvlJc w:val="left"/>
      <w:pPr>
        <w:tabs>
          <w:tab w:val="num" w:pos="2880"/>
        </w:tabs>
        <w:ind w:left="2880" w:hanging="360"/>
      </w:pPr>
      <w:rPr>
        <w:rFonts w:ascii="Arial" w:hAnsi="Arial" w:hint="default"/>
      </w:rPr>
    </w:lvl>
    <w:lvl w:ilvl="4" w:tplc="F1E8E904" w:tentative="1">
      <w:start w:val="1"/>
      <w:numFmt w:val="bullet"/>
      <w:lvlText w:val="•"/>
      <w:lvlJc w:val="left"/>
      <w:pPr>
        <w:tabs>
          <w:tab w:val="num" w:pos="3600"/>
        </w:tabs>
        <w:ind w:left="3600" w:hanging="360"/>
      </w:pPr>
      <w:rPr>
        <w:rFonts w:ascii="Arial" w:hAnsi="Arial" w:hint="default"/>
      </w:rPr>
    </w:lvl>
    <w:lvl w:ilvl="5" w:tplc="EBA265BE" w:tentative="1">
      <w:start w:val="1"/>
      <w:numFmt w:val="bullet"/>
      <w:lvlText w:val="•"/>
      <w:lvlJc w:val="left"/>
      <w:pPr>
        <w:tabs>
          <w:tab w:val="num" w:pos="4320"/>
        </w:tabs>
        <w:ind w:left="4320" w:hanging="360"/>
      </w:pPr>
      <w:rPr>
        <w:rFonts w:ascii="Arial" w:hAnsi="Arial" w:hint="default"/>
      </w:rPr>
    </w:lvl>
    <w:lvl w:ilvl="6" w:tplc="CAFA4E98" w:tentative="1">
      <w:start w:val="1"/>
      <w:numFmt w:val="bullet"/>
      <w:lvlText w:val="•"/>
      <w:lvlJc w:val="left"/>
      <w:pPr>
        <w:tabs>
          <w:tab w:val="num" w:pos="5040"/>
        </w:tabs>
        <w:ind w:left="5040" w:hanging="360"/>
      </w:pPr>
      <w:rPr>
        <w:rFonts w:ascii="Arial" w:hAnsi="Arial" w:hint="default"/>
      </w:rPr>
    </w:lvl>
    <w:lvl w:ilvl="7" w:tplc="B2A4ABD0" w:tentative="1">
      <w:start w:val="1"/>
      <w:numFmt w:val="bullet"/>
      <w:lvlText w:val="•"/>
      <w:lvlJc w:val="left"/>
      <w:pPr>
        <w:tabs>
          <w:tab w:val="num" w:pos="5760"/>
        </w:tabs>
        <w:ind w:left="5760" w:hanging="360"/>
      </w:pPr>
      <w:rPr>
        <w:rFonts w:ascii="Arial" w:hAnsi="Arial" w:hint="default"/>
      </w:rPr>
    </w:lvl>
    <w:lvl w:ilvl="8" w:tplc="B8C2696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D672C04"/>
    <w:multiLevelType w:val="hybridMultilevel"/>
    <w:tmpl w:val="A1D0237C"/>
    <w:lvl w:ilvl="0" w:tplc="B694F622">
      <w:start w:val="1"/>
      <w:numFmt w:val="bullet"/>
      <w:lvlText w:val="•"/>
      <w:lvlJc w:val="left"/>
      <w:pPr>
        <w:tabs>
          <w:tab w:val="num" w:pos="720"/>
        </w:tabs>
        <w:ind w:left="720" w:hanging="360"/>
      </w:pPr>
      <w:rPr>
        <w:rFonts w:ascii="Arial" w:hAnsi="Arial" w:hint="default"/>
      </w:rPr>
    </w:lvl>
    <w:lvl w:ilvl="1" w:tplc="137824D4" w:tentative="1">
      <w:start w:val="1"/>
      <w:numFmt w:val="bullet"/>
      <w:lvlText w:val="•"/>
      <w:lvlJc w:val="left"/>
      <w:pPr>
        <w:tabs>
          <w:tab w:val="num" w:pos="1440"/>
        </w:tabs>
        <w:ind w:left="1440" w:hanging="360"/>
      </w:pPr>
      <w:rPr>
        <w:rFonts w:ascii="Arial" w:hAnsi="Arial" w:hint="default"/>
      </w:rPr>
    </w:lvl>
    <w:lvl w:ilvl="2" w:tplc="3E5E11DC" w:tentative="1">
      <w:start w:val="1"/>
      <w:numFmt w:val="bullet"/>
      <w:lvlText w:val="•"/>
      <w:lvlJc w:val="left"/>
      <w:pPr>
        <w:tabs>
          <w:tab w:val="num" w:pos="2160"/>
        </w:tabs>
        <w:ind w:left="2160" w:hanging="360"/>
      </w:pPr>
      <w:rPr>
        <w:rFonts w:ascii="Arial" w:hAnsi="Arial" w:hint="default"/>
      </w:rPr>
    </w:lvl>
    <w:lvl w:ilvl="3" w:tplc="93940738" w:tentative="1">
      <w:start w:val="1"/>
      <w:numFmt w:val="bullet"/>
      <w:lvlText w:val="•"/>
      <w:lvlJc w:val="left"/>
      <w:pPr>
        <w:tabs>
          <w:tab w:val="num" w:pos="2880"/>
        </w:tabs>
        <w:ind w:left="2880" w:hanging="360"/>
      </w:pPr>
      <w:rPr>
        <w:rFonts w:ascii="Arial" w:hAnsi="Arial" w:hint="default"/>
      </w:rPr>
    </w:lvl>
    <w:lvl w:ilvl="4" w:tplc="6A7EE642" w:tentative="1">
      <w:start w:val="1"/>
      <w:numFmt w:val="bullet"/>
      <w:lvlText w:val="•"/>
      <w:lvlJc w:val="left"/>
      <w:pPr>
        <w:tabs>
          <w:tab w:val="num" w:pos="3600"/>
        </w:tabs>
        <w:ind w:left="3600" w:hanging="360"/>
      </w:pPr>
      <w:rPr>
        <w:rFonts w:ascii="Arial" w:hAnsi="Arial" w:hint="default"/>
      </w:rPr>
    </w:lvl>
    <w:lvl w:ilvl="5" w:tplc="153E295E" w:tentative="1">
      <w:start w:val="1"/>
      <w:numFmt w:val="bullet"/>
      <w:lvlText w:val="•"/>
      <w:lvlJc w:val="left"/>
      <w:pPr>
        <w:tabs>
          <w:tab w:val="num" w:pos="4320"/>
        </w:tabs>
        <w:ind w:left="4320" w:hanging="360"/>
      </w:pPr>
      <w:rPr>
        <w:rFonts w:ascii="Arial" w:hAnsi="Arial" w:hint="default"/>
      </w:rPr>
    </w:lvl>
    <w:lvl w:ilvl="6" w:tplc="69602886" w:tentative="1">
      <w:start w:val="1"/>
      <w:numFmt w:val="bullet"/>
      <w:lvlText w:val="•"/>
      <w:lvlJc w:val="left"/>
      <w:pPr>
        <w:tabs>
          <w:tab w:val="num" w:pos="5040"/>
        </w:tabs>
        <w:ind w:left="5040" w:hanging="360"/>
      </w:pPr>
      <w:rPr>
        <w:rFonts w:ascii="Arial" w:hAnsi="Arial" w:hint="default"/>
      </w:rPr>
    </w:lvl>
    <w:lvl w:ilvl="7" w:tplc="0F708E7E" w:tentative="1">
      <w:start w:val="1"/>
      <w:numFmt w:val="bullet"/>
      <w:lvlText w:val="•"/>
      <w:lvlJc w:val="left"/>
      <w:pPr>
        <w:tabs>
          <w:tab w:val="num" w:pos="5760"/>
        </w:tabs>
        <w:ind w:left="5760" w:hanging="360"/>
      </w:pPr>
      <w:rPr>
        <w:rFonts w:ascii="Arial" w:hAnsi="Arial" w:hint="default"/>
      </w:rPr>
    </w:lvl>
    <w:lvl w:ilvl="8" w:tplc="0B0C119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6"/>
  </w:num>
  <w:num w:numId="3">
    <w:abstractNumId w:val="5"/>
  </w:num>
  <w:num w:numId="4">
    <w:abstractNumId w:val="18"/>
  </w:num>
  <w:num w:numId="5">
    <w:abstractNumId w:val="8"/>
  </w:num>
  <w:num w:numId="6">
    <w:abstractNumId w:val="6"/>
  </w:num>
  <w:num w:numId="7">
    <w:abstractNumId w:val="6"/>
  </w:num>
  <w:num w:numId="8">
    <w:abstractNumId w:val="17"/>
  </w:num>
  <w:num w:numId="9">
    <w:abstractNumId w:val="2"/>
  </w:num>
  <w:num w:numId="10">
    <w:abstractNumId w:val="15"/>
  </w:num>
  <w:num w:numId="11">
    <w:abstractNumId w:val="19"/>
  </w:num>
  <w:num w:numId="12">
    <w:abstractNumId w:val="16"/>
  </w:num>
  <w:num w:numId="13">
    <w:abstractNumId w:val="3"/>
  </w:num>
  <w:num w:numId="14">
    <w:abstractNumId w:val="2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num>
  <w:num w:numId="18">
    <w:abstractNumId w:val="14"/>
  </w:num>
  <w:num w:numId="19">
    <w:abstractNumId w:val="13"/>
  </w:num>
  <w:num w:numId="20">
    <w:abstractNumId w:val="12"/>
  </w:num>
  <w:num w:numId="21">
    <w:abstractNumId w:val="4"/>
  </w:num>
  <w:num w:numId="22">
    <w:abstractNumId w:val="7"/>
  </w:num>
  <w:num w:numId="23">
    <w:abstractNumId w:val="9"/>
  </w:num>
  <w:num w:numId="24">
    <w:abstractNumId w:val="0"/>
  </w:num>
  <w:num w:numId="25">
    <w:abstractNumId w:val="10"/>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018FC"/>
    <w:rsid w:val="000056C7"/>
    <w:rsid w:val="00006F66"/>
    <w:rsid w:val="00011272"/>
    <w:rsid w:val="000129E8"/>
    <w:rsid w:val="0001316F"/>
    <w:rsid w:val="00017567"/>
    <w:rsid w:val="000205EC"/>
    <w:rsid w:val="0002282A"/>
    <w:rsid w:val="00022A50"/>
    <w:rsid w:val="00023FF1"/>
    <w:rsid w:val="00031116"/>
    <w:rsid w:val="00031C2F"/>
    <w:rsid w:val="0003346F"/>
    <w:rsid w:val="000404E4"/>
    <w:rsid w:val="000427B5"/>
    <w:rsid w:val="0004682E"/>
    <w:rsid w:val="00046C7C"/>
    <w:rsid w:val="00050886"/>
    <w:rsid w:val="00050CEF"/>
    <w:rsid w:val="00061861"/>
    <w:rsid w:val="00064A6B"/>
    <w:rsid w:val="00064DCC"/>
    <w:rsid w:val="0006522E"/>
    <w:rsid w:val="000661F4"/>
    <w:rsid w:val="00066E87"/>
    <w:rsid w:val="0006783F"/>
    <w:rsid w:val="00070537"/>
    <w:rsid w:val="000736AA"/>
    <w:rsid w:val="00073CCC"/>
    <w:rsid w:val="00074325"/>
    <w:rsid w:val="00074E66"/>
    <w:rsid w:val="0008508C"/>
    <w:rsid w:val="00085B75"/>
    <w:rsid w:val="0008602B"/>
    <w:rsid w:val="00094337"/>
    <w:rsid w:val="00095374"/>
    <w:rsid w:val="000969F9"/>
    <w:rsid w:val="00097899"/>
    <w:rsid w:val="000A0033"/>
    <w:rsid w:val="000A72E3"/>
    <w:rsid w:val="000B1025"/>
    <w:rsid w:val="000B1FCF"/>
    <w:rsid w:val="000B43F5"/>
    <w:rsid w:val="000B6478"/>
    <w:rsid w:val="000B6D64"/>
    <w:rsid w:val="000C119A"/>
    <w:rsid w:val="000C3347"/>
    <w:rsid w:val="000C3438"/>
    <w:rsid w:val="000C344F"/>
    <w:rsid w:val="000C4880"/>
    <w:rsid w:val="000C4A18"/>
    <w:rsid w:val="000C4E12"/>
    <w:rsid w:val="000C6064"/>
    <w:rsid w:val="000C6A76"/>
    <w:rsid w:val="000C7FFE"/>
    <w:rsid w:val="000D2D2E"/>
    <w:rsid w:val="000D35E7"/>
    <w:rsid w:val="000D4368"/>
    <w:rsid w:val="000D540D"/>
    <w:rsid w:val="000D6070"/>
    <w:rsid w:val="000E1DB2"/>
    <w:rsid w:val="000E279F"/>
    <w:rsid w:val="000E313E"/>
    <w:rsid w:val="000E3C83"/>
    <w:rsid w:val="000E439E"/>
    <w:rsid w:val="000E589A"/>
    <w:rsid w:val="000F02B7"/>
    <w:rsid w:val="000F077A"/>
    <w:rsid w:val="000F189B"/>
    <w:rsid w:val="000F1E02"/>
    <w:rsid w:val="00101D39"/>
    <w:rsid w:val="00102ACA"/>
    <w:rsid w:val="001050AD"/>
    <w:rsid w:val="0010530F"/>
    <w:rsid w:val="001069A4"/>
    <w:rsid w:val="00106BF9"/>
    <w:rsid w:val="00106D57"/>
    <w:rsid w:val="001157EA"/>
    <w:rsid w:val="00120C78"/>
    <w:rsid w:val="00125642"/>
    <w:rsid w:val="00125970"/>
    <w:rsid w:val="001259E2"/>
    <w:rsid w:val="0012611C"/>
    <w:rsid w:val="0013037E"/>
    <w:rsid w:val="00133A15"/>
    <w:rsid w:val="0013464D"/>
    <w:rsid w:val="0013492E"/>
    <w:rsid w:val="001405C9"/>
    <w:rsid w:val="00142D34"/>
    <w:rsid w:val="00146D49"/>
    <w:rsid w:val="00146FB1"/>
    <w:rsid w:val="00147F9E"/>
    <w:rsid w:val="00150AE4"/>
    <w:rsid w:val="00152D2E"/>
    <w:rsid w:val="00153DD8"/>
    <w:rsid w:val="0015580A"/>
    <w:rsid w:val="00160DD0"/>
    <w:rsid w:val="00163948"/>
    <w:rsid w:val="0016428D"/>
    <w:rsid w:val="0016660D"/>
    <w:rsid w:val="00166C73"/>
    <w:rsid w:val="001675E2"/>
    <w:rsid w:val="001719EE"/>
    <w:rsid w:val="00171B89"/>
    <w:rsid w:val="00180746"/>
    <w:rsid w:val="00183C2C"/>
    <w:rsid w:val="00183F59"/>
    <w:rsid w:val="001842C2"/>
    <w:rsid w:val="00187102"/>
    <w:rsid w:val="00187D59"/>
    <w:rsid w:val="00191AA0"/>
    <w:rsid w:val="00193A06"/>
    <w:rsid w:val="001A460B"/>
    <w:rsid w:val="001B0828"/>
    <w:rsid w:val="001B0AB0"/>
    <w:rsid w:val="001B0C5C"/>
    <w:rsid w:val="001B31A0"/>
    <w:rsid w:val="001C3064"/>
    <w:rsid w:val="001C6DC5"/>
    <w:rsid w:val="001D0221"/>
    <w:rsid w:val="001D1222"/>
    <w:rsid w:val="001D285A"/>
    <w:rsid w:val="001D5C19"/>
    <w:rsid w:val="001D738C"/>
    <w:rsid w:val="001D78E8"/>
    <w:rsid w:val="001E1652"/>
    <w:rsid w:val="001E3150"/>
    <w:rsid w:val="001E3C78"/>
    <w:rsid w:val="001E5172"/>
    <w:rsid w:val="001F2739"/>
    <w:rsid w:val="001F756B"/>
    <w:rsid w:val="0020227F"/>
    <w:rsid w:val="002024FE"/>
    <w:rsid w:val="00203839"/>
    <w:rsid w:val="00203B24"/>
    <w:rsid w:val="0020460C"/>
    <w:rsid w:val="002050F0"/>
    <w:rsid w:val="002119ED"/>
    <w:rsid w:val="0021263B"/>
    <w:rsid w:val="00216850"/>
    <w:rsid w:val="00222AFE"/>
    <w:rsid w:val="00224B2B"/>
    <w:rsid w:val="00224C3F"/>
    <w:rsid w:val="00225597"/>
    <w:rsid w:val="0022713E"/>
    <w:rsid w:val="0023293E"/>
    <w:rsid w:val="00234996"/>
    <w:rsid w:val="002352E7"/>
    <w:rsid w:val="00235CB9"/>
    <w:rsid w:val="00236B14"/>
    <w:rsid w:val="00237585"/>
    <w:rsid w:val="002409D6"/>
    <w:rsid w:val="002506DA"/>
    <w:rsid w:val="00253004"/>
    <w:rsid w:val="0026183C"/>
    <w:rsid w:val="00261F76"/>
    <w:rsid w:val="00264202"/>
    <w:rsid w:val="0026449A"/>
    <w:rsid w:val="00265F00"/>
    <w:rsid w:val="0026779F"/>
    <w:rsid w:val="00267E1B"/>
    <w:rsid w:val="002704E2"/>
    <w:rsid w:val="00271614"/>
    <w:rsid w:val="0027412E"/>
    <w:rsid w:val="00274564"/>
    <w:rsid w:val="00277682"/>
    <w:rsid w:val="00280612"/>
    <w:rsid w:val="002822E7"/>
    <w:rsid w:val="0028278B"/>
    <w:rsid w:val="00282ED9"/>
    <w:rsid w:val="00283B9D"/>
    <w:rsid w:val="0028696A"/>
    <w:rsid w:val="00286D8C"/>
    <w:rsid w:val="0029276F"/>
    <w:rsid w:val="00292D64"/>
    <w:rsid w:val="002942BD"/>
    <w:rsid w:val="002A03E9"/>
    <w:rsid w:val="002A0FB3"/>
    <w:rsid w:val="002A1985"/>
    <w:rsid w:val="002A1CB2"/>
    <w:rsid w:val="002A3CB5"/>
    <w:rsid w:val="002A63EC"/>
    <w:rsid w:val="002B2168"/>
    <w:rsid w:val="002B2DE0"/>
    <w:rsid w:val="002B541D"/>
    <w:rsid w:val="002B56D2"/>
    <w:rsid w:val="002B6EEE"/>
    <w:rsid w:val="002C0112"/>
    <w:rsid w:val="002C0187"/>
    <w:rsid w:val="002C17AC"/>
    <w:rsid w:val="002C1BDD"/>
    <w:rsid w:val="002C3EDD"/>
    <w:rsid w:val="002C6B0D"/>
    <w:rsid w:val="002D07B4"/>
    <w:rsid w:val="002D3A25"/>
    <w:rsid w:val="002D412D"/>
    <w:rsid w:val="002D6FD5"/>
    <w:rsid w:val="002E259C"/>
    <w:rsid w:val="002E2CC7"/>
    <w:rsid w:val="002E3061"/>
    <w:rsid w:val="002E609F"/>
    <w:rsid w:val="002E6B3F"/>
    <w:rsid w:val="002F0A27"/>
    <w:rsid w:val="002F0AF9"/>
    <w:rsid w:val="002F2544"/>
    <w:rsid w:val="002F25F2"/>
    <w:rsid w:val="002F5352"/>
    <w:rsid w:val="002F5F89"/>
    <w:rsid w:val="002F7829"/>
    <w:rsid w:val="00305D01"/>
    <w:rsid w:val="00305E93"/>
    <w:rsid w:val="0031086B"/>
    <w:rsid w:val="0031130C"/>
    <w:rsid w:val="003116AC"/>
    <w:rsid w:val="00312CA2"/>
    <w:rsid w:val="00312E32"/>
    <w:rsid w:val="00315E23"/>
    <w:rsid w:val="003200A4"/>
    <w:rsid w:val="0032713A"/>
    <w:rsid w:val="00327382"/>
    <w:rsid w:val="003302CF"/>
    <w:rsid w:val="0033103C"/>
    <w:rsid w:val="00335ABE"/>
    <w:rsid w:val="003366D5"/>
    <w:rsid w:val="00343793"/>
    <w:rsid w:val="00345C27"/>
    <w:rsid w:val="00345DCF"/>
    <w:rsid w:val="00350910"/>
    <w:rsid w:val="003523D9"/>
    <w:rsid w:val="003529F3"/>
    <w:rsid w:val="00352BB7"/>
    <w:rsid w:val="00353D7A"/>
    <w:rsid w:val="00354054"/>
    <w:rsid w:val="00355967"/>
    <w:rsid w:val="003567C5"/>
    <w:rsid w:val="00356E08"/>
    <w:rsid w:val="00357684"/>
    <w:rsid w:val="00361898"/>
    <w:rsid w:val="00362D68"/>
    <w:rsid w:val="00362DA5"/>
    <w:rsid w:val="00364EB4"/>
    <w:rsid w:val="003663DE"/>
    <w:rsid w:val="003715E1"/>
    <w:rsid w:val="003721E7"/>
    <w:rsid w:val="00374F0A"/>
    <w:rsid w:val="0037599C"/>
    <w:rsid w:val="003775B4"/>
    <w:rsid w:val="003805E5"/>
    <w:rsid w:val="0038288B"/>
    <w:rsid w:val="003836D2"/>
    <w:rsid w:val="003862D2"/>
    <w:rsid w:val="00390A70"/>
    <w:rsid w:val="00390D0F"/>
    <w:rsid w:val="003923A6"/>
    <w:rsid w:val="003945DC"/>
    <w:rsid w:val="00395B6C"/>
    <w:rsid w:val="003A1DD1"/>
    <w:rsid w:val="003A50F3"/>
    <w:rsid w:val="003A5B70"/>
    <w:rsid w:val="003B1D31"/>
    <w:rsid w:val="003B2254"/>
    <w:rsid w:val="003B40C4"/>
    <w:rsid w:val="003B4130"/>
    <w:rsid w:val="003B4489"/>
    <w:rsid w:val="003C1542"/>
    <w:rsid w:val="003C27AB"/>
    <w:rsid w:val="003C332F"/>
    <w:rsid w:val="003C448A"/>
    <w:rsid w:val="003D0721"/>
    <w:rsid w:val="003D13AD"/>
    <w:rsid w:val="003D3AED"/>
    <w:rsid w:val="003D4305"/>
    <w:rsid w:val="003D67B6"/>
    <w:rsid w:val="003D7799"/>
    <w:rsid w:val="003E018C"/>
    <w:rsid w:val="003E04C0"/>
    <w:rsid w:val="003E4E9B"/>
    <w:rsid w:val="003E687F"/>
    <w:rsid w:val="003E68C3"/>
    <w:rsid w:val="003E7518"/>
    <w:rsid w:val="003E7F87"/>
    <w:rsid w:val="003F023D"/>
    <w:rsid w:val="003F46EA"/>
    <w:rsid w:val="003F4FA0"/>
    <w:rsid w:val="003F6FF7"/>
    <w:rsid w:val="003F7B1F"/>
    <w:rsid w:val="004011CB"/>
    <w:rsid w:val="00410ED3"/>
    <w:rsid w:val="004123EC"/>
    <w:rsid w:val="00412CD0"/>
    <w:rsid w:val="00413FE5"/>
    <w:rsid w:val="00414A9D"/>
    <w:rsid w:val="00417C96"/>
    <w:rsid w:val="00420CBA"/>
    <w:rsid w:val="00421AA1"/>
    <w:rsid w:val="004249B9"/>
    <w:rsid w:val="004279F5"/>
    <w:rsid w:val="00427E8A"/>
    <w:rsid w:val="0043293F"/>
    <w:rsid w:val="004330BC"/>
    <w:rsid w:val="0043588E"/>
    <w:rsid w:val="00435F73"/>
    <w:rsid w:val="004372E7"/>
    <w:rsid w:val="00443606"/>
    <w:rsid w:val="00450075"/>
    <w:rsid w:val="0045141C"/>
    <w:rsid w:val="00451729"/>
    <w:rsid w:val="00457B19"/>
    <w:rsid w:val="00461F49"/>
    <w:rsid w:val="0046301C"/>
    <w:rsid w:val="00463A6B"/>
    <w:rsid w:val="0046512F"/>
    <w:rsid w:val="00467329"/>
    <w:rsid w:val="00467A8F"/>
    <w:rsid w:val="00473A3B"/>
    <w:rsid w:val="00474D29"/>
    <w:rsid w:val="00476255"/>
    <w:rsid w:val="004843BF"/>
    <w:rsid w:val="00484B6F"/>
    <w:rsid w:val="00490731"/>
    <w:rsid w:val="0049246C"/>
    <w:rsid w:val="00493B12"/>
    <w:rsid w:val="00494F25"/>
    <w:rsid w:val="00496643"/>
    <w:rsid w:val="00496BBC"/>
    <w:rsid w:val="00497D4E"/>
    <w:rsid w:val="004A1D26"/>
    <w:rsid w:val="004A2853"/>
    <w:rsid w:val="004A29E0"/>
    <w:rsid w:val="004A5232"/>
    <w:rsid w:val="004A6065"/>
    <w:rsid w:val="004A7C48"/>
    <w:rsid w:val="004B2B39"/>
    <w:rsid w:val="004B2D0E"/>
    <w:rsid w:val="004B387B"/>
    <w:rsid w:val="004B5C41"/>
    <w:rsid w:val="004B6A6F"/>
    <w:rsid w:val="004C139D"/>
    <w:rsid w:val="004D1A42"/>
    <w:rsid w:val="004D2279"/>
    <w:rsid w:val="004D2D2E"/>
    <w:rsid w:val="004D3825"/>
    <w:rsid w:val="004D4046"/>
    <w:rsid w:val="004D44C9"/>
    <w:rsid w:val="004D7FB5"/>
    <w:rsid w:val="004E4B3D"/>
    <w:rsid w:val="004E62A6"/>
    <w:rsid w:val="004F0EF3"/>
    <w:rsid w:val="004F16DE"/>
    <w:rsid w:val="004F1AED"/>
    <w:rsid w:val="004F4571"/>
    <w:rsid w:val="004F6805"/>
    <w:rsid w:val="0050011F"/>
    <w:rsid w:val="00502854"/>
    <w:rsid w:val="0050667F"/>
    <w:rsid w:val="005112C3"/>
    <w:rsid w:val="0051320B"/>
    <w:rsid w:val="00513B4E"/>
    <w:rsid w:val="00514EDB"/>
    <w:rsid w:val="00520355"/>
    <w:rsid w:val="00531BB7"/>
    <w:rsid w:val="005336D0"/>
    <w:rsid w:val="0053678B"/>
    <w:rsid w:val="005401AD"/>
    <w:rsid w:val="00540938"/>
    <w:rsid w:val="00540AB4"/>
    <w:rsid w:val="005462E3"/>
    <w:rsid w:val="0055186F"/>
    <w:rsid w:val="00553E7C"/>
    <w:rsid w:val="005621FB"/>
    <w:rsid w:val="00562221"/>
    <w:rsid w:val="00564C90"/>
    <w:rsid w:val="00564FA3"/>
    <w:rsid w:val="005679D8"/>
    <w:rsid w:val="00571D5C"/>
    <w:rsid w:val="00573594"/>
    <w:rsid w:val="00573A36"/>
    <w:rsid w:val="00575576"/>
    <w:rsid w:val="00577517"/>
    <w:rsid w:val="0058420A"/>
    <w:rsid w:val="00594069"/>
    <w:rsid w:val="005A255F"/>
    <w:rsid w:val="005A4577"/>
    <w:rsid w:val="005A5372"/>
    <w:rsid w:val="005A5D50"/>
    <w:rsid w:val="005A62F8"/>
    <w:rsid w:val="005A69E3"/>
    <w:rsid w:val="005A70C5"/>
    <w:rsid w:val="005B5F61"/>
    <w:rsid w:val="005B7D03"/>
    <w:rsid w:val="005C17AE"/>
    <w:rsid w:val="005C2050"/>
    <w:rsid w:val="005C20AF"/>
    <w:rsid w:val="005C2862"/>
    <w:rsid w:val="005D1365"/>
    <w:rsid w:val="005D3D10"/>
    <w:rsid w:val="005D44CE"/>
    <w:rsid w:val="005D74F2"/>
    <w:rsid w:val="005E07F1"/>
    <w:rsid w:val="005E085B"/>
    <w:rsid w:val="005E0977"/>
    <w:rsid w:val="005E1121"/>
    <w:rsid w:val="005E3A24"/>
    <w:rsid w:val="005F1964"/>
    <w:rsid w:val="005F29C1"/>
    <w:rsid w:val="005F78BB"/>
    <w:rsid w:val="00600777"/>
    <w:rsid w:val="00601AF2"/>
    <w:rsid w:val="00602980"/>
    <w:rsid w:val="00607AA8"/>
    <w:rsid w:val="00611D28"/>
    <w:rsid w:val="006123C5"/>
    <w:rsid w:val="00612E0C"/>
    <w:rsid w:val="00621C03"/>
    <w:rsid w:val="00622F41"/>
    <w:rsid w:val="00623C3A"/>
    <w:rsid w:val="006309A9"/>
    <w:rsid w:val="0063190B"/>
    <w:rsid w:val="0063413B"/>
    <w:rsid w:val="00634E7B"/>
    <w:rsid w:val="006374D0"/>
    <w:rsid w:val="006402B5"/>
    <w:rsid w:val="00641862"/>
    <w:rsid w:val="00642AD3"/>
    <w:rsid w:val="00642E66"/>
    <w:rsid w:val="0064346E"/>
    <w:rsid w:val="00643E86"/>
    <w:rsid w:val="0064648A"/>
    <w:rsid w:val="00651316"/>
    <w:rsid w:val="006525AA"/>
    <w:rsid w:val="00655B90"/>
    <w:rsid w:val="006610EF"/>
    <w:rsid w:val="00663628"/>
    <w:rsid w:val="00663D49"/>
    <w:rsid w:val="00663F3D"/>
    <w:rsid w:val="00666B25"/>
    <w:rsid w:val="00670C77"/>
    <w:rsid w:val="00670E8A"/>
    <w:rsid w:val="006711F3"/>
    <w:rsid w:val="006715BA"/>
    <w:rsid w:val="006716CD"/>
    <w:rsid w:val="00673626"/>
    <w:rsid w:val="00675634"/>
    <w:rsid w:val="00676074"/>
    <w:rsid w:val="006800BE"/>
    <w:rsid w:val="00680EA5"/>
    <w:rsid w:val="006839FF"/>
    <w:rsid w:val="00685580"/>
    <w:rsid w:val="0068655B"/>
    <w:rsid w:val="00686FEA"/>
    <w:rsid w:val="00687846"/>
    <w:rsid w:val="00691B9D"/>
    <w:rsid w:val="0069379D"/>
    <w:rsid w:val="00693B37"/>
    <w:rsid w:val="00697C70"/>
    <w:rsid w:val="006A16D7"/>
    <w:rsid w:val="006A1A6B"/>
    <w:rsid w:val="006A483E"/>
    <w:rsid w:val="006A545B"/>
    <w:rsid w:val="006A5B97"/>
    <w:rsid w:val="006A6025"/>
    <w:rsid w:val="006A67F9"/>
    <w:rsid w:val="006A7AFF"/>
    <w:rsid w:val="006B20C5"/>
    <w:rsid w:val="006B21AD"/>
    <w:rsid w:val="006B2A8A"/>
    <w:rsid w:val="006B3BA2"/>
    <w:rsid w:val="006B6A53"/>
    <w:rsid w:val="006B710A"/>
    <w:rsid w:val="006C581A"/>
    <w:rsid w:val="006C665E"/>
    <w:rsid w:val="006C6F0E"/>
    <w:rsid w:val="006D11BB"/>
    <w:rsid w:val="006D193D"/>
    <w:rsid w:val="006D513A"/>
    <w:rsid w:val="006D7239"/>
    <w:rsid w:val="006E2472"/>
    <w:rsid w:val="006F0712"/>
    <w:rsid w:val="006F3B62"/>
    <w:rsid w:val="006F4488"/>
    <w:rsid w:val="006F6D7A"/>
    <w:rsid w:val="006F7BAD"/>
    <w:rsid w:val="007008BA"/>
    <w:rsid w:val="007025BF"/>
    <w:rsid w:val="0070275F"/>
    <w:rsid w:val="00703316"/>
    <w:rsid w:val="007075C4"/>
    <w:rsid w:val="00714735"/>
    <w:rsid w:val="00716EF8"/>
    <w:rsid w:val="00720C9D"/>
    <w:rsid w:val="00721843"/>
    <w:rsid w:val="00722693"/>
    <w:rsid w:val="00723DE2"/>
    <w:rsid w:val="0072562F"/>
    <w:rsid w:val="007269A3"/>
    <w:rsid w:val="00730E0A"/>
    <w:rsid w:val="00731A03"/>
    <w:rsid w:val="007325A6"/>
    <w:rsid w:val="007326F5"/>
    <w:rsid w:val="00733CA7"/>
    <w:rsid w:val="0073480E"/>
    <w:rsid w:val="00734C2E"/>
    <w:rsid w:val="00736367"/>
    <w:rsid w:val="007418D6"/>
    <w:rsid w:val="0074286A"/>
    <w:rsid w:val="00743DD7"/>
    <w:rsid w:val="007443E9"/>
    <w:rsid w:val="007467EF"/>
    <w:rsid w:val="007537DA"/>
    <w:rsid w:val="00756232"/>
    <w:rsid w:val="007642BF"/>
    <w:rsid w:val="007648E4"/>
    <w:rsid w:val="00766F68"/>
    <w:rsid w:val="0076783E"/>
    <w:rsid w:val="007703A2"/>
    <w:rsid w:val="00772068"/>
    <w:rsid w:val="00772F05"/>
    <w:rsid w:val="00777E14"/>
    <w:rsid w:val="007803E0"/>
    <w:rsid w:val="00781CB8"/>
    <w:rsid w:val="00781D3F"/>
    <w:rsid w:val="007829F8"/>
    <w:rsid w:val="00783480"/>
    <w:rsid w:val="00787435"/>
    <w:rsid w:val="007875B3"/>
    <w:rsid w:val="00791916"/>
    <w:rsid w:val="0079320F"/>
    <w:rsid w:val="00794A66"/>
    <w:rsid w:val="00794BF4"/>
    <w:rsid w:val="00796149"/>
    <w:rsid w:val="00797961"/>
    <w:rsid w:val="007A16A6"/>
    <w:rsid w:val="007A307C"/>
    <w:rsid w:val="007B08BF"/>
    <w:rsid w:val="007B1300"/>
    <w:rsid w:val="007B2DE5"/>
    <w:rsid w:val="007B3C68"/>
    <w:rsid w:val="007B5591"/>
    <w:rsid w:val="007B6A70"/>
    <w:rsid w:val="007B6AD7"/>
    <w:rsid w:val="007B6E4E"/>
    <w:rsid w:val="007B7D90"/>
    <w:rsid w:val="007C1C2A"/>
    <w:rsid w:val="007C2A94"/>
    <w:rsid w:val="007C2BE9"/>
    <w:rsid w:val="007C4674"/>
    <w:rsid w:val="007C565B"/>
    <w:rsid w:val="007C6CAB"/>
    <w:rsid w:val="007D0B50"/>
    <w:rsid w:val="007D2223"/>
    <w:rsid w:val="007D3DC1"/>
    <w:rsid w:val="007D5C3E"/>
    <w:rsid w:val="007D764E"/>
    <w:rsid w:val="007E064D"/>
    <w:rsid w:val="007E1D64"/>
    <w:rsid w:val="007E4931"/>
    <w:rsid w:val="007E4BB3"/>
    <w:rsid w:val="007E51BF"/>
    <w:rsid w:val="007E53AE"/>
    <w:rsid w:val="007E57B0"/>
    <w:rsid w:val="007E6118"/>
    <w:rsid w:val="007E6D06"/>
    <w:rsid w:val="007F13AB"/>
    <w:rsid w:val="007F22EF"/>
    <w:rsid w:val="007F2774"/>
    <w:rsid w:val="007F4737"/>
    <w:rsid w:val="007F4DAA"/>
    <w:rsid w:val="007F5E7F"/>
    <w:rsid w:val="007F764A"/>
    <w:rsid w:val="00800761"/>
    <w:rsid w:val="00801C23"/>
    <w:rsid w:val="008023AC"/>
    <w:rsid w:val="008023EA"/>
    <w:rsid w:val="008026FE"/>
    <w:rsid w:val="008100D6"/>
    <w:rsid w:val="00815A1F"/>
    <w:rsid w:val="00820F66"/>
    <w:rsid w:val="00821E7C"/>
    <w:rsid w:val="00821F13"/>
    <w:rsid w:val="00827358"/>
    <w:rsid w:val="00827421"/>
    <w:rsid w:val="0083030C"/>
    <w:rsid w:val="00830510"/>
    <w:rsid w:val="00836CCC"/>
    <w:rsid w:val="0084046A"/>
    <w:rsid w:val="00841C10"/>
    <w:rsid w:val="0084632F"/>
    <w:rsid w:val="008544A4"/>
    <w:rsid w:val="0085646C"/>
    <w:rsid w:val="008566A0"/>
    <w:rsid w:val="00860083"/>
    <w:rsid w:val="00860DE1"/>
    <w:rsid w:val="00861D2D"/>
    <w:rsid w:val="00862858"/>
    <w:rsid w:val="00862870"/>
    <w:rsid w:val="00863A23"/>
    <w:rsid w:val="00865686"/>
    <w:rsid w:val="00865B5C"/>
    <w:rsid w:val="00866605"/>
    <w:rsid w:val="008672B9"/>
    <w:rsid w:val="00871019"/>
    <w:rsid w:val="00872150"/>
    <w:rsid w:val="008765A9"/>
    <w:rsid w:val="008814B8"/>
    <w:rsid w:val="008819DA"/>
    <w:rsid w:val="00887A65"/>
    <w:rsid w:val="0089063B"/>
    <w:rsid w:val="00890C34"/>
    <w:rsid w:val="008917B9"/>
    <w:rsid w:val="008918DC"/>
    <w:rsid w:val="00896014"/>
    <w:rsid w:val="00897BA2"/>
    <w:rsid w:val="008A2F14"/>
    <w:rsid w:val="008A78C9"/>
    <w:rsid w:val="008B2788"/>
    <w:rsid w:val="008B356D"/>
    <w:rsid w:val="008B3A12"/>
    <w:rsid w:val="008B4134"/>
    <w:rsid w:val="008B4897"/>
    <w:rsid w:val="008B5AF8"/>
    <w:rsid w:val="008C254E"/>
    <w:rsid w:val="008C3418"/>
    <w:rsid w:val="008C4706"/>
    <w:rsid w:val="008C5979"/>
    <w:rsid w:val="008C70BC"/>
    <w:rsid w:val="008D2C52"/>
    <w:rsid w:val="008D57AD"/>
    <w:rsid w:val="008D583C"/>
    <w:rsid w:val="008D5C20"/>
    <w:rsid w:val="008D602B"/>
    <w:rsid w:val="008E3638"/>
    <w:rsid w:val="008E51CF"/>
    <w:rsid w:val="008F0B95"/>
    <w:rsid w:val="008F6B33"/>
    <w:rsid w:val="008F747C"/>
    <w:rsid w:val="009005B4"/>
    <w:rsid w:val="00900FAC"/>
    <w:rsid w:val="0090209F"/>
    <w:rsid w:val="009054CB"/>
    <w:rsid w:val="00906230"/>
    <w:rsid w:val="00910645"/>
    <w:rsid w:val="009115B6"/>
    <w:rsid w:val="00915E7D"/>
    <w:rsid w:val="00920867"/>
    <w:rsid w:val="00920F2A"/>
    <w:rsid w:val="00921B83"/>
    <w:rsid w:val="00921E9E"/>
    <w:rsid w:val="00922D98"/>
    <w:rsid w:val="00924BA1"/>
    <w:rsid w:val="00926E3A"/>
    <w:rsid w:val="009304AE"/>
    <w:rsid w:val="0093064C"/>
    <w:rsid w:val="00930D3E"/>
    <w:rsid w:val="009311DD"/>
    <w:rsid w:val="0093336F"/>
    <w:rsid w:val="00934680"/>
    <w:rsid w:val="00934888"/>
    <w:rsid w:val="0093527F"/>
    <w:rsid w:val="009363DC"/>
    <w:rsid w:val="00942059"/>
    <w:rsid w:val="00942174"/>
    <w:rsid w:val="00943F3F"/>
    <w:rsid w:val="00945D81"/>
    <w:rsid w:val="00947C3A"/>
    <w:rsid w:val="00951334"/>
    <w:rsid w:val="009527B1"/>
    <w:rsid w:val="009571C8"/>
    <w:rsid w:val="0096142F"/>
    <w:rsid w:val="00962EF0"/>
    <w:rsid w:val="00965A6D"/>
    <w:rsid w:val="00966EB0"/>
    <w:rsid w:val="0097131C"/>
    <w:rsid w:val="00971815"/>
    <w:rsid w:val="00980349"/>
    <w:rsid w:val="0098331D"/>
    <w:rsid w:val="00986E8C"/>
    <w:rsid w:val="00991130"/>
    <w:rsid w:val="00991EC8"/>
    <w:rsid w:val="009937AE"/>
    <w:rsid w:val="009948AD"/>
    <w:rsid w:val="009979A7"/>
    <w:rsid w:val="009A077F"/>
    <w:rsid w:val="009A07F3"/>
    <w:rsid w:val="009A194A"/>
    <w:rsid w:val="009A5A1A"/>
    <w:rsid w:val="009B0021"/>
    <w:rsid w:val="009B2AE9"/>
    <w:rsid w:val="009B2F59"/>
    <w:rsid w:val="009B307F"/>
    <w:rsid w:val="009B7F51"/>
    <w:rsid w:val="009C3EA4"/>
    <w:rsid w:val="009C6F26"/>
    <w:rsid w:val="009C75F5"/>
    <w:rsid w:val="009C7695"/>
    <w:rsid w:val="009C7AAB"/>
    <w:rsid w:val="009D0A52"/>
    <w:rsid w:val="009D5805"/>
    <w:rsid w:val="009E1EBA"/>
    <w:rsid w:val="009E3F62"/>
    <w:rsid w:val="009E628C"/>
    <w:rsid w:val="009E7FA4"/>
    <w:rsid w:val="009F0791"/>
    <w:rsid w:val="009F42FD"/>
    <w:rsid w:val="00A0623F"/>
    <w:rsid w:val="00A06676"/>
    <w:rsid w:val="00A066F1"/>
    <w:rsid w:val="00A06AF5"/>
    <w:rsid w:val="00A06E9F"/>
    <w:rsid w:val="00A06FE9"/>
    <w:rsid w:val="00A07A97"/>
    <w:rsid w:val="00A115F5"/>
    <w:rsid w:val="00A12EA0"/>
    <w:rsid w:val="00A13E2C"/>
    <w:rsid w:val="00A16A35"/>
    <w:rsid w:val="00A21C1C"/>
    <w:rsid w:val="00A22E10"/>
    <w:rsid w:val="00A232CD"/>
    <w:rsid w:val="00A23402"/>
    <w:rsid w:val="00A2384A"/>
    <w:rsid w:val="00A23E00"/>
    <w:rsid w:val="00A256AB"/>
    <w:rsid w:val="00A3042A"/>
    <w:rsid w:val="00A313C3"/>
    <w:rsid w:val="00A323C5"/>
    <w:rsid w:val="00A33B48"/>
    <w:rsid w:val="00A34777"/>
    <w:rsid w:val="00A36552"/>
    <w:rsid w:val="00A44C39"/>
    <w:rsid w:val="00A455AA"/>
    <w:rsid w:val="00A46E27"/>
    <w:rsid w:val="00A5263A"/>
    <w:rsid w:val="00A52CAE"/>
    <w:rsid w:val="00A54FD7"/>
    <w:rsid w:val="00A61635"/>
    <w:rsid w:val="00A62A7E"/>
    <w:rsid w:val="00A65508"/>
    <w:rsid w:val="00A67CD8"/>
    <w:rsid w:val="00A719C7"/>
    <w:rsid w:val="00A74B2B"/>
    <w:rsid w:val="00A763C3"/>
    <w:rsid w:val="00A8081F"/>
    <w:rsid w:val="00A840AC"/>
    <w:rsid w:val="00A8430B"/>
    <w:rsid w:val="00A851C2"/>
    <w:rsid w:val="00A86D6C"/>
    <w:rsid w:val="00A870BA"/>
    <w:rsid w:val="00A9158D"/>
    <w:rsid w:val="00A9203C"/>
    <w:rsid w:val="00A946F7"/>
    <w:rsid w:val="00A96D30"/>
    <w:rsid w:val="00A97B79"/>
    <w:rsid w:val="00A97D78"/>
    <w:rsid w:val="00AA2258"/>
    <w:rsid w:val="00AA2AE0"/>
    <w:rsid w:val="00AA31CF"/>
    <w:rsid w:val="00AA68E7"/>
    <w:rsid w:val="00AA75C8"/>
    <w:rsid w:val="00AA7CBB"/>
    <w:rsid w:val="00AB7175"/>
    <w:rsid w:val="00AC1121"/>
    <w:rsid w:val="00AC1F96"/>
    <w:rsid w:val="00AC3A0C"/>
    <w:rsid w:val="00AC4232"/>
    <w:rsid w:val="00AC6E4F"/>
    <w:rsid w:val="00AC7FA2"/>
    <w:rsid w:val="00AD4B7D"/>
    <w:rsid w:val="00AD6394"/>
    <w:rsid w:val="00AE13AF"/>
    <w:rsid w:val="00AE6180"/>
    <w:rsid w:val="00AE63F7"/>
    <w:rsid w:val="00AF06BC"/>
    <w:rsid w:val="00AF0C03"/>
    <w:rsid w:val="00AF139E"/>
    <w:rsid w:val="00AF2B93"/>
    <w:rsid w:val="00AF44A0"/>
    <w:rsid w:val="00AF6FBC"/>
    <w:rsid w:val="00AF7CDD"/>
    <w:rsid w:val="00B04801"/>
    <w:rsid w:val="00B1025E"/>
    <w:rsid w:val="00B13720"/>
    <w:rsid w:val="00B16016"/>
    <w:rsid w:val="00B177E6"/>
    <w:rsid w:val="00B211D8"/>
    <w:rsid w:val="00B21F82"/>
    <w:rsid w:val="00B234AF"/>
    <w:rsid w:val="00B270A2"/>
    <w:rsid w:val="00B27F1B"/>
    <w:rsid w:val="00B32702"/>
    <w:rsid w:val="00B331AE"/>
    <w:rsid w:val="00B35227"/>
    <w:rsid w:val="00B35B30"/>
    <w:rsid w:val="00B427A8"/>
    <w:rsid w:val="00B43107"/>
    <w:rsid w:val="00B439EC"/>
    <w:rsid w:val="00B44978"/>
    <w:rsid w:val="00B47109"/>
    <w:rsid w:val="00B50945"/>
    <w:rsid w:val="00B5122D"/>
    <w:rsid w:val="00B530CB"/>
    <w:rsid w:val="00B53242"/>
    <w:rsid w:val="00B5382C"/>
    <w:rsid w:val="00B563FC"/>
    <w:rsid w:val="00B5781C"/>
    <w:rsid w:val="00B6151A"/>
    <w:rsid w:val="00B61C73"/>
    <w:rsid w:val="00B624CF"/>
    <w:rsid w:val="00B63B4B"/>
    <w:rsid w:val="00B66809"/>
    <w:rsid w:val="00B6694A"/>
    <w:rsid w:val="00B70E4D"/>
    <w:rsid w:val="00B72C6E"/>
    <w:rsid w:val="00B749C7"/>
    <w:rsid w:val="00B76CC5"/>
    <w:rsid w:val="00B82374"/>
    <w:rsid w:val="00B847B7"/>
    <w:rsid w:val="00B90CD0"/>
    <w:rsid w:val="00B930C9"/>
    <w:rsid w:val="00B94C7D"/>
    <w:rsid w:val="00B97D8D"/>
    <w:rsid w:val="00BA3604"/>
    <w:rsid w:val="00BA58BC"/>
    <w:rsid w:val="00BA6C13"/>
    <w:rsid w:val="00BB2C43"/>
    <w:rsid w:val="00BB4A78"/>
    <w:rsid w:val="00BB5152"/>
    <w:rsid w:val="00BB53B5"/>
    <w:rsid w:val="00BB6E62"/>
    <w:rsid w:val="00BB7135"/>
    <w:rsid w:val="00BB73A8"/>
    <w:rsid w:val="00BC3F45"/>
    <w:rsid w:val="00BC4795"/>
    <w:rsid w:val="00BC47CE"/>
    <w:rsid w:val="00BC5445"/>
    <w:rsid w:val="00BC7B0E"/>
    <w:rsid w:val="00BD07F0"/>
    <w:rsid w:val="00BD2433"/>
    <w:rsid w:val="00BD2D0D"/>
    <w:rsid w:val="00BD3DD0"/>
    <w:rsid w:val="00BD4B3F"/>
    <w:rsid w:val="00BD583F"/>
    <w:rsid w:val="00BD6CF4"/>
    <w:rsid w:val="00BE0DFE"/>
    <w:rsid w:val="00BE28BD"/>
    <w:rsid w:val="00BE3015"/>
    <w:rsid w:val="00BF03BE"/>
    <w:rsid w:val="00BF08CE"/>
    <w:rsid w:val="00BF1293"/>
    <w:rsid w:val="00BF3A74"/>
    <w:rsid w:val="00BF3EEB"/>
    <w:rsid w:val="00BF722D"/>
    <w:rsid w:val="00C02DB7"/>
    <w:rsid w:val="00C02DEE"/>
    <w:rsid w:val="00C05556"/>
    <w:rsid w:val="00C07B9C"/>
    <w:rsid w:val="00C10749"/>
    <w:rsid w:val="00C109DC"/>
    <w:rsid w:val="00C11323"/>
    <w:rsid w:val="00C1169D"/>
    <w:rsid w:val="00C17BCA"/>
    <w:rsid w:val="00C223D4"/>
    <w:rsid w:val="00C24AFA"/>
    <w:rsid w:val="00C24CF7"/>
    <w:rsid w:val="00C32157"/>
    <w:rsid w:val="00C32208"/>
    <w:rsid w:val="00C327E3"/>
    <w:rsid w:val="00C35638"/>
    <w:rsid w:val="00C36BAA"/>
    <w:rsid w:val="00C41591"/>
    <w:rsid w:val="00C45F98"/>
    <w:rsid w:val="00C46BCF"/>
    <w:rsid w:val="00C4712F"/>
    <w:rsid w:val="00C47346"/>
    <w:rsid w:val="00C50ACB"/>
    <w:rsid w:val="00C51DDA"/>
    <w:rsid w:val="00C52216"/>
    <w:rsid w:val="00C52488"/>
    <w:rsid w:val="00C52D9C"/>
    <w:rsid w:val="00C607E3"/>
    <w:rsid w:val="00C61825"/>
    <w:rsid w:val="00C6350D"/>
    <w:rsid w:val="00C6456D"/>
    <w:rsid w:val="00C66752"/>
    <w:rsid w:val="00C70DF9"/>
    <w:rsid w:val="00C714D0"/>
    <w:rsid w:val="00C727F7"/>
    <w:rsid w:val="00C73C34"/>
    <w:rsid w:val="00C81A83"/>
    <w:rsid w:val="00C81B13"/>
    <w:rsid w:val="00C83711"/>
    <w:rsid w:val="00C8384A"/>
    <w:rsid w:val="00C878A5"/>
    <w:rsid w:val="00C90BA2"/>
    <w:rsid w:val="00C92818"/>
    <w:rsid w:val="00C93F82"/>
    <w:rsid w:val="00C94C2B"/>
    <w:rsid w:val="00C95A94"/>
    <w:rsid w:val="00C962B2"/>
    <w:rsid w:val="00CA12D4"/>
    <w:rsid w:val="00CA21CF"/>
    <w:rsid w:val="00CA2349"/>
    <w:rsid w:val="00CA376D"/>
    <w:rsid w:val="00CA389E"/>
    <w:rsid w:val="00CA4D6A"/>
    <w:rsid w:val="00CB0A35"/>
    <w:rsid w:val="00CB2F2F"/>
    <w:rsid w:val="00CB3520"/>
    <w:rsid w:val="00CB38CF"/>
    <w:rsid w:val="00CC112D"/>
    <w:rsid w:val="00CC49AE"/>
    <w:rsid w:val="00CC550E"/>
    <w:rsid w:val="00CC7FAC"/>
    <w:rsid w:val="00CD3A0E"/>
    <w:rsid w:val="00CD3B89"/>
    <w:rsid w:val="00CD472D"/>
    <w:rsid w:val="00CE107A"/>
    <w:rsid w:val="00CE4454"/>
    <w:rsid w:val="00CE52EB"/>
    <w:rsid w:val="00CF4554"/>
    <w:rsid w:val="00CF4D95"/>
    <w:rsid w:val="00CF629A"/>
    <w:rsid w:val="00CF6933"/>
    <w:rsid w:val="00CF6FDB"/>
    <w:rsid w:val="00D051B4"/>
    <w:rsid w:val="00D07BD9"/>
    <w:rsid w:val="00D108CD"/>
    <w:rsid w:val="00D11EB0"/>
    <w:rsid w:val="00D12A50"/>
    <w:rsid w:val="00D16168"/>
    <w:rsid w:val="00D23253"/>
    <w:rsid w:val="00D307BF"/>
    <w:rsid w:val="00D31989"/>
    <w:rsid w:val="00D324C0"/>
    <w:rsid w:val="00D32A6A"/>
    <w:rsid w:val="00D3590A"/>
    <w:rsid w:val="00D5095B"/>
    <w:rsid w:val="00D57730"/>
    <w:rsid w:val="00D643E9"/>
    <w:rsid w:val="00D64A20"/>
    <w:rsid w:val="00D64EA6"/>
    <w:rsid w:val="00D6769E"/>
    <w:rsid w:val="00D676CC"/>
    <w:rsid w:val="00D777D6"/>
    <w:rsid w:val="00D80335"/>
    <w:rsid w:val="00D81864"/>
    <w:rsid w:val="00D8755F"/>
    <w:rsid w:val="00D90AEF"/>
    <w:rsid w:val="00D91A63"/>
    <w:rsid w:val="00DA289E"/>
    <w:rsid w:val="00DA297F"/>
    <w:rsid w:val="00DA67FE"/>
    <w:rsid w:val="00DB35D8"/>
    <w:rsid w:val="00DB360D"/>
    <w:rsid w:val="00DB36EA"/>
    <w:rsid w:val="00DB3B6E"/>
    <w:rsid w:val="00DB5D3D"/>
    <w:rsid w:val="00DB6AF9"/>
    <w:rsid w:val="00DC24A9"/>
    <w:rsid w:val="00DC4BF4"/>
    <w:rsid w:val="00DC4C4A"/>
    <w:rsid w:val="00DC520A"/>
    <w:rsid w:val="00DD0139"/>
    <w:rsid w:val="00DD0DD6"/>
    <w:rsid w:val="00DD53C8"/>
    <w:rsid w:val="00DE3F3B"/>
    <w:rsid w:val="00DE77FE"/>
    <w:rsid w:val="00DF16BA"/>
    <w:rsid w:val="00DF1F8F"/>
    <w:rsid w:val="00DF3027"/>
    <w:rsid w:val="00DF34F4"/>
    <w:rsid w:val="00DF59E9"/>
    <w:rsid w:val="00E0149A"/>
    <w:rsid w:val="00E0378E"/>
    <w:rsid w:val="00E0439B"/>
    <w:rsid w:val="00E0528B"/>
    <w:rsid w:val="00E06590"/>
    <w:rsid w:val="00E06B40"/>
    <w:rsid w:val="00E072BE"/>
    <w:rsid w:val="00E149E7"/>
    <w:rsid w:val="00E16177"/>
    <w:rsid w:val="00E209E8"/>
    <w:rsid w:val="00E2178D"/>
    <w:rsid w:val="00E23168"/>
    <w:rsid w:val="00E26F54"/>
    <w:rsid w:val="00E302E1"/>
    <w:rsid w:val="00E31F17"/>
    <w:rsid w:val="00E32772"/>
    <w:rsid w:val="00E3284A"/>
    <w:rsid w:val="00E35485"/>
    <w:rsid w:val="00E3639A"/>
    <w:rsid w:val="00E40079"/>
    <w:rsid w:val="00E423A7"/>
    <w:rsid w:val="00E4284D"/>
    <w:rsid w:val="00E4336F"/>
    <w:rsid w:val="00E44EA2"/>
    <w:rsid w:val="00E477DB"/>
    <w:rsid w:val="00E50C47"/>
    <w:rsid w:val="00E51CC2"/>
    <w:rsid w:val="00E55047"/>
    <w:rsid w:val="00E55B8A"/>
    <w:rsid w:val="00E61585"/>
    <w:rsid w:val="00E6304F"/>
    <w:rsid w:val="00E73352"/>
    <w:rsid w:val="00E74B99"/>
    <w:rsid w:val="00E754BF"/>
    <w:rsid w:val="00E755CB"/>
    <w:rsid w:val="00E829D2"/>
    <w:rsid w:val="00E84D5C"/>
    <w:rsid w:val="00E904F7"/>
    <w:rsid w:val="00E90F30"/>
    <w:rsid w:val="00E922F4"/>
    <w:rsid w:val="00E93BD9"/>
    <w:rsid w:val="00E946CB"/>
    <w:rsid w:val="00EA16D2"/>
    <w:rsid w:val="00EA447A"/>
    <w:rsid w:val="00EA4683"/>
    <w:rsid w:val="00EA7DE7"/>
    <w:rsid w:val="00EB09BC"/>
    <w:rsid w:val="00EB3EC6"/>
    <w:rsid w:val="00EB5671"/>
    <w:rsid w:val="00EB6891"/>
    <w:rsid w:val="00EB69E3"/>
    <w:rsid w:val="00EB6C10"/>
    <w:rsid w:val="00EB7237"/>
    <w:rsid w:val="00EB72B9"/>
    <w:rsid w:val="00EB7C4A"/>
    <w:rsid w:val="00EC00D8"/>
    <w:rsid w:val="00EC1ECD"/>
    <w:rsid w:val="00EC21CF"/>
    <w:rsid w:val="00EC5E91"/>
    <w:rsid w:val="00EC7711"/>
    <w:rsid w:val="00ED147B"/>
    <w:rsid w:val="00ED1B92"/>
    <w:rsid w:val="00ED1F5F"/>
    <w:rsid w:val="00ED2AF4"/>
    <w:rsid w:val="00ED2DE0"/>
    <w:rsid w:val="00ED313E"/>
    <w:rsid w:val="00ED6D4C"/>
    <w:rsid w:val="00ED7AC8"/>
    <w:rsid w:val="00ED7C6A"/>
    <w:rsid w:val="00EE29AE"/>
    <w:rsid w:val="00EE51B7"/>
    <w:rsid w:val="00EE78C5"/>
    <w:rsid w:val="00EE7D67"/>
    <w:rsid w:val="00EF0110"/>
    <w:rsid w:val="00EF468D"/>
    <w:rsid w:val="00EF56E6"/>
    <w:rsid w:val="00EF5709"/>
    <w:rsid w:val="00EF7311"/>
    <w:rsid w:val="00F013AE"/>
    <w:rsid w:val="00F018EE"/>
    <w:rsid w:val="00F0248D"/>
    <w:rsid w:val="00F029FE"/>
    <w:rsid w:val="00F03E97"/>
    <w:rsid w:val="00F0479A"/>
    <w:rsid w:val="00F0621C"/>
    <w:rsid w:val="00F103CE"/>
    <w:rsid w:val="00F10A06"/>
    <w:rsid w:val="00F141D8"/>
    <w:rsid w:val="00F16B8E"/>
    <w:rsid w:val="00F213D6"/>
    <w:rsid w:val="00F215FE"/>
    <w:rsid w:val="00F2260E"/>
    <w:rsid w:val="00F22877"/>
    <w:rsid w:val="00F256C7"/>
    <w:rsid w:val="00F25E58"/>
    <w:rsid w:val="00F270B0"/>
    <w:rsid w:val="00F31B9A"/>
    <w:rsid w:val="00F37557"/>
    <w:rsid w:val="00F41933"/>
    <w:rsid w:val="00F42FB3"/>
    <w:rsid w:val="00F4735E"/>
    <w:rsid w:val="00F47E62"/>
    <w:rsid w:val="00F5197F"/>
    <w:rsid w:val="00F524DB"/>
    <w:rsid w:val="00F530B2"/>
    <w:rsid w:val="00F53223"/>
    <w:rsid w:val="00F60677"/>
    <w:rsid w:val="00F639BA"/>
    <w:rsid w:val="00F663E8"/>
    <w:rsid w:val="00F7428D"/>
    <w:rsid w:val="00F75E26"/>
    <w:rsid w:val="00F76DC9"/>
    <w:rsid w:val="00F773E4"/>
    <w:rsid w:val="00F77685"/>
    <w:rsid w:val="00F8041D"/>
    <w:rsid w:val="00F8105E"/>
    <w:rsid w:val="00F8743C"/>
    <w:rsid w:val="00F87541"/>
    <w:rsid w:val="00F90D4E"/>
    <w:rsid w:val="00F915A8"/>
    <w:rsid w:val="00F915ED"/>
    <w:rsid w:val="00F91F7C"/>
    <w:rsid w:val="00F942A4"/>
    <w:rsid w:val="00F94488"/>
    <w:rsid w:val="00FA0EC8"/>
    <w:rsid w:val="00FA2D14"/>
    <w:rsid w:val="00FA607C"/>
    <w:rsid w:val="00FA61C9"/>
    <w:rsid w:val="00FA6A04"/>
    <w:rsid w:val="00FB0853"/>
    <w:rsid w:val="00FB6445"/>
    <w:rsid w:val="00FB7C5C"/>
    <w:rsid w:val="00FC16EC"/>
    <w:rsid w:val="00FC73C7"/>
    <w:rsid w:val="00FC7A8F"/>
    <w:rsid w:val="00FD02D9"/>
    <w:rsid w:val="00FD4184"/>
    <w:rsid w:val="00FD4F65"/>
    <w:rsid w:val="00FD5E4D"/>
    <w:rsid w:val="00FD6D29"/>
    <w:rsid w:val="00FE356F"/>
    <w:rsid w:val="00FE404F"/>
    <w:rsid w:val="00FE4DD7"/>
    <w:rsid w:val="00FE6CCA"/>
    <w:rsid w:val="00FE7AA0"/>
    <w:rsid w:val="00FF0964"/>
    <w:rsid w:val="00FF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5C6D01"/>
  <w15:docId w15:val="{4EAFA4D5-9CBD-4E82-AB59-34681955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BB6E6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UnresolvedMention1">
    <w:name w:val="Unresolved Mention1"/>
    <w:basedOn w:val="DefaultParagraphFont"/>
    <w:uiPriority w:val="99"/>
    <w:semiHidden/>
    <w:unhideWhenUsed/>
    <w:rsid w:val="00A313C3"/>
    <w:rPr>
      <w:color w:val="605E5C"/>
      <w:shd w:val="clear" w:color="auto" w:fill="E1DFDD"/>
    </w:rPr>
  </w:style>
  <w:style w:type="character" w:customStyle="1" w:styleId="Heading2Char">
    <w:name w:val="Heading 2 Char"/>
    <w:basedOn w:val="DefaultParagraphFont"/>
    <w:link w:val="Heading2"/>
    <w:semiHidden/>
    <w:rsid w:val="00BB6E62"/>
    <w:rPr>
      <w:rFonts w:asciiTheme="majorHAnsi" w:eastAsiaTheme="majorEastAsia" w:hAnsiTheme="majorHAnsi" w:cstheme="majorBidi"/>
      <w:b/>
      <w:bCs/>
      <w:i/>
      <w:iCs/>
      <w:sz w:val="28"/>
      <w:szCs w:val="28"/>
    </w:rPr>
  </w:style>
  <w:style w:type="character" w:customStyle="1" w:styleId="UnresolvedMention">
    <w:name w:val="Unresolved Mention"/>
    <w:basedOn w:val="DefaultParagraphFont"/>
    <w:uiPriority w:val="99"/>
    <w:semiHidden/>
    <w:unhideWhenUsed/>
    <w:rsid w:val="00BF722D"/>
    <w:rPr>
      <w:color w:val="605E5C"/>
      <w:shd w:val="clear" w:color="auto" w:fill="E1DFDD"/>
    </w:rPr>
  </w:style>
  <w:style w:type="paragraph" w:styleId="TOC1">
    <w:name w:val="toc 1"/>
    <w:basedOn w:val="Normal"/>
    <w:next w:val="Normal"/>
    <w:uiPriority w:val="39"/>
    <w:rsid w:val="0098331D"/>
    <w:pPr>
      <w:tabs>
        <w:tab w:val="right" w:leader="dot" w:pos="9360"/>
      </w:tabs>
      <w:suppressAutoHyphens/>
      <w:spacing w:before="480"/>
      <w:ind w:left="720" w:right="720" w:hanging="720"/>
      <w:jc w:val="both"/>
    </w:pPr>
    <w:rPr>
      <w:sz w:val="22"/>
      <w:lang w:val="es-ES"/>
    </w:rPr>
  </w:style>
  <w:style w:type="paragraph" w:styleId="CommentSubject">
    <w:name w:val="annotation subject"/>
    <w:basedOn w:val="CommentText"/>
    <w:next w:val="CommentText"/>
    <w:link w:val="CommentSubjectChar"/>
    <w:semiHidden/>
    <w:unhideWhenUsed/>
    <w:rsid w:val="00315E23"/>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315E23"/>
    <w:rPr>
      <w:rFonts w:ascii="Calibri" w:eastAsia="Calibri" w:hAnsi="Calibri"/>
      <w:b/>
      <w:bCs/>
    </w:rPr>
  </w:style>
  <w:style w:type="character" w:customStyle="1" w:styleId="ListParagraphChar">
    <w:name w:val="List Paragraph Char"/>
    <w:basedOn w:val="DefaultParagraphFont"/>
    <w:link w:val="ListParagraph0"/>
    <w:uiPriority w:val="34"/>
    <w:locked/>
    <w:rsid w:val="00B76CC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8110">
      <w:bodyDiv w:val="1"/>
      <w:marLeft w:val="0"/>
      <w:marRight w:val="0"/>
      <w:marTop w:val="0"/>
      <w:marBottom w:val="0"/>
      <w:divBdr>
        <w:top w:val="none" w:sz="0" w:space="0" w:color="auto"/>
        <w:left w:val="none" w:sz="0" w:space="0" w:color="auto"/>
        <w:bottom w:val="none" w:sz="0" w:space="0" w:color="auto"/>
        <w:right w:val="none" w:sz="0" w:space="0" w:color="auto"/>
      </w:divBdr>
      <w:divsChild>
        <w:div w:id="1422213081">
          <w:marLeft w:val="547"/>
          <w:marRight w:val="0"/>
          <w:marTop w:val="115"/>
          <w:marBottom w:val="0"/>
          <w:divBdr>
            <w:top w:val="none" w:sz="0" w:space="0" w:color="auto"/>
            <w:left w:val="none" w:sz="0" w:space="0" w:color="auto"/>
            <w:bottom w:val="none" w:sz="0" w:space="0" w:color="auto"/>
            <w:right w:val="none" w:sz="0" w:space="0" w:color="auto"/>
          </w:divBdr>
        </w:div>
      </w:divsChild>
    </w:div>
    <w:div w:id="228079746">
      <w:bodyDiv w:val="1"/>
      <w:marLeft w:val="0"/>
      <w:marRight w:val="0"/>
      <w:marTop w:val="0"/>
      <w:marBottom w:val="0"/>
      <w:divBdr>
        <w:top w:val="none" w:sz="0" w:space="0" w:color="auto"/>
        <w:left w:val="none" w:sz="0" w:space="0" w:color="auto"/>
        <w:bottom w:val="none" w:sz="0" w:space="0" w:color="auto"/>
        <w:right w:val="none" w:sz="0" w:space="0" w:color="auto"/>
      </w:divBdr>
    </w:div>
    <w:div w:id="263732971">
      <w:bodyDiv w:val="1"/>
      <w:marLeft w:val="0"/>
      <w:marRight w:val="0"/>
      <w:marTop w:val="0"/>
      <w:marBottom w:val="0"/>
      <w:divBdr>
        <w:top w:val="none" w:sz="0" w:space="0" w:color="auto"/>
        <w:left w:val="none" w:sz="0" w:space="0" w:color="auto"/>
        <w:bottom w:val="none" w:sz="0" w:space="0" w:color="auto"/>
        <w:right w:val="none" w:sz="0" w:space="0" w:color="auto"/>
      </w:divBdr>
    </w:div>
    <w:div w:id="329139640">
      <w:bodyDiv w:val="1"/>
      <w:marLeft w:val="0"/>
      <w:marRight w:val="0"/>
      <w:marTop w:val="0"/>
      <w:marBottom w:val="0"/>
      <w:divBdr>
        <w:top w:val="none" w:sz="0" w:space="0" w:color="auto"/>
        <w:left w:val="none" w:sz="0" w:space="0" w:color="auto"/>
        <w:bottom w:val="none" w:sz="0" w:space="0" w:color="auto"/>
        <w:right w:val="none" w:sz="0" w:space="0" w:color="auto"/>
      </w:divBdr>
    </w:div>
    <w:div w:id="386301230">
      <w:bodyDiv w:val="1"/>
      <w:marLeft w:val="0"/>
      <w:marRight w:val="0"/>
      <w:marTop w:val="0"/>
      <w:marBottom w:val="0"/>
      <w:divBdr>
        <w:top w:val="none" w:sz="0" w:space="0" w:color="auto"/>
        <w:left w:val="none" w:sz="0" w:space="0" w:color="auto"/>
        <w:bottom w:val="none" w:sz="0" w:space="0" w:color="auto"/>
        <w:right w:val="none" w:sz="0" w:space="0" w:color="auto"/>
      </w:divBdr>
    </w:div>
    <w:div w:id="423306363">
      <w:bodyDiv w:val="1"/>
      <w:marLeft w:val="0"/>
      <w:marRight w:val="0"/>
      <w:marTop w:val="0"/>
      <w:marBottom w:val="0"/>
      <w:divBdr>
        <w:top w:val="none" w:sz="0" w:space="0" w:color="auto"/>
        <w:left w:val="none" w:sz="0" w:space="0" w:color="auto"/>
        <w:bottom w:val="none" w:sz="0" w:space="0" w:color="auto"/>
        <w:right w:val="none" w:sz="0" w:space="0" w:color="auto"/>
      </w:divBdr>
      <w:divsChild>
        <w:div w:id="1253509666">
          <w:marLeft w:val="0"/>
          <w:marRight w:val="0"/>
          <w:marTop w:val="0"/>
          <w:marBottom w:val="0"/>
          <w:divBdr>
            <w:top w:val="none" w:sz="0" w:space="0" w:color="auto"/>
            <w:left w:val="none" w:sz="0" w:space="0" w:color="auto"/>
            <w:bottom w:val="none" w:sz="0" w:space="0" w:color="auto"/>
            <w:right w:val="none" w:sz="0" w:space="0" w:color="auto"/>
          </w:divBdr>
        </w:div>
        <w:div w:id="889465781">
          <w:marLeft w:val="0"/>
          <w:marRight w:val="0"/>
          <w:marTop w:val="0"/>
          <w:marBottom w:val="0"/>
          <w:divBdr>
            <w:top w:val="none" w:sz="0" w:space="0" w:color="auto"/>
            <w:left w:val="none" w:sz="0" w:space="0" w:color="auto"/>
            <w:bottom w:val="none" w:sz="0" w:space="0" w:color="auto"/>
            <w:right w:val="none" w:sz="0" w:space="0" w:color="auto"/>
          </w:divBdr>
        </w:div>
        <w:div w:id="1201893573">
          <w:marLeft w:val="0"/>
          <w:marRight w:val="0"/>
          <w:marTop w:val="0"/>
          <w:marBottom w:val="0"/>
          <w:divBdr>
            <w:top w:val="none" w:sz="0" w:space="0" w:color="auto"/>
            <w:left w:val="none" w:sz="0" w:space="0" w:color="auto"/>
            <w:bottom w:val="none" w:sz="0" w:space="0" w:color="auto"/>
            <w:right w:val="none" w:sz="0" w:space="0" w:color="auto"/>
          </w:divBdr>
        </w:div>
        <w:div w:id="1844517017">
          <w:marLeft w:val="0"/>
          <w:marRight w:val="0"/>
          <w:marTop w:val="0"/>
          <w:marBottom w:val="0"/>
          <w:divBdr>
            <w:top w:val="none" w:sz="0" w:space="0" w:color="auto"/>
            <w:left w:val="none" w:sz="0" w:space="0" w:color="auto"/>
            <w:bottom w:val="none" w:sz="0" w:space="0" w:color="auto"/>
            <w:right w:val="none" w:sz="0" w:space="0" w:color="auto"/>
          </w:divBdr>
        </w:div>
        <w:div w:id="1082681517">
          <w:marLeft w:val="0"/>
          <w:marRight w:val="0"/>
          <w:marTop w:val="0"/>
          <w:marBottom w:val="0"/>
          <w:divBdr>
            <w:top w:val="none" w:sz="0" w:space="0" w:color="auto"/>
            <w:left w:val="none" w:sz="0" w:space="0" w:color="auto"/>
            <w:bottom w:val="none" w:sz="0" w:space="0" w:color="auto"/>
            <w:right w:val="none" w:sz="0" w:space="0" w:color="auto"/>
          </w:divBdr>
        </w:div>
        <w:div w:id="1661733111">
          <w:marLeft w:val="0"/>
          <w:marRight w:val="0"/>
          <w:marTop w:val="0"/>
          <w:marBottom w:val="0"/>
          <w:divBdr>
            <w:top w:val="none" w:sz="0" w:space="0" w:color="auto"/>
            <w:left w:val="none" w:sz="0" w:space="0" w:color="auto"/>
            <w:bottom w:val="none" w:sz="0" w:space="0" w:color="auto"/>
            <w:right w:val="none" w:sz="0" w:space="0" w:color="auto"/>
          </w:divBdr>
        </w:div>
        <w:div w:id="2016152169">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663361131">
          <w:marLeft w:val="0"/>
          <w:marRight w:val="0"/>
          <w:marTop w:val="0"/>
          <w:marBottom w:val="0"/>
          <w:divBdr>
            <w:top w:val="none" w:sz="0" w:space="0" w:color="auto"/>
            <w:left w:val="none" w:sz="0" w:space="0" w:color="auto"/>
            <w:bottom w:val="none" w:sz="0" w:space="0" w:color="auto"/>
            <w:right w:val="none" w:sz="0" w:space="0" w:color="auto"/>
          </w:divBdr>
        </w:div>
      </w:divsChild>
    </w:div>
    <w:div w:id="455678383">
      <w:bodyDiv w:val="1"/>
      <w:marLeft w:val="0"/>
      <w:marRight w:val="0"/>
      <w:marTop w:val="0"/>
      <w:marBottom w:val="0"/>
      <w:divBdr>
        <w:top w:val="none" w:sz="0" w:space="0" w:color="auto"/>
        <w:left w:val="none" w:sz="0" w:space="0" w:color="auto"/>
        <w:bottom w:val="none" w:sz="0" w:space="0" w:color="auto"/>
        <w:right w:val="none" w:sz="0" w:space="0" w:color="auto"/>
      </w:divBdr>
    </w:div>
    <w:div w:id="481242675">
      <w:bodyDiv w:val="1"/>
      <w:marLeft w:val="0"/>
      <w:marRight w:val="0"/>
      <w:marTop w:val="0"/>
      <w:marBottom w:val="0"/>
      <w:divBdr>
        <w:top w:val="none" w:sz="0" w:space="0" w:color="auto"/>
        <w:left w:val="none" w:sz="0" w:space="0" w:color="auto"/>
        <w:bottom w:val="none" w:sz="0" w:space="0" w:color="auto"/>
        <w:right w:val="none" w:sz="0" w:space="0" w:color="auto"/>
      </w:divBdr>
      <w:divsChild>
        <w:div w:id="1829056152">
          <w:marLeft w:val="547"/>
          <w:marRight w:val="0"/>
          <w:marTop w:val="154"/>
          <w:marBottom w:val="0"/>
          <w:divBdr>
            <w:top w:val="none" w:sz="0" w:space="0" w:color="auto"/>
            <w:left w:val="none" w:sz="0" w:space="0" w:color="auto"/>
            <w:bottom w:val="none" w:sz="0" w:space="0" w:color="auto"/>
            <w:right w:val="none" w:sz="0" w:space="0" w:color="auto"/>
          </w:divBdr>
        </w:div>
        <w:div w:id="562565733">
          <w:marLeft w:val="547"/>
          <w:marRight w:val="0"/>
          <w:marTop w:val="154"/>
          <w:marBottom w:val="0"/>
          <w:divBdr>
            <w:top w:val="none" w:sz="0" w:space="0" w:color="auto"/>
            <w:left w:val="none" w:sz="0" w:space="0" w:color="auto"/>
            <w:bottom w:val="none" w:sz="0" w:space="0" w:color="auto"/>
            <w:right w:val="none" w:sz="0" w:space="0" w:color="auto"/>
          </w:divBdr>
        </w:div>
        <w:div w:id="2025353264">
          <w:marLeft w:val="547"/>
          <w:marRight w:val="0"/>
          <w:marTop w:val="154"/>
          <w:marBottom w:val="0"/>
          <w:divBdr>
            <w:top w:val="none" w:sz="0" w:space="0" w:color="auto"/>
            <w:left w:val="none" w:sz="0" w:space="0" w:color="auto"/>
            <w:bottom w:val="none" w:sz="0" w:space="0" w:color="auto"/>
            <w:right w:val="none" w:sz="0" w:space="0" w:color="auto"/>
          </w:divBdr>
        </w:div>
      </w:divsChild>
    </w:div>
    <w:div w:id="816648249">
      <w:bodyDiv w:val="1"/>
      <w:marLeft w:val="0"/>
      <w:marRight w:val="0"/>
      <w:marTop w:val="0"/>
      <w:marBottom w:val="0"/>
      <w:divBdr>
        <w:top w:val="none" w:sz="0" w:space="0" w:color="auto"/>
        <w:left w:val="none" w:sz="0" w:space="0" w:color="auto"/>
        <w:bottom w:val="none" w:sz="0" w:space="0" w:color="auto"/>
        <w:right w:val="none" w:sz="0" w:space="0" w:color="auto"/>
      </w:divBdr>
      <w:divsChild>
        <w:div w:id="998848874">
          <w:marLeft w:val="0"/>
          <w:marRight w:val="0"/>
          <w:marTop w:val="0"/>
          <w:marBottom w:val="48"/>
          <w:divBdr>
            <w:top w:val="none" w:sz="0" w:space="0" w:color="auto"/>
            <w:left w:val="none" w:sz="0" w:space="0" w:color="auto"/>
            <w:bottom w:val="none" w:sz="0" w:space="0" w:color="auto"/>
            <w:right w:val="none" w:sz="0" w:space="0" w:color="auto"/>
          </w:divBdr>
        </w:div>
      </w:divsChild>
    </w:div>
    <w:div w:id="1351447274">
      <w:bodyDiv w:val="1"/>
      <w:marLeft w:val="0"/>
      <w:marRight w:val="0"/>
      <w:marTop w:val="0"/>
      <w:marBottom w:val="0"/>
      <w:divBdr>
        <w:top w:val="none" w:sz="0" w:space="0" w:color="auto"/>
        <w:left w:val="none" w:sz="0" w:space="0" w:color="auto"/>
        <w:bottom w:val="none" w:sz="0" w:space="0" w:color="auto"/>
        <w:right w:val="none" w:sz="0" w:space="0" w:color="auto"/>
      </w:divBdr>
      <w:divsChild>
        <w:div w:id="142310207">
          <w:marLeft w:val="0"/>
          <w:marRight w:val="0"/>
          <w:marTop w:val="0"/>
          <w:marBottom w:val="0"/>
          <w:divBdr>
            <w:top w:val="none" w:sz="0" w:space="0" w:color="auto"/>
            <w:left w:val="none" w:sz="0" w:space="0" w:color="auto"/>
            <w:bottom w:val="none" w:sz="0" w:space="0" w:color="auto"/>
            <w:right w:val="none" w:sz="0" w:space="0" w:color="auto"/>
          </w:divBdr>
        </w:div>
        <w:div w:id="1462655684">
          <w:marLeft w:val="0"/>
          <w:marRight w:val="0"/>
          <w:marTop w:val="0"/>
          <w:marBottom w:val="0"/>
          <w:divBdr>
            <w:top w:val="none" w:sz="0" w:space="0" w:color="auto"/>
            <w:left w:val="none" w:sz="0" w:space="0" w:color="auto"/>
            <w:bottom w:val="none" w:sz="0" w:space="0" w:color="auto"/>
            <w:right w:val="none" w:sz="0" w:space="0" w:color="auto"/>
          </w:divBdr>
        </w:div>
        <w:div w:id="766539052">
          <w:marLeft w:val="0"/>
          <w:marRight w:val="0"/>
          <w:marTop w:val="0"/>
          <w:marBottom w:val="0"/>
          <w:divBdr>
            <w:top w:val="none" w:sz="0" w:space="0" w:color="auto"/>
            <w:left w:val="none" w:sz="0" w:space="0" w:color="auto"/>
            <w:bottom w:val="none" w:sz="0" w:space="0" w:color="auto"/>
            <w:right w:val="none" w:sz="0" w:space="0" w:color="auto"/>
          </w:divBdr>
        </w:div>
        <w:div w:id="908150130">
          <w:marLeft w:val="0"/>
          <w:marRight w:val="0"/>
          <w:marTop w:val="0"/>
          <w:marBottom w:val="0"/>
          <w:divBdr>
            <w:top w:val="none" w:sz="0" w:space="0" w:color="auto"/>
            <w:left w:val="none" w:sz="0" w:space="0" w:color="auto"/>
            <w:bottom w:val="none" w:sz="0" w:space="0" w:color="auto"/>
            <w:right w:val="none" w:sz="0" w:space="0" w:color="auto"/>
          </w:divBdr>
        </w:div>
        <w:div w:id="1366562531">
          <w:marLeft w:val="0"/>
          <w:marRight w:val="0"/>
          <w:marTop w:val="0"/>
          <w:marBottom w:val="0"/>
          <w:divBdr>
            <w:top w:val="none" w:sz="0" w:space="0" w:color="auto"/>
            <w:left w:val="none" w:sz="0" w:space="0" w:color="auto"/>
            <w:bottom w:val="none" w:sz="0" w:space="0" w:color="auto"/>
            <w:right w:val="none" w:sz="0" w:space="0" w:color="auto"/>
          </w:divBdr>
        </w:div>
        <w:div w:id="320238632">
          <w:marLeft w:val="0"/>
          <w:marRight w:val="0"/>
          <w:marTop w:val="0"/>
          <w:marBottom w:val="0"/>
          <w:divBdr>
            <w:top w:val="none" w:sz="0" w:space="0" w:color="auto"/>
            <w:left w:val="none" w:sz="0" w:space="0" w:color="auto"/>
            <w:bottom w:val="none" w:sz="0" w:space="0" w:color="auto"/>
            <w:right w:val="none" w:sz="0" w:space="0" w:color="auto"/>
          </w:divBdr>
        </w:div>
        <w:div w:id="1471096169">
          <w:marLeft w:val="0"/>
          <w:marRight w:val="0"/>
          <w:marTop w:val="0"/>
          <w:marBottom w:val="0"/>
          <w:divBdr>
            <w:top w:val="none" w:sz="0" w:space="0" w:color="auto"/>
            <w:left w:val="none" w:sz="0" w:space="0" w:color="auto"/>
            <w:bottom w:val="none" w:sz="0" w:space="0" w:color="auto"/>
            <w:right w:val="none" w:sz="0" w:space="0" w:color="auto"/>
          </w:divBdr>
        </w:div>
      </w:divsChild>
    </w:div>
    <w:div w:id="1502236961">
      <w:bodyDiv w:val="1"/>
      <w:marLeft w:val="0"/>
      <w:marRight w:val="0"/>
      <w:marTop w:val="0"/>
      <w:marBottom w:val="0"/>
      <w:divBdr>
        <w:top w:val="none" w:sz="0" w:space="0" w:color="auto"/>
        <w:left w:val="none" w:sz="0" w:space="0" w:color="auto"/>
        <w:bottom w:val="none" w:sz="0" w:space="0" w:color="auto"/>
        <w:right w:val="none" w:sz="0" w:space="0" w:color="auto"/>
      </w:divBdr>
    </w:div>
    <w:div w:id="1732313791">
      <w:bodyDiv w:val="1"/>
      <w:marLeft w:val="0"/>
      <w:marRight w:val="0"/>
      <w:marTop w:val="0"/>
      <w:marBottom w:val="0"/>
      <w:divBdr>
        <w:top w:val="none" w:sz="0" w:space="0" w:color="auto"/>
        <w:left w:val="none" w:sz="0" w:space="0" w:color="auto"/>
        <w:bottom w:val="none" w:sz="0" w:space="0" w:color="auto"/>
        <w:right w:val="none" w:sz="0" w:space="0" w:color="auto"/>
      </w:divBdr>
      <w:divsChild>
        <w:div w:id="1766149178">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3F0FE-AFE6-40A9-A554-049BD5BB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7</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Diaz - Avalos,  Estela</cp:lastModifiedBy>
  <cp:revision>4</cp:revision>
  <cp:lastPrinted>2018-08-24T16:52:00Z</cp:lastPrinted>
  <dcterms:created xsi:type="dcterms:W3CDTF">2020-12-16T22:46:00Z</dcterms:created>
  <dcterms:modified xsi:type="dcterms:W3CDTF">2020-12-16T22:49:00Z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