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D2737" w14:textId="77777777" w:rsidR="00722693" w:rsidRPr="00ED414A" w:rsidRDefault="00FA607C" w:rsidP="00B70E4D">
      <w:pPr>
        <w:tabs>
          <w:tab w:val="left" w:pos="7200"/>
        </w:tabs>
        <w:ind w:right="-1080"/>
        <w:jc w:val="both"/>
        <w:rPr>
          <w:sz w:val="22"/>
          <w:szCs w:val="22"/>
          <w:lang w:val="pt-BR"/>
        </w:rPr>
      </w:pPr>
      <w:bookmarkStart w:id="0" w:name="_top"/>
      <w:bookmarkStart w:id="1" w:name="_GoBack"/>
      <w:bookmarkEnd w:id="0"/>
      <w:bookmarkEnd w:id="1"/>
      <w:r w:rsidRPr="00B458F3">
        <w:rPr>
          <w:sz w:val="22"/>
          <w:szCs w:val="22"/>
          <w:lang w:val="fr-CA"/>
        </w:rPr>
        <w:tab/>
      </w:r>
      <w:r w:rsidRPr="00ED414A">
        <w:rPr>
          <w:sz w:val="22"/>
          <w:szCs w:val="22"/>
          <w:lang w:val="pt-BR"/>
        </w:rPr>
        <w:t>OEA/Ser.W</w:t>
      </w:r>
    </w:p>
    <w:p w14:paraId="59B65FBE" w14:textId="42E52155" w:rsidR="00722693" w:rsidRPr="00ED414A" w:rsidRDefault="00FA607C" w:rsidP="00B70E4D">
      <w:pPr>
        <w:tabs>
          <w:tab w:val="left" w:pos="7200"/>
        </w:tabs>
        <w:ind w:right="-1080"/>
        <w:jc w:val="both"/>
        <w:rPr>
          <w:sz w:val="22"/>
          <w:szCs w:val="22"/>
          <w:lang w:val="pt-BR"/>
        </w:rPr>
      </w:pPr>
      <w:r w:rsidRPr="00ED414A">
        <w:rPr>
          <w:sz w:val="22"/>
          <w:szCs w:val="22"/>
          <w:lang w:val="pt-BR"/>
        </w:rPr>
        <w:tab/>
        <w:t>CIDI/INF.</w:t>
      </w:r>
      <w:r w:rsidR="00B1025E" w:rsidRPr="00ED414A">
        <w:rPr>
          <w:sz w:val="22"/>
          <w:szCs w:val="22"/>
          <w:lang w:val="pt-BR"/>
        </w:rPr>
        <w:t>397/</w:t>
      </w:r>
      <w:r w:rsidR="00237585" w:rsidRPr="00ED414A">
        <w:rPr>
          <w:sz w:val="22"/>
          <w:szCs w:val="22"/>
          <w:lang w:val="pt-BR"/>
        </w:rPr>
        <w:t>20</w:t>
      </w:r>
    </w:p>
    <w:p w14:paraId="4483D20B" w14:textId="2458D9FD" w:rsidR="00921E9E" w:rsidRPr="00B458F3" w:rsidRDefault="00FA607C" w:rsidP="00B70E4D">
      <w:pPr>
        <w:tabs>
          <w:tab w:val="left" w:pos="7200"/>
        </w:tabs>
        <w:ind w:right="-1080"/>
        <w:jc w:val="both"/>
        <w:rPr>
          <w:sz w:val="22"/>
          <w:szCs w:val="22"/>
          <w:lang w:val="fr-CA"/>
        </w:rPr>
      </w:pPr>
      <w:r w:rsidRPr="00ED414A">
        <w:rPr>
          <w:sz w:val="22"/>
          <w:szCs w:val="22"/>
          <w:lang w:val="pt-BR"/>
        </w:rPr>
        <w:tab/>
      </w:r>
      <w:r w:rsidR="0038288B" w:rsidRPr="00B458F3">
        <w:rPr>
          <w:sz w:val="22"/>
          <w:szCs w:val="22"/>
          <w:lang w:val="fr-CA"/>
        </w:rPr>
        <w:t xml:space="preserve">15 </w:t>
      </w:r>
      <w:r w:rsidR="00B458F3">
        <w:rPr>
          <w:sz w:val="22"/>
          <w:szCs w:val="22"/>
          <w:lang w:val="fr-CA"/>
        </w:rPr>
        <w:t>décembre</w:t>
      </w:r>
      <w:r w:rsidR="004A7C48" w:rsidRPr="00B458F3">
        <w:rPr>
          <w:sz w:val="22"/>
          <w:szCs w:val="22"/>
          <w:lang w:val="fr-CA"/>
        </w:rPr>
        <w:t xml:space="preserve"> 20</w:t>
      </w:r>
      <w:r w:rsidR="000B6478" w:rsidRPr="00B458F3">
        <w:rPr>
          <w:sz w:val="22"/>
          <w:szCs w:val="22"/>
          <w:lang w:val="fr-CA"/>
        </w:rPr>
        <w:t>20</w:t>
      </w:r>
    </w:p>
    <w:p w14:paraId="5F1787F8" w14:textId="2F6E39C3" w:rsidR="00921E9E" w:rsidRPr="00B458F3" w:rsidRDefault="00FA607C" w:rsidP="00B70E4D">
      <w:pPr>
        <w:pBdr>
          <w:bottom w:val="single" w:sz="12" w:space="1" w:color="auto"/>
        </w:pBdr>
        <w:tabs>
          <w:tab w:val="left" w:pos="7200"/>
        </w:tabs>
        <w:ind w:right="-389"/>
        <w:jc w:val="both"/>
        <w:rPr>
          <w:sz w:val="22"/>
          <w:szCs w:val="22"/>
          <w:lang w:val="fr-CA"/>
        </w:rPr>
      </w:pPr>
      <w:r w:rsidRPr="00B458F3">
        <w:rPr>
          <w:sz w:val="22"/>
          <w:szCs w:val="22"/>
          <w:lang w:val="fr-CA"/>
        </w:rPr>
        <w:tab/>
        <w:t xml:space="preserve">Original: </w:t>
      </w:r>
      <w:r w:rsidR="00B458F3">
        <w:rPr>
          <w:sz w:val="22"/>
          <w:szCs w:val="22"/>
          <w:lang w:val="fr-CA"/>
        </w:rPr>
        <w:t>anglais</w:t>
      </w:r>
    </w:p>
    <w:p w14:paraId="7EFD68F1" w14:textId="77777777" w:rsidR="00B70E4D" w:rsidRPr="00B458F3" w:rsidRDefault="00B70E4D" w:rsidP="00C109DC">
      <w:pPr>
        <w:pBdr>
          <w:bottom w:val="single" w:sz="12" w:space="1" w:color="auto"/>
        </w:pBdr>
        <w:tabs>
          <w:tab w:val="left" w:pos="7200"/>
        </w:tabs>
        <w:ind w:right="-389"/>
        <w:jc w:val="both"/>
        <w:rPr>
          <w:sz w:val="22"/>
          <w:szCs w:val="22"/>
          <w:lang w:val="fr-CA"/>
        </w:rPr>
      </w:pPr>
    </w:p>
    <w:p w14:paraId="24C81694" w14:textId="3E378F45" w:rsidR="00722693" w:rsidRPr="00ED414A" w:rsidRDefault="00722693" w:rsidP="00ED414A">
      <w:pPr>
        <w:tabs>
          <w:tab w:val="left" w:pos="7200"/>
        </w:tabs>
        <w:ind w:right="-1080"/>
        <w:jc w:val="both"/>
        <w:rPr>
          <w:sz w:val="22"/>
          <w:szCs w:val="22"/>
          <w:lang w:val="fr-CA"/>
        </w:rPr>
      </w:pPr>
    </w:p>
    <w:p w14:paraId="294DEA60" w14:textId="77777777" w:rsidR="00723DE2" w:rsidRPr="00ED414A" w:rsidRDefault="00723DE2" w:rsidP="00ED414A">
      <w:pPr>
        <w:jc w:val="both"/>
        <w:rPr>
          <w:rFonts w:eastAsia="Calibri"/>
          <w:sz w:val="22"/>
          <w:szCs w:val="22"/>
          <w:lang w:val="fr-CA"/>
        </w:rPr>
      </w:pPr>
    </w:p>
    <w:p w14:paraId="336FE805" w14:textId="77777777" w:rsidR="0038288B" w:rsidRPr="00ED414A" w:rsidRDefault="0038288B" w:rsidP="00ED414A">
      <w:pPr>
        <w:jc w:val="both"/>
        <w:rPr>
          <w:sz w:val="22"/>
          <w:szCs w:val="22"/>
          <w:lang w:val="fr-CA"/>
        </w:rPr>
      </w:pPr>
    </w:p>
    <w:p w14:paraId="26AF2A7D" w14:textId="77777777" w:rsidR="0038288B" w:rsidRPr="00ED414A" w:rsidRDefault="0038288B" w:rsidP="00ED414A">
      <w:pPr>
        <w:ind w:right="1"/>
        <w:jc w:val="both"/>
        <w:rPr>
          <w:rFonts w:eastAsia="Calibri"/>
          <w:sz w:val="22"/>
          <w:szCs w:val="22"/>
          <w:lang w:val="fr-CA"/>
        </w:rPr>
      </w:pPr>
    </w:p>
    <w:p w14:paraId="0817BB27" w14:textId="77777777" w:rsidR="0038288B" w:rsidRPr="00ED414A" w:rsidRDefault="0038288B" w:rsidP="00ED414A">
      <w:pPr>
        <w:ind w:right="1"/>
        <w:jc w:val="both"/>
        <w:rPr>
          <w:rFonts w:eastAsia="Calibri"/>
          <w:sz w:val="22"/>
          <w:szCs w:val="22"/>
          <w:lang w:val="fr-CA"/>
        </w:rPr>
      </w:pPr>
    </w:p>
    <w:p w14:paraId="5A1A5293" w14:textId="77777777" w:rsidR="0038288B" w:rsidRPr="00ED414A" w:rsidRDefault="0038288B" w:rsidP="00ED414A">
      <w:pPr>
        <w:ind w:right="1"/>
        <w:jc w:val="both"/>
        <w:rPr>
          <w:rFonts w:eastAsia="Calibri"/>
          <w:sz w:val="22"/>
          <w:szCs w:val="22"/>
          <w:lang w:val="fr-CA"/>
        </w:rPr>
      </w:pPr>
    </w:p>
    <w:p w14:paraId="6788F12C" w14:textId="77777777" w:rsidR="0038288B" w:rsidRPr="00ED414A" w:rsidRDefault="0038288B" w:rsidP="00ED414A">
      <w:pPr>
        <w:ind w:right="1"/>
        <w:jc w:val="both"/>
        <w:rPr>
          <w:rFonts w:eastAsia="Calibri"/>
          <w:sz w:val="22"/>
          <w:szCs w:val="22"/>
          <w:lang w:val="fr-CA"/>
        </w:rPr>
      </w:pPr>
    </w:p>
    <w:p w14:paraId="798CE3B1" w14:textId="77777777" w:rsidR="0038288B" w:rsidRPr="00ED414A" w:rsidRDefault="0038288B" w:rsidP="00ED414A">
      <w:pPr>
        <w:ind w:right="1"/>
        <w:jc w:val="both"/>
        <w:rPr>
          <w:rFonts w:eastAsia="Calibri"/>
          <w:sz w:val="22"/>
          <w:szCs w:val="22"/>
          <w:lang w:val="fr-CA"/>
        </w:rPr>
      </w:pPr>
    </w:p>
    <w:p w14:paraId="78DD02FF" w14:textId="77777777" w:rsidR="0038288B" w:rsidRPr="00ED414A" w:rsidRDefault="0038288B" w:rsidP="00ED414A">
      <w:pPr>
        <w:ind w:right="1"/>
        <w:jc w:val="both"/>
        <w:rPr>
          <w:rFonts w:eastAsia="Calibri"/>
          <w:sz w:val="22"/>
          <w:szCs w:val="22"/>
          <w:lang w:val="fr-CA"/>
        </w:rPr>
      </w:pPr>
    </w:p>
    <w:p w14:paraId="73EA499D" w14:textId="60D2214C" w:rsidR="0038288B" w:rsidRDefault="0038288B" w:rsidP="00ED414A">
      <w:pPr>
        <w:ind w:right="1"/>
        <w:jc w:val="both"/>
        <w:rPr>
          <w:rFonts w:eastAsia="Calibri"/>
          <w:sz w:val="22"/>
          <w:szCs w:val="22"/>
          <w:lang w:val="fr-CA"/>
        </w:rPr>
      </w:pPr>
    </w:p>
    <w:p w14:paraId="785449BB" w14:textId="77777777" w:rsidR="00ED414A" w:rsidRPr="00ED414A" w:rsidRDefault="00ED414A" w:rsidP="00ED414A">
      <w:pPr>
        <w:ind w:right="1"/>
        <w:jc w:val="both"/>
        <w:rPr>
          <w:rFonts w:eastAsia="Calibri"/>
          <w:sz w:val="22"/>
          <w:szCs w:val="22"/>
          <w:lang w:val="fr-CA"/>
        </w:rPr>
      </w:pPr>
    </w:p>
    <w:p w14:paraId="5D1C70C6" w14:textId="77777777" w:rsidR="0038288B" w:rsidRPr="00ED414A" w:rsidRDefault="0038288B" w:rsidP="00ED414A">
      <w:pPr>
        <w:ind w:right="1"/>
        <w:jc w:val="both"/>
        <w:rPr>
          <w:rFonts w:eastAsia="Calibri"/>
          <w:sz w:val="22"/>
          <w:szCs w:val="22"/>
          <w:lang w:val="fr-CA"/>
        </w:rPr>
      </w:pPr>
    </w:p>
    <w:p w14:paraId="7FBA3F28" w14:textId="77777777" w:rsidR="0038288B" w:rsidRPr="00ED414A" w:rsidRDefault="0038288B" w:rsidP="00ED414A">
      <w:pPr>
        <w:ind w:right="1"/>
        <w:jc w:val="both"/>
        <w:rPr>
          <w:rFonts w:eastAsia="Calibri"/>
          <w:sz w:val="22"/>
          <w:szCs w:val="22"/>
          <w:lang w:val="fr-CA"/>
        </w:rPr>
      </w:pPr>
    </w:p>
    <w:p w14:paraId="5BAF34B0" w14:textId="3142DDC4" w:rsidR="0038288B" w:rsidRPr="00B458F3" w:rsidRDefault="00B458F3" w:rsidP="0038288B">
      <w:pPr>
        <w:snapToGrid w:val="0"/>
        <w:jc w:val="center"/>
        <w:rPr>
          <w:color w:val="000000"/>
          <w:sz w:val="22"/>
          <w:szCs w:val="22"/>
          <w:lang w:val="fr-CA"/>
        </w:rPr>
      </w:pPr>
      <w:r>
        <w:rPr>
          <w:color w:val="000000"/>
          <w:sz w:val="22"/>
          <w:szCs w:val="22"/>
          <w:lang w:val="fr-CA"/>
        </w:rPr>
        <w:t>EXPOSÉ DE LA SECRÉTAIRE EXÉCUTIVE AU DÉVELOPPEMENT INTÉGRÉ</w:t>
      </w:r>
      <w:r w:rsidR="0038288B" w:rsidRPr="00B458F3">
        <w:rPr>
          <w:color w:val="000000"/>
          <w:sz w:val="22"/>
          <w:szCs w:val="22"/>
          <w:lang w:val="fr-CA"/>
        </w:rPr>
        <w:t>,</w:t>
      </w:r>
    </w:p>
    <w:p w14:paraId="6B851AB4" w14:textId="07804854" w:rsidR="0038288B" w:rsidRPr="00B458F3" w:rsidRDefault="0038288B" w:rsidP="0038288B">
      <w:pPr>
        <w:snapToGrid w:val="0"/>
        <w:jc w:val="center"/>
        <w:rPr>
          <w:color w:val="000000"/>
          <w:sz w:val="22"/>
          <w:szCs w:val="22"/>
          <w:lang w:val="fr-CA"/>
        </w:rPr>
      </w:pPr>
      <w:r w:rsidRPr="00B458F3">
        <w:rPr>
          <w:color w:val="000000"/>
          <w:sz w:val="22"/>
          <w:szCs w:val="22"/>
          <w:lang w:val="fr-CA"/>
        </w:rPr>
        <w:t>M</w:t>
      </w:r>
      <w:r w:rsidR="00B458F3" w:rsidRPr="00D0137E">
        <w:rPr>
          <w:color w:val="000000"/>
          <w:sz w:val="22"/>
          <w:szCs w:val="22"/>
          <w:vertAlign w:val="superscript"/>
          <w:lang w:val="fr-CA"/>
        </w:rPr>
        <w:t>ME</w:t>
      </w:r>
      <w:r w:rsidRPr="00B458F3">
        <w:rPr>
          <w:color w:val="000000"/>
          <w:sz w:val="22"/>
          <w:szCs w:val="22"/>
          <w:lang w:val="fr-CA"/>
        </w:rPr>
        <w:t xml:space="preserve"> KIM OSBORNE</w:t>
      </w:r>
    </w:p>
    <w:p w14:paraId="6C5E5244" w14:textId="77777777" w:rsidR="0038288B" w:rsidRPr="00B458F3" w:rsidRDefault="0038288B" w:rsidP="0038288B">
      <w:pPr>
        <w:snapToGrid w:val="0"/>
        <w:jc w:val="center"/>
        <w:rPr>
          <w:color w:val="000000"/>
          <w:sz w:val="22"/>
          <w:szCs w:val="22"/>
          <w:lang w:val="fr-CA"/>
        </w:rPr>
      </w:pPr>
    </w:p>
    <w:p w14:paraId="5BDE2A9E" w14:textId="47AAAE36" w:rsidR="00B76CC5" w:rsidRPr="00B458F3" w:rsidRDefault="00B458F3" w:rsidP="00ED414A">
      <w:pPr>
        <w:snapToGrid w:val="0"/>
        <w:jc w:val="center"/>
        <w:rPr>
          <w:bCs/>
          <w:sz w:val="22"/>
          <w:szCs w:val="22"/>
          <w:lang w:val="fr-CA"/>
        </w:rPr>
      </w:pPr>
      <w:r>
        <w:rPr>
          <w:color w:val="000000"/>
          <w:sz w:val="22"/>
          <w:szCs w:val="22"/>
          <w:lang w:val="fr-CA"/>
        </w:rPr>
        <w:t xml:space="preserve">DURANT LA RÉUNION ORDINAIRE DU CONSEIL INTERAMÉRICAIN </w:t>
      </w:r>
      <w:r w:rsidR="00ED414A">
        <w:rPr>
          <w:color w:val="000000"/>
          <w:sz w:val="22"/>
          <w:szCs w:val="22"/>
          <w:lang w:val="fr-CA"/>
        </w:rPr>
        <w:br/>
      </w:r>
      <w:r>
        <w:rPr>
          <w:color w:val="000000"/>
          <w:sz w:val="22"/>
          <w:szCs w:val="22"/>
          <w:lang w:val="fr-CA"/>
        </w:rPr>
        <w:t>POUR LE DÉVELOPPEMENT INTÉGRÉ SUR</w:t>
      </w:r>
      <w:r w:rsidR="0038288B" w:rsidRPr="00B458F3">
        <w:rPr>
          <w:color w:val="000000"/>
          <w:sz w:val="22"/>
          <w:szCs w:val="22"/>
          <w:lang w:val="fr-CA"/>
        </w:rPr>
        <w:t xml:space="preserve"> </w:t>
      </w:r>
      <w:r>
        <w:rPr>
          <w:bCs/>
          <w:sz w:val="22"/>
          <w:szCs w:val="22"/>
          <w:lang w:val="fr-CA"/>
        </w:rPr>
        <w:t xml:space="preserve">LES PARTENARIATS </w:t>
      </w:r>
      <w:r w:rsidR="00ED414A">
        <w:rPr>
          <w:bCs/>
          <w:sz w:val="22"/>
          <w:szCs w:val="22"/>
          <w:lang w:val="fr-CA"/>
        </w:rPr>
        <w:br/>
      </w:r>
      <w:r>
        <w:rPr>
          <w:bCs/>
          <w:sz w:val="22"/>
          <w:szCs w:val="22"/>
          <w:lang w:val="fr-CA"/>
        </w:rPr>
        <w:t xml:space="preserve">À MULTIPLES PARTIES PRENANTES POUR RENFORCER </w:t>
      </w:r>
      <w:r w:rsidR="00ED414A">
        <w:rPr>
          <w:bCs/>
          <w:sz w:val="22"/>
          <w:szCs w:val="22"/>
          <w:lang w:val="fr-CA"/>
        </w:rPr>
        <w:br/>
      </w:r>
      <w:r>
        <w:rPr>
          <w:bCs/>
          <w:sz w:val="22"/>
          <w:szCs w:val="22"/>
          <w:lang w:val="fr-CA"/>
        </w:rPr>
        <w:t>LA RÉSILIENCE AUX CHOCS EXTERNES</w:t>
      </w:r>
      <w:r w:rsidR="00B76CC5" w:rsidRPr="00B458F3">
        <w:rPr>
          <w:bCs/>
          <w:sz w:val="22"/>
          <w:szCs w:val="22"/>
          <w:lang w:val="fr-CA"/>
        </w:rPr>
        <w:t xml:space="preserve"> </w:t>
      </w:r>
    </w:p>
    <w:p w14:paraId="4F5CC05C" w14:textId="77777777" w:rsidR="0038288B" w:rsidRPr="00B458F3" w:rsidRDefault="0038288B" w:rsidP="0038288B">
      <w:pPr>
        <w:jc w:val="center"/>
        <w:outlineLvl w:val="0"/>
        <w:rPr>
          <w:color w:val="000000"/>
          <w:sz w:val="22"/>
          <w:szCs w:val="22"/>
          <w:lang w:val="fr-CA"/>
        </w:rPr>
      </w:pPr>
    </w:p>
    <w:p w14:paraId="344C734C" w14:textId="1E506194" w:rsidR="0038288B" w:rsidRPr="00B458F3" w:rsidRDefault="00B458F3" w:rsidP="0038288B">
      <w:pPr>
        <w:jc w:val="center"/>
        <w:outlineLvl w:val="0"/>
        <w:rPr>
          <w:color w:val="000000"/>
          <w:sz w:val="22"/>
          <w:szCs w:val="22"/>
          <w:lang w:val="fr-CA"/>
        </w:rPr>
      </w:pPr>
      <w:r>
        <w:rPr>
          <w:color w:val="000000"/>
          <w:sz w:val="22"/>
          <w:szCs w:val="22"/>
          <w:lang w:val="fr-CA"/>
        </w:rPr>
        <w:t>TENUE LE 8 DÉCEMBRE</w:t>
      </w:r>
      <w:r w:rsidR="0038288B" w:rsidRPr="00B458F3">
        <w:rPr>
          <w:color w:val="000000"/>
          <w:sz w:val="22"/>
          <w:szCs w:val="22"/>
          <w:lang w:val="fr-CA"/>
        </w:rPr>
        <w:t xml:space="preserve"> 2020</w:t>
      </w:r>
    </w:p>
    <w:p w14:paraId="196DC26D" w14:textId="77777777" w:rsidR="00ED414A" w:rsidRDefault="00ED414A" w:rsidP="0038288B">
      <w:pPr>
        <w:ind w:right="1"/>
        <w:jc w:val="center"/>
        <w:rPr>
          <w:color w:val="000000"/>
          <w:sz w:val="22"/>
          <w:szCs w:val="22"/>
          <w:lang w:val="fr-CA"/>
        </w:rPr>
        <w:sectPr w:rsidR="00ED414A" w:rsidSect="00ED414A">
          <w:headerReference w:type="default" r:id="rId8"/>
          <w:headerReference w:type="first" r:id="rId9"/>
          <w:type w:val="continuous"/>
          <w:pgSz w:w="12240" w:h="15840" w:code="1"/>
          <w:pgMar w:top="2160" w:right="1570" w:bottom="1296" w:left="1699" w:header="1296" w:footer="1296" w:gutter="0"/>
          <w:pgNumType w:fmt="numberInDash" w:start="2"/>
          <w:cols w:space="720"/>
          <w:titlePg/>
          <w:docGrid w:linePitch="272"/>
        </w:sectPr>
      </w:pPr>
    </w:p>
    <w:p w14:paraId="7260334B" w14:textId="21989E55" w:rsidR="00B458F3" w:rsidRPr="00ED414A" w:rsidRDefault="00B458F3" w:rsidP="00ED414A">
      <w:pPr>
        <w:snapToGrid w:val="0"/>
        <w:jc w:val="center"/>
        <w:rPr>
          <w:color w:val="000000"/>
          <w:sz w:val="22"/>
          <w:szCs w:val="22"/>
          <w:lang w:val="fr-CA"/>
        </w:rPr>
      </w:pPr>
      <w:r w:rsidRPr="00ED414A">
        <w:rPr>
          <w:color w:val="000000"/>
          <w:sz w:val="22"/>
          <w:szCs w:val="22"/>
          <w:lang w:val="fr-CA"/>
        </w:rPr>
        <w:t>EXPOSÉ DE LA SECRÉTAIRE EXÉCUTIVE AU DÉVELOPPEMENT INTÉGRÉ, M</w:t>
      </w:r>
      <w:r w:rsidRPr="00D0137E">
        <w:rPr>
          <w:color w:val="000000"/>
          <w:sz w:val="22"/>
          <w:szCs w:val="22"/>
          <w:vertAlign w:val="superscript"/>
          <w:lang w:val="fr-CA"/>
        </w:rPr>
        <w:t>ME</w:t>
      </w:r>
      <w:r w:rsidRPr="00ED414A">
        <w:rPr>
          <w:color w:val="000000"/>
          <w:sz w:val="22"/>
          <w:szCs w:val="22"/>
          <w:lang w:val="fr-CA"/>
        </w:rPr>
        <w:t xml:space="preserve"> KIM OSBORNE DURANT LA RÉUNION ORDINAIRE DU CONSEIL INTERAMÉRICAIN POUR LE DÉVELOPPEMENT INTÉGRÉ SUR </w:t>
      </w:r>
      <w:r w:rsidRPr="00ED414A">
        <w:rPr>
          <w:bCs/>
          <w:sz w:val="22"/>
          <w:szCs w:val="22"/>
          <w:lang w:val="fr-CA"/>
        </w:rPr>
        <w:t xml:space="preserve">LES PARTENARIATS À MULTIPLES PARTIES PRENANTES POUR RENFORCER LA RÉSILIENCE AUX CHOCS EXTERNES </w:t>
      </w:r>
    </w:p>
    <w:p w14:paraId="6F9CB2C3" w14:textId="77777777" w:rsidR="00B458F3" w:rsidRPr="00ED414A" w:rsidRDefault="00B458F3" w:rsidP="00ED414A">
      <w:pPr>
        <w:outlineLvl w:val="0"/>
        <w:rPr>
          <w:color w:val="000000"/>
          <w:sz w:val="22"/>
          <w:szCs w:val="22"/>
          <w:lang w:val="fr-CA"/>
        </w:rPr>
      </w:pPr>
    </w:p>
    <w:p w14:paraId="6982E00B" w14:textId="77777777" w:rsidR="00B458F3" w:rsidRPr="00ED414A" w:rsidRDefault="00B458F3" w:rsidP="00ED414A">
      <w:pPr>
        <w:jc w:val="center"/>
        <w:outlineLvl w:val="0"/>
        <w:rPr>
          <w:color w:val="000000"/>
          <w:sz w:val="22"/>
          <w:szCs w:val="22"/>
          <w:lang w:val="fr-CA"/>
        </w:rPr>
      </w:pPr>
      <w:r w:rsidRPr="00ED414A">
        <w:rPr>
          <w:color w:val="000000"/>
          <w:sz w:val="22"/>
          <w:szCs w:val="22"/>
          <w:lang w:val="fr-CA"/>
        </w:rPr>
        <w:t>TENUE LE 8 DÉCEMBRE 2020</w:t>
      </w:r>
    </w:p>
    <w:p w14:paraId="491391FE" w14:textId="77777777" w:rsidR="00B76CC5" w:rsidRPr="00ED414A" w:rsidRDefault="00B76CC5" w:rsidP="00ED414A">
      <w:pPr>
        <w:ind w:left="10" w:right="1" w:hanging="10"/>
        <w:rPr>
          <w:rFonts w:eastAsia="Calibri"/>
          <w:sz w:val="22"/>
          <w:szCs w:val="22"/>
          <w:lang w:val="fr-CA"/>
        </w:rPr>
      </w:pPr>
    </w:p>
    <w:p w14:paraId="19C8F3E9" w14:textId="233FCCD4" w:rsidR="0038288B" w:rsidRPr="00ED414A" w:rsidRDefault="00452315" w:rsidP="00ED414A">
      <w:pPr>
        <w:ind w:left="10" w:right="1" w:hanging="10"/>
        <w:jc w:val="center"/>
        <w:rPr>
          <w:sz w:val="22"/>
          <w:szCs w:val="22"/>
          <w:lang w:val="fr-CA"/>
        </w:rPr>
      </w:pPr>
      <w:r w:rsidRPr="00ED414A">
        <w:rPr>
          <w:rFonts w:eastAsia="Calibri"/>
          <w:sz w:val="22"/>
          <w:szCs w:val="22"/>
          <w:lang w:val="fr-CA"/>
        </w:rPr>
        <w:t xml:space="preserve">PARTENARIATS DU </w:t>
      </w:r>
      <w:r w:rsidR="0038288B" w:rsidRPr="00ED414A">
        <w:rPr>
          <w:rFonts w:eastAsia="Calibri"/>
          <w:sz w:val="22"/>
          <w:szCs w:val="22"/>
          <w:lang w:val="fr-CA"/>
        </w:rPr>
        <w:t xml:space="preserve">SEDI 2020 </w:t>
      </w:r>
    </w:p>
    <w:p w14:paraId="74A6606E" w14:textId="784A9FCA" w:rsidR="0038288B" w:rsidRPr="00ED414A" w:rsidRDefault="0038288B" w:rsidP="00ED414A">
      <w:pPr>
        <w:rPr>
          <w:sz w:val="22"/>
          <w:szCs w:val="22"/>
          <w:lang w:val="fr-CA"/>
        </w:rPr>
      </w:pPr>
    </w:p>
    <w:p w14:paraId="70F4886D" w14:textId="4CB7CE3D" w:rsidR="00B76CC5" w:rsidRPr="00ED414A" w:rsidRDefault="00B76CC5" w:rsidP="00ED414A">
      <w:pPr>
        <w:ind w:firstLine="10"/>
        <w:jc w:val="both"/>
        <w:rPr>
          <w:sz w:val="22"/>
          <w:szCs w:val="22"/>
          <w:lang w:val="fr-CA"/>
        </w:rPr>
      </w:pPr>
    </w:p>
    <w:p w14:paraId="2DCE52E0" w14:textId="23BFB014" w:rsidR="0038288B" w:rsidRPr="00ED414A" w:rsidRDefault="00B76CC5" w:rsidP="00ED414A">
      <w:pPr>
        <w:ind w:firstLine="10"/>
        <w:jc w:val="both"/>
        <w:rPr>
          <w:sz w:val="22"/>
          <w:szCs w:val="22"/>
          <w:lang w:val="fr-CA"/>
        </w:rPr>
      </w:pPr>
      <w:r w:rsidRPr="00ED414A">
        <w:rPr>
          <w:sz w:val="22"/>
          <w:szCs w:val="22"/>
          <w:lang w:val="fr-CA"/>
        </w:rPr>
        <w:tab/>
      </w:r>
      <w:r w:rsidR="00452315" w:rsidRPr="00ED414A">
        <w:rPr>
          <w:sz w:val="22"/>
          <w:szCs w:val="22"/>
          <w:lang w:val="fr-CA"/>
        </w:rPr>
        <w:t xml:space="preserve">Il faut de solides partenariats multisectoriels à multiples parties prenantes qui peuvent harnacher de l’expertise, des connaissances du financement et les autres ressources nécessaires à la reconstruction d’économies résilientes et inclusives pour surmonter les défis économiques et sociaux titanesques auxquels nos États membres sont confrontés, lesquels ont été exacerbés par la pandémie de </w:t>
      </w:r>
      <w:r w:rsidR="0038288B" w:rsidRPr="00ED414A">
        <w:rPr>
          <w:sz w:val="22"/>
          <w:szCs w:val="22"/>
          <w:lang w:val="fr-CA"/>
        </w:rPr>
        <w:t xml:space="preserve">COVID‐19. </w:t>
      </w:r>
    </w:p>
    <w:p w14:paraId="5F4E190A" w14:textId="7576EF93" w:rsidR="0038288B" w:rsidRPr="00ED414A" w:rsidRDefault="0038288B" w:rsidP="00ED414A">
      <w:pPr>
        <w:jc w:val="both"/>
        <w:rPr>
          <w:sz w:val="22"/>
          <w:szCs w:val="22"/>
          <w:lang w:val="fr-CA"/>
        </w:rPr>
      </w:pPr>
    </w:p>
    <w:p w14:paraId="52238147" w14:textId="22584E04" w:rsidR="0038288B" w:rsidRPr="00ED414A" w:rsidRDefault="00B76CC5" w:rsidP="00ED414A">
      <w:pPr>
        <w:ind w:left="-15" w:right="-13" w:firstLine="25"/>
        <w:jc w:val="both"/>
        <w:rPr>
          <w:sz w:val="22"/>
          <w:szCs w:val="22"/>
          <w:lang w:val="fr-CA"/>
        </w:rPr>
      </w:pPr>
      <w:r w:rsidRPr="00ED414A">
        <w:rPr>
          <w:sz w:val="22"/>
          <w:szCs w:val="22"/>
          <w:lang w:val="fr-CA"/>
        </w:rPr>
        <w:tab/>
      </w:r>
      <w:r w:rsidR="00452315" w:rsidRPr="00ED414A">
        <w:rPr>
          <w:sz w:val="22"/>
          <w:szCs w:val="22"/>
          <w:lang w:val="fr-CA"/>
        </w:rPr>
        <w:t xml:space="preserve">Le Secrétariat exécutif au développement intégré de l’Organisation des États Américains </w:t>
      </w:r>
      <w:r w:rsidRPr="00ED414A">
        <w:rPr>
          <w:sz w:val="22"/>
          <w:szCs w:val="22"/>
          <w:lang w:val="fr-CA"/>
        </w:rPr>
        <w:t>(</w:t>
      </w:r>
      <w:r w:rsidR="0038288B" w:rsidRPr="00ED414A">
        <w:rPr>
          <w:sz w:val="22"/>
          <w:szCs w:val="22"/>
          <w:lang w:val="fr-CA"/>
        </w:rPr>
        <w:t>O</w:t>
      </w:r>
      <w:r w:rsidR="00452315" w:rsidRPr="00ED414A">
        <w:rPr>
          <w:sz w:val="22"/>
          <w:szCs w:val="22"/>
          <w:lang w:val="fr-CA"/>
        </w:rPr>
        <w:t>EA</w:t>
      </w:r>
      <w:r w:rsidR="0038288B" w:rsidRPr="00ED414A">
        <w:rPr>
          <w:sz w:val="22"/>
          <w:szCs w:val="22"/>
          <w:lang w:val="fr-CA"/>
        </w:rPr>
        <w:t>/SEDI</w:t>
      </w:r>
      <w:r w:rsidRPr="00ED414A">
        <w:rPr>
          <w:sz w:val="22"/>
          <w:szCs w:val="22"/>
          <w:lang w:val="fr-CA"/>
        </w:rPr>
        <w:t>)</w:t>
      </w:r>
      <w:r w:rsidR="00452315" w:rsidRPr="00ED414A">
        <w:rPr>
          <w:sz w:val="22"/>
          <w:szCs w:val="22"/>
          <w:lang w:val="fr-CA"/>
        </w:rPr>
        <w:t xml:space="preserve"> a élaboré des partenariats concrets </w:t>
      </w:r>
      <w:r w:rsidR="00221544" w:rsidRPr="00ED414A">
        <w:rPr>
          <w:sz w:val="22"/>
          <w:szCs w:val="22"/>
          <w:lang w:val="fr-CA"/>
        </w:rPr>
        <w:t>pour accroitre notre portée au sein des États membres. Nos partenaires sont variés et offrent une vaste gamme de services de soutien, allant d’une assistance technique directe au mentorat, au renforcement de la formation et des capacités ainsi qu’à l’accès à des outils et des services. Au nombre de ces partenaires, on compte le secteur privé, des université</w:t>
      </w:r>
      <w:r w:rsidR="0029642E" w:rsidRPr="00ED414A">
        <w:rPr>
          <w:sz w:val="22"/>
          <w:szCs w:val="22"/>
          <w:lang w:val="fr-CA"/>
        </w:rPr>
        <w:t>s</w:t>
      </w:r>
      <w:r w:rsidR="00221544" w:rsidRPr="00ED414A">
        <w:rPr>
          <w:sz w:val="22"/>
          <w:szCs w:val="22"/>
          <w:lang w:val="fr-CA"/>
        </w:rPr>
        <w:t xml:space="preserve">, des banques de développement, des centres d’études et de recherches, des fondations ainsi que d’autres acteurs. </w:t>
      </w:r>
      <w:r w:rsidR="0038288B" w:rsidRPr="00ED414A">
        <w:rPr>
          <w:sz w:val="22"/>
          <w:szCs w:val="22"/>
          <w:lang w:val="fr-CA"/>
        </w:rPr>
        <w:t xml:space="preserve"> </w:t>
      </w:r>
    </w:p>
    <w:p w14:paraId="3723692B" w14:textId="7FD5E1A3" w:rsidR="0038288B" w:rsidRPr="00ED414A" w:rsidRDefault="0038288B" w:rsidP="00ED414A">
      <w:pPr>
        <w:jc w:val="both"/>
        <w:rPr>
          <w:sz w:val="22"/>
          <w:szCs w:val="22"/>
          <w:lang w:val="fr-CA"/>
        </w:rPr>
      </w:pPr>
    </w:p>
    <w:p w14:paraId="2E9CBBC2" w14:textId="525FB5BE" w:rsidR="00B76CC5" w:rsidRPr="00ED414A" w:rsidRDefault="00221544" w:rsidP="00ED414A">
      <w:pPr>
        <w:ind w:left="-15" w:right="-13" w:firstLine="735"/>
        <w:jc w:val="both"/>
        <w:rPr>
          <w:sz w:val="22"/>
          <w:szCs w:val="22"/>
          <w:lang w:val="fr-CA"/>
        </w:rPr>
      </w:pPr>
      <w:r w:rsidRPr="00ED414A">
        <w:rPr>
          <w:sz w:val="22"/>
          <w:szCs w:val="22"/>
          <w:lang w:val="fr-CA"/>
        </w:rPr>
        <w:t>Étant donné que le temps est limité, je ne soulignerai que quelques-uns de nos partenaires à la réunion d’aujourd’</w:t>
      </w:r>
      <w:r w:rsidR="0029642E" w:rsidRPr="00ED414A">
        <w:rPr>
          <w:sz w:val="22"/>
          <w:szCs w:val="22"/>
          <w:lang w:val="fr-CA"/>
        </w:rPr>
        <w:t>hui, ainsi que quelques renseignements sur l’incidence que nous avons, avec nos partenaires, dans notre région. En ce moment même, nous continuons de construire des partenariats et je suis encouragée par le potentiel d’expansion future de notre groupe de partenaires. Suite à de récentes discussions avec de nombreux acteurs, je peux confirmer que les programmes s’alignent. Des fonctionnaires, la communauté internationale, des gens d’affaires, des institutions et des compagnies sont tous prêts à collaborer et à travailler de concert – le potentiel de croissance et d’expansion de notre portée</w:t>
      </w:r>
      <w:r w:rsidR="00255B74" w:rsidRPr="00ED414A">
        <w:rPr>
          <w:sz w:val="22"/>
          <w:szCs w:val="22"/>
          <w:lang w:val="fr-CA"/>
        </w:rPr>
        <w:t xml:space="preserve"> par le truchement de partenariats croit.</w:t>
      </w:r>
      <w:r w:rsidRPr="00ED414A">
        <w:rPr>
          <w:sz w:val="22"/>
          <w:szCs w:val="22"/>
          <w:lang w:val="fr-CA"/>
        </w:rPr>
        <w:t xml:space="preserve"> </w:t>
      </w:r>
    </w:p>
    <w:p w14:paraId="33E68DFA" w14:textId="77777777" w:rsidR="00B76CC5" w:rsidRPr="00ED414A" w:rsidRDefault="00B76CC5" w:rsidP="00ED414A">
      <w:pPr>
        <w:ind w:left="-15" w:right="-13"/>
        <w:jc w:val="both"/>
        <w:rPr>
          <w:sz w:val="22"/>
          <w:szCs w:val="22"/>
          <w:lang w:val="fr-CA"/>
        </w:rPr>
      </w:pPr>
    </w:p>
    <w:p w14:paraId="5407581A" w14:textId="032E8E98" w:rsidR="0038288B" w:rsidRPr="00ED414A" w:rsidRDefault="00255B74" w:rsidP="00ED414A">
      <w:pPr>
        <w:ind w:left="-15" w:right="-13"/>
        <w:jc w:val="both"/>
        <w:rPr>
          <w:sz w:val="22"/>
          <w:szCs w:val="22"/>
          <w:lang w:val="fr-CA"/>
        </w:rPr>
      </w:pPr>
      <w:r w:rsidRPr="00ED414A">
        <w:rPr>
          <w:b/>
          <w:sz w:val="22"/>
          <w:szCs w:val="22"/>
          <w:lang w:val="fr-CA"/>
        </w:rPr>
        <w:t>DÉPARTEMENT DU DÉVELOPPEMENT ÉCONOMIQUE (DDE)</w:t>
      </w:r>
    </w:p>
    <w:p w14:paraId="38CBB08B" w14:textId="667F75BE" w:rsidR="0038288B" w:rsidRPr="00ED414A" w:rsidRDefault="0038288B" w:rsidP="00ED414A">
      <w:pPr>
        <w:jc w:val="both"/>
        <w:rPr>
          <w:sz w:val="22"/>
          <w:szCs w:val="22"/>
          <w:lang w:val="fr-CA"/>
        </w:rPr>
      </w:pPr>
    </w:p>
    <w:p w14:paraId="794088D4" w14:textId="0A31A6D3" w:rsidR="0038288B" w:rsidRPr="00ED414A" w:rsidRDefault="0038288B" w:rsidP="00ED414A">
      <w:pPr>
        <w:ind w:left="-15" w:right="-13" w:firstLine="735"/>
        <w:jc w:val="both"/>
        <w:rPr>
          <w:sz w:val="22"/>
          <w:szCs w:val="22"/>
          <w:lang w:val="fr-CA"/>
        </w:rPr>
      </w:pPr>
      <w:r w:rsidRPr="00ED414A">
        <w:rPr>
          <w:rFonts w:eastAsia="Calibri"/>
          <w:b/>
          <w:sz w:val="22"/>
          <w:szCs w:val="22"/>
          <w:lang w:val="fr-CA"/>
        </w:rPr>
        <w:t>M</w:t>
      </w:r>
      <w:r w:rsidR="00255B74" w:rsidRPr="00ED414A">
        <w:rPr>
          <w:rFonts w:eastAsia="Calibri"/>
          <w:b/>
          <w:sz w:val="22"/>
          <w:szCs w:val="22"/>
          <w:lang w:val="fr-CA"/>
        </w:rPr>
        <w:t>PME </w:t>
      </w:r>
      <w:r w:rsidRPr="00ED414A">
        <w:rPr>
          <w:rFonts w:eastAsia="Calibri"/>
          <w:b/>
          <w:sz w:val="22"/>
          <w:szCs w:val="22"/>
          <w:lang w:val="fr-CA"/>
        </w:rPr>
        <w:t xml:space="preserve">: </w:t>
      </w:r>
      <w:r w:rsidR="00255B74" w:rsidRPr="00ED414A">
        <w:rPr>
          <w:sz w:val="22"/>
          <w:szCs w:val="22"/>
          <w:lang w:val="fr-CA"/>
        </w:rPr>
        <w:t>Il est difficile de surestimer l’importance de micro-, petites et moyennes entreprises (MPME) plus fortes, plus productives, plus compétitives et plus numérisées dans la reprise économique et sociale de notre région.</w:t>
      </w:r>
      <w:r w:rsidRPr="00ED414A">
        <w:rPr>
          <w:sz w:val="22"/>
          <w:szCs w:val="22"/>
          <w:lang w:val="fr-CA"/>
        </w:rPr>
        <w:t xml:space="preserve"> </w:t>
      </w:r>
    </w:p>
    <w:p w14:paraId="3BCE2008" w14:textId="77777777" w:rsidR="0038288B" w:rsidRPr="00ED414A" w:rsidRDefault="0038288B" w:rsidP="00ED414A">
      <w:pPr>
        <w:jc w:val="both"/>
        <w:rPr>
          <w:sz w:val="22"/>
          <w:szCs w:val="22"/>
          <w:lang w:val="fr-CA"/>
        </w:rPr>
      </w:pPr>
      <w:r w:rsidRPr="00ED414A">
        <w:rPr>
          <w:sz w:val="22"/>
          <w:szCs w:val="22"/>
          <w:lang w:val="fr-CA"/>
        </w:rPr>
        <w:t xml:space="preserve"> </w:t>
      </w:r>
    </w:p>
    <w:p w14:paraId="6DAFA5D9" w14:textId="76782704" w:rsidR="0038288B" w:rsidRPr="00ED414A" w:rsidRDefault="00255B74" w:rsidP="00ED414A">
      <w:pPr>
        <w:numPr>
          <w:ilvl w:val="0"/>
          <w:numId w:val="22"/>
        </w:numPr>
        <w:ind w:left="1440" w:right="-13" w:hanging="720"/>
        <w:jc w:val="both"/>
        <w:rPr>
          <w:sz w:val="22"/>
          <w:szCs w:val="22"/>
          <w:lang w:val="fr-CA"/>
        </w:rPr>
      </w:pPr>
      <w:r w:rsidRPr="00ED414A">
        <w:rPr>
          <w:sz w:val="22"/>
          <w:szCs w:val="22"/>
          <w:lang w:val="fr-CA"/>
        </w:rPr>
        <w:t>Notre partenariat de longue date</w:t>
      </w:r>
      <w:r w:rsidR="001759A0" w:rsidRPr="00ED414A">
        <w:rPr>
          <w:sz w:val="22"/>
          <w:szCs w:val="22"/>
          <w:lang w:val="fr-CA"/>
        </w:rPr>
        <w:t xml:space="preserve"> avec la</w:t>
      </w:r>
      <w:r w:rsidR="0038288B" w:rsidRPr="00ED414A">
        <w:rPr>
          <w:sz w:val="22"/>
          <w:szCs w:val="22"/>
          <w:lang w:val="fr-CA"/>
        </w:rPr>
        <w:t xml:space="preserve"> </w:t>
      </w:r>
      <w:r w:rsidR="00B46E47">
        <w:rPr>
          <w:sz w:val="22"/>
          <w:szCs w:val="22"/>
          <w:lang w:val="fr-CA"/>
        </w:rPr>
        <w:t>M</w:t>
      </w:r>
      <w:r w:rsidR="001759A0" w:rsidRPr="00ED414A">
        <w:rPr>
          <w:rFonts w:eastAsia="Calibri"/>
          <w:b/>
          <w:sz w:val="22"/>
          <w:szCs w:val="22"/>
          <w:lang w:val="fr-CA"/>
        </w:rPr>
        <w:t>ission permanente des États-Unis près l’OEA</w:t>
      </w:r>
      <w:r w:rsidR="001759A0" w:rsidRPr="00ED414A">
        <w:rPr>
          <w:sz w:val="22"/>
          <w:szCs w:val="22"/>
          <w:lang w:val="fr-CA"/>
        </w:rPr>
        <w:t xml:space="preserve"> a appuyé et financé la mise en œuvre du Programme SBDC (Centres de développement des petites compagnies) des Caraïbes depuis 2012, permettant l’apport à des clients d’assistance technique de qualité normalisée par des institutions de soutien aux MPME de façon à permettre des résultats qui peuvent être mesurés et une incidence économique. En 2020, plus de 5 700 petites entreprises ont été desservies, 977 nouvelles entreprises ont été fondées et plus de 12 000 emplois ont été appuyés </w:t>
      </w:r>
      <w:r w:rsidR="00C1280F" w:rsidRPr="00ED414A">
        <w:rPr>
          <w:sz w:val="22"/>
          <w:szCs w:val="22"/>
          <w:lang w:val="fr-CA"/>
        </w:rPr>
        <w:t xml:space="preserve">dans 6 pays de la CARICOM. Les revenus de ventes se sont élevés à plus de </w:t>
      </w:r>
      <w:r w:rsidR="00B46E47">
        <w:rPr>
          <w:sz w:val="22"/>
          <w:szCs w:val="22"/>
          <w:lang w:val="fr-CA"/>
        </w:rPr>
        <w:t>$</w:t>
      </w:r>
      <w:r w:rsidR="00C1280F" w:rsidRPr="00ED414A">
        <w:rPr>
          <w:sz w:val="22"/>
          <w:szCs w:val="22"/>
          <w:lang w:val="fr-CA"/>
        </w:rPr>
        <w:t xml:space="preserve">67 millions et les profits créés ont dépassé </w:t>
      </w:r>
      <w:r w:rsidR="00B46E47">
        <w:rPr>
          <w:sz w:val="22"/>
          <w:szCs w:val="22"/>
          <w:lang w:val="fr-CA"/>
        </w:rPr>
        <w:t>$</w:t>
      </w:r>
      <w:r w:rsidR="00C1280F" w:rsidRPr="00ED414A">
        <w:rPr>
          <w:sz w:val="22"/>
          <w:szCs w:val="22"/>
          <w:lang w:val="fr-CA"/>
        </w:rPr>
        <w:t>7 millions. Au cours des dernières années, d’importants efforts ont été déployés pour coordonner avec d’autres donateurs et partenaires pour optimiser le financement. Des partenariats avec l’</w:t>
      </w:r>
      <w:r w:rsidR="00C1280F" w:rsidRPr="00ED414A">
        <w:rPr>
          <w:b/>
          <w:sz w:val="22"/>
          <w:szCs w:val="22"/>
          <w:lang w:val="fr-CA"/>
        </w:rPr>
        <w:t xml:space="preserve">Agence caribéenne de développement des exportations </w:t>
      </w:r>
      <w:r w:rsidR="00C1280F" w:rsidRPr="00ED414A">
        <w:rPr>
          <w:sz w:val="22"/>
          <w:szCs w:val="22"/>
          <w:lang w:val="fr-CA"/>
        </w:rPr>
        <w:t xml:space="preserve">ainsi qu’avec le </w:t>
      </w:r>
      <w:r w:rsidR="00C1280F" w:rsidRPr="00ED414A">
        <w:rPr>
          <w:b/>
          <w:sz w:val="22"/>
          <w:szCs w:val="22"/>
          <w:lang w:val="fr-CA"/>
        </w:rPr>
        <w:t>Programme caribéen de compétition</w:t>
      </w:r>
      <w:r w:rsidR="00C1280F" w:rsidRPr="00ED414A">
        <w:rPr>
          <w:sz w:val="22"/>
          <w:szCs w:val="22"/>
          <w:lang w:val="fr-CA"/>
        </w:rPr>
        <w:t xml:space="preserve"> financé par </w:t>
      </w:r>
      <w:r w:rsidR="006D49A4" w:rsidRPr="00ED414A">
        <w:rPr>
          <w:sz w:val="22"/>
          <w:szCs w:val="22"/>
          <w:lang w:val="fr-CA"/>
        </w:rPr>
        <w:t>l</w:t>
      </w:r>
      <w:r w:rsidR="00C1280F" w:rsidRPr="00ED414A">
        <w:rPr>
          <w:sz w:val="22"/>
          <w:szCs w:val="22"/>
          <w:lang w:val="fr-CA"/>
        </w:rPr>
        <w:t xml:space="preserve">a BID dans le domaine du renforcement des capacités, par exemple, ont apporté un soutien et des ressources essentiels à des programmes existants, et ce faisant, ont </w:t>
      </w:r>
      <w:r w:rsidR="006D49A4" w:rsidRPr="00ED414A">
        <w:rPr>
          <w:sz w:val="22"/>
          <w:szCs w:val="22"/>
          <w:lang w:val="fr-CA"/>
        </w:rPr>
        <w:t>accru leurs chances en matière de durabilité.</w:t>
      </w:r>
      <w:r w:rsidR="001759A0" w:rsidRPr="00ED414A">
        <w:rPr>
          <w:sz w:val="22"/>
          <w:szCs w:val="22"/>
          <w:lang w:val="fr-CA"/>
        </w:rPr>
        <w:t xml:space="preserve"> </w:t>
      </w:r>
      <w:r w:rsidR="0038288B" w:rsidRPr="00ED414A">
        <w:rPr>
          <w:sz w:val="22"/>
          <w:szCs w:val="22"/>
          <w:lang w:val="fr-CA"/>
        </w:rPr>
        <w:t xml:space="preserve"> </w:t>
      </w:r>
    </w:p>
    <w:p w14:paraId="067A78F6" w14:textId="3FF8386B" w:rsidR="0038288B" w:rsidRPr="00ED414A" w:rsidRDefault="0038288B" w:rsidP="00ED414A">
      <w:pPr>
        <w:ind w:left="360"/>
        <w:jc w:val="both"/>
        <w:rPr>
          <w:sz w:val="22"/>
          <w:szCs w:val="22"/>
          <w:lang w:val="fr-CA"/>
        </w:rPr>
      </w:pPr>
    </w:p>
    <w:p w14:paraId="237F240D" w14:textId="3AF13F54" w:rsidR="0038288B" w:rsidRPr="00ED414A" w:rsidRDefault="006D49A4" w:rsidP="00ED414A">
      <w:pPr>
        <w:numPr>
          <w:ilvl w:val="0"/>
          <w:numId w:val="22"/>
        </w:numPr>
        <w:ind w:left="1440" w:right="-13" w:hanging="720"/>
        <w:jc w:val="both"/>
        <w:rPr>
          <w:sz w:val="22"/>
          <w:szCs w:val="22"/>
          <w:lang w:val="fr-CA"/>
        </w:rPr>
      </w:pPr>
      <w:r w:rsidRPr="00ED414A">
        <w:rPr>
          <w:sz w:val="22"/>
          <w:szCs w:val="22"/>
          <w:lang w:val="fr-CA"/>
        </w:rPr>
        <w:t xml:space="preserve">Des programmes virtuels de formation personnalisés à l’intention des MPME pourront être suivis au début de 2021 grâce à un partenariat avec </w:t>
      </w:r>
      <w:r w:rsidR="0038288B" w:rsidRPr="00ED414A">
        <w:rPr>
          <w:rFonts w:eastAsia="Calibri"/>
          <w:b/>
          <w:sz w:val="22"/>
          <w:szCs w:val="22"/>
          <w:lang w:val="fr-CA"/>
        </w:rPr>
        <w:t>What</w:t>
      </w:r>
      <w:r w:rsidRPr="00ED414A">
        <w:rPr>
          <w:rFonts w:eastAsia="Calibri"/>
          <w:b/>
          <w:sz w:val="22"/>
          <w:szCs w:val="22"/>
          <w:lang w:val="fr-CA"/>
        </w:rPr>
        <w:t>sApp</w:t>
      </w:r>
      <w:r w:rsidRPr="00ED414A">
        <w:rPr>
          <w:sz w:val="22"/>
          <w:szCs w:val="22"/>
          <w:lang w:val="fr-CA"/>
        </w:rPr>
        <w:t xml:space="preserve"> et à une</w:t>
      </w:r>
      <w:r w:rsidR="0038288B" w:rsidRPr="00ED414A">
        <w:rPr>
          <w:sz w:val="22"/>
          <w:szCs w:val="22"/>
          <w:lang w:val="fr-CA"/>
        </w:rPr>
        <w:t xml:space="preserve"> collaboration</w:t>
      </w:r>
      <w:r w:rsidRPr="00ED414A">
        <w:rPr>
          <w:sz w:val="22"/>
          <w:szCs w:val="22"/>
          <w:lang w:val="fr-CA"/>
        </w:rPr>
        <w:t xml:space="preserve"> avec</w:t>
      </w:r>
      <w:r w:rsidR="0038288B" w:rsidRPr="00ED414A">
        <w:rPr>
          <w:sz w:val="22"/>
          <w:szCs w:val="22"/>
          <w:lang w:val="fr-CA"/>
        </w:rPr>
        <w:t xml:space="preserve"> </w:t>
      </w:r>
      <w:r w:rsidR="0038288B" w:rsidRPr="00ED414A">
        <w:rPr>
          <w:rFonts w:eastAsia="Calibri"/>
          <w:b/>
          <w:sz w:val="22"/>
          <w:szCs w:val="22"/>
          <w:lang w:val="fr-CA"/>
        </w:rPr>
        <w:t>eBay</w:t>
      </w:r>
      <w:r w:rsidRPr="00ED414A">
        <w:rPr>
          <w:sz w:val="22"/>
          <w:szCs w:val="22"/>
          <w:lang w:val="fr-CA"/>
        </w:rPr>
        <w:t xml:space="preserve"> et</w:t>
      </w:r>
      <w:r w:rsidR="0038288B" w:rsidRPr="00ED414A">
        <w:rPr>
          <w:sz w:val="22"/>
          <w:szCs w:val="22"/>
          <w:lang w:val="fr-CA"/>
        </w:rPr>
        <w:t xml:space="preserve"> </w:t>
      </w:r>
      <w:r w:rsidR="0038288B" w:rsidRPr="00ED414A">
        <w:rPr>
          <w:rFonts w:eastAsia="Calibri"/>
          <w:b/>
          <w:sz w:val="22"/>
          <w:szCs w:val="22"/>
          <w:lang w:val="fr-CA"/>
        </w:rPr>
        <w:t>Google</w:t>
      </w:r>
      <w:r w:rsidR="0038288B" w:rsidRPr="00ED414A">
        <w:rPr>
          <w:sz w:val="22"/>
          <w:szCs w:val="22"/>
          <w:lang w:val="fr-CA"/>
        </w:rPr>
        <w:t xml:space="preserve">. </w:t>
      </w:r>
      <w:r w:rsidRPr="00ED414A">
        <w:rPr>
          <w:sz w:val="22"/>
          <w:szCs w:val="22"/>
          <w:lang w:val="fr-CA"/>
        </w:rPr>
        <w:t>La formation</w:t>
      </w:r>
      <w:r w:rsidR="00B33078" w:rsidRPr="00ED414A">
        <w:rPr>
          <w:sz w:val="22"/>
          <w:szCs w:val="22"/>
          <w:lang w:val="fr-CA"/>
        </w:rPr>
        <w:t xml:space="preserve"> élargira l’empreinte numérique des MPME, appuiera leurs efforts d’internationalisation et augmentera leurs possibilités de faire du commerce. Pour assurer la durabilité, ces partenariats comprennent un programme de formation des formateurs à l’intention des autorités responsables d’appuyer le secteur des MPME.</w:t>
      </w:r>
      <w:r w:rsidRPr="00ED414A">
        <w:rPr>
          <w:sz w:val="22"/>
          <w:szCs w:val="22"/>
          <w:lang w:val="fr-CA"/>
        </w:rPr>
        <w:t xml:space="preserve"> </w:t>
      </w:r>
    </w:p>
    <w:p w14:paraId="5F96C06A" w14:textId="508C55A5" w:rsidR="0038288B" w:rsidRPr="00ED414A" w:rsidRDefault="0038288B" w:rsidP="00ED414A">
      <w:pPr>
        <w:jc w:val="both"/>
        <w:rPr>
          <w:sz w:val="22"/>
          <w:szCs w:val="22"/>
          <w:lang w:val="fr-CA"/>
        </w:rPr>
      </w:pPr>
    </w:p>
    <w:p w14:paraId="35609D77" w14:textId="4D1F43E7" w:rsidR="0038288B" w:rsidRPr="00ED414A" w:rsidRDefault="00B76CC5" w:rsidP="00ED414A">
      <w:pPr>
        <w:ind w:left="720" w:hanging="735"/>
        <w:jc w:val="both"/>
        <w:rPr>
          <w:rFonts w:eastAsia="Calibri"/>
          <w:b/>
          <w:sz w:val="22"/>
          <w:szCs w:val="22"/>
          <w:lang w:val="fr-CA"/>
        </w:rPr>
      </w:pPr>
      <w:r w:rsidRPr="00ED414A">
        <w:rPr>
          <w:rFonts w:eastAsia="Calibri"/>
          <w:b/>
          <w:sz w:val="22"/>
          <w:szCs w:val="22"/>
          <w:lang w:val="fr-CA"/>
        </w:rPr>
        <w:tab/>
      </w:r>
      <w:r w:rsidR="0038288B" w:rsidRPr="00ED414A">
        <w:rPr>
          <w:rFonts w:eastAsia="Calibri"/>
          <w:b/>
          <w:sz w:val="22"/>
          <w:szCs w:val="22"/>
          <w:lang w:val="fr-CA"/>
        </w:rPr>
        <w:t>Comp</w:t>
      </w:r>
      <w:r w:rsidR="00B33078" w:rsidRPr="00ED414A">
        <w:rPr>
          <w:rFonts w:eastAsia="Calibri"/>
          <w:b/>
          <w:sz w:val="22"/>
          <w:szCs w:val="22"/>
          <w:lang w:val="fr-CA"/>
        </w:rPr>
        <w:t>étitivité, productivité et innovation </w:t>
      </w:r>
      <w:r w:rsidR="0038288B" w:rsidRPr="00ED414A">
        <w:rPr>
          <w:rFonts w:eastAsia="Calibri"/>
          <w:b/>
          <w:sz w:val="22"/>
          <w:szCs w:val="22"/>
          <w:lang w:val="fr-CA"/>
        </w:rPr>
        <w:t xml:space="preserve">: </w:t>
      </w:r>
    </w:p>
    <w:p w14:paraId="19165A23" w14:textId="77777777" w:rsidR="00B76CC5" w:rsidRPr="00ED414A" w:rsidRDefault="00B76CC5" w:rsidP="00ED414A">
      <w:pPr>
        <w:ind w:left="-5" w:hanging="10"/>
        <w:jc w:val="both"/>
        <w:rPr>
          <w:sz w:val="22"/>
          <w:szCs w:val="22"/>
          <w:lang w:val="fr-CA"/>
        </w:rPr>
      </w:pPr>
    </w:p>
    <w:p w14:paraId="5685BAD7" w14:textId="13B11FAA" w:rsidR="0038288B" w:rsidRPr="00ED414A" w:rsidRDefault="00B33078" w:rsidP="00ED414A">
      <w:pPr>
        <w:numPr>
          <w:ilvl w:val="0"/>
          <w:numId w:val="22"/>
        </w:numPr>
        <w:ind w:left="1440" w:right="-13" w:hanging="720"/>
        <w:jc w:val="both"/>
        <w:rPr>
          <w:sz w:val="22"/>
          <w:szCs w:val="22"/>
          <w:lang w:val="fr-CA"/>
        </w:rPr>
      </w:pPr>
      <w:r w:rsidRPr="00ED414A">
        <w:rPr>
          <w:sz w:val="22"/>
          <w:szCs w:val="22"/>
          <w:lang w:val="fr-CA"/>
        </w:rPr>
        <w:t>Notre programme</w:t>
      </w:r>
      <w:r w:rsidR="00910F9E" w:rsidRPr="00ED414A">
        <w:rPr>
          <w:sz w:val="22"/>
          <w:szCs w:val="22"/>
          <w:lang w:val="fr-CA"/>
        </w:rPr>
        <w:t xml:space="preserve"> Échange pour la compétitivité des Amériques (ECA), qui est devenu le réseau le plus important en matière de développement économique, d’innovation et d’entreprenariat dans la région, ne serait pas possible sans le soutien inébranlable du </w:t>
      </w:r>
      <w:r w:rsidR="00910F9E" w:rsidRPr="00ED414A">
        <w:rPr>
          <w:b/>
          <w:sz w:val="22"/>
          <w:szCs w:val="22"/>
          <w:lang w:val="fr-CA"/>
        </w:rPr>
        <w:t>Département du commerce des États-Unis</w:t>
      </w:r>
      <w:r w:rsidR="00910F9E" w:rsidRPr="00ED414A">
        <w:rPr>
          <w:sz w:val="22"/>
          <w:szCs w:val="22"/>
          <w:lang w:val="fr-CA"/>
        </w:rPr>
        <w:t xml:space="preserve"> et de la </w:t>
      </w:r>
      <w:r w:rsidR="00B46E47">
        <w:rPr>
          <w:sz w:val="22"/>
          <w:szCs w:val="22"/>
          <w:lang w:val="fr-CA"/>
        </w:rPr>
        <w:t>M</w:t>
      </w:r>
      <w:r w:rsidR="00910F9E" w:rsidRPr="00ED414A">
        <w:rPr>
          <w:b/>
          <w:sz w:val="22"/>
          <w:szCs w:val="22"/>
          <w:lang w:val="fr-CA"/>
        </w:rPr>
        <w:t>ission permanente des États-Unis près l’OEA</w:t>
      </w:r>
      <w:r w:rsidR="00910F9E" w:rsidRPr="00ED414A">
        <w:rPr>
          <w:sz w:val="22"/>
          <w:szCs w:val="22"/>
          <w:lang w:val="fr-CA"/>
        </w:rPr>
        <w:t xml:space="preserve">. Le programme ECA porte principalement </w:t>
      </w:r>
      <w:r w:rsidR="009A2FA7" w:rsidRPr="00ED414A">
        <w:rPr>
          <w:sz w:val="22"/>
          <w:szCs w:val="22"/>
          <w:lang w:val="fr-CA"/>
        </w:rPr>
        <w:t xml:space="preserve">sur le partage de bonnes pratiques et de débouchés afin d’encourager la formation de partenariats fonctionnels entre décideurs de haut niveau des quatre coins des Amériques et centres d’innovation de premier plan, centres de recherche et de technologie de pointe, </w:t>
      </w:r>
      <w:r w:rsidR="00A86D40" w:rsidRPr="00ED414A">
        <w:rPr>
          <w:sz w:val="22"/>
          <w:szCs w:val="22"/>
          <w:lang w:val="fr-CA"/>
        </w:rPr>
        <w:t xml:space="preserve">compagnies d’avant-garde et principales institutions de niveau universitaire visitées à chaque édition du programme ECA. Douze éditions ont été tenues avec succès depuis 2014, mettant en vedette 57 régions et plus de 900 projets, profitant à plus de 36 500 entrepreneurs et bénéficiaires </w:t>
      </w:r>
      <w:r w:rsidR="003F2522" w:rsidRPr="00ED414A">
        <w:rPr>
          <w:sz w:val="22"/>
          <w:szCs w:val="22"/>
          <w:lang w:val="fr-CA"/>
        </w:rPr>
        <w:t>de programmes accélérateurs, et créant plus de 1 000 emplois.</w:t>
      </w:r>
      <w:r w:rsidR="0038288B" w:rsidRPr="00ED414A">
        <w:rPr>
          <w:sz w:val="22"/>
          <w:szCs w:val="22"/>
          <w:lang w:val="fr-CA"/>
        </w:rPr>
        <w:t xml:space="preserve"> </w:t>
      </w:r>
    </w:p>
    <w:p w14:paraId="635DB76D" w14:textId="77777777" w:rsidR="0038288B" w:rsidRPr="00ED414A" w:rsidRDefault="0038288B" w:rsidP="00ED414A">
      <w:pPr>
        <w:jc w:val="both"/>
        <w:rPr>
          <w:sz w:val="22"/>
          <w:szCs w:val="22"/>
          <w:lang w:val="fr-CA"/>
        </w:rPr>
      </w:pPr>
      <w:r w:rsidRPr="00ED414A">
        <w:rPr>
          <w:sz w:val="22"/>
          <w:szCs w:val="22"/>
          <w:lang w:val="fr-CA"/>
        </w:rPr>
        <w:t xml:space="preserve"> </w:t>
      </w:r>
    </w:p>
    <w:p w14:paraId="1D52AAF7" w14:textId="5283A133" w:rsidR="0038288B" w:rsidRPr="00ED414A" w:rsidRDefault="0038288B" w:rsidP="00ED414A">
      <w:pPr>
        <w:numPr>
          <w:ilvl w:val="0"/>
          <w:numId w:val="22"/>
        </w:numPr>
        <w:ind w:left="1440" w:right="-13" w:hanging="720"/>
        <w:jc w:val="both"/>
        <w:rPr>
          <w:sz w:val="22"/>
          <w:szCs w:val="22"/>
          <w:lang w:val="fr-CA"/>
        </w:rPr>
      </w:pPr>
      <w:r w:rsidRPr="00ED414A">
        <w:rPr>
          <w:rFonts w:eastAsia="Calibri"/>
          <w:b/>
          <w:sz w:val="22"/>
          <w:szCs w:val="22"/>
          <w:lang w:val="fr-CA"/>
        </w:rPr>
        <w:t>Walmart</w:t>
      </w:r>
      <w:r w:rsidR="003F2522" w:rsidRPr="00ED414A">
        <w:rPr>
          <w:rFonts w:eastAsia="Calibri"/>
          <w:sz w:val="22"/>
          <w:szCs w:val="22"/>
          <w:lang w:val="fr-CA"/>
        </w:rPr>
        <w:t xml:space="preserve"> et </w:t>
      </w:r>
      <w:r w:rsidRPr="00ED414A">
        <w:rPr>
          <w:rFonts w:eastAsia="Calibri"/>
          <w:b/>
          <w:sz w:val="22"/>
          <w:szCs w:val="22"/>
          <w:lang w:val="fr-CA"/>
        </w:rPr>
        <w:t>CONAMER (</w:t>
      </w:r>
      <w:r w:rsidR="003F2522" w:rsidRPr="00ED414A">
        <w:rPr>
          <w:rFonts w:eastAsia="Calibri"/>
          <w:b/>
          <w:sz w:val="22"/>
          <w:szCs w:val="22"/>
          <w:lang w:val="fr-CA"/>
        </w:rPr>
        <w:t>Commission nationale pour l’amélioration des règlements</w:t>
      </w:r>
      <w:r w:rsidRPr="00ED414A">
        <w:rPr>
          <w:rFonts w:eastAsia="Calibri"/>
          <w:b/>
          <w:sz w:val="22"/>
          <w:szCs w:val="22"/>
          <w:lang w:val="fr-CA"/>
        </w:rPr>
        <w:t xml:space="preserve">) </w:t>
      </w:r>
      <w:r w:rsidR="003F2522" w:rsidRPr="00ED414A">
        <w:rPr>
          <w:rFonts w:eastAsia="Calibri"/>
          <w:b/>
          <w:sz w:val="22"/>
          <w:szCs w:val="22"/>
          <w:lang w:val="fr-CA"/>
        </w:rPr>
        <w:t>du Mexique</w:t>
      </w:r>
      <w:r w:rsidR="003F2522" w:rsidRPr="00ED414A">
        <w:rPr>
          <w:sz w:val="22"/>
          <w:szCs w:val="22"/>
          <w:lang w:val="fr-CA"/>
        </w:rPr>
        <w:t xml:space="preserve"> ont apporté des ressources techniques et financières et un renforcement des capacités dans le contexte du Groupe d’experts en matière de compétitivité sous-nationale</w:t>
      </w:r>
      <w:r w:rsidRPr="00ED414A">
        <w:rPr>
          <w:sz w:val="22"/>
          <w:szCs w:val="22"/>
          <w:lang w:val="fr-CA"/>
        </w:rPr>
        <w:t xml:space="preserve"> (GTECS)</w:t>
      </w:r>
      <w:r w:rsidR="003F2522" w:rsidRPr="00ED414A">
        <w:rPr>
          <w:sz w:val="22"/>
          <w:szCs w:val="22"/>
          <w:lang w:val="fr-CA"/>
        </w:rPr>
        <w:t xml:space="preserve"> du RIAC afin de promouvoir le partage de bonnes pratiques en matière de réglementation</w:t>
      </w:r>
      <w:r w:rsidR="004B3633" w:rsidRPr="00ED414A">
        <w:rPr>
          <w:sz w:val="22"/>
          <w:szCs w:val="22"/>
          <w:lang w:val="fr-CA"/>
        </w:rPr>
        <w:t xml:space="preserve"> dans le domaine de permis de construction et de lancer un programme pilote interaméricain de certification des permis de construction pour appuyer les pays dans la mise en application d’un processus à guichet unique. Quatre pays ont fait part de leur intérêt à se joindre au programme pilote : le Guatemala, El Salvador, la Colombie et le</w:t>
      </w:r>
      <w:r w:rsidRPr="00ED414A">
        <w:rPr>
          <w:sz w:val="22"/>
          <w:szCs w:val="22"/>
          <w:lang w:val="fr-CA"/>
        </w:rPr>
        <w:t xml:space="preserve"> Honduras.  </w:t>
      </w:r>
    </w:p>
    <w:p w14:paraId="07757B75" w14:textId="0373B553" w:rsidR="0038288B" w:rsidRPr="00ED414A" w:rsidRDefault="0038288B" w:rsidP="00ED414A">
      <w:pPr>
        <w:jc w:val="both"/>
        <w:rPr>
          <w:sz w:val="22"/>
          <w:szCs w:val="22"/>
          <w:lang w:val="fr-CA"/>
        </w:rPr>
      </w:pPr>
    </w:p>
    <w:p w14:paraId="410DF40C" w14:textId="354EDF9D" w:rsidR="0038288B" w:rsidRPr="00ED414A" w:rsidRDefault="00B76CC5" w:rsidP="00ED414A">
      <w:pPr>
        <w:ind w:left="720" w:hanging="10"/>
        <w:jc w:val="both"/>
        <w:rPr>
          <w:b/>
          <w:sz w:val="22"/>
          <w:szCs w:val="22"/>
          <w:lang w:val="fr-CA"/>
        </w:rPr>
      </w:pPr>
      <w:r w:rsidRPr="00ED414A">
        <w:rPr>
          <w:rFonts w:eastAsia="Calibri"/>
          <w:b/>
          <w:sz w:val="22"/>
          <w:szCs w:val="22"/>
          <w:lang w:val="fr-CA"/>
        </w:rPr>
        <w:t>Science</w:t>
      </w:r>
      <w:r w:rsidR="004B3633" w:rsidRPr="00ED414A">
        <w:rPr>
          <w:rFonts w:eastAsia="Calibri"/>
          <w:b/>
          <w:sz w:val="22"/>
          <w:szCs w:val="22"/>
          <w:lang w:val="fr-CA"/>
        </w:rPr>
        <w:t xml:space="preserve"> et technologie </w:t>
      </w:r>
      <w:r w:rsidRPr="00ED414A">
        <w:rPr>
          <w:rFonts w:eastAsia="Calibri"/>
          <w:b/>
          <w:sz w:val="22"/>
          <w:szCs w:val="22"/>
          <w:lang w:val="fr-CA"/>
        </w:rPr>
        <w:t>:</w:t>
      </w:r>
    </w:p>
    <w:p w14:paraId="292EC17E" w14:textId="77777777" w:rsidR="00B76CC5" w:rsidRPr="00ED414A" w:rsidRDefault="00B76CC5" w:rsidP="00ED414A">
      <w:pPr>
        <w:ind w:right="-13"/>
        <w:jc w:val="both"/>
        <w:rPr>
          <w:sz w:val="22"/>
          <w:szCs w:val="22"/>
          <w:lang w:val="fr-CA"/>
        </w:rPr>
      </w:pPr>
    </w:p>
    <w:p w14:paraId="4F584135" w14:textId="191E331C" w:rsidR="0038288B" w:rsidRPr="00ED414A" w:rsidRDefault="004B3633" w:rsidP="00ED414A">
      <w:pPr>
        <w:numPr>
          <w:ilvl w:val="0"/>
          <w:numId w:val="22"/>
        </w:numPr>
        <w:ind w:left="1440" w:right="-13" w:hanging="720"/>
        <w:jc w:val="both"/>
        <w:rPr>
          <w:sz w:val="22"/>
          <w:szCs w:val="22"/>
          <w:lang w:val="fr-CA"/>
        </w:rPr>
      </w:pPr>
      <w:r w:rsidRPr="00ED414A">
        <w:rPr>
          <w:color w:val="333333"/>
          <w:sz w:val="22"/>
          <w:szCs w:val="22"/>
          <w:lang w:val="fr-CA"/>
        </w:rPr>
        <w:t>L</w:t>
      </w:r>
      <w:r w:rsidR="0038288B" w:rsidRPr="00ED414A">
        <w:rPr>
          <w:color w:val="333333"/>
          <w:sz w:val="22"/>
          <w:szCs w:val="22"/>
          <w:lang w:val="fr-CA"/>
        </w:rPr>
        <w:t xml:space="preserve">e </w:t>
      </w:r>
      <w:r w:rsidRPr="00ED414A">
        <w:rPr>
          <w:rFonts w:eastAsia="Calibri"/>
          <w:b/>
          <w:sz w:val="22"/>
          <w:szCs w:val="22"/>
          <w:lang w:val="fr-CA"/>
        </w:rPr>
        <w:t>Conseil n</w:t>
      </w:r>
      <w:r w:rsidR="0038288B" w:rsidRPr="00ED414A">
        <w:rPr>
          <w:rFonts w:eastAsia="Calibri"/>
          <w:b/>
          <w:sz w:val="22"/>
          <w:szCs w:val="22"/>
          <w:lang w:val="fr-CA"/>
        </w:rPr>
        <w:t>ational</w:t>
      </w:r>
      <w:r w:rsidRPr="00ED414A">
        <w:rPr>
          <w:rFonts w:eastAsia="Calibri"/>
          <w:b/>
          <w:sz w:val="22"/>
          <w:szCs w:val="22"/>
          <w:lang w:val="fr-CA"/>
        </w:rPr>
        <w:t xml:space="preserve"> de la science, la technologie et l’innovation technologique</w:t>
      </w:r>
      <w:r w:rsidR="0038288B" w:rsidRPr="00ED414A">
        <w:rPr>
          <w:rFonts w:eastAsia="Calibri"/>
          <w:b/>
          <w:sz w:val="22"/>
          <w:szCs w:val="22"/>
          <w:lang w:val="fr-CA"/>
        </w:rPr>
        <w:t xml:space="preserve"> (CONCYTEC)</w:t>
      </w:r>
      <w:r w:rsidRPr="00ED414A">
        <w:rPr>
          <w:rFonts w:eastAsia="Calibri"/>
          <w:b/>
          <w:sz w:val="22"/>
          <w:szCs w:val="22"/>
          <w:lang w:val="fr-CA"/>
        </w:rPr>
        <w:t xml:space="preserve"> du Pérou</w:t>
      </w:r>
      <w:r w:rsidR="0038288B" w:rsidRPr="00ED414A">
        <w:rPr>
          <w:rFonts w:eastAsia="Calibri"/>
          <w:b/>
          <w:sz w:val="22"/>
          <w:szCs w:val="22"/>
          <w:lang w:val="fr-CA"/>
        </w:rPr>
        <w:t xml:space="preserve"> </w:t>
      </w:r>
      <w:r w:rsidRPr="00ED414A">
        <w:rPr>
          <w:sz w:val="22"/>
          <w:szCs w:val="22"/>
          <w:lang w:val="fr-CA"/>
        </w:rPr>
        <w:t>a aidé à lancer</w:t>
      </w:r>
      <w:r w:rsidR="0038288B" w:rsidRPr="00ED414A">
        <w:rPr>
          <w:sz w:val="22"/>
          <w:szCs w:val="22"/>
          <w:lang w:val="fr-CA"/>
        </w:rPr>
        <w:t xml:space="preserve"> </w:t>
      </w:r>
      <w:r w:rsidR="0038288B" w:rsidRPr="00ED414A">
        <w:rPr>
          <w:rFonts w:eastAsia="Calibri"/>
          <w:sz w:val="22"/>
          <w:szCs w:val="22"/>
          <w:lang w:val="fr-CA"/>
        </w:rPr>
        <w:t xml:space="preserve">Prospecta Americas </w:t>
      </w:r>
      <w:r w:rsidRPr="00ED414A">
        <w:rPr>
          <w:sz w:val="22"/>
          <w:szCs w:val="22"/>
          <w:lang w:val="fr-CA"/>
        </w:rPr>
        <w:t>e</w:t>
      </w:r>
      <w:r w:rsidR="0038288B" w:rsidRPr="00ED414A">
        <w:rPr>
          <w:sz w:val="22"/>
          <w:szCs w:val="22"/>
          <w:lang w:val="fr-CA"/>
        </w:rPr>
        <w:t>n 2019,</w:t>
      </w:r>
      <w:r w:rsidR="00301AF6" w:rsidRPr="00ED414A">
        <w:rPr>
          <w:sz w:val="22"/>
          <w:szCs w:val="22"/>
          <w:lang w:val="fr-CA"/>
        </w:rPr>
        <w:t xml:space="preserve"> qui est une plateforme régionale ayant pour but de cartographier les tendances et les </w:t>
      </w:r>
      <w:r w:rsidR="00302022" w:rsidRPr="00ED414A">
        <w:rPr>
          <w:sz w:val="22"/>
          <w:szCs w:val="22"/>
          <w:lang w:val="fr-CA"/>
        </w:rPr>
        <w:t>développements technologiques dans des secteurs d’une importance capitale pour les Amériques, et de fournir aux États membres de l’OEA des renseignements qui aideront à la formulation de politiques publiques.</w:t>
      </w:r>
      <w:r w:rsidR="0038288B" w:rsidRPr="00ED414A">
        <w:rPr>
          <w:sz w:val="22"/>
          <w:szCs w:val="22"/>
          <w:lang w:val="fr-CA"/>
        </w:rPr>
        <w:t xml:space="preserve"> Prospecta Americas</w:t>
      </w:r>
      <w:r w:rsidR="00302022" w:rsidRPr="00ED414A">
        <w:rPr>
          <w:sz w:val="22"/>
          <w:szCs w:val="22"/>
          <w:lang w:val="fr-CA"/>
        </w:rPr>
        <w:t xml:space="preserve"> poursuit une approche basée sur les partenariats qui amènera l’établissement de 10 Centres d’excellence dans la région dans le but de faciliter, à l’échelle continentale, la recherche, la collaboration et l’appropriation sociale de technologies transformatrices telles que l’intelligence artificielle</w:t>
      </w:r>
      <w:r w:rsidR="00F97CD9" w:rsidRPr="00ED414A">
        <w:rPr>
          <w:sz w:val="22"/>
          <w:szCs w:val="22"/>
          <w:lang w:val="fr-CA"/>
        </w:rPr>
        <w:t xml:space="preserve">, les </w:t>
      </w:r>
      <w:r w:rsidR="000770DC" w:rsidRPr="00ED414A">
        <w:rPr>
          <w:sz w:val="22"/>
          <w:szCs w:val="22"/>
          <w:lang w:val="fr-CA"/>
        </w:rPr>
        <w:t>méga données</w:t>
      </w:r>
      <w:r w:rsidR="00F97CD9" w:rsidRPr="00ED414A">
        <w:rPr>
          <w:sz w:val="22"/>
          <w:szCs w:val="22"/>
          <w:lang w:val="fr-CA"/>
        </w:rPr>
        <w:t>, les chaines de blocs, l’informatique quantique, l’édition génomique et autres. Le Brésil, la Colombie</w:t>
      </w:r>
      <w:r w:rsidR="0038288B" w:rsidRPr="00ED414A">
        <w:rPr>
          <w:sz w:val="22"/>
          <w:szCs w:val="22"/>
          <w:lang w:val="fr-CA"/>
        </w:rPr>
        <w:t>,</w:t>
      </w:r>
      <w:r w:rsidR="00F97CD9" w:rsidRPr="00ED414A">
        <w:rPr>
          <w:sz w:val="22"/>
          <w:szCs w:val="22"/>
          <w:lang w:val="fr-CA"/>
        </w:rPr>
        <w:t xml:space="preserve"> le</w:t>
      </w:r>
      <w:r w:rsidR="0038288B" w:rsidRPr="00ED414A">
        <w:rPr>
          <w:sz w:val="22"/>
          <w:szCs w:val="22"/>
          <w:lang w:val="fr-CA"/>
        </w:rPr>
        <w:t xml:space="preserve"> Costa Rica,</w:t>
      </w:r>
      <w:r w:rsidR="00F97CD9" w:rsidRPr="00ED414A">
        <w:rPr>
          <w:sz w:val="22"/>
          <w:szCs w:val="22"/>
          <w:lang w:val="fr-CA"/>
        </w:rPr>
        <w:t xml:space="preserve"> le Chili</w:t>
      </w:r>
      <w:r w:rsidR="0038288B" w:rsidRPr="00ED414A">
        <w:rPr>
          <w:sz w:val="22"/>
          <w:szCs w:val="22"/>
          <w:lang w:val="fr-CA"/>
        </w:rPr>
        <w:t>,</w:t>
      </w:r>
      <w:r w:rsidR="00F97CD9" w:rsidRPr="00ED414A">
        <w:rPr>
          <w:sz w:val="22"/>
          <w:szCs w:val="22"/>
          <w:lang w:val="fr-CA"/>
        </w:rPr>
        <w:t xml:space="preserve"> le Mexique et le Pérou ont fait part de leur intérêt à accueillir ces Centres. L’État de Hidalgo (Mexique) a offert d’accueillir </w:t>
      </w:r>
      <w:r w:rsidR="0038288B" w:rsidRPr="00ED414A">
        <w:rPr>
          <w:rFonts w:eastAsia="Calibri"/>
          <w:sz w:val="22"/>
          <w:szCs w:val="22"/>
          <w:lang w:val="fr-CA"/>
        </w:rPr>
        <w:t>Prospecta Americas</w:t>
      </w:r>
      <w:r w:rsidR="00F97CD9" w:rsidRPr="00ED414A">
        <w:rPr>
          <w:sz w:val="22"/>
          <w:szCs w:val="22"/>
          <w:lang w:val="fr-CA"/>
        </w:rPr>
        <w:t xml:space="preserve"> e</w:t>
      </w:r>
      <w:r w:rsidR="0038288B" w:rsidRPr="00ED414A">
        <w:rPr>
          <w:sz w:val="22"/>
          <w:szCs w:val="22"/>
          <w:lang w:val="fr-CA"/>
        </w:rPr>
        <w:t xml:space="preserve">n 2021. </w:t>
      </w:r>
    </w:p>
    <w:p w14:paraId="07CA67B9" w14:textId="1A26DA02" w:rsidR="0038288B" w:rsidRPr="00ED414A" w:rsidRDefault="0038288B" w:rsidP="00ED414A">
      <w:pPr>
        <w:jc w:val="both"/>
        <w:rPr>
          <w:sz w:val="22"/>
          <w:szCs w:val="22"/>
          <w:lang w:val="fr-CA"/>
        </w:rPr>
      </w:pPr>
    </w:p>
    <w:p w14:paraId="7AF9D309" w14:textId="720CFDBE" w:rsidR="0038288B" w:rsidRPr="00ED414A" w:rsidRDefault="0038288B" w:rsidP="00ED414A">
      <w:pPr>
        <w:ind w:left="1440" w:hanging="720"/>
        <w:jc w:val="both"/>
        <w:rPr>
          <w:rFonts w:eastAsia="Calibri"/>
          <w:b/>
          <w:sz w:val="22"/>
          <w:szCs w:val="22"/>
          <w:lang w:val="fr-CA"/>
        </w:rPr>
      </w:pPr>
      <w:r w:rsidRPr="00ED414A">
        <w:rPr>
          <w:rFonts w:eastAsia="Calibri"/>
          <w:b/>
          <w:sz w:val="22"/>
          <w:szCs w:val="22"/>
          <w:lang w:val="fr-CA"/>
        </w:rPr>
        <w:t>Tourism</w:t>
      </w:r>
      <w:r w:rsidR="00F97CD9" w:rsidRPr="00ED414A">
        <w:rPr>
          <w:rFonts w:eastAsia="Calibri"/>
          <w:b/>
          <w:sz w:val="22"/>
          <w:szCs w:val="22"/>
          <w:lang w:val="fr-CA"/>
        </w:rPr>
        <w:t>e et culture </w:t>
      </w:r>
      <w:r w:rsidRPr="00ED414A">
        <w:rPr>
          <w:rFonts w:eastAsia="Calibri"/>
          <w:b/>
          <w:sz w:val="22"/>
          <w:szCs w:val="22"/>
          <w:lang w:val="fr-CA"/>
        </w:rPr>
        <w:t>:</w:t>
      </w:r>
    </w:p>
    <w:p w14:paraId="3FEEA54D" w14:textId="77777777" w:rsidR="00B76CC5" w:rsidRPr="00ED414A" w:rsidRDefault="00B76CC5" w:rsidP="00ED414A">
      <w:pPr>
        <w:jc w:val="both"/>
        <w:rPr>
          <w:sz w:val="22"/>
          <w:szCs w:val="22"/>
          <w:lang w:val="fr-CA"/>
        </w:rPr>
      </w:pPr>
    </w:p>
    <w:p w14:paraId="5D21EE43" w14:textId="7E9788AE" w:rsidR="0038288B" w:rsidRPr="00ED414A" w:rsidRDefault="003B4053" w:rsidP="00ED414A">
      <w:pPr>
        <w:numPr>
          <w:ilvl w:val="0"/>
          <w:numId w:val="22"/>
        </w:numPr>
        <w:ind w:left="1440" w:right="-13" w:hanging="720"/>
        <w:jc w:val="both"/>
        <w:rPr>
          <w:sz w:val="22"/>
          <w:szCs w:val="22"/>
          <w:lang w:val="fr-CA"/>
        </w:rPr>
      </w:pPr>
      <w:r w:rsidRPr="00ED414A">
        <w:rPr>
          <w:sz w:val="22"/>
          <w:szCs w:val="22"/>
          <w:lang w:val="fr-CA"/>
        </w:rPr>
        <w:t>Nous travaillons en partenariat avec</w:t>
      </w:r>
      <w:r w:rsidR="0038288B" w:rsidRPr="00ED414A">
        <w:rPr>
          <w:sz w:val="22"/>
          <w:szCs w:val="22"/>
          <w:lang w:val="fr-CA"/>
        </w:rPr>
        <w:t xml:space="preserve"> </w:t>
      </w:r>
      <w:r w:rsidRPr="00ED414A">
        <w:rPr>
          <w:rFonts w:eastAsia="Calibri"/>
          <w:b/>
          <w:sz w:val="22"/>
          <w:szCs w:val="22"/>
          <w:lang w:val="fr-CA"/>
        </w:rPr>
        <w:t>l’Organisation mondiale du tourisme</w:t>
      </w:r>
      <w:r w:rsidR="00305FBE" w:rsidRPr="00ED414A">
        <w:rPr>
          <w:rFonts w:eastAsia="Calibri"/>
          <w:b/>
          <w:sz w:val="22"/>
          <w:szCs w:val="22"/>
          <w:lang w:val="fr-CA"/>
        </w:rPr>
        <w:t xml:space="preserve"> (OMT)</w:t>
      </w:r>
      <w:r w:rsidRPr="00ED414A">
        <w:rPr>
          <w:rFonts w:eastAsia="Calibri"/>
          <w:b/>
          <w:sz w:val="22"/>
          <w:szCs w:val="22"/>
          <w:lang w:val="fr-CA"/>
        </w:rPr>
        <w:t xml:space="preserve"> </w:t>
      </w:r>
      <w:r w:rsidR="00D410A6" w:rsidRPr="00ED414A">
        <w:rPr>
          <w:rFonts w:eastAsia="Calibri"/>
          <w:b/>
          <w:sz w:val="22"/>
          <w:szCs w:val="22"/>
          <w:lang w:val="fr-CA"/>
        </w:rPr>
        <w:t>des Nations Unies</w:t>
      </w:r>
      <w:r w:rsidR="00305FBE" w:rsidRPr="00ED414A">
        <w:rPr>
          <w:sz w:val="22"/>
          <w:szCs w:val="22"/>
          <w:lang w:val="fr-CA"/>
        </w:rPr>
        <w:t xml:space="preserve"> pour offrir conjointement des occasions de renforcer les capacités et de créer des produits de connaissance pour les États membres de l’OEA, en particulier pour appuyer le Programme 2030. Une publication conjointe récente intitulée</w:t>
      </w:r>
      <w:r w:rsidR="0038288B" w:rsidRPr="00ED414A">
        <w:rPr>
          <w:sz w:val="22"/>
          <w:szCs w:val="22"/>
          <w:lang w:val="fr-CA"/>
        </w:rPr>
        <w:t xml:space="preserve"> </w:t>
      </w:r>
      <w:r w:rsidR="0038288B" w:rsidRPr="00ED414A">
        <w:rPr>
          <w:rFonts w:eastAsia="Calibri"/>
          <w:sz w:val="22"/>
          <w:szCs w:val="22"/>
          <w:lang w:val="fr-CA"/>
        </w:rPr>
        <w:t>“Tourism and the Sustainable Development Goals: Good Practices in the Americas”</w:t>
      </w:r>
      <w:r w:rsidR="00305FBE" w:rsidRPr="00ED414A">
        <w:rPr>
          <w:rFonts w:eastAsia="Calibri"/>
          <w:sz w:val="22"/>
          <w:szCs w:val="22"/>
          <w:lang w:val="fr-CA"/>
        </w:rPr>
        <w:t xml:space="preserve"> (Le tourisme et les objectifs de développement durable : Bonnes pratiques dans les Amériques) a souligné des mesures prises ainsi que les progrès réalisés au sein des institutions de tourisme dans les États membres de l’OEA à l’appui des O</w:t>
      </w:r>
      <w:r w:rsidR="00874E21" w:rsidRPr="00ED414A">
        <w:rPr>
          <w:rFonts w:eastAsia="Calibri"/>
          <w:sz w:val="22"/>
          <w:szCs w:val="22"/>
          <w:lang w:val="fr-CA"/>
        </w:rPr>
        <w:t>DD.</w:t>
      </w:r>
      <w:r w:rsidR="0038288B" w:rsidRPr="00ED414A">
        <w:rPr>
          <w:rFonts w:eastAsia="Calibri"/>
          <w:sz w:val="22"/>
          <w:szCs w:val="22"/>
          <w:lang w:val="fr-CA"/>
        </w:rPr>
        <w:t xml:space="preserve"> </w:t>
      </w:r>
    </w:p>
    <w:p w14:paraId="79BE730D" w14:textId="465C4635" w:rsidR="0038288B" w:rsidRPr="00ED414A" w:rsidRDefault="0038288B" w:rsidP="00ED414A">
      <w:pPr>
        <w:jc w:val="both"/>
        <w:rPr>
          <w:sz w:val="22"/>
          <w:szCs w:val="22"/>
          <w:lang w:val="fr-CA"/>
        </w:rPr>
      </w:pPr>
    </w:p>
    <w:p w14:paraId="63E7F636" w14:textId="3E75BA77" w:rsidR="00B76CC5" w:rsidRPr="00ED414A" w:rsidRDefault="009166F8" w:rsidP="00ED414A">
      <w:pPr>
        <w:numPr>
          <w:ilvl w:val="0"/>
          <w:numId w:val="22"/>
        </w:numPr>
        <w:ind w:left="1440" w:right="-13" w:hanging="720"/>
        <w:jc w:val="both"/>
        <w:rPr>
          <w:sz w:val="22"/>
          <w:szCs w:val="22"/>
          <w:lang w:val="fr-CA"/>
        </w:rPr>
      </w:pPr>
      <w:r w:rsidRPr="00ED414A">
        <w:rPr>
          <w:rFonts w:eastAsia="Calibri"/>
          <w:b/>
          <w:sz w:val="22"/>
          <w:szCs w:val="22"/>
          <w:lang w:val="fr-CA"/>
        </w:rPr>
        <w:t>L’Université G</w:t>
      </w:r>
      <w:r w:rsidR="00464793" w:rsidRPr="00ED414A">
        <w:rPr>
          <w:rFonts w:eastAsia="Calibri"/>
          <w:b/>
          <w:sz w:val="22"/>
          <w:szCs w:val="22"/>
          <w:lang w:val="fr-CA"/>
        </w:rPr>
        <w:t>eorge Washington</w:t>
      </w:r>
      <w:r w:rsidR="00464793" w:rsidRPr="00ED414A">
        <w:rPr>
          <w:sz w:val="22"/>
          <w:szCs w:val="22"/>
          <w:lang w:val="fr-CA"/>
        </w:rPr>
        <w:t xml:space="preserve"> et le</w:t>
      </w:r>
      <w:r w:rsidR="0038288B" w:rsidRPr="00ED414A">
        <w:rPr>
          <w:sz w:val="22"/>
          <w:szCs w:val="22"/>
          <w:lang w:val="fr-CA"/>
        </w:rPr>
        <w:t xml:space="preserve"> </w:t>
      </w:r>
      <w:r w:rsidR="00464793" w:rsidRPr="00ED414A">
        <w:rPr>
          <w:rFonts w:eastAsia="Calibri"/>
          <w:b/>
          <w:sz w:val="22"/>
          <w:szCs w:val="22"/>
          <w:lang w:val="fr-CA"/>
        </w:rPr>
        <w:t>Bureau des affaires indiennes des États-Unis</w:t>
      </w:r>
      <w:r w:rsidR="00464793" w:rsidRPr="00ED414A">
        <w:rPr>
          <w:sz w:val="22"/>
          <w:szCs w:val="22"/>
          <w:lang w:val="fr-CA"/>
        </w:rPr>
        <w:t xml:space="preserve"> ont travaillé en partenariat avec nous à l’organisation du premier Forum</w:t>
      </w:r>
      <w:r w:rsidR="00967DF5" w:rsidRPr="00ED414A">
        <w:rPr>
          <w:sz w:val="22"/>
          <w:szCs w:val="22"/>
          <w:lang w:val="fr-CA"/>
        </w:rPr>
        <w:t xml:space="preserve"> autochtone</w:t>
      </w:r>
      <w:r w:rsidR="00464793" w:rsidRPr="00ED414A">
        <w:rPr>
          <w:sz w:val="22"/>
          <w:szCs w:val="22"/>
          <w:lang w:val="fr-CA"/>
        </w:rPr>
        <w:t xml:space="preserve"> </w:t>
      </w:r>
      <w:r w:rsidR="00967DF5" w:rsidRPr="00ED414A">
        <w:rPr>
          <w:sz w:val="22"/>
          <w:szCs w:val="22"/>
          <w:lang w:val="fr-CA"/>
        </w:rPr>
        <w:t xml:space="preserve">du tourisme des Amériques en octobre 2020. Le Forum, avec une série de webinaires tenus au niveau sous-régional, ont aidé à accroitre la conscientisation relativement à la nécessité d’encourager des activités économiques durables </w:t>
      </w:r>
      <w:r w:rsidR="001B6AEF" w:rsidRPr="00ED414A">
        <w:rPr>
          <w:sz w:val="22"/>
          <w:szCs w:val="22"/>
          <w:lang w:val="fr-CA"/>
        </w:rPr>
        <w:t xml:space="preserve">dans le secteur du tourisme, en particulier pour les communautés autochtones qui ont été désavantagées au cours de l’histoire. Il a également souligné l’importance de renforcer les institutions responsables du tourisme rural basé sur la communauté ainsi que les lignes directrices relatives au fonctionnement du tourisme communautaire durable dans les Amériques, </w:t>
      </w:r>
      <w:r w:rsidR="004D1D9E" w:rsidRPr="00ED414A">
        <w:rPr>
          <w:sz w:val="22"/>
          <w:szCs w:val="22"/>
          <w:lang w:val="fr-CA"/>
        </w:rPr>
        <w:t>un important groupe de pression important de la Commission interaméricaine du tourisme</w:t>
      </w:r>
      <w:r w:rsidR="00967DF5" w:rsidRPr="00ED414A">
        <w:rPr>
          <w:sz w:val="22"/>
          <w:szCs w:val="22"/>
          <w:lang w:val="fr-CA"/>
        </w:rPr>
        <w:t xml:space="preserve"> </w:t>
      </w:r>
      <w:r w:rsidR="0038288B" w:rsidRPr="00ED414A">
        <w:rPr>
          <w:sz w:val="22"/>
          <w:szCs w:val="22"/>
          <w:lang w:val="fr-CA"/>
        </w:rPr>
        <w:t>(CITUR).</w:t>
      </w:r>
    </w:p>
    <w:p w14:paraId="00BFB91B" w14:textId="77777777" w:rsidR="00B76CC5" w:rsidRPr="00ED414A" w:rsidRDefault="00B76CC5" w:rsidP="00ED414A">
      <w:pPr>
        <w:rPr>
          <w:sz w:val="22"/>
          <w:szCs w:val="22"/>
          <w:lang w:val="fr-CA"/>
        </w:rPr>
      </w:pPr>
    </w:p>
    <w:p w14:paraId="3CE8928A" w14:textId="62D1F883" w:rsidR="0038288B" w:rsidRPr="00ED414A" w:rsidRDefault="004D1D9E" w:rsidP="00ED414A">
      <w:pPr>
        <w:ind w:right="-13"/>
        <w:jc w:val="both"/>
        <w:rPr>
          <w:b/>
          <w:sz w:val="22"/>
          <w:szCs w:val="22"/>
          <w:lang w:val="fr-CA"/>
        </w:rPr>
      </w:pPr>
      <w:r w:rsidRPr="00ED414A">
        <w:rPr>
          <w:b/>
          <w:sz w:val="22"/>
          <w:szCs w:val="22"/>
          <w:lang w:val="fr-CA"/>
        </w:rPr>
        <w:t>DÉ</w:t>
      </w:r>
      <w:r w:rsidR="0038288B" w:rsidRPr="00ED414A">
        <w:rPr>
          <w:b/>
          <w:sz w:val="22"/>
          <w:szCs w:val="22"/>
          <w:lang w:val="fr-CA"/>
        </w:rPr>
        <w:t>PART</w:t>
      </w:r>
      <w:r w:rsidRPr="00ED414A">
        <w:rPr>
          <w:b/>
          <w:sz w:val="22"/>
          <w:szCs w:val="22"/>
          <w:lang w:val="fr-CA"/>
        </w:rPr>
        <w:t>E</w:t>
      </w:r>
      <w:r w:rsidR="0038288B" w:rsidRPr="00ED414A">
        <w:rPr>
          <w:b/>
          <w:sz w:val="22"/>
          <w:szCs w:val="22"/>
          <w:lang w:val="fr-CA"/>
        </w:rPr>
        <w:t>MENT</w:t>
      </w:r>
      <w:r w:rsidRPr="00ED414A">
        <w:rPr>
          <w:b/>
          <w:sz w:val="22"/>
          <w:szCs w:val="22"/>
          <w:lang w:val="fr-CA"/>
        </w:rPr>
        <w:t xml:space="preserve"> DU DÉVELOPPEMENT DURABLE</w:t>
      </w:r>
    </w:p>
    <w:p w14:paraId="414A9EEF" w14:textId="6D4E403E" w:rsidR="0038288B" w:rsidRPr="00ED414A" w:rsidRDefault="0038288B" w:rsidP="00ED414A">
      <w:pPr>
        <w:jc w:val="both"/>
        <w:rPr>
          <w:sz w:val="22"/>
          <w:szCs w:val="22"/>
          <w:lang w:val="fr-CA"/>
        </w:rPr>
      </w:pPr>
    </w:p>
    <w:p w14:paraId="66C018C1" w14:textId="738C040E" w:rsidR="0038288B" w:rsidRPr="00ED414A" w:rsidRDefault="004D1D9E" w:rsidP="00ED414A">
      <w:pPr>
        <w:ind w:left="-15" w:firstLine="735"/>
        <w:jc w:val="both"/>
        <w:rPr>
          <w:rFonts w:eastAsia="Calibri"/>
          <w:b/>
          <w:sz w:val="22"/>
          <w:szCs w:val="22"/>
          <w:lang w:val="fr-CA"/>
        </w:rPr>
      </w:pPr>
      <w:r w:rsidRPr="00ED414A">
        <w:rPr>
          <w:rFonts w:eastAsia="Calibri"/>
          <w:b/>
          <w:sz w:val="22"/>
          <w:szCs w:val="22"/>
          <w:lang w:val="fr-CA"/>
        </w:rPr>
        <w:t>Énergie durable </w:t>
      </w:r>
      <w:r w:rsidR="0038288B" w:rsidRPr="00ED414A">
        <w:rPr>
          <w:rFonts w:eastAsia="Calibri"/>
          <w:b/>
          <w:sz w:val="22"/>
          <w:szCs w:val="22"/>
          <w:lang w:val="fr-CA"/>
        </w:rPr>
        <w:t>:</w:t>
      </w:r>
      <w:r w:rsidR="00B76CC5" w:rsidRPr="00ED414A">
        <w:rPr>
          <w:rFonts w:eastAsia="Calibri"/>
          <w:b/>
          <w:sz w:val="22"/>
          <w:szCs w:val="22"/>
          <w:lang w:val="fr-CA"/>
        </w:rPr>
        <w:t xml:space="preserve"> </w:t>
      </w:r>
    </w:p>
    <w:p w14:paraId="0DD41A4D" w14:textId="77777777" w:rsidR="00B76CC5" w:rsidRPr="00ED414A" w:rsidRDefault="00B76CC5" w:rsidP="00ED414A">
      <w:pPr>
        <w:ind w:left="-15"/>
        <w:jc w:val="both"/>
        <w:rPr>
          <w:sz w:val="22"/>
          <w:szCs w:val="22"/>
          <w:lang w:val="fr-CA"/>
        </w:rPr>
      </w:pPr>
    </w:p>
    <w:p w14:paraId="72828D76" w14:textId="7ACCADFA" w:rsidR="0038288B" w:rsidRPr="00ED414A" w:rsidRDefault="00BE5314" w:rsidP="00ED414A">
      <w:pPr>
        <w:numPr>
          <w:ilvl w:val="0"/>
          <w:numId w:val="23"/>
        </w:numPr>
        <w:ind w:left="1440" w:right="-13" w:hanging="720"/>
        <w:jc w:val="both"/>
        <w:rPr>
          <w:sz w:val="22"/>
          <w:szCs w:val="22"/>
          <w:lang w:val="fr-CA"/>
        </w:rPr>
      </w:pPr>
      <w:r w:rsidRPr="00ED414A">
        <w:rPr>
          <w:sz w:val="22"/>
          <w:szCs w:val="22"/>
          <w:lang w:val="fr-CA"/>
        </w:rPr>
        <w:t>Depuis</w:t>
      </w:r>
      <w:r w:rsidR="0038288B" w:rsidRPr="00ED414A">
        <w:rPr>
          <w:sz w:val="22"/>
          <w:szCs w:val="22"/>
          <w:lang w:val="fr-CA"/>
        </w:rPr>
        <w:t xml:space="preserve"> 2009,</w:t>
      </w:r>
      <w:r w:rsidRPr="00ED414A">
        <w:rPr>
          <w:sz w:val="22"/>
          <w:szCs w:val="22"/>
          <w:lang w:val="fr-CA"/>
        </w:rPr>
        <w:t xml:space="preserve"> la</w:t>
      </w:r>
      <w:r w:rsidR="0038288B" w:rsidRPr="00ED414A">
        <w:rPr>
          <w:sz w:val="22"/>
          <w:szCs w:val="22"/>
          <w:lang w:val="fr-CA"/>
        </w:rPr>
        <w:t xml:space="preserve"> </w:t>
      </w:r>
      <w:r w:rsidR="005376A0">
        <w:rPr>
          <w:sz w:val="22"/>
          <w:szCs w:val="22"/>
          <w:lang w:val="fr-CA"/>
        </w:rPr>
        <w:t>M</w:t>
      </w:r>
      <w:r w:rsidRPr="00ED414A">
        <w:rPr>
          <w:rFonts w:eastAsia="Calibri"/>
          <w:b/>
          <w:sz w:val="22"/>
          <w:szCs w:val="22"/>
          <w:lang w:val="fr-CA"/>
        </w:rPr>
        <w:t>ission p</w:t>
      </w:r>
      <w:r w:rsidR="0038288B" w:rsidRPr="00ED414A">
        <w:rPr>
          <w:rFonts w:eastAsia="Calibri"/>
          <w:b/>
          <w:sz w:val="22"/>
          <w:szCs w:val="22"/>
          <w:lang w:val="fr-CA"/>
        </w:rPr>
        <w:t>ermanent</w:t>
      </w:r>
      <w:r w:rsidRPr="00ED414A">
        <w:rPr>
          <w:rFonts w:eastAsia="Calibri"/>
          <w:b/>
          <w:sz w:val="22"/>
          <w:szCs w:val="22"/>
          <w:lang w:val="fr-CA"/>
        </w:rPr>
        <w:t>e des États-Unis près l’OEA</w:t>
      </w:r>
      <w:r w:rsidRPr="00ED414A">
        <w:rPr>
          <w:sz w:val="22"/>
          <w:szCs w:val="22"/>
          <w:lang w:val="fr-CA"/>
        </w:rPr>
        <w:t xml:space="preserve"> offre un soutien financier pour la mise en œuvre du Partenariat des Amériques pour l’énergie et le climat </w:t>
      </w:r>
      <w:r w:rsidR="0038288B" w:rsidRPr="00ED414A">
        <w:rPr>
          <w:sz w:val="22"/>
          <w:szCs w:val="22"/>
          <w:lang w:val="fr-CA"/>
        </w:rPr>
        <w:t>(ECPA).</w:t>
      </w:r>
      <w:r w:rsidRPr="00ED414A">
        <w:rPr>
          <w:sz w:val="22"/>
          <w:szCs w:val="22"/>
          <w:lang w:val="fr-CA"/>
        </w:rPr>
        <w:t xml:space="preserve"> En outre, le</w:t>
      </w:r>
      <w:r w:rsidR="0038288B" w:rsidRPr="00ED414A">
        <w:rPr>
          <w:sz w:val="22"/>
          <w:szCs w:val="22"/>
          <w:lang w:val="fr-CA"/>
        </w:rPr>
        <w:t xml:space="preserve"> </w:t>
      </w:r>
      <w:r w:rsidRPr="00ED414A">
        <w:rPr>
          <w:rFonts w:eastAsia="Calibri"/>
          <w:b/>
          <w:sz w:val="22"/>
          <w:szCs w:val="22"/>
          <w:lang w:val="fr-CA"/>
        </w:rPr>
        <w:t>Département de l’énergie des États-Unis</w:t>
      </w:r>
      <w:r w:rsidRPr="00ED414A">
        <w:rPr>
          <w:sz w:val="22"/>
          <w:szCs w:val="22"/>
          <w:lang w:val="fr-CA"/>
        </w:rPr>
        <w:t xml:space="preserve"> et l’</w:t>
      </w:r>
      <w:r w:rsidRPr="00ED414A">
        <w:rPr>
          <w:rFonts w:eastAsia="Calibri"/>
          <w:b/>
          <w:sz w:val="22"/>
          <w:szCs w:val="22"/>
          <w:lang w:val="fr-CA"/>
        </w:rPr>
        <w:t>Institut national des États-Unis pour les normes et la technologie</w:t>
      </w:r>
      <w:r w:rsidR="00FA6B4A" w:rsidRPr="00ED414A">
        <w:rPr>
          <w:sz w:val="22"/>
          <w:szCs w:val="22"/>
          <w:lang w:val="fr-CA"/>
        </w:rPr>
        <w:t xml:space="preserve"> offrent des ressources techniques pour l’élaboration d’interventions mesurables et percutantes dans le domaine de l’énergie durable. Le Partenariat des Amériques pour l’énergie et le climat est la seule plateforme continentale permettant une discussion en matière d’énergie et la coopération dans ce domaine à laquelle participent tous les États membres de l’OEA et qui fait participer des gouvernements et des compagnies à la promotion de la durabilité énergétique.</w:t>
      </w:r>
      <w:r w:rsidR="008D4F52" w:rsidRPr="00ED414A">
        <w:rPr>
          <w:sz w:val="22"/>
          <w:szCs w:val="22"/>
          <w:lang w:val="fr-CA"/>
        </w:rPr>
        <w:t xml:space="preserve"> Le SEDI/OEA a mis à profit ce programme avec succès et rassemble d’autres précieux partenaires. Au nombre de ces exemples on compte GE et MIT, qui ont aidé à évaluer la viabilité </w:t>
      </w:r>
      <w:r w:rsidR="00B63016" w:rsidRPr="00ED414A">
        <w:rPr>
          <w:sz w:val="22"/>
          <w:szCs w:val="22"/>
          <w:lang w:val="fr-CA"/>
        </w:rPr>
        <w:t>de diverses options en matière de politiques et de technologie utilisées par</w:t>
      </w:r>
      <w:r w:rsidR="008D4F52" w:rsidRPr="00ED414A">
        <w:rPr>
          <w:sz w:val="22"/>
          <w:szCs w:val="22"/>
          <w:lang w:val="fr-CA"/>
        </w:rPr>
        <w:t xml:space="preserve"> </w:t>
      </w:r>
      <w:r w:rsidR="00B63016" w:rsidRPr="00ED414A">
        <w:rPr>
          <w:sz w:val="22"/>
          <w:szCs w:val="22"/>
          <w:lang w:val="fr-CA"/>
        </w:rPr>
        <w:t>des pays d’A</w:t>
      </w:r>
      <w:r w:rsidR="00BD3B9E" w:rsidRPr="00ED414A">
        <w:rPr>
          <w:sz w:val="22"/>
          <w:szCs w:val="22"/>
          <w:lang w:val="fr-CA"/>
        </w:rPr>
        <w:t>mérique latine et des Caraïbes pour atteindre leurs contributions déterminées au niveau national (CDN) établies dans l’Accord de Paris, une contribution</w:t>
      </w:r>
      <w:r w:rsidR="00F81BF4" w:rsidRPr="00ED414A">
        <w:rPr>
          <w:sz w:val="22"/>
          <w:szCs w:val="22"/>
          <w:lang w:val="fr-CA"/>
        </w:rPr>
        <w:t xml:space="preserve"> évaluée à </w:t>
      </w:r>
      <w:r w:rsidR="005376A0">
        <w:rPr>
          <w:sz w:val="22"/>
          <w:szCs w:val="22"/>
          <w:lang w:val="fr-CA"/>
        </w:rPr>
        <w:t>$</w:t>
      </w:r>
      <w:r w:rsidR="00F81BF4" w:rsidRPr="00ED414A">
        <w:rPr>
          <w:sz w:val="22"/>
          <w:szCs w:val="22"/>
          <w:lang w:val="fr-CA"/>
        </w:rPr>
        <w:t xml:space="preserve">100 000. Entre autres partenaires, on compte la CARICOM, CXC et la GIX (Société allemande de coopération internationale), qui a formé des enseignants à utiliser </w:t>
      </w:r>
      <w:r w:rsidR="00BF2C0A" w:rsidRPr="00ED414A">
        <w:rPr>
          <w:sz w:val="22"/>
          <w:szCs w:val="22"/>
          <w:lang w:val="fr-CA"/>
        </w:rPr>
        <w:t xml:space="preserve">le syllabus de l’ingénierie verte pour les écoles primaires et secondaires dans les Caraïbes, une de nombreuses, contribution évaluée à </w:t>
      </w:r>
      <w:r w:rsidR="005376A0">
        <w:rPr>
          <w:sz w:val="22"/>
          <w:szCs w:val="22"/>
          <w:lang w:val="fr-CA"/>
        </w:rPr>
        <w:t>$</w:t>
      </w:r>
      <w:r w:rsidR="00BF2C0A" w:rsidRPr="00ED414A">
        <w:rPr>
          <w:sz w:val="22"/>
          <w:szCs w:val="22"/>
          <w:lang w:val="fr-CA"/>
        </w:rPr>
        <w:t>60 000.</w:t>
      </w:r>
      <w:r w:rsidR="00BD3B9E" w:rsidRPr="00ED414A">
        <w:rPr>
          <w:sz w:val="22"/>
          <w:szCs w:val="22"/>
          <w:lang w:val="fr-CA"/>
        </w:rPr>
        <w:t xml:space="preserve"> </w:t>
      </w:r>
    </w:p>
    <w:p w14:paraId="7D4234E4" w14:textId="14902E8C" w:rsidR="0038288B" w:rsidRPr="00ED414A" w:rsidRDefault="0038288B" w:rsidP="00ED414A">
      <w:pPr>
        <w:jc w:val="both"/>
        <w:rPr>
          <w:sz w:val="22"/>
          <w:szCs w:val="22"/>
          <w:lang w:val="fr-CA"/>
        </w:rPr>
      </w:pPr>
    </w:p>
    <w:p w14:paraId="6FF40B35" w14:textId="60DDD3EC" w:rsidR="0038288B" w:rsidRPr="00ED414A" w:rsidRDefault="00BF2C0A" w:rsidP="00ED414A">
      <w:pPr>
        <w:ind w:left="720"/>
        <w:jc w:val="both"/>
        <w:rPr>
          <w:rFonts w:eastAsia="Calibri"/>
          <w:b/>
          <w:sz w:val="22"/>
          <w:szCs w:val="22"/>
          <w:lang w:val="fr-CA"/>
        </w:rPr>
      </w:pPr>
      <w:r w:rsidRPr="00ED414A">
        <w:rPr>
          <w:rFonts w:eastAsia="Calibri"/>
          <w:b/>
          <w:sz w:val="22"/>
          <w:szCs w:val="22"/>
          <w:lang w:val="fr-CA"/>
        </w:rPr>
        <w:t>Gestion in</w:t>
      </w:r>
      <w:r w:rsidR="005757FA" w:rsidRPr="00ED414A">
        <w:rPr>
          <w:rFonts w:eastAsia="Calibri"/>
          <w:b/>
          <w:sz w:val="22"/>
          <w:szCs w:val="22"/>
          <w:lang w:val="fr-CA"/>
        </w:rPr>
        <w:t>tégrée des ressources hydriques </w:t>
      </w:r>
      <w:r w:rsidR="0038288B" w:rsidRPr="00ED414A">
        <w:rPr>
          <w:rFonts w:eastAsia="Calibri"/>
          <w:b/>
          <w:sz w:val="22"/>
          <w:szCs w:val="22"/>
          <w:lang w:val="fr-CA"/>
        </w:rPr>
        <w:t>:</w:t>
      </w:r>
    </w:p>
    <w:p w14:paraId="66BB1E8C" w14:textId="77777777" w:rsidR="00B76CC5" w:rsidRPr="00ED414A" w:rsidRDefault="00B76CC5" w:rsidP="00ED414A">
      <w:pPr>
        <w:ind w:left="-15"/>
        <w:jc w:val="both"/>
        <w:rPr>
          <w:sz w:val="22"/>
          <w:szCs w:val="22"/>
          <w:lang w:val="fr-CA"/>
        </w:rPr>
      </w:pPr>
    </w:p>
    <w:p w14:paraId="005EDE2E" w14:textId="2A79C8A5" w:rsidR="0038288B" w:rsidRPr="00ED414A" w:rsidRDefault="005757FA" w:rsidP="00ED414A">
      <w:pPr>
        <w:numPr>
          <w:ilvl w:val="0"/>
          <w:numId w:val="23"/>
        </w:numPr>
        <w:ind w:left="1440" w:right="-13" w:hanging="720"/>
        <w:jc w:val="both"/>
        <w:rPr>
          <w:sz w:val="22"/>
          <w:szCs w:val="22"/>
          <w:lang w:val="fr-CA"/>
        </w:rPr>
      </w:pPr>
      <w:r w:rsidRPr="00ED414A">
        <w:rPr>
          <w:sz w:val="22"/>
          <w:szCs w:val="22"/>
          <w:lang w:val="fr-CA"/>
        </w:rPr>
        <w:t>Nos principaux partenaires dans le domaine de la gestion de l’eau sont la</w:t>
      </w:r>
      <w:r w:rsidR="0038288B" w:rsidRPr="00ED414A">
        <w:rPr>
          <w:sz w:val="22"/>
          <w:szCs w:val="22"/>
          <w:lang w:val="fr-CA"/>
        </w:rPr>
        <w:t xml:space="preserve"> </w:t>
      </w:r>
      <w:r w:rsidRPr="00ED414A">
        <w:rPr>
          <w:rFonts w:eastAsia="Calibri"/>
          <w:b/>
          <w:sz w:val="22"/>
          <w:szCs w:val="22"/>
          <w:lang w:val="fr-CA"/>
        </w:rPr>
        <w:t>Banque interaméricaine de développement (BID)</w:t>
      </w:r>
      <w:r w:rsidR="0038288B" w:rsidRPr="00ED414A">
        <w:rPr>
          <w:sz w:val="22"/>
          <w:szCs w:val="22"/>
          <w:lang w:val="fr-CA"/>
        </w:rPr>
        <w:t xml:space="preserve">, </w:t>
      </w:r>
      <w:r w:rsidRPr="00ED414A">
        <w:rPr>
          <w:sz w:val="22"/>
          <w:szCs w:val="22"/>
          <w:lang w:val="fr-CA"/>
        </w:rPr>
        <w:t>le</w:t>
      </w:r>
      <w:r w:rsidR="0038288B" w:rsidRPr="00ED414A">
        <w:rPr>
          <w:sz w:val="22"/>
          <w:szCs w:val="22"/>
          <w:lang w:val="fr-CA"/>
        </w:rPr>
        <w:t xml:space="preserve"> </w:t>
      </w:r>
      <w:r w:rsidRPr="00ED414A">
        <w:rPr>
          <w:rFonts w:eastAsia="Calibri"/>
          <w:b/>
          <w:sz w:val="22"/>
          <w:szCs w:val="22"/>
          <w:lang w:val="fr-CA"/>
        </w:rPr>
        <w:t>Programme des Nations Unies</w:t>
      </w:r>
      <w:r w:rsidR="00BD3D82" w:rsidRPr="00ED414A">
        <w:rPr>
          <w:rFonts w:eastAsia="Calibri"/>
          <w:b/>
          <w:sz w:val="22"/>
          <w:szCs w:val="22"/>
          <w:lang w:val="fr-CA"/>
        </w:rPr>
        <w:t xml:space="preserve"> pour l’environnement</w:t>
      </w:r>
      <w:r w:rsidR="0038288B" w:rsidRPr="00ED414A">
        <w:rPr>
          <w:rFonts w:eastAsia="Calibri"/>
          <w:b/>
          <w:sz w:val="22"/>
          <w:szCs w:val="22"/>
          <w:lang w:val="fr-CA"/>
        </w:rPr>
        <w:t xml:space="preserve"> (</w:t>
      </w:r>
      <w:r w:rsidR="00BD3D82" w:rsidRPr="00ED414A">
        <w:rPr>
          <w:rFonts w:eastAsia="Calibri"/>
          <w:b/>
          <w:sz w:val="22"/>
          <w:szCs w:val="22"/>
          <w:lang w:val="fr-CA"/>
        </w:rPr>
        <w:t>PNUE</w:t>
      </w:r>
      <w:r w:rsidR="0038288B" w:rsidRPr="00ED414A">
        <w:rPr>
          <w:rFonts w:eastAsia="Calibri"/>
          <w:b/>
          <w:sz w:val="22"/>
          <w:szCs w:val="22"/>
          <w:lang w:val="fr-CA"/>
        </w:rPr>
        <w:t>)</w:t>
      </w:r>
      <w:r w:rsidR="0038288B" w:rsidRPr="00ED414A">
        <w:rPr>
          <w:sz w:val="22"/>
          <w:szCs w:val="22"/>
          <w:lang w:val="fr-CA"/>
        </w:rPr>
        <w:t xml:space="preserve"> </w:t>
      </w:r>
      <w:r w:rsidR="00BD3D82" w:rsidRPr="00ED414A">
        <w:rPr>
          <w:sz w:val="22"/>
          <w:szCs w:val="22"/>
          <w:lang w:val="fr-CA"/>
        </w:rPr>
        <w:t>et l’</w:t>
      </w:r>
      <w:r w:rsidR="00BD3D82" w:rsidRPr="00ED414A">
        <w:rPr>
          <w:rFonts w:eastAsia="Calibri"/>
          <w:b/>
          <w:sz w:val="22"/>
          <w:szCs w:val="22"/>
          <w:lang w:val="fr-CA"/>
        </w:rPr>
        <w:t>Association andine de développement</w:t>
      </w:r>
      <w:r w:rsidR="0038288B" w:rsidRPr="00ED414A">
        <w:rPr>
          <w:sz w:val="22"/>
          <w:szCs w:val="22"/>
          <w:lang w:val="fr-CA"/>
        </w:rPr>
        <w:t>,</w:t>
      </w:r>
      <w:r w:rsidR="00BD3D82" w:rsidRPr="00ED414A">
        <w:rPr>
          <w:sz w:val="22"/>
          <w:szCs w:val="22"/>
          <w:lang w:val="fr-CA"/>
        </w:rPr>
        <w:t xml:space="preserve"> avec une contribution totale en espèces de près de </w:t>
      </w:r>
      <w:r w:rsidR="005376A0">
        <w:rPr>
          <w:sz w:val="22"/>
          <w:szCs w:val="22"/>
          <w:lang w:val="fr-CA"/>
        </w:rPr>
        <w:t>$</w:t>
      </w:r>
      <w:r w:rsidR="00BD3D82" w:rsidRPr="00ED414A">
        <w:rPr>
          <w:sz w:val="22"/>
          <w:szCs w:val="22"/>
          <w:lang w:val="fr-CA"/>
        </w:rPr>
        <w:t>13 millions,</w:t>
      </w:r>
      <w:r w:rsidR="00DC373D" w:rsidRPr="00ED414A">
        <w:rPr>
          <w:sz w:val="22"/>
          <w:szCs w:val="22"/>
          <w:lang w:val="fr-CA"/>
        </w:rPr>
        <w:t xml:space="preserve"> exécutée directement par le SEDI/OEA. En 2020, un portefeuilles d’investissement de 25 pr</w:t>
      </w:r>
      <w:r w:rsidR="00A01501" w:rsidRPr="00ED414A">
        <w:rPr>
          <w:sz w:val="22"/>
          <w:szCs w:val="22"/>
          <w:lang w:val="fr-CA"/>
        </w:rPr>
        <w:t>ojets a été élaboré afin</w:t>
      </w:r>
      <w:r w:rsidR="00444A4F" w:rsidRPr="00ED414A">
        <w:rPr>
          <w:sz w:val="22"/>
          <w:szCs w:val="22"/>
          <w:lang w:val="fr-CA"/>
        </w:rPr>
        <w:t xml:space="preserve"> de promouvoir la gestion intégrée des ressources hydriques dans le bassin de la Plata (Argentine, Bolivie</w:t>
      </w:r>
      <w:r w:rsidR="0038288B" w:rsidRPr="00ED414A">
        <w:rPr>
          <w:sz w:val="22"/>
          <w:szCs w:val="22"/>
          <w:lang w:val="fr-CA"/>
        </w:rPr>
        <w:t>, Br</w:t>
      </w:r>
      <w:r w:rsidR="00444A4F" w:rsidRPr="00ED414A">
        <w:rPr>
          <w:sz w:val="22"/>
          <w:szCs w:val="22"/>
          <w:lang w:val="fr-CA"/>
        </w:rPr>
        <w:t>ésil, Uruguay et</w:t>
      </w:r>
      <w:r w:rsidR="0038288B" w:rsidRPr="00ED414A">
        <w:rPr>
          <w:sz w:val="22"/>
          <w:szCs w:val="22"/>
          <w:lang w:val="fr-CA"/>
        </w:rPr>
        <w:t xml:space="preserve"> Paraguay),</w:t>
      </w:r>
      <w:r w:rsidR="00682E58" w:rsidRPr="00ED414A">
        <w:rPr>
          <w:sz w:val="22"/>
          <w:szCs w:val="22"/>
          <w:lang w:val="fr-CA"/>
        </w:rPr>
        <w:t xml:space="preserve"> pour un total de </w:t>
      </w:r>
      <w:r w:rsidR="005376A0">
        <w:rPr>
          <w:sz w:val="22"/>
          <w:szCs w:val="22"/>
          <w:lang w:val="fr-CA"/>
        </w:rPr>
        <w:t>$</w:t>
      </w:r>
      <w:r w:rsidR="00682E58" w:rsidRPr="00ED414A">
        <w:rPr>
          <w:sz w:val="22"/>
          <w:szCs w:val="22"/>
          <w:lang w:val="fr-CA"/>
        </w:rPr>
        <w:t xml:space="preserve">90 millions de financement en espèces et des contributions en nature à </w:t>
      </w:r>
      <w:r w:rsidR="005376A0">
        <w:rPr>
          <w:sz w:val="22"/>
          <w:szCs w:val="22"/>
          <w:lang w:val="fr-CA"/>
        </w:rPr>
        <w:t>$</w:t>
      </w:r>
      <w:r w:rsidR="00682E58" w:rsidRPr="00ED414A">
        <w:rPr>
          <w:sz w:val="22"/>
          <w:szCs w:val="22"/>
          <w:lang w:val="fr-CA"/>
        </w:rPr>
        <w:t>1 milliard. Les projets abordent des domaines d’action prioritaires é</w:t>
      </w:r>
      <w:r w:rsidR="0084580F" w:rsidRPr="00ED414A">
        <w:rPr>
          <w:sz w:val="22"/>
          <w:szCs w:val="22"/>
          <w:lang w:val="fr-CA"/>
        </w:rPr>
        <w:t>tablis par les pays, dont une amélioration de la gestion de l’eau, des systèmes d’alerte précoce, de la navigation, de l’agriculture et de l’hydroélectricité dans le bassin. Les nouveautés dans ce portefeuille porteront principalement sur les installations sanitaires, en particulier en ce qui a trait à la prévention de la COVID-19 et à la réponse apportée à celle-ci.</w:t>
      </w:r>
      <w:r w:rsidR="0038288B" w:rsidRPr="00ED414A">
        <w:rPr>
          <w:sz w:val="22"/>
          <w:szCs w:val="22"/>
          <w:lang w:val="fr-CA"/>
        </w:rPr>
        <w:t xml:space="preserve"> </w:t>
      </w:r>
    </w:p>
    <w:p w14:paraId="4D16AC49" w14:textId="6E52FCA4" w:rsidR="0038288B" w:rsidRPr="00ED414A" w:rsidRDefault="0038288B" w:rsidP="00ED414A">
      <w:pPr>
        <w:jc w:val="both"/>
        <w:rPr>
          <w:sz w:val="22"/>
          <w:szCs w:val="22"/>
          <w:lang w:val="fr-CA"/>
        </w:rPr>
      </w:pPr>
    </w:p>
    <w:p w14:paraId="79DC5CAF" w14:textId="026CE00A" w:rsidR="0038288B" w:rsidRPr="00ED414A" w:rsidRDefault="0084580F" w:rsidP="00ED414A">
      <w:pPr>
        <w:ind w:left="-15" w:firstLine="735"/>
        <w:jc w:val="both"/>
        <w:rPr>
          <w:rFonts w:eastAsia="Calibri"/>
          <w:b/>
          <w:sz w:val="22"/>
          <w:szCs w:val="22"/>
          <w:lang w:val="fr-CA"/>
        </w:rPr>
      </w:pPr>
      <w:r w:rsidRPr="00ED414A">
        <w:rPr>
          <w:rFonts w:eastAsia="Calibri"/>
          <w:b/>
          <w:sz w:val="22"/>
          <w:szCs w:val="22"/>
          <w:lang w:val="fr-CA"/>
        </w:rPr>
        <w:t>Gestion des risques de catastrophe </w:t>
      </w:r>
      <w:r w:rsidR="0038288B" w:rsidRPr="00ED414A">
        <w:rPr>
          <w:rFonts w:eastAsia="Calibri"/>
          <w:b/>
          <w:sz w:val="22"/>
          <w:szCs w:val="22"/>
          <w:lang w:val="fr-CA"/>
        </w:rPr>
        <w:t>:</w:t>
      </w:r>
      <w:r w:rsidR="00B76CC5" w:rsidRPr="00ED414A">
        <w:rPr>
          <w:rFonts w:eastAsia="Calibri"/>
          <w:b/>
          <w:sz w:val="22"/>
          <w:szCs w:val="22"/>
          <w:lang w:val="fr-CA"/>
        </w:rPr>
        <w:t xml:space="preserve"> </w:t>
      </w:r>
    </w:p>
    <w:p w14:paraId="34F47EC9" w14:textId="77777777" w:rsidR="00B76CC5" w:rsidRPr="00ED414A" w:rsidRDefault="00B76CC5" w:rsidP="00ED414A">
      <w:pPr>
        <w:ind w:left="-15"/>
        <w:jc w:val="both"/>
        <w:rPr>
          <w:sz w:val="22"/>
          <w:szCs w:val="22"/>
          <w:lang w:val="fr-CA"/>
        </w:rPr>
      </w:pPr>
    </w:p>
    <w:p w14:paraId="4C54FA87" w14:textId="5ECAF35D" w:rsidR="0038288B" w:rsidRPr="00ED414A" w:rsidRDefault="0038288B" w:rsidP="00ED414A">
      <w:pPr>
        <w:numPr>
          <w:ilvl w:val="0"/>
          <w:numId w:val="23"/>
        </w:numPr>
        <w:ind w:left="1440" w:right="-13" w:hanging="720"/>
        <w:jc w:val="both"/>
        <w:rPr>
          <w:sz w:val="22"/>
          <w:szCs w:val="22"/>
          <w:lang w:val="fr-CA"/>
        </w:rPr>
      </w:pPr>
      <w:r w:rsidRPr="00ED414A">
        <w:rPr>
          <w:sz w:val="22"/>
          <w:szCs w:val="22"/>
          <w:lang w:val="fr-CA"/>
        </w:rPr>
        <w:t>La</w:t>
      </w:r>
      <w:r w:rsidR="00722D23" w:rsidRPr="00ED414A">
        <w:rPr>
          <w:sz w:val="22"/>
          <w:szCs w:val="22"/>
          <w:lang w:val="fr-CA"/>
        </w:rPr>
        <w:t>ncé en 2020 et financé par le</w:t>
      </w:r>
      <w:r w:rsidRPr="00ED414A">
        <w:rPr>
          <w:sz w:val="22"/>
          <w:szCs w:val="22"/>
          <w:lang w:val="fr-CA"/>
        </w:rPr>
        <w:t xml:space="preserve"> </w:t>
      </w:r>
      <w:r w:rsidR="00722D23" w:rsidRPr="00ED414A">
        <w:rPr>
          <w:rFonts w:eastAsia="Calibri"/>
          <w:b/>
          <w:sz w:val="22"/>
          <w:szCs w:val="22"/>
          <w:lang w:val="fr-CA"/>
        </w:rPr>
        <w:t>Département d’État des États-Unis</w:t>
      </w:r>
      <w:r w:rsidRPr="00ED414A">
        <w:rPr>
          <w:sz w:val="22"/>
          <w:szCs w:val="22"/>
          <w:lang w:val="fr-CA"/>
        </w:rPr>
        <w:t xml:space="preserve">, </w:t>
      </w:r>
      <w:r w:rsidR="00722D23" w:rsidRPr="00ED414A">
        <w:rPr>
          <w:sz w:val="22"/>
          <w:szCs w:val="22"/>
          <w:lang w:val="fr-CA"/>
        </w:rPr>
        <w:t>le projet</w:t>
      </w:r>
      <w:r w:rsidRPr="00ED414A">
        <w:rPr>
          <w:sz w:val="22"/>
          <w:szCs w:val="22"/>
          <w:lang w:val="fr-CA"/>
        </w:rPr>
        <w:t xml:space="preserve"> </w:t>
      </w:r>
      <w:r w:rsidRPr="00ED414A">
        <w:rPr>
          <w:rFonts w:eastAsia="Calibri"/>
          <w:sz w:val="22"/>
          <w:szCs w:val="22"/>
          <w:lang w:val="fr-CA"/>
        </w:rPr>
        <w:t>“</w:t>
      </w:r>
      <w:r w:rsidRPr="00784BCF">
        <w:rPr>
          <w:rFonts w:eastAsia="Calibri"/>
          <w:i/>
          <w:sz w:val="22"/>
          <w:szCs w:val="22"/>
        </w:rPr>
        <w:t>Building the Resilience of the Small Tourism Enterprises in the Caribbean to Disasters</w:t>
      </w:r>
      <w:r w:rsidRPr="00ED414A">
        <w:rPr>
          <w:rFonts w:eastAsia="Calibri"/>
          <w:sz w:val="22"/>
          <w:szCs w:val="22"/>
          <w:lang w:val="fr-CA"/>
        </w:rPr>
        <w:t>”</w:t>
      </w:r>
      <w:r w:rsidR="00722D23" w:rsidRPr="00ED414A">
        <w:rPr>
          <w:rFonts w:eastAsia="Calibri"/>
          <w:sz w:val="22"/>
          <w:szCs w:val="22"/>
          <w:lang w:val="fr-CA"/>
        </w:rPr>
        <w:t xml:space="preserve"> (renforcement de la résilience des petites entreprises de tourisme des Caraïbes face aux catastrophes) a déjà formé plus de 260 propriétaires et gestionnaires d’entreprise et 30 professionnels en gestion des catastrophes pour aider les petites entreprises de tourisme des Caraïbes à surmonter des défis aux niveaux national ou corporatif qui touchent la continuité des affaires pendant et après des catastrophes. Le projet s’appuie fortement sur des partenariats avec des organismes spécialisés comme l’</w:t>
      </w:r>
      <w:r w:rsidR="00722D23" w:rsidRPr="00ED414A">
        <w:rPr>
          <w:rFonts w:eastAsia="Calibri"/>
          <w:b/>
          <w:sz w:val="22"/>
          <w:szCs w:val="22"/>
          <w:lang w:val="fr-CA"/>
        </w:rPr>
        <w:t xml:space="preserve">Agence caribéenne </w:t>
      </w:r>
      <w:r w:rsidR="00200F1B" w:rsidRPr="00ED414A">
        <w:rPr>
          <w:rFonts w:eastAsia="Calibri"/>
          <w:b/>
          <w:sz w:val="22"/>
          <w:szCs w:val="22"/>
          <w:lang w:val="fr-CA"/>
        </w:rPr>
        <w:t>de gestion des urgences en cas de catastrophe</w:t>
      </w:r>
      <w:r w:rsidRPr="00ED414A">
        <w:rPr>
          <w:rFonts w:eastAsia="Calibri"/>
          <w:b/>
          <w:sz w:val="22"/>
          <w:szCs w:val="22"/>
          <w:lang w:val="fr-CA"/>
        </w:rPr>
        <w:t xml:space="preserve"> (CDEMA)</w:t>
      </w:r>
      <w:r w:rsidRPr="00ED414A">
        <w:rPr>
          <w:sz w:val="22"/>
          <w:szCs w:val="22"/>
          <w:lang w:val="fr-CA"/>
        </w:rPr>
        <w:t>,</w:t>
      </w:r>
      <w:r w:rsidR="00200F1B" w:rsidRPr="00ED414A">
        <w:rPr>
          <w:sz w:val="22"/>
          <w:szCs w:val="22"/>
          <w:lang w:val="fr-CA"/>
        </w:rPr>
        <w:t xml:space="preserve"> l’</w:t>
      </w:r>
      <w:r w:rsidR="00200F1B" w:rsidRPr="00ED414A">
        <w:rPr>
          <w:rFonts w:eastAsia="Calibri"/>
          <w:b/>
          <w:sz w:val="22"/>
          <w:szCs w:val="22"/>
          <w:lang w:val="fr-CA"/>
        </w:rPr>
        <w:t>Organisation caribéenne du tourisme</w:t>
      </w:r>
      <w:r w:rsidRPr="00ED414A">
        <w:rPr>
          <w:rFonts w:eastAsia="Calibri"/>
          <w:b/>
          <w:sz w:val="22"/>
          <w:szCs w:val="22"/>
          <w:lang w:val="fr-CA"/>
        </w:rPr>
        <w:t xml:space="preserve"> (CTO),</w:t>
      </w:r>
      <w:r w:rsidR="00200F1B" w:rsidRPr="00ED414A">
        <w:rPr>
          <w:rFonts w:eastAsia="Calibri"/>
          <w:b/>
          <w:sz w:val="22"/>
          <w:szCs w:val="22"/>
          <w:lang w:val="fr-CA"/>
        </w:rPr>
        <w:t xml:space="preserve"> l’Association caribéenne des hôtels et du tourisme</w:t>
      </w:r>
      <w:r w:rsidRPr="00ED414A">
        <w:rPr>
          <w:rFonts w:eastAsia="Calibri"/>
          <w:b/>
          <w:sz w:val="22"/>
          <w:szCs w:val="22"/>
          <w:lang w:val="fr-CA"/>
        </w:rPr>
        <w:t xml:space="preserve">  </w:t>
      </w:r>
      <w:r w:rsidR="00200F1B" w:rsidRPr="00ED414A">
        <w:rPr>
          <w:rFonts w:eastAsia="Calibri"/>
          <w:b/>
          <w:sz w:val="22"/>
          <w:szCs w:val="22"/>
          <w:lang w:val="fr-CA"/>
        </w:rPr>
        <w:t>et l’Agence fédérale de gestion des urgences</w:t>
      </w:r>
      <w:r w:rsidRPr="00ED414A">
        <w:rPr>
          <w:rFonts w:eastAsia="Calibri"/>
          <w:b/>
          <w:sz w:val="22"/>
          <w:szCs w:val="22"/>
          <w:lang w:val="fr-CA"/>
        </w:rPr>
        <w:t xml:space="preserve"> (FEMA)</w:t>
      </w:r>
      <w:r w:rsidRPr="00ED414A">
        <w:rPr>
          <w:sz w:val="22"/>
          <w:szCs w:val="22"/>
          <w:lang w:val="fr-CA"/>
        </w:rPr>
        <w:t xml:space="preserve"> </w:t>
      </w:r>
      <w:r w:rsidR="00200F1B" w:rsidRPr="00ED414A">
        <w:rPr>
          <w:sz w:val="22"/>
          <w:szCs w:val="22"/>
          <w:lang w:val="fr-CA"/>
        </w:rPr>
        <w:t>en vue d’établir un dialo</w:t>
      </w:r>
      <w:r w:rsidR="00935DB1" w:rsidRPr="00ED414A">
        <w:rPr>
          <w:sz w:val="22"/>
          <w:szCs w:val="22"/>
          <w:lang w:val="fr-CA"/>
        </w:rPr>
        <w:t>gue politique de haut niveau entre les gouvernements, des acteurs du secteur privé et d’autres parties prenantes pertinentes pour renforcer les plans d’urgence et assurer la continuité des affaires suite à une catastrophe.</w:t>
      </w:r>
      <w:r w:rsidR="00200F1B" w:rsidRPr="00ED414A">
        <w:rPr>
          <w:sz w:val="22"/>
          <w:szCs w:val="22"/>
          <w:lang w:val="fr-CA"/>
        </w:rPr>
        <w:t xml:space="preserve"> </w:t>
      </w:r>
    </w:p>
    <w:p w14:paraId="0E3377C5" w14:textId="1EFA0C11" w:rsidR="0038288B" w:rsidRPr="00ED414A" w:rsidRDefault="0038288B" w:rsidP="00ED414A">
      <w:pPr>
        <w:jc w:val="both"/>
        <w:rPr>
          <w:sz w:val="22"/>
          <w:szCs w:val="22"/>
          <w:lang w:val="fr-CA"/>
        </w:rPr>
      </w:pPr>
    </w:p>
    <w:p w14:paraId="67868A5E" w14:textId="1C69E32D" w:rsidR="0038288B" w:rsidRPr="00ED414A" w:rsidRDefault="0038288B" w:rsidP="00ED414A">
      <w:pPr>
        <w:jc w:val="both"/>
        <w:rPr>
          <w:sz w:val="22"/>
          <w:szCs w:val="22"/>
          <w:lang w:val="fr-CA"/>
        </w:rPr>
      </w:pPr>
      <w:r w:rsidRPr="00ED414A">
        <w:rPr>
          <w:rFonts w:eastAsia="Calibri"/>
          <w:b/>
          <w:sz w:val="22"/>
          <w:szCs w:val="22"/>
          <w:u w:val="single" w:color="000000"/>
          <w:lang w:val="fr-CA"/>
        </w:rPr>
        <w:t>D</w:t>
      </w:r>
      <w:r w:rsidR="00935DB1" w:rsidRPr="00ED414A">
        <w:rPr>
          <w:rFonts w:eastAsia="Calibri"/>
          <w:b/>
          <w:sz w:val="22"/>
          <w:szCs w:val="22"/>
          <w:u w:val="single" w:color="000000"/>
          <w:lang w:val="fr-CA"/>
        </w:rPr>
        <w:t>ÉPARTEMENT DU DÉVELOPPEMENT HUMAIN, DE L’ÉDUCATION ET DE L’EMPLOI</w:t>
      </w:r>
      <w:r w:rsidR="008C6EF9" w:rsidRPr="00ED414A">
        <w:rPr>
          <w:rFonts w:eastAsia="Calibri"/>
          <w:b/>
          <w:sz w:val="22"/>
          <w:szCs w:val="22"/>
          <w:u w:val="single" w:color="000000"/>
          <w:lang w:val="fr-CA"/>
        </w:rPr>
        <w:t xml:space="preserve"> </w:t>
      </w:r>
    </w:p>
    <w:p w14:paraId="2F773521" w14:textId="3BA97812" w:rsidR="0038288B" w:rsidRPr="00ED414A" w:rsidRDefault="0038288B" w:rsidP="00ED414A">
      <w:pPr>
        <w:jc w:val="both"/>
        <w:rPr>
          <w:sz w:val="22"/>
          <w:szCs w:val="22"/>
          <w:lang w:val="fr-CA"/>
        </w:rPr>
      </w:pPr>
    </w:p>
    <w:p w14:paraId="0B3E0BEF" w14:textId="1029DA6C" w:rsidR="0038288B" w:rsidRPr="00ED414A" w:rsidRDefault="008C6EF9" w:rsidP="00ED414A">
      <w:pPr>
        <w:ind w:left="-15" w:right="-13" w:firstLine="735"/>
        <w:jc w:val="both"/>
        <w:rPr>
          <w:sz w:val="22"/>
          <w:szCs w:val="22"/>
          <w:lang w:val="fr-CA"/>
        </w:rPr>
      </w:pPr>
      <w:r w:rsidRPr="00ED414A">
        <w:rPr>
          <w:sz w:val="22"/>
          <w:szCs w:val="22"/>
          <w:lang w:val="fr-CA"/>
        </w:rPr>
        <w:t>Outre le précieux partenariat établi avec</w:t>
      </w:r>
      <w:r w:rsidR="0038288B" w:rsidRPr="00ED414A">
        <w:rPr>
          <w:sz w:val="22"/>
          <w:szCs w:val="22"/>
          <w:lang w:val="fr-CA"/>
        </w:rPr>
        <w:t xml:space="preserve"> Structuralia,</w:t>
      </w:r>
      <w:r w:rsidRPr="00ED414A">
        <w:rPr>
          <w:sz w:val="22"/>
          <w:szCs w:val="22"/>
          <w:lang w:val="fr-CA"/>
        </w:rPr>
        <w:t xml:space="preserve"> présenté aujourd’hui, le Département du développement humain, de l’éducation et de l’emploi offre </w:t>
      </w:r>
      <w:r w:rsidR="00E326B5" w:rsidRPr="00ED414A">
        <w:rPr>
          <w:sz w:val="22"/>
          <w:szCs w:val="22"/>
          <w:lang w:val="fr-CA"/>
        </w:rPr>
        <w:t>des possibilités d’obtenir des bourses d’études et contribue à améliorer l’éducation de qualité dans la région en collaboration avec de nombreux autres partenaires.</w:t>
      </w:r>
    </w:p>
    <w:p w14:paraId="665C743D" w14:textId="28931212" w:rsidR="0038288B" w:rsidRPr="00ED414A" w:rsidRDefault="0038288B" w:rsidP="00ED414A">
      <w:pPr>
        <w:jc w:val="both"/>
        <w:rPr>
          <w:sz w:val="22"/>
          <w:szCs w:val="22"/>
          <w:lang w:val="fr-CA"/>
        </w:rPr>
      </w:pPr>
    </w:p>
    <w:p w14:paraId="03E42CA5" w14:textId="15EBE38A" w:rsidR="0038288B" w:rsidRPr="00ED414A" w:rsidRDefault="0038288B" w:rsidP="00ED414A">
      <w:pPr>
        <w:numPr>
          <w:ilvl w:val="0"/>
          <w:numId w:val="23"/>
        </w:numPr>
        <w:ind w:left="1440" w:right="-13" w:hanging="720"/>
        <w:jc w:val="both"/>
        <w:rPr>
          <w:sz w:val="22"/>
          <w:szCs w:val="22"/>
          <w:lang w:val="fr-CA"/>
        </w:rPr>
      </w:pPr>
      <w:r w:rsidRPr="00ED414A">
        <w:rPr>
          <w:rFonts w:eastAsia="Calibri"/>
          <w:b/>
          <w:sz w:val="22"/>
          <w:szCs w:val="22"/>
          <w:lang w:val="fr-CA"/>
        </w:rPr>
        <w:t>PAEC</w:t>
      </w:r>
      <w:r w:rsidR="00862FB9" w:rsidRPr="00ED414A">
        <w:rPr>
          <w:rFonts w:eastAsia="Calibri"/>
          <w:b/>
          <w:sz w:val="22"/>
          <w:szCs w:val="22"/>
          <w:lang w:val="fr-CA"/>
        </w:rPr>
        <w:t xml:space="preserve"> Brésil avec </w:t>
      </w:r>
      <w:r w:rsidRPr="00ED414A">
        <w:rPr>
          <w:rFonts w:eastAsia="Calibri"/>
          <w:b/>
          <w:sz w:val="22"/>
          <w:szCs w:val="22"/>
          <w:lang w:val="fr-CA"/>
        </w:rPr>
        <w:t>Grupo Coimbra</w:t>
      </w:r>
      <w:r w:rsidR="00862FB9" w:rsidRPr="00ED414A">
        <w:rPr>
          <w:rFonts w:eastAsia="Calibri"/>
          <w:b/>
          <w:sz w:val="22"/>
          <w:szCs w:val="22"/>
          <w:lang w:val="fr-CA"/>
        </w:rPr>
        <w:t xml:space="preserve"> : 3 </w:t>
      </w:r>
      <w:r w:rsidRPr="00ED414A">
        <w:rPr>
          <w:rFonts w:eastAsia="Calibri"/>
          <w:b/>
          <w:sz w:val="22"/>
          <w:szCs w:val="22"/>
          <w:lang w:val="fr-CA"/>
        </w:rPr>
        <w:t>880</w:t>
      </w:r>
      <w:r w:rsidR="00862FB9" w:rsidRPr="00ED414A">
        <w:rPr>
          <w:rFonts w:eastAsia="Calibri"/>
          <w:b/>
          <w:sz w:val="22"/>
          <w:szCs w:val="22"/>
          <w:lang w:val="fr-CA"/>
        </w:rPr>
        <w:t xml:space="preserve"> étudiants</w:t>
      </w:r>
      <w:r w:rsidR="00862FB9" w:rsidRPr="00ED414A">
        <w:rPr>
          <w:sz w:val="22"/>
          <w:szCs w:val="22"/>
          <w:lang w:val="fr-CA"/>
        </w:rPr>
        <w:t xml:space="preserve"> ont reçu une bourse d’étude pour terminer une maitrise ou un doctorat dans l’un de plus de </w:t>
      </w:r>
      <w:r w:rsidR="00862FB9" w:rsidRPr="00ED414A">
        <w:rPr>
          <w:b/>
          <w:sz w:val="22"/>
          <w:szCs w:val="22"/>
          <w:lang w:val="fr-CA"/>
        </w:rPr>
        <w:t>700</w:t>
      </w:r>
      <w:r w:rsidR="00862FB9" w:rsidRPr="00ED414A">
        <w:rPr>
          <w:sz w:val="22"/>
          <w:szCs w:val="22"/>
          <w:lang w:val="fr-CA"/>
        </w:rPr>
        <w:t xml:space="preserve"> programmes hautement spécialisés</w:t>
      </w:r>
      <w:r w:rsidR="00FA00B2" w:rsidRPr="00ED414A">
        <w:rPr>
          <w:sz w:val="22"/>
          <w:szCs w:val="22"/>
          <w:lang w:val="fr-CA"/>
        </w:rPr>
        <w:t xml:space="preserve"> partout au Brésil grâce à notre partenariat avec</w:t>
      </w:r>
      <w:r w:rsidR="00862FB9" w:rsidRPr="00ED414A">
        <w:rPr>
          <w:sz w:val="22"/>
          <w:szCs w:val="22"/>
          <w:lang w:val="fr-CA"/>
        </w:rPr>
        <w:t xml:space="preserve"> </w:t>
      </w:r>
      <w:r w:rsidR="00FA00B2" w:rsidRPr="00ED414A">
        <w:rPr>
          <w:rFonts w:eastAsia="Calibri"/>
          <w:b/>
          <w:sz w:val="22"/>
          <w:szCs w:val="22"/>
          <w:lang w:val="fr-CA"/>
        </w:rPr>
        <w:t>le Groupe</w:t>
      </w:r>
      <w:r w:rsidRPr="00ED414A">
        <w:rPr>
          <w:rFonts w:eastAsia="Calibri"/>
          <w:b/>
          <w:sz w:val="22"/>
          <w:szCs w:val="22"/>
          <w:lang w:val="fr-CA"/>
        </w:rPr>
        <w:t xml:space="preserve"> Coimbra</w:t>
      </w:r>
      <w:r w:rsidR="00FA00B2" w:rsidRPr="00ED414A">
        <w:rPr>
          <w:rFonts w:eastAsia="Calibri"/>
          <w:b/>
          <w:sz w:val="22"/>
          <w:szCs w:val="22"/>
          <w:lang w:val="fr-CA"/>
        </w:rPr>
        <w:t xml:space="preserve"> d’universités brésiliennes (</w:t>
      </w:r>
      <w:r w:rsidRPr="00ED414A">
        <w:rPr>
          <w:rFonts w:eastAsia="Calibri"/>
          <w:b/>
          <w:sz w:val="22"/>
          <w:szCs w:val="22"/>
          <w:lang w:val="fr-CA"/>
        </w:rPr>
        <w:t>G</w:t>
      </w:r>
      <w:r w:rsidR="00FA00B2" w:rsidRPr="00ED414A">
        <w:rPr>
          <w:rFonts w:eastAsia="Calibri"/>
          <w:b/>
          <w:sz w:val="22"/>
          <w:szCs w:val="22"/>
          <w:lang w:val="fr-CA"/>
        </w:rPr>
        <w:t>CU</w:t>
      </w:r>
      <w:r w:rsidRPr="00ED414A">
        <w:rPr>
          <w:rFonts w:eastAsia="Calibri"/>
          <w:b/>
          <w:sz w:val="22"/>
          <w:szCs w:val="22"/>
          <w:lang w:val="fr-CA"/>
        </w:rPr>
        <w:t>B)</w:t>
      </w:r>
      <w:r w:rsidRPr="00ED414A">
        <w:rPr>
          <w:sz w:val="22"/>
          <w:szCs w:val="22"/>
          <w:lang w:val="fr-CA"/>
        </w:rPr>
        <w:t xml:space="preserve">. </w:t>
      </w:r>
      <w:r w:rsidR="00FA00B2" w:rsidRPr="00ED414A">
        <w:rPr>
          <w:sz w:val="22"/>
          <w:szCs w:val="22"/>
          <w:lang w:val="fr-CA"/>
        </w:rPr>
        <w:t xml:space="preserve">Le Programme de bourses d’études du Brésil encourage la mobilité entre universités, l’internationalisation des universités et le développement humain dans le Continent américain; il a </w:t>
      </w:r>
      <w:r w:rsidR="00C461C4" w:rsidRPr="00ED414A">
        <w:rPr>
          <w:sz w:val="22"/>
          <w:szCs w:val="22"/>
          <w:lang w:val="fr-CA"/>
        </w:rPr>
        <w:t xml:space="preserve">renforcé efficacement les liens entre l’Amérique latine et les Caraïbes, d’une part, et le Brésil, et a aidé à faire connaitre le Brésil en tant que leader dans le domaine de l’internationalisation des études supérieures. La valeur totale du programme depuis sa formation en 2011 est de </w:t>
      </w:r>
      <w:r w:rsidR="005A07DF" w:rsidRPr="00ED414A">
        <w:rPr>
          <w:sz w:val="22"/>
          <w:szCs w:val="22"/>
          <w:lang w:val="fr-CA"/>
        </w:rPr>
        <w:t xml:space="preserve">près de </w:t>
      </w:r>
      <w:r w:rsidR="00784BCF">
        <w:rPr>
          <w:sz w:val="22"/>
          <w:szCs w:val="22"/>
          <w:lang w:val="fr-CA"/>
        </w:rPr>
        <w:t>$</w:t>
      </w:r>
      <w:r w:rsidR="005A07DF" w:rsidRPr="00ED414A">
        <w:rPr>
          <w:sz w:val="22"/>
          <w:szCs w:val="22"/>
          <w:lang w:val="fr-CA"/>
        </w:rPr>
        <w:t>200 millions, et il profite à des étudiants de 30 pays.</w:t>
      </w:r>
      <w:r w:rsidRPr="00ED414A">
        <w:rPr>
          <w:sz w:val="22"/>
          <w:szCs w:val="22"/>
          <w:lang w:val="fr-CA"/>
        </w:rPr>
        <w:t xml:space="preserve"> </w:t>
      </w:r>
    </w:p>
    <w:p w14:paraId="6391594E" w14:textId="3576E392" w:rsidR="0038288B" w:rsidRPr="00ED414A" w:rsidRDefault="0038288B" w:rsidP="00ED414A">
      <w:pPr>
        <w:jc w:val="both"/>
        <w:rPr>
          <w:sz w:val="22"/>
          <w:szCs w:val="22"/>
          <w:lang w:val="fr-CA"/>
        </w:rPr>
      </w:pPr>
    </w:p>
    <w:p w14:paraId="5A1BFB59" w14:textId="5FB4E585" w:rsidR="0038288B" w:rsidRPr="00ED414A" w:rsidRDefault="0038288B" w:rsidP="00ED414A">
      <w:pPr>
        <w:numPr>
          <w:ilvl w:val="0"/>
          <w:numId w:val="23"/>
        </w:numPr>
        <w:ind w:left="1440" w:right="-13" w:hanging="720"/>
        <w:jc w:val="both"/>
        <w:rPr>
          <w:sz w:val="22"/>
          <w:szCs w:val="22"/>
          <w:lang w:val="fr-CA"/>
        </w:rPr>
      </w:pPr>
      <w:r w:rsidRPr="00ED414A">
        <w:rPr>
          <w:rFonts w:eastAsia="Calibri"/>
          <w:b/>
          <w:sz w:val="22"/>
          <w:szCs w:val="22"/>
          <w:lang w:val="fr-CA"/>
        </w:rPr>
        <w:t xml:space="preserve">PAEC </w:t>
      </w:r>
      <w:r w:rsidR="005A07DF" w:rsidRPr="00ED414A">
        <w:rPr>
          <w:rFonts w:eastAsia="Calibri"/>
          <w:b/>
          <w:sz w:val="22"/>
          <w:szCs w:val="22"/>
          <w:lang w:val="fr-CA"/>
        </w:rPr>
        <w:t>Mexique :</w:t>
      </w:r>
      <w:r w:rsidRPr="00ED414A">
        <w:rPr>
          <w:rFonts w:eastAsia="Calibri"/>
          <w:b/>
          <w:sz w:val="22"/>
          <w:szCs w:val="22"/>
          <w:lang w:val="fr-CA"/>
        </w:rPr>
        <w:t xml:space="preserve"> </w:t>
      </w:r>
      <w:r w:rsidR="005A07DF" w:rsidRPr="00ED414A">
        <w:rPr>
          <w:sz w:val="22"/>
          <w:szCs w:val="22"/>
          <w:lang w:val="fr-CA"/>
        </w:rPr>
        <w:t xml:space="preserve">Le Programme de bourses </w:t>
      </w:r>
      <w:r w:rsidR="00DE65BB" w:rsidRPr="00ED414A">
        <w:rPr>
          <w:sz w:val="22"/>
          <w:szCs w:val="22"/>
          <w:lang w:val="fr-CA"/>
        </w:rPr>
        <w:t>d’études OEA-</w:t>
      </w:r>
      <w:r w:rsidRPr="00ED414A">
        <w:rPr>
          <w:sz w:val="22"/>
          <w:szCs w:val="22"/>
          <w:lang w:val="fr-CA"/>
        </w:rPr>
        <w:t>CONACYT‐AMEXCID</w:t>
      </w:r>
      <w:r w:rsidR="00DE65BB" w:rsidRPr="00ED414A">
        <w:rPr>
          <w:sz w:val="22"/>
          <w:szCs w:val="22"/>
          <w:lang w:val="fr-CA"/>
        </w:rPr>
        <w:t xml:space="preserve"> est l’un des programmes de bourses d’études de l’OEA qui constituent un pilier et fait partie d’un partenariat stratégique et de collaboration avec le gouvernement du Mexique. Depuis 2013, plus de </w:t>
      </w:r>
      <w:r w:rsidR="00DE65BB" w:rsidRPr="00ED414A">
        <w:rPr>
          <w:rFonts w:eastAsia="Calibri"/>
          <w:b/>
          <w:sz w:val="22"/>
          <w:szCs w:val="22"/>
          <w:lang w:val="fr-CA"/>
        </w:rPr>
        <w:t>3 </w:t>
      </w:r>
      <w:r w:rsidRPr="00ED414A">
        <w:rPr>
          <w:rFonts w:eastAsia="Calibri"/>
          <w:b/>
          <w:sz w:val="22"/>
          <w:szCs w:val="22"/>
          <w:lang w:val="fr-CA"/>
        </w:rPr>
        <w:t>400</w:t>
      </w:r>
      <w:r w:rsidR="00DE65BB" w:rsidRPr="00ED414A">
        <w:rPr>
          <w:rFonts w:eastAsia="Calibri"/>
          <w:b/>
          <w:sz w:val="22"/>
          <w:szCs w:val="22"/>
          <w:lang w:val="fr-CA"/>
        </w:rPr>
        <w:t xml:space="preserve"> bourses d’étude</w:t>
      </w:r>
      <w:r w:rsidR="00DE65BB" w:rsidRPr="00ED414A">
        <w:rPr>
          <w:sz w:val="22"/>
          <w:szCs w:val="22"/>
          <w:lang w:val="fr-CA"/>
        </w:rPr>
        <w:t xml:space="preserve"> ont été octroyées à des étudiants de 27 États membres de l’</w:t>
      </w:r>
      <w:r w:rsidR="00E8549F" w:rsidRPr="00ED414A">
        <w:rPr>
          <w:sz w:val="22"/>
          <w:szCs w:val="22"/>
          <w:lang w:val="fr-CA"/>
        </w:rPr>
        <w:t>OEA, élargissant les débouchés en matière d’éducation dans les domaines de science et génie et renforçant le développement humain dans les Amériques. La valeur totale du programme depuis ses débuts est de près de</w:t>
      </w:r>
      <w:r w:rsidR="00DE65BB" w:rsidRPr="00ED414A">
        <w:rPr>
          <w:sz w:val="22"/>
          <w:szCs w:val="22"/>
          <w:lang w:val="fr-CA"/>
        </w:rPr>
        <w:t xml:space="preserve"> </w:t>
      </w:r>
      <w:r w:rsidR="00784BCF">
        <w:rPr>
          <w:sz w:val="22"/>
          <w:szCs w:val="22"/>
          <w:lang w:val="fr-CA"/>
        </w:rPr>
        <w:t>$</w:t>
      </w:r>
      <w:r w:rsidR="00E8549F" w:rsidRPr="00ED414A">
        <w:rPr>
          <w:sz w:val="22"/>
          <w:szCs w:val="22"/>
          <w:lang w:val="fr-CA"/>
        </w:rPr>
        <w:t>173 </w:t>
      </w:r>
      <w:r w:rsidRPr="00ED414A">
        <w:rPr>
          <w:sz w:val="22"/>
          <w:szCs w:val="22"/>
          <w:lang w:val="fr-CA"/>
        </w:rPr>
        <w:t>million</w:t>
      </w:r>
      <w:r w:rsidR="00E8549F" w:rsidRPr="00ED414A">
        <w:rPr>
          <w:sz w:val="22"/>
          <w:szCs w:val="22"/>
          <w:lang w:val="fr-CA"/>
        </w:rPr>
        <w:t>s</w:t>
      </w:r>
      <w:r w:rsidR="00784BCF">
        <w:rPr>
          <w:sz w:val="22"/>
          <w:szCs w:val="22"/>
          <w:lang w:val="fr-CA"/>
        </w:rPr>
        <w:t>.</w:t>
      </w:r>
    </w:p>
    <w:p w14:paraId="7E866264" w14:textId="663E2216" w:rsidR="0038288B" w:rsidRPr="00ED414A" w:rsidRDefault="0038288B" w:rsidP="00ED414A">
      <w:pPr>
        <w:jc w:val="both"/>
        <w:rPr>
          <w:sz w:val="22"/>
          <w:szCs w:val="22"/>
          <w:lang w:val="fr-CA"/>
        </w:rPr>
      </w:pPr>
    </w:p>
    <w:p w14:paraId="04798719" w14:textId="51FFF1D6" w:rsidR="0038288B" w:rsidRPr="00ED414A" w:rsidRDefault="0038288B" w:rsidP="00ED414A">
      <w:pPr>
        <w:numPr>
          <w:ilvl w:val="0"/>
          <w:numId w:val="23"/>
        </w:numPr>
        <w:ind w:left="1440" w:right="-13" w:hanging="720"/>
        <w:jc w:val="both"/>
        <w:rPr>
          <w:sz w:val="22"/>
          <w:szCs w:val="22"/>
          <w:lang w:val="fr-CA"/>
        </w:rPr>
      </w:pPr>
      <w:r w:rsidRPr="00ED414A">
        <w:rPr>
          <w:rFonts w:eastAsia="Calibri"/>
          <w:b/>
          <w:sz w:val="22"/>
          <w:szCs w:val="22"/>
          <w:lang w:val="fr-CA"/>
        </w:rPr>
        <w:t>Part</w:t>
      </w:r>
      <w:r w:rsidR="008E0785" w:rsidRPr="00ED414A">
        <w:rPr>
          <w:rFonts w:eastAsia="Calibri"/>
          <w:b/>
          <w:sz w:val="22"/>
          <w:szCs w:val="22"/>
          <w:lang w:val="fr-CA"/>
        </w:rPr>
        <w:t>enaires pour le</w:t>
      </w:r>
      <w:r w:rsidR="00127A90" w:rsidRPr="00ED414A">
        <w:rPr>
          <w:rFonts w:eastAsia="Calibri"/>
          <w:b/>
          <w:sz w:val="22"/>
          <w:szCs w:val="22"/>
          <w:lang w:val="fr-CA"/>
        </w:rPr>
        <w:t xml:space="preserve"> réseau</w:t>
      </w:r>
      <w:r w:rsidRPr="00ED414A">
        <w:rPr>
          <w:rFonts w:eastAsia="Calibri"/>
          <w:b/>
          <w:sz w:val="22"/>
          <w:szCs w:val="22"/>
          <w:lang w:val="fr-CA"/>
        </w:rPr>
        <w:t xml:space="preserve"> ITEN</w:t>
      </w:r>
      <w:r w:rsidR="00127A90" w:rsidRPr="00ED414A">
        <w:rPr>
          <w:rFonts w:eastAsia="Calibri"/>
          <w:b/>
          <w:sz w:val="22"/>
          <w:szCs w:val="22"/>
          <w:lang w:val="fr-CA"/>
        </w:rPr>
        <w:t> </w:t>
      </w:r>
      <w:r w:rsidRPr="00ED414A">
        <w:rPr>
          <w:rFonts w:eastAsia="Calibri"/>
          <w:b/>
          <w:sz w:val="22"/>
          <w:szCs w:val="22"/>
          <w:lang w:val="fr-CA"/>
        </w:rPr>
        <w:t xml:space="preserve">: </w:t>
      </w:r>
      <w:r w:rsidR="008E0785" w:rsidRPr="00ED414A">
        <w:rPr>
          <w:sz w:val="22"/>
          <w:szCs w:val="22"/>
          <w:lang w:val="fr-CA"/>
        </w:rPr>
        <w:t>Un partenariat réussi entre le Campus ouvert de la</w:t>
      </w:r>
      <w:r w:rsidRPr="00ED414A">
        <w:rPr>
          <w:sz w:val="22"/>
          <w:szCs w:val="22"/>
          <w:lang w:val="fr-CA"/>
        </w:rPr>
        <w:t xml:space="preserve"> University of the West Indies</w:t>
      </w:r>
      <w:r w:rsidR="008E0785" w:rsidRPr="00ED414A">
        <w:rPr>
          <w:sz w:val="22"/>
          <w:szCs w:val="22"/>
          <w:lang w:val="fr-CA"/>
        </w:rPr>
        <w:t xml:space="preserve"> (basée à la Barbade) et notre Réseau interaméricain de formation des enseignants </w:t>
      </w:r>
      <w:r w:rsidRPr="00ED414A">
        <w:rPr>
          <w:sz w:val="22"/>
          <w:szCs w:val="22"/>
          <w:lang w:val="fr-CA"/>
        </w:rPr>
        <w:t>(ITEN)</w:t>
      </w:r>
      <w:r w:rsidR="008E0785" w:rsidRPr="00ED414A">
        <w:rPr>
          <w:sz w:val="22"/>
          <w:szCs w:val="22"/>
          <w:lang w:val="fr-CA"/>
        </w:rPr>
        <w:t xml:space="preserve"> a servi à institutionnaliser </w:t>
      </w:r>
      <w:r w:rsidR="00127A90" w:rsidRPr="00ED414A">
        <w:rPr>
          <w:sz w:val="22"/>
          <w:szCs w:val="22"/>
          <w:lang w:val="fr-CA"/>
        </w:rPr>
        <w:t>l’enseignement des sciences, de la technologie, la recherche, de l’ingénierie, des arts et des mathématiques (STREAM)</w:t>
      </w:r>
      <w:r w:rsidR="00C539B1" w:rsidRPr="00ED414A">
        <w:rPr>
          <w:sz w:val="22"/>
          <w:szCs w:val="22"/>
          <w:lang w:val="fr-CA"/>
        </w:rPr>
        <w:t xml:space="preserve"> au sein d’un programme d’enseignement accrédité qui dessert les Caraïbes. Au nombre des mesures concrètes on compte la création de la Communauté virtuelle STREAM UWI-ITEN et l’incorporation d’activités STREAM élaborées au sein de l’ITEN dans deux programmes d’enseignement.</w:t>
      </w:r>
      <w:r w:rsidRPr="00ED414A">
        <w:rPr>
          <w:sz w:val="22"/>
          <w:szCs w:val="22"/>
          <w:lang w:val="fr-CA"/>
        </w:rPr>
        <w:t xml:space="preserve"> </w:t>
      </w:r>
    </w:p>
    <w:p w14:paraId="45408BCB" w14:textId="0429E37F" w:rsidR="0038288B" w:rsidRPr="00ED414A" w:rsidRDefault="0038288B" w:rsidP="00ED414A">
      <w:pPr>
        <w:jc w:val="both"/>
        <w:rPr>
          <w:sz w:val="22"/>
          <w:szCs w:val="22"/>
          <w:lang w:val="fr-CA"/>
        </w:rPr>
      </w:pPr>
    </w:p>
    <w:p w14:paraId="21EFC9D1" w14:textId="3D544514" w:rsidR="00B76CC5" w:rsidRPr="00ED414A" w:rsidRDefault="0038288B" w:rsidP="00ED414A">
      <w:pPr>
        <w:numPr>
          <w:ilvl w:val="0"/>
          <w:numId w:val="23"/>
        </w:numPr>
        <w:ind w:left="1440" w:right="-13" w:hanging="720"/>
        <w:jc w:val="both"/>
        <w:rPr>
          <w:sz w:val="22"/>
          <w:szCs w:val="22"/>
          <w:lang w:val="fr-CA"/>
        </w:rPr>
      </w:pPr>
      <w:r w:rsidRPr="00ED414A">
        <w:rPr>
          <w:rFonts w:eastAsia="Calibri"/>
          <w:b/>
          <w:sz w:val="22"/>
          <w:szCs w:val="22"/>
          <w:lang w:val="fr-CA"/>
        </w:rPr>
        <w:t>Part</w:t>
      </w:r>
      <w:r w:rsidR="00C539B1" w:rsidRPr="00ED414A">
        <w:rPr>
          <w:rFonts w:eastAsia="Calibri"/>
          <w:b/>
          <w:sz w:val="22"/>
          <w:szCs w:val="22"/>
          <w:lang w:val="fr-CA"/>
        </w:rPr>
        <w:t>enaires du Portail éducatif des Amériques </w:t>
      </w:r>
      <w:r w:rsidRPr="00ED414A">
        <w:rPr>
          <w:rFonts w:eastAsia="Calibri"/>
          <w:b/>
          <w:sz w:val="22"/>
          <w:szCs w:val="22"/>
          <w:lang w:val="fr-CA"/>
        </w:rPr>
        <w:t xml:space="preserve">: </w:t>
      </w:r>
      <w:r w:rsidR="00F255E7" w:rsidRPr="00ED414A">
        <w:rPr>
          <w:sz w:val="22"/>
          <w:szCs w:val="22"/>
          <w:lang w:val="fr-CA"/>
        </w:rPr>
        <w:t>Le partenariat entre l’</w:t>
      </w:r>
      <w:r w:rsidR="00F255E7" w:rsidRPr="00ED414A">
        <w:rPr>
          <w:b/>
          <w:sz w:val="22"/>
          <w:szCs w:val="22"/>
          <w:lang w:val="fr-CA"/>
        </w:rPr>
        <w:t>OEA</w:t>
      </w:r>
      <w:r w:rsidR="00F255E7" w:rsidRPr="00ED414A">
        <w:rPr>
          <w:sz w:val="22"/>
          <w:szCs w:val="22"/>
          <w:lang w:val="fr-CA"/>
        </w:rPr>
        <w:t xml:space="preserve"> et la </w:t>
      </w:r>
      <w:r w:rsidR="00F255E7" w:rsidRPr="00ED414A">
        <w:rPr>
          <w:b/>
          <w:sz w:val="22"/>
          <w:szCs w:val="22"/>
          <w:lang w:val="fr-CA"/>
        </w:rPr>
        <w:t>Fondation</w:t>
      </w:r>
      <w:r w:rsidRPr="00ED414A">
        <w:rPr>
          <w:b/>
          <w:sz w:val="22"/>
          <w:szCs w:val="22"/>
          <w:lang w:val="fr-CA"/>
        </w:rPr>
        <w:t xml:space="preserve"> </w:t>
      </w:r>
      <w:r w:rsidRPr="00ED414A">
        <w:rPr>
          <w:rFonts w:eastAsia="Calibri"/>
          <w:b/>
          <w:sz w:val="22"/>
          <w:szCs w:val="22"/>
          <w:lang w:val="fr-CA"/>
        </w:rPr>
        <w:t>ProFuturo</w:t>
      </w:r>
      <w:r w:rsidRPr="00ED414A">
        <w:rPr>
          <w:sz w:val="22"/>
          <w:szCs w:val="22"/>
          <w:lang w:val="fr-CA"/>
        </w:rPr>
        <w:t xml:space="preserve"> </w:t>
      </w:r>
      <w:r w:rsidR="00F255E7" w:rsidRPr="00ED414A">
        <w:rPr>
          <w:sz w:val="22"/>
          <w:szCs w:val="22"/>
          <w:lang w:val="fr-CA"/>
        </w:rPr>
        <w:t>vise à donner accès à un enseignement numérique de qualité dans des zones défavorisées de 5 pays des Caraïbes, en offrant aux écoles des formations pour les enseignants, du matériel technologique et des contenus didactiques numériques. Depuis ses débuts en 2018, un total de 92 écoles</w:t>
      </w:r>
      <w:r w:rsidR="00B915B5" w:rsidRPr="00ED414A">
        <w:rPr>
          <w:sz w:val="22"/>
          <w:szCs w:val="22"/>
          <w:lang w:val="fr-CA"/>
        </w:rPr>
        <w:t xml:space="preserve"> ont reçu des tablettes et des ordinateurs; l’accès à une plateforme éducative en ligne pour la gestion des processus d’enseignement; du contenu numérique gratuit; une formation et un soutien pour les enseignants participants. En réponse à la pandémie de COVID-19, de nouveaux cours en ligne sur l’innovation et sur la technologie de l’information et de la communication (TIC) ainsi que d’autres contenus éducatifs numériques ont été offerts. Le Programme a formé 3 659 enseignants </w:t>
      </w:r>
      <w:r w:rsidR="00472522" w:rsidRPr="00ED414A">
        <w:rPr>
          <w:sz w:val="22"/>
          <w:szCs w:val="22"/>
          <w:lang w:val="fr-CA"/>
        </w:rPr>
        <w:t xml:space="preserve">en utilisant un modèle de formation des enseignants, dépassant l’objectif original de plus de 100%. La contribution de la Fondation ProFuturo au projet est évaluée à plus de </w:t>
      </w:r>
      <w:r w:rsidR="00F82202">
        <w:rPr>
          <w:sz w:val="22"/>
          <w:szCs w:val="22"/>
          <w:lang w:val="fr-CA"/>
        </w:rPr>
        <w:t>$1,3 million.</w:t>
      </w:r>
    </w:p>
    <w:p w14:paraId="4F8E72A2" w14:textId="77777777" w:rsidR="00B76CC5" w:rsidRPr="00ED414A" w:rsidRDefault="00B76CC5" w:rsidP="00ED414A">
      <w:pPr>
        <w:rPr>
          <w:sz w:val="22"/>
          <w:szCs w:val="22"/>
          <w:lang w:val="fr-CA"/>
        </w:rPr>
      </w:pPr>
    </w:p>
    <w:p w14:paraId="693F318D" w14:textId="6A48C5D0" w:rsidR="0038288B" w:rsidRPr="00ED414A" w:rsidRDefault="00472522" w:rsidP="00ED414A">
      <w:pPr>
        <w:keepNext/>
        <w:ind w:right="-13"/>
        <w:jc w:val="both"/>
        <w:rPr>
          <w:b/>
          <w:sz w:val="22"/>
          <w:szCs w:val="22"/>
          <w:lang w:val="fr-CA"/>
        </w:rPr>
      </w:pPr>
      <w:r w:rsidRPr="00ED414A">
        <w:rPr>
          <w:b/>
          <w:sz w:val="22"/>
          <w:szCs w:val="22"/>
          <w:lang w:val="fr-CA"/>
        </w:rPr>
        <w:t>SECRÉ</w:t>
      </w:r>
      <w:r w:rsidR="0038288B" w:rsidRPr="00ED414A">
        <w:rPr>
          <w:b/>
          <w:sz w:val="22"/>
          <w:szCs w:val="22"/>
          <w:lang w:val="fr-CA"/>
        </w:rPr>
        <w:t>TARIAT</w:t>
      </w:r>
      <w:r w:rsidRPr="00ED414A">
        <w:rPr>
          <w:b/>
          <w:sz w:val="22"/>
          <w:szCs w:val="22"/>
          <w:lang w:val="fr-CA"/>
        </w:rPr>
        <w:t xml:space="preserve"> DE LA COMMISSION INTERAMÉRICAINE DES </w:t>
      </w:r>
      <w:r w:rsidR="0038288B" w:rsidRPr="00ED414A">
        <w:rPr>
          <w:b/>
          <w:sz w:val="22"/>
          <w:szCs w:val="22"/>
          <w:lang w:val="fr-CA"/>
        </w:rPr>
        <w:t>PORTS (CIP)</w:t>
      </w:r>
      <w:r w:rsidR="0038288B" w:rsidRPr="00ED414A">
        <w:rPr>
          <w:b/>
          <w:sz w:val="22"/>
          <w:szCs w:val="22"/>
          <w:u w:color="000000"/>
          <w:lang w:val="fr-CA"/>
        </w:rPr>
        <w:t xml:space="preserve"> </w:t>
      </w:r>
    </w:p>
    <w:p w14:paraId="385CDE9E" w14:textId="60FD6D82" w:rsidR="0038288B" w:rsidRPr="00ED414A" w:rsidRDefault="0038288B" w:rsidP="00ED414A">
      <w:pPr>
        <w:keepNext/>
        <w:jc w:val="both"/>
        <w:rPr>
          <w:sz w:val="22"/>
          <w:szCs w:val="22"/>
          <w:lang w:val="fr-CA"/>
        </w:rPr>
      </w:pPr>
    </w:p>
    <w:p w14:paraId="5DD5188E" w14:textId="1DEA8DA3" w:rsidR="0038288B" w:rsidRPr="00ED414A" w:rsidRDefault="00472522" w:rsidP="00ED414A">
      <w:pPr>
        <w:keepNext/>
        <w:ind w:left="-5" w:firstLine="725"/>
        <w:jc w:val="both"/>
        <w:rPr>
          <w:rFonts w:eastAsia="Calibri"/>
          <w:b/>
          <w:sz w:val="22"/>
          <w:szCs w:val="22"/>
          <w:lang w:val="fr-CA"/>
        </w:rPr>
      </w:pPr>
      <w:r w:rsidRPr="00ED414A">
        <w:rPr>
          <w:rFonts w:eastAsia="Calibri"/>
          <w:b/>
          <w:sz w:val="22"/>
          <w:szCs w:val="22"/>
          <w:lang w:val="fr-CA"/>
        </w:rPr>
        <w:t>Gestion des risques de catastrophe et résilience </w:t>
      </w:r>
      <w:r w:rsidR="0038288B" w:rsidRPr="00ED414A">
        <w:rPr>
          <w:rFonts w:eastAsia="Calibri"/>
          <w:b/>
          <w:sz w:val="22"/>
          <w:szCs w:val="22"/>
          <w:lang w:val="fr-CA"/>
        </w:rPr>
        <w:t>:</w:t>
      </w:r>
    </w:p>
    <w:p w14:paraId="413C1414" w14:textId="77777777" w:rsidR="00B76CC5" w:rsidRPr="00ED414A" w:rsidRDefault="00B76CC5" w:rsidP="00ED414A">
      <w:pPr>
        <w:keepNext/>
        <w:jc w:val="both"/>
        <w:rPr>
          <w:sz w:val="22"/>
          <w:szCs w:val="22"/>
          <w:lang w:val="fr-CA"/>
        </w:rPr>
      </w:pPr>
    </w:p>
    <w:p w14:paraId="531BF286" w14:textId="77200972" w:rsidR="0038288B" w:rsidRPr="00ED414A" w:rsidRDefault="000D140C" w:rsidP="00ED414A">
      <w:pPr>
        <w:numPr>
          <w:ilvl w:val="0"/>
          <w:numId w:val="24"/>
        </w:numPr>
        <w:ind w:left="1440" w:right="-13" w:hanging="720"/>
        <w:jc w:val="both"/>
        <w:rPr>
          <w:sz w:val="22"/>
          <w:szCs w:val="22"/>
          <w:lang w:val="fr-CA"/>
        </w:rPr>
      </w:pPr>
      <w:r w:rsidRPr="00ED414A">
        <w:rPr>
          <w:sz w:val="22"/>
          <w:szCs w:val="22"/>
          <w:lang w:val="fr-CA"/>
        </w:rPr>
        <w:t>Un nouveau projet de la</w:t>
      </w:r>
      <w:r w:rsidR="0038288B" w:rsidRPr="00ED414A">
        <w:rPr>
          <w:sz w:val="22"/>
          <w:szCs w:val="22"/>
          <w:lang w:val="fr-CA"/>
        </w:rPr>
        <w:t xml:space="preserve"> CIP</w:t>
      </w:r>
      <w:r w:rsidR="00812DBC" w:rsidRPr="00ED414A">
        <w:rPr>
          <w:sz w:val="22"/>
          <w:szCs w:val="22"/>
          <w:lang w:val="fr-CA"/>
        </w:rPr>
        <w:t xml:space="preserve"> nommé</w:t>
      </w:r>
      <w:r w:rsidR="0038288B" w:rsidRPr="00ED414A">
        <w:rPr>
          <w:sz w:val="22"/>
          <w:szCs w:val="22"/>
          <w:lang w:val="fr-CA"/>
        </w:rPr>
        <w:t xml:space="preserve"> </w:t>
      </w:r>
      <w:r w:rsidR="0038288B" w:rsidRPr="00ED414A">
        <w:rPr>
          <w:rFonts w:eastAsia="Calibri"/>
          <w:sz w:val="22"/>
          <w:szCs w:val="22"/>
          <w:lang w:val="fr-CA"/>
        </w:rPr>
        <w:t>“</w:t>
      </w:r>
      <w:r w:rsidR="0038288B" w:rsidRPr="00F82202">
        <w:rPr>
          <w:rFonts w:eastAsia="Calibri"/>
          <w:i/>
          <w:sz w:val="22"/>
          <w:szCs w:val="22"/>
        </w:rPr>
        <w:t>Improved Disaster Mitigation for Ports in the Caribbean</w:t>
      </w:r>
      <w:r w:rsidR="0038288B" w:rsidRPr="00ED414A">
        <w:rPr>
          <w:rFonts w:eastAsia="Calibri"/>
          <w:sz w:val="22"/>
          <w:szCs w:val="22"/>
          <w:lang w:val="fr-CA"/>
        </w:rPr>
        <w:t>”</w:t>
      </w:r>
      <w:r w:rsidR="00812DBC" w:rsidRPr="00ED414A">
        <w:rPr>
          <w:rFonts w:eastAsia="Calibri"/>
          <w:sz w:val="22"/>
          <w:szCs w:val="22"/>
          <w:lang w:val="fr-CA"/>
        </w:rPr>
        <w:t xml:space="preserve"> (mitigation améliorée des catastrophes à l’usage des ports dans les Caraïbes) conçu pour améliorer la réponse des autorités portuaires nationales aux catastrophes naturelles et accroitre la résilience des ports et des entreprises dans les Caraïbes est financé par les gouvernements de l’Italie et des États-Unis. Leurs contributions exercent un effet de levier sur le soutien stratégique en nature provenant de partenaires importants tels que l’</w:t>
      </w:r>
      <w:r w:rsidR="00812DBC" w:rsidRPr="00ED414A">
        <w:rPr>
          <w:rFonts w:eastAsia="Calibri"/>
          <w:b/>
          <w:sz w:val="22"/>
          <w:szCs w:val="22"/>
          <w:lang w:val="fr-CA"/>
        </w:rPr>
        <w:t>Agence caribéenne de gestion des catastrophes</w:t>
      </w:r>
      <w:r w:rsidR="0038288B" w:rsidRPr="00ED414A">
        <w:rPr>
          <w:rFonts w:eastAsia="Calibri"/>
          <w:b/>
          <w:sz w:val="22"/>
          <w:szCs w:val="22"/>
          <w:lang w:val="fr-CA"/>
        </w:rPr>
        <w:t xml:space="preserve"> (CDMA)</w:t>
      </w:r>
      <w:r w:rsidR="00BB36CB" w:rsidRPr="00ED414A">
        <w:rPr>
          <w:sz w:val="22"/>
          <w:szCs w:val="22"/>
          <w:lang w:val="fr-CA"/>
        </w:rPr>
        <w:t>, l’</w:t>
      </w:r>
      <w:r w:rsidR="0038288B" w:rsidRPr="00ED414A">
        <w:rPr>
          <w:rFonts w:eastAsia="Calibri"/>
          <w:b/>
          <w:sz w:val="22"/>
          <w:szCs w:val="22"/>
          <w:lang w:val="fr-CA"/>
        </w:rPr>
        <w:t>Association</w:t>
      </w:r>
      <w:r w:rsidR="00BB36CB" w:rsidRPr="00ED414A">
        <w:rPr>
          <w:rFonts w:eastAsia="Calibri"/>
          <w:b/>
          <w:sz w:val="22"/>
          <w:szCs w:val="22"/>
          <w:lang w:val="fr-CA"/>
        </w:rPr>
        <w:t xml:space="preserve"> de gestion des ports des Caraïbes</w:t>
      </w:r>
      <w:r w:rsidR="0038288B" w:rsidRPr="00ED414A">
        <w:rPr>
          <w:rFonts w:eastAsia="Calibri"/>
          <w:b/>
          <w:sz w:val="22"/>
          <w:szCs w:val="22"/>
          <w:lang w:val="fr-CA"/>
        </w:rPr>
        <w:t xml:space="preserve"> (PMAC)</w:t>
      </w:r>
      <w:r w:rsidR="0038288B" w:rsidRPr="00ED414A">
        <w:rPr>
          <w:sz w:val="22"/>
          <w:szCs w:val="22"/>
          <w:lang w:val="fr-CA"/>
        </w:rPr>
        <w:t xml:space="preserve"> </w:t>
      </w:r>
      <w:r w:rsidR="00BB36CB" w:rsidRPr="00ED414A">
        <w:rPr>
          <w:sz w:val="22"/>
          <w:szCs w:val="22"/>
          <w:lang w:val="fr-CA"/>
        </w:rPr>
        <w:t>et l’</w:t>
      </w:r>
      <w:r w:rsidR="0038288B" w:rsidRPr="00ED414A">
        <w:rPr>
          <w:rFonts w:eastAsia="Calibri"/>
          <w:b/>
          <w:sz w:val="22"/>
          <w:szCs w:val="22"/>
          <w:lang w:val="fr-CA"/>
        </w:rPr>
        <w:t>Association</w:t>
      </w:r>
      <w:r w:rsidR="00BB36CB" w:rsidRPr="00ED414A">
        <w:rPr>
          <w:rFonts w:eastAsia="Calibri"/>
          <w:b/>
          <w:sz w:val="22"/>
          <w:szCs w:val="22"/>
          <w:lang w:val="fr-CA"/>
        </w:rPr>
        <w:t xml:space="preserve"> caribéenne de transport maritime</w:t>
      </w:r>
      <w:r w:rsidR="0038288B" w:rsidRPr="00ED414A">
        <w:rPr>
          <w:rFonts w:eastAsia="Calibri"/>
          <w:b/>
          <w:sz w:val="22"/>
          <w:szCs w:val="22"/>
          <w:lang w:val="fr-CA"/>
        </w:rPr>
        <w:t xml:space="preserve"> (CSA).</w:t>
      </w:r>
      <w:r w:rsidR="0038288B" w:rsidRPr="00ED414A">
        <w:rPr>
          <w:sz w:val="22"/>
          <w:szCs w:val="22"/>
          <w:lang w:val="fr-CA"/>
        </w:rPr>
        <w:t xml:space="preserve"> </w:t>
      </w:r>
    </w:p>
    <w:p w14:paraId="4DAF4DD4" w14:textId="5E11D3CB" w:rsidR="0038288B" w:rsidRPr="00ED414A" w:rsidRDefault="0038288B" w:rsidP="00ED414A">
      <w:pPr>
        <w:jc w:val="both"/>
        <w:rPr>
          <w:sz w:val="22"/>
          <w:szCs w:val="22"/>
          <w:lang w:val="fr-CA"/>
        </w:rPr>
      </w:pPr>
    </w:p>
    <w:p w14:paraId="594996A8" w14:textId="288BA943" w:rsidR="0038288B" w:rsidRPr="00ED414A" w:rsidRDefault="0038288B" w:rsidP="00ED414A">
      <w:pPr>
        <w:ind w:left="1440" w:hanging="720"/>
        <w:jc w:val="both"/>
        <w:rPr>
          <w:rFonts w:eastAsia="Calibri"/>
          <w:b/>
          <w:sz w:val="22"/>
          <w:szCs w:val="22"/>
          <w:lang w:val="fr-CA"/>
        </w:rPr>
      </w:pPr>
      <w:r w:rsidRPr="00ED414A">
        <w:rPr>
          <w:rFonts w:eastAsia="Calibri"/>
          <w:b/>
          <w:sz w:val="22"/>
          <w:szCs w:val="22"/>
          <w:lang w:val="fr-CA"/>
        </w:rPr>
        <w:t>E</w:t>
      </w:r>
      <w:r w:rsidR="00831D4D" w:rsidRPr="00ED414A">
        <w:rPr>
          <w:rFonts w:eastAsia="Calibri"/>
          <w:b/>
          <w:sz w:val="22"/>
          <w:szCs w:val="22"/>
          <w:lang w:val="fr-CA"/>
        </w:rPr>
        <w:t>nseignement et formation </w:t>
      </w:r>
      <w:r w:rsidRPr="00ED414A">
        <w:rPr>
          <w:rFonts w:eastAsia="Calibri"/>
          <w:b/>
          <w:sz w:val="22"/>
          <w:szCs w:val="22"/>
          <w:lang w:val="fr-CA"/>
        </w:rPr>
        <w:t>:</w:t>
      </w:r>
    </w:p>
    <w:p w14:paraId="3BDEFD61" w14:textId="77777777" w:rsidR="00B76CC5" w:rsidRPr="00ED414A" w:rsidRDefault="00B76CC5" w:rsidP="00ED414A">
      <w:pPr>
        <w:jc w:val="both"/>
        <w:rPr>
          <w:sz w:val="22"/>
          <w:szCs w:val="22"/>
          <w:lang w:val="fr-CA"/>
        </w:rPr>
      </w:pPr>
    </w:p>
    <w:p w14:paraId="7725804C" w14:textId="4E2BC865" w:rsidR="0038288B" w:rsidRPr="00ED414A" w:rsidRDefault="00831D4D" w:rsidP="00ED414A">
      <w:pPr>
        <w:numPr>
          <w:ilvl w:val="0"/>
          <w:numId w:val="24"/>
        </w:numPr>
        <w:ind w:left="1440" w:right="-13" w:hanging="720"/>
        <w:jc w:val="both"/>
        <w:rPr>
          <w:sz w:val="22"/>
          <w:szCs w:val="22"/>
          <w:lang w:val="fr-CA"/>
        </w:rPr>
      </w:pPr>
      <w:r w:rsidRPr="00ED414A">
        <w:rPr>
          <w:sz w:val="22"/>
          <w:szCs w:val="22"/>
          <w:lang w:val="fr-CA"/>
        </w:rPr>
        <w:t xml:space="preserve">Par le biais de partenariats stratégiques, le Secrétariat de la CIP a mis sur pied un programme robuste de renforcement des compétences techniques et humaines qui offre à des centaines d’agents portuaires des Amériques des cours certifiés de perfectionnement professionnel dans des domaines importants </w:t>
      </w:r>
      <w:r w:rsidR="00526C6F" w:rsidRPr="00ED414A">
        <w:rPr>
          <w:sz w:val="22"/>
          <w:szCs w:val="22"/>
          <w:lang w:val="fr-CA"/>
        </w:rPr>
        <w:t>du développement des ports, dont la logistique et les opérations; la gestion durable et la protection de l’environnement; la sécurité et la sûreté; le dragage et les ports intérieurs</w:t>
      </w:r>
      <w:r w:rsidR="0038288B" w:rsidRPr="00ED414A">
        <w:rPr>
          <w:sz w:val="22"/>
          <w:szCs w:val="22"/>
          <w:lang w:val="fr-CA"/>
        </w:rPr>
        <w:t>;</w:t>
      </w:r>
      <w:r w:rsidR="00526C6F" w:rsidRPr="00ED414A">
        <w:rPr>
          <w:sz w:val="22"/>
          <w:szCs w:val="22"/>
          <w:lang w:val="fr-CA"/>
        </w:rPr>
        <w:t xml:space="preserve"> la législation portuaire et la négociation de contrats; la responsabilité sociale et l’égalité des sexes; notamment. Au nombre des partenaires stratégiques, on compte</w:t>
      </w:r>
      <w:r w:rsidR="0038288B" w:rsidRPr="00ED414A">
        <w:rPr>
          <w:sz w:val="22"/>
          <w:szCs w:val="22"/>
          <w:lang w:val="fr-CA"/>
        </w:rPr>
        <w:t xml:space="preserve"> </w:t>
      </w:r>
      <w:r w:rsidR="0038288B" w:rsidRPr="00ED414A">
        <w:rPr>
          <w:rFonts w:eastAsia="Calibri"/>
          <w:b/>
          <w:sz w:val="22"/>
          <w:szCs w:val="22"/>
          <w:lang w:val="fr-CA"/>
        </w:rPr>
        <w:t>Puertos del Estado</w:t>
      </w:r>
      <w:r w:rsidR="00E37300" w:rsidRPr="00ED414A">
        <w:rPr>
          <w:rFonts w:eastAsia="Calibri"/>
          <w:b/>
          <w:sz w:val="22"/>
          <w:szCs w:val="22"/>
          <w:lang w:val="fr-CA"/>
        </w:rPr>
        <w:t xml:space="preserve"> du Gouvernement de l’Espagne</w:t>
      </w:r>
      <w:r w:rsidR="00837C1A" w:rsidRPr="00ED414A">
        <w:rPr>
          <w:rFonts w:eastAsia="Calibri"/>
          <w:b/>
          <w:sz w:val="22"/>
          <w:szCs w:val="22"/>
          <w:lang w:val="fr-CA"/>
        </w:rPr>
        <w:t>,</w:t>
      </w:r>
      <w:r w:rsidR="00E37300" w:rsidRPr="00ED414A">
        <w:rPr>
          <w:rFonts w:eastAsia="Calibri"/>
          <w:b/>
          <w:sz w:val="22"/>
          <w:szCs w:val="22"/>
          <w:lang w:val="fr-CA"/>
        </w:rPr>
        <w:t xml:space="preserve"> </w:t>
      </w:r>
      <w:r w:rsidR="00837C1A" w:rsidRPr="00ED414A">
        <w:rPr>
          <w:rFonts w:eastAsia="Calibri"/>
          <w:b/>
          <w:sz w:val="22"/>
          <w:szCs w:val="22"/>
          <w:lang w:val="fr-CA"/>
        </w:rPr>
        <w:t>l’Autorité portuaire nationale du Pérou</w:t>
      </w:r>
      <w:r w:rsidR="0038288B" w:rsidRPr="00ED414A">
        <w:rPr>
          <w:rFonts w:eastAsia="Calibri"/>
          <w:b/>
          <w:sz w:val="22"/>
          <w:szCs w:val="22"/>
          <w:lang w:val="fr-CA"/>
        </w:rPr>
        <w:t xml:space="preserve"> (APN), </w:t>
      </w:r>
      <w:r w:rsidR="00837C1A" w:rsidRPr="00ED414A">
        <w:rPr>
          <w:rFonts w:eastAsia="Calibri"/>
          <w:b/>
          <w:sz w:val="22"/>
          <w:szCs w:val="22"/>
          <w:lang w:val="fr-CA"/>
        </w:rPr>
        <w:t>la Fondation</w:t>
      </w:r>
      <w:r w:rsidR="0038288B" w:rsidRPr="00ED414A">
        <w:rPr>
          <w:rFonts w:eastAsia="Calibri"/>
          <w:b/>
          <w:sz w:val="22"/>
          <w:szCs w:val="22"/>
          <w:lang w:val="fr-CA"/>
        </w:rPr>
        <w:t xml:space="preserve"> Valencia Port,</w:t>
      </w:r>
      <w:r w:rsidR="00837C1A" w:rsidRPr="00ED414A">
        <w:rPr>
          <w:rFonts w:eastAsia="Calibri"/>
          <w:b/>
          <w:sz w:val="22"/>
          <w:szCs w:val="22"/>
          <w:lang w:val="fr-CA"/>
        </w:rPr>
        <w:t xml:space="preserve"> le gouvernement des États-Unis et le Réseau international du Mexique en matière de sécurité portuaire et des navires</w:t>
      </w:r>
      <w:r w:rsidR="0038288B" w:rsidRPr="00ED414A">
        <w:rPr>
          <w:rFonts w:eastAsia="Calibri"/>
          <w:b/>
          <w:sz w:val="22"/>
          <w:szCs w:val="22"/>
          <w:lang w:val="fr-CA"/>
        </w:rPr>
        <w:t xml:space="preserve"> (R</w:t>
      </w:r>
      <w:r w:rsidR="00837C1A" w:rsidRPr="00ED414A">
        <w:rPr>
          <w:rFonts w:eastAsia="Calibri"/>
          <w:b/>
          <w:sz w:val="22"/>
          <w:szCs w:val="22"/>
          <w:lang w:val="fr-CA"/>
        </w:rPr>
        <w:t>éseau</w:t>
      </w:r>
      <w:r w:rsidR="0038288B" w:rsidRPr="00ED414A">
        <w:rPr>
          <w:rFonts w:eastAsia="Calibri"/>
          <w:b/>
          <w:sz w:val="22"/>
          <w:szCs w:val="22"/>
          <w:lang w:val="fr-CA"/>
        </w:rPr>
        <w:t xml:space="preserve"> PBIP).</w:t>
      </w:r>
      <w:r w:rsidR="0038288B" w:rsidRPr="00ED414A">
        <w:rPr>
          <w:sz w:val="22"/>
          <w:szCs w:val="22"/>
          <w:lang w:val="fr-CA"/>
        </w:rPr>
        <w:t xml:space="preserve"> </w:t>
      </w:r>
    </w:p>
    <w:p w14:paraId="32A8DBE7" w14:textId="4F6DC748" w:rsidR="00497D4E" w:rsidRPr="00ED414A" w:rsidRDefault="00497D4E" w:rsidP="00ED414A">
      <w:pPr>
        <w:jc w:val="both"/>
        <w:rPr>
          <w:sz w:val="22"/>
          <w:szCs w:val="22"/>
          <w:lang w:val="fr-CA"/>
        </w:rPr>
      </w:pPr>
    </w:p>
    <w:p w14:paraId="46036C22" w14:textId="2A0082AF" w:rsidR="00497D4E" w:rsidRPr="00ED414A" w:rsidRDefault="00497D4E" w:rsidP="00ED414A">
      <w:pPr>
        <w:jc w:val="both"/>
        <w:rPr>
          <w:sz w:val="22"/>
          <w:szCs w:val="22"/>
          <w:lang w:val="fr-CA"/>
        </w:rPr>
      </w:pPr>
      <w:r w:rsidRPr="00ED414A">
        <w:rPr>
          <w:sz w:val="22"/>
          <w:szCs w:val="22"/>
          <w:lang w:val="fr-CA"/>
        </w:rPr>
        <w:tab/>
      </w:r>
      <w:r w:rsidR="00837C1A" w:rsidRPr="00ED414A">
        <w:rPr>
          <w:rFonts w:eastAsia="Calibri"/>
          <w:sz w:val="22"/>
          <w:szCs w:val="22"/>
          <w:lang w:val="fr-CA"/>
        </w:rPr>
        <w:t>E</w:t>
      </w:r>
      <w:r w:rsidR="0038288B" w:rsidRPr="00ED414A">
        <w:rPr>
          <w:rFonts w:eastAsia="Calibri"/>
          <w:sz w:val="22"/>
          <w:szCs w:val="22"/>
          <w:lang w:val="fr-CA"/>
        </w:rPr>
        <w:t>n 2021</w:t>
      </w:r>
      <w:r w:rsidR="00837C1A" w:rsidRPr="00ED414A">
        <w:rPr>
          <w:rFonts w:eastAsia="Calibri"/>
          <w:sz w:val="22"/>
          <w:szCs w:val="22"/>
          <w:lang w:val="fr-CA"/>
        </w:rPr>
        <w:t xml:space="preserve"> et par </w:t>
      </w:r>
      <w:r w:rsidR="00F82202">
        <w:rPr>
          <w:rFonts w:eastAsia="Calibri"/>
          <w:sz w:val="22"/>
          <w:szCs w:val="22"/>
          <w:lang w:val="fr-CA"/>
        </w:rPr>
        <w:t>l</w:t>
      </w:r>
      <w:r w:rsidR="00837C1A" w:rsidRPr="00ED414A">
        <w:rPr>
          <w:rFonts w:eastAsia="Calibri"/>
          <w:sz w:val="22"/>
          <w:szCs w:val="22"/>
          <w:lang w:val="fr-CA"/>
        </w:rPr>
        <w:t>a suite, nous continuerons de poursuivre de nouveaux partenariats dans le but d’élargir la portée et l’incidence de notre travail.</w:t>
      </w:r>
      <w:r w:rsidR="0038288B" w:rsidRPr="00ED414A">
        <w:rPr>
          <w:rFonts w:eastAsia="Calibri"/>
          <w:sz w:val="22"/>
          <w:szCs w:val="22"/>
          <w:lang w:val="fr-CA"/>
        </w:rPr>
        <w:t xml:space="preserve"> </w:t>
      </w:r>
    </w:p>
    <w:p w14:paraId="4AAE89EF" w14:textId="77777777" w:rsidR="00497D4E" w:rsidRPr="00ED414A" w:rsidRDefault="00497D4E" w:rsidP="00ED414A">
      <w:pPr>
        <w:jc w:val="both"/>
        <w:rPr>
          <w:sz w:val="22"/>
          <w:szCs w:val="22"/>
          <w:lang w:val="fr-CA"/>
        </w:rPr>
      </w:pPr>
    </w:p>
    <w:p w14:paraId="58728441" w14:textId="57ADEC0A" w:rsidR="0038288B" w:rsidRPr="00ED414A" w:rsidRDefault="00497D4E" w:rsidP="00ED414A">
      <w:pPr>
        <w:jc w:val="both"/>
        <w:rPr>
          <w:rFonts w:eastAsia="Calibri"/>
          <w:sz w:val="22"/>
          <w:szCs w:val="22"/>
          <w:lang w:val="fr-CA"/>
        </w:rPr>
      </w:pPr>
      <w:r w:rsidRPr="00ED414A">
        <w:rPr>
          <w:rFonts w:eastAsia="Calibri"/>
          <w:sz w:val="22"/>
          <w:szCs w:val="22"/>
          <w:lang w:val="fr-CA"/>
        </w:rPr>
        <w:tab/>
      </w:r>
      <w:r w:rsidR="008E4BE6" w:rsidRPr="00ED414A">
        <w:rPr>
          <w:rFonts w:eastAsia="Calibri"/>
          <w:sz w:val="22"/>
          <w:szCs w:val="22"/>
          <w:lang w:val="fr-CA"/>
        </w:rPr>
        <w:t>Monsieur le Président, je saisis cette occasion pour remercier tous nos partenaires, grands et petits, pour leur précieuse contribution à notre travail, et aussi, par extension, nos États membres</w:t>
      </w:r>
      <w:r w:rsidR="0038288B" w:rsidRPr="00ED414A">
        <w:rPr>
          <w:rFonts w:eastAsia="Calibri"/>
          <w:sz w:val="22"/>
          <w:szCs w:val="22"/>
          <w:lang w:val="fr-CA"/>
        </w:rPr>
        <w:t>.</w:t>
      </w:r>
    </w:p>
    <w:p w14:paraId="27CB9431" w14:textId="77777777" w:rsidR="00497D4E" w:rsidRPr="00ED414A" w:rsidRDefault="00497D4E" w:rsidP="00ED414A">
      <w:pPr>
        <w:jc w:val="both"/>
        <w:rPr>
          <w:sz w:val="22"/>
          <w:szCs w:val="22"/>
          <w:lang w:val="fr-CA"/>
        </w:rPr>
      </w:pPr>
    </w:p>
    <w:p w14:paraId="46CFCAAA" w14:textId="57B8FA8A" w:rsidR="0038288B" w:rsidRPr="00ED414A" w:rsidRDefault="008E4BE6" w:rsidP="00ED414A">
      <w:pPr>
        <w:ind w:left="-5" w:firstLine="725"/>
        <w:jc w:val="both"/>
        <w:rPr>
          <w:rFonts w:eastAsia="Calibri"/>
          <w:sz w:val="22"/>
          <w:szCs w:val="22"/>
          <w:lang w:val="fr-CA"/>
        </w:rPr>
      </w:pPr>
      <w:r w:rsidRPr="00ED414A">
        <w:rPr>
          <w:rFonts w:eastAsia="Calibri"/>
          <w:sz w:val="22"/>
          <w:szCs w:val="22"/>
          <w:lang w:val="fr-CA"/>
        </w:rPr>
        <w:t>Enfin, Monsieur le Président, je tiens à remercier tout particulièrement l’équipe du SEDI pour son travail acha</w:t>
      </w:r>
      <w:r w:rsidR="00B8091C" w:rsidRPr="00ED414A">
        <w:rPr>
          <w:rFonts w:eastAsia="Calibri"/>
          <w:sz w:val="22"/>
          <w:szCs w:val="22"/>
          <w:lang w:val="fr-CA"/>
        </w:rPr>
        <w:t xml:space="preserve">rné, son dévouement et ses efforts soutenus en vue de former de nouveaux partenariats qui ajouteront de la valeur </w:t>
      </w:r>
      <w:r w:rsidR="005572A9" w:rsidRPr="00ED414A">
        <w:rPr>
          <w:rFonts w:eastAsia="Calibri"/>
          <w:sz w:val="22"/>
          <w:szCs w:val="22"/>
          <w:lang w:val="fr-CA"/>
        </w:rPr>
        <w:t>à nos membres. Étant donné que c’est la seule fois que je vais prendre la parole lors de cette réunion finale du CIDI pour cette année, je souhaite à tout le monde un joyeux Noël, et poursuivons notre effort commun visant à améliorer la vie et la subsistance des habitants des Amériques.</w:t>
      </w:r>
      <w:r w:rsidRPr="00ED414A">
        <w:rPr>
          <w:rFonts w:eastAsia="Calibri"/>
          <w:sz w:val="22"/>
          <w:szCs w:val="22"/>
          <w:lang w:val="fr-CA"/>
        </w:rPr>
        <w:t xml:space="preserve">  </w:t>
      </w:r>
    </w:p>
    <w:p w14:paraId="2C9EBE11" w14:textId="31BD919E" w:rsidR="0038288B" w:rsidRPr="00ED414A" w:rsidRDefault="0038288B" w:rsidP="00ED414A">
      <w:pPr>
        <w:jc w:val="both"/>
        <w:rPr>
          <w:sz w:val="22"/>
          <w:szCs w:val="22"/>
          <w:lang w:val="fr-CA"/>
        </w:rPr>
      </w:pPr>
    </w:p>
    <w:p w14:paraId="60EE51A3" w14:textId="5556AC30" w:rsidR="0038288B" w:rsidRPr="00ED414A" w:rsidRDefault="000D140C" w:rsidP="00ED414A">
      <w:pPr>
        <w:ind w:left="-5" w:firstLine="725"/>
        <w:jc w:val="both"/>
        <w:rPr>
          <w:sz w:val="22"/>
          <w:szCs w:val="22"/>
          <w:lang w:val="fr-CA"/>
        </w:rPr>
      </w:pPr>
      <w:r w:rsidRPr="00ED414A">
        <w:rPr>
          <w:rFonts w:eastAsia="Calibri"/>
          <w:sz w:val="22"/>
          <w:szCs w:val="22"/>
          <w:lang w:val="fr-CA"/>
        </w:rPr>
        <w:t>Merci beaucoup de votre attention</w:t>
      </w:r>
      <w:r w:rsidR="00ED414A">
        <w:rPr>
          <w:rFonts w:eastAsia="Calibri"/>
          <w:sz w:val="22"/>
          <w:szCs w:val="22"/>
          <w:lang w:val="fr-CA"/>
        </w:rPr>
        <w:t>.</w:t>
      </w:r>
    </w:p>
    <w:p w14:paraId="68460AF9" w14:textId="1EB7400C" w:rsidR="000B6478" w:rsidRPr="00ED414A" w:rsidRDefault="0023293E" w:rsidP="00ED414A">
      <w:pPr>
        <w:jc w:val="both"/>
        <w:rPr>
          <w:sz w:val="22"/>
          <w:szCs w:val="22"/>
          <w:lang w:val="fr-CA"/>
        </w:rPr>
      </w:pPr>
      <w:r w:rsidRPr="00ED414A">
        <w:rPr>
          <w:noProof/>
          <w:sz w:val="22"/>
          <w:szCs w:val="22"/>
        </w:rPr>
        <mc:AlternateContent>
          <mc:Choice Requires="wps">
            <w:drawing>
              <wp:anchor distT="0" distB="0" distL="114300" distR="114300" simplePos="0" relativeHeight="251659264" behindDoc="0" locked="1" layoutInCell="1" allowOverlap="1" wp14:anchorId="6A1E611D" wp14:editId="47CBA04B">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8FC41B0" w14:textId="00CB5A07" w:rsidR="008E0785" w:rsidRPr="0023293E" w:rsidRDefault="008E0785">
                            <w:pPr>
                              <w:rPr>
                                <w:sz w:val="18"/>
                              </w:rPr>
                            </w:pPr>
                            <w:r>
                              <w:rPr>
                                <w:sz w:val="18"/>
                              </w:rPr>
                              <w:fldChar w:fldCharType="begin"/>
                            </w:r>
                            <w:r>
                              <w:rPr>
                                <w:sz w:val="18"/>
                              </w:rPr>
                              <w:instrText xml:space="preserve"> FILENAME  \* MERGEFORMAT </w:instrText>
                            </w:r>
                            <w:r>
                              <w:rPr>
                                <w:sz w:val="18"/>
                              </w:rPr>
                              <w:fldChar w:fldCharType="separate"/>
                            </w:r>
                            <w:r w:rsidR="00ED414A">
                              <w:rPr>
                                <w:noProof/>
                                <w:sz w:val="18"/>
                              </w:rPr>
                              <w:t>CIDRP03053F04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1E611D"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14:paraId="78FC41B0" w14:textId="00CB5A07" w:rsidR="008E0785" w:rsidRPr="0023293E" w:rsidRDefault="008E0785">
                      <w:pPr>
                        <w:rPr>
                          <w:sz w:val="18"/>
                        </w:rPr>
                      </w:pPr>
                      <w:r>
                        <w:rPr>
                          <w:sz w:val="18"/>
                        </w:rPr>
                        <w:fldChar w:fldCharType="begin"/>
                      </w:r>
                      <w:r>
                        <w:rPr>
                          <w:sz w:val="18"/>
                        </w:rPr>
                        <w:instrText xml:space="preserve"> FILENAME  \* MERGEFORMAT </w:instrText>
                      </w:r>
                      <w:r>
                        <w:rPr>
                          <w:sz w:val="18"/>
                        </w:rPr>
                        <w:fldChar w:fldCharType="separate"/>
                      </w:r>
                      <w:r w:rsidR="00ED414A">
                        <w:rPr>
                          <w:noProof/>
                          <w:sz w:val="18"/>
                        </w:rPr>
                        <w:t>CIDRP03053F04</w:t>
                      </w:r>
                      <w:r>
                        <w:rPr>
                          <w:sz w:val="18"/>
                        </w:rPr>
                        <w:fldChar w:fldCharType="end"/>
                      </w:r>
                    </w:p>
                  </w:txbxContent>
                </v:textbox>
                <w10:wrap anchory="page"/>
                <w10:anchorlock/>
              </v:shape>
            </w:pict>
          </mc:Fallback>
        </mc:AlternateContent>
      </w:r>
    </w:p>
    <w:sectPr w:rsidR="000B6478" w:rsidRPr="00ED414A" w:rsidSect="00ED414A">
      <w:headerReference w:type="first" r:id="rId10"/>
      <w:type w:val="oddPage"/>
      <w:pgSz w:w="12240" w:h="15840" w:code="1"/>
      <w:pgMar w:top="2160" w:right="1570" w:bottom="1296" w:left="1699" w:header="1296" w:footer="1296"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C760D" w14:textId="77777777" w:rsidR="008E0785" w:rsidRDefault="008E0785">
      <w:r>
        <w:separator/>
      </w:r>
    </w:p>
  </w:endnote>
  <w:endnote w:type="continuationSeparator" w:id="0">
    <w:p w14:paraId="386F61FB" w14:textId="77777777" w:rsidR="008E0785" w:rsidRDefault="008E0785">
      <w:r>
        <w:continuationSeparator/>
      </w:r>
    </w:p>
  </w:endnote>
  <w:endnote w:type="continuationNotice" w:id="1">
    <w:p w14:paraId="60B5F787" w14:textId="77777777" w:rsidR="008E0785" w:rsidRDefault="008E0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EB668" w14:textId="77777777" w:rsidR="008E0785" w:rsidRDefault="008E0785">
      <w:r>
        <w:separator/>
      </w:r>
    </w:p>
  </w:footnote>
  <w:footnote w:type="continuationSeparator" w:id="0">
    <w:p w14:paraId="40B8E7B0" w14:textId="77777777" w:rsidR="008E0785" w:rsidRDefault="008E0785">
      <w:r>
        <w:continuationSeparator/>
      </w:r>
    </w:p>
  </w:footnote>
  <w:footnote w:type="continuationNotice" w:id="1">
    <w:p w14:paraId="79114705" w14:textId="77777777" w:rsidR="008E0785" w:rsidRDefault="008E07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F3887" w14:textId="1BD8D653" w:rsidR="008E0785" w:rsidRPr="009C75F5" w:rsidRDefault="008E0785">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4F26A2">
      <w:rPr>
        <w:noProof/>
        <w:sz w:val="22"/>
        <w:szCs w:val="22"/>
      </w:rPr>
      <w:t>- 6 -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E37F" w14:textId="4F9C0B04" w:rsidR="008E0785" w:rsidRDefault="00ED414A">
    <w:pPr>
      <w:pStyle w:val="Header"/>
    </w:pPr>
    <w:r>
      <w:rPr>
        <w:noProof/>
      </w:rPr>
      <mc:AlternateContent>
        <mc:Choice Requires="wps">
          <w:drawing>
            <wp:anchor distT="0" distB="0" distL="114300" distR="114300" simplePos="0" relativeHeight="251658752" behindDoc="0" locked="0" layoutInCell="1" allowOverlap="1" wp14:anchorId="548B743E" wp14:editId="3F3743C5">
              <wp:simplePos x="0" y="0"/>
              <wp:positionH relativeFrom="page">
                <wp:posOffset>1351722</wp:posOffset>
              </wp:positionH>
              <wp:positionV relativeFrom="paragraph">
                <wp:posOffset>-401541</wp:posOffset>
              </wp:positionV>
              <wp:extent cx="4728845" cy="6679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67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849FB" w14:textId="788EA085" w:rsidR="008E0785" w:rsidRPr="00B458F3" w:rsidRDefault="008E0785" w:rsidP="00921E9E">
                          <w:pPr>
                            <w:pStyle w:val="Header"/>
                            <w:tabs>
                              <w:tab w:val="left" w:pos="900"/>
                            </w:tabs>
                            <w:spacing w:line="0" w:lineRule="atLeast"/>
                            <w:jc w:val="center"/>
                            <w:rPr>
                              <w:rFonts w:ascii="Garamond" w:hAnsi="Garamond"/>
                              <w:b/>
                              <w:sz w:val="28"/>
                              <w:lang w:val="fr-CA"/>
                            </w:rPr>
                          </w:pPr>
                          <w:r w:rsidRPr="00B458F3">
                            <w:rPr>
                              <w:rFonts w:ascii="Garamond" w:hAnsi="Garamond"/>
                              <w:b/>
                              <w:sz w:val="28"/>
                              <w:lang w:val="fr-CA"/>
                            </w:rPr>
                            <w:t xml:space="preserve">ORGANISATION DES ÉTATS AMÉRICAINS </w:t>
                          </w:r>
                        </w:p>
                        <w:p w14:paraId="7EDAFC18" w14:textId="1CC24680" w:rsidR="008E0785" w:rsidRPr="00B458F3" w:rsidRDefault="008E0785" w:rsidP="00921E9E">
                          <w:pPr>
                            <w:pStyle w:val="Header"/>
                            <w:tabs>
                              <w:tab w:val="left" w:pos="900"/>
                            </w:tabs>
                            <w:spacing w:line="0" w:lineRule="atLeast"/>
                            <w:jc w:val="center"/>
                            <w:rPr>
                              <w:rFonts w:ascii="Garamond" w:hAnsi="Garamond"/>
                              <w:b/>
                              <w:szCs w:val="22"/>
                              <w:lang w:val="fr-CA"/>
                            </w:rPr>
                          </w:pPr>
                          <w:r w:rsidRPr="00B458F3">
                            <w:rPr>
                              <w:rFonts w:ascii="Garamond" w:hAnsi="Garamond"/>
                              <w:b/>
                              <w:szCs w:val="22"/>
                              <w:lang w:val="fr-CA"/>
                            </w:rPr>
                            <w:t xml:space="preserve">Conseil interaméricain pour le développement intégré </w:t>
                          </w:r>
                        </w:p>
                        <w:p w14:paraId="320623B9" w14:textId="77777777" w:rsidR="008E0785" w:rsidRPr="00B458F3" w:rsidRDefault="008E0785" w:rsidP="00921E9E">
                          <w:pPr>
                            <w:pStyle w:val="Header"/>
                            <w:tabs>
                              <w:tab w:val="left" w:pos="900"/>
                            </w:tabs>
                            <w:spacing w:line="0" w:lineRule="atLeast"/>
                            <w:jc w:val="center"/>
                            <w:rPr>
                              <w:b/>
                              <w:szCs w:val="22"/>
                              <w:lang w:val="fr-CA"/>
                            </w:rPr>
                          </w:pPr>
                          <w:r w:rsidRPr="00B458F3">
                            <w:rPr>
                              <w:rFonts w:ascii="Garamond" w:hAnsi="Garamond"/>
                              <w:b/>
                              <w:szCs w:val="22"/>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B743E" id="_x0000_t202" coordsize="21600,21600" o:spt="202" path="m,l,21600r21600,l21600,xe">
              <v:stroke joinstyle="miter"/>
              <v:path gradientshapeok="t" o:connecttype="rect"/>
            </v:shapetype>
            <v:shape id="Text Box 1" o:spid="_x0000_s1027" type="#_x0000_t202" style="position:absolute;margin-left:106.45pt;margin-top:-31.6pt;width:372.35pt;height:5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" stroked="f">
              <v:textbox>
                <w:txbxContent>
                  <w:p w14:paraId="401849FB" w14:textId="788EA085" w:rsidR="008E0785" w:rsidRPr="00B458F3" w:rsidRDefault="008E0785" w:rsidP="00921E9E">
                    <w:pPr>
                      <w:pStyle w:val="Header"/>
                      <w:tabs>
                        <w:tab w:val="left" w:pos="900"/>
                      </w:tabs>
                      <w:spacing w:line="0" w:lineRule="atLeast"/>
                      <w:jc w:val="center"/>
                      <w:rPr>
                        <w:rFonts w:ascii="Garamond" w:hAnsi="Garamond"/>
                        <w:b/>
                        <w:sz w:val="28"/>
                        <w:lang w:val="fr-CA"/>
                      </w:rPr>
                    </w:pPr>
                    <w:r w:rsidRPr="00B458F3">
                      <w:rPr>
                        <w:rFonts w:ascii="Garamond" w:hAnsi="Garamond"/>
                        <w:b/>
                        <w:sz w:val="28"/>
                        <w:lang w:val="fr-CA"/>
                      </w:rPr>
                      <w:t xml:space="preserve">ORGANISATION DES ÉTATS AMÉRICAINS </w:t>
                    </w:r>
                  </w:p>
                  <w:p w14:paraId="7EDAFC18" w14:textId="1CC24680" w:rsidR="008E0785" w:rsidRPr="00B458F3" w:rsidRDefault="008E0785" w:rsidP="00921E9E">
                    <w:pPr>
                      <w:pStyle w:val="Header"/>
                      <w:tabs>
                        <w:tab w:val="left" w:pos="900"/>
                      </w:tabs>
                      <w:spacing w:line="0" w:lineRule="atLeast"/>
                      <w:jc w:val="center"/>
                      <w:rPr>
                        <w:rFonts w:ascii="Garamond" w:hAnsi="Garamond"/>
                        <w:b/>
                        <w:szCs w:val="22"/>
                        <w:lang w:val="fr-CA"/>
                      </w:rPr>
                    </w:pPr>
                    <w:r w:rsidRPr="00B458F3">
                      <w:rPr>
                        <w:rFonts w:ascii="Garamond" w:hAnsi="Garamond"/>
                        <w:b/>
                        <w:szCs w:val="22"/>
                        <w:lang w:val="fr-CA"/>
                      </w:rPr>
                      <w:t xml:space="preserve">Conseil interaméricain pour le développement intégré </w:t>
                    </w:r>
                  </w:p>
                  <w:p w14:paraId="320623B9" w14:textId="77777777" w:rsidR="008E0785" w:rsidRPr="00B458F3" w:rsidRDefault="008E0785" w:rsidP="00921E9E">
                    <w:pPr>
                      <w:pStyle w:val="Header"/>
                      <w:tabs>
                        <w:tab w:val="left" w:pos="900"/>
                      </w:tabs>
                      <w:spacing w:line="0" w:lineRule="atLeast"/>
                      <w:jc w:val="center"/>
                      <w:rPr>
                        <w:b/>
                        <w:szCs w:val="22"/>
                        <w:lang w:val="fr-CA"/>
                      </w:rPr>
                    </w:pPr>
                    <w:r w:rsidRPr="00B458F3">
                      <w:rPr>
                        <w:rFonts w:ascii="Garamond" w:hAnsi="Garamond"/>
                        <w:b/>
                        <w:szCs w:val="22"/>
                        <w:lang w:val="fr-CA"/>
                      </w:rPr>
                      <w:t>(CIDI)</w:t>
                    </w:r>
                  </w:p>
                </w:txbxContent>
              </v:textbox>
              <w10:wrap anchorx="page"/>
            </v:shape>
          </w:pict>
        </mc:Fallback>
      </mc:AlternateContent>
    </w:r>
    <w:r>
      <w:rPr>
        <w:noProof/>
      </w:rPr>
      <w:drawing>
        <wp:anchor distT="0" distB="0" distL="114300" distR="114300" simplePos="0" relativeHeight="251656704" behindDoc="0" locked="0" layoutInCell="1" allowOverlap="1" wp14:anchorId="294ACD75" wp14:editId="35E7E8AE">
          <wp:simplePos x="0" y="0"/>
          <wp:positionH relativeFrom="column">
            <wp:posOffset>-579672</wp:posOffset>
          </wp:positionH>
          <wp:positionV relativeFrom="paragraph">
            <wp:posOffset>-530943</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sidR="008E0785">
      <w:rPr>
        <w:noProof/>
      </w:rPr>
      <mc:AlternateContent>
        <mc:Choice Requires="wps">
          <w:drawing>
            <wp:anchor distT="0" distB="0" distL="114300" distR="114300" simplePos="0" relativeHeight="251657728" behindDoc="0" locked="0" layoutInCell="1" allowOverlap="1" wp14:anchorId="1F661507" wp14:editId="3C509FB4">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A07CA" w14:textId="77777777" w:rsidR="008E0785" w:rsidRDefault="008E0785" w:rsidP="00AB7175">
                          <w:pPr>
                            <w:ind w:right="-130"/>
                          </w:pPr>
                          <w:r>
                            <w:rPr>
                              <w:rFonts w:ascii="News Gothic MT" w:hAnsi="News Gothic MT"/>
                              <w:noProof/>
                              <w:color w:val="000000"/>
                            </w:rPr>
                            <w:drawing>
                              <wp:inline distT="0" distB="0" distL="0" distR="0" wp14:anchorId="34CE1C5B" wp14:editId="6222A3BA">
                                <wp:extent cx="1106805" cy="768985"/>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61507"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699A07CA" w14:textId="77777777" w:rsidR="008E0785" w:rsidRDefault="008E0785" w:rsidP="00AB7175">
                    <w:pPr>
                      <w:ind w:right="-130"/>
                    </w:pPr>
                    <w:r>
                      <w:rPr>
                        <w:rFonts w:ascii="News Gothic MT" w:hAnsi="News Gothic MT"/>
                        <w:noProof/>
                        <w:color w:val="000000"/>
                      </w:rPr>
                      <w:drawing>
                        <wp:inline distT="0" distB="0" distL="0" distR="0" wp14:anchorId="34CE1C5B" wp14:editId="6222A3BA">
                          <wp:extent cx="1106805" cy="768985"/>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v:textbox>
            </v:shape>
          </w:pict>
        </mc:Fallback>
      </mc:AlternateContent>
    </w:r>
  </w:p>
  <w:p w14:paraId="5A4D5D52" w14:textId="77777777" w:rsidR="008E0785" w:rsidRDefault="008E078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A890C" w14:textId="77777777" w:rsidR="00ED414A" w:rsidRDefault="00ED414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DA3"/>
    <w:multiLevelType w:val="hybridMultilevel"/>
    <w:tmpl w:val="95E61F64"/>
    <w:lvl w:ilvl="0" w:tplc="B4D0FF4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1A2D12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AACCFB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C36781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CE0607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E626F3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3A01F3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CD40D8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55E394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1844A5"/>
    <w:multiLevelType w:val="hybridMultilevel"/>
    <w:tmpl w:val="7ABCECBC"/>
    <w:lvl w:ilvl="0" w:tplc="5F7A31D6">
      <w:start w:val="100"/>
      <w:numFmt w:val="bullet"/>
      <w:lvlText w:val="-"/>
      <w:lvlJc w:val="left"/>
      <w:pPr>
        <w:ind w:left="360" w:hanging="360"/>
      </w:pPr>
      <w:rPr>
        <w:rFonts w:ascii="Courier New" w:eastAsiaTheme="minorHAnsi" w:hAnsi="Courier New" w:cs="Courier New"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71698"/>
    <w:multiLevelType w:val="hybridMultilevel"/>
    <w:tmpl w:val="DACC8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11570"/>
    <w:multiLevelType w:val="hybridMultilevel"/>
    <w:tmpl w:val="16BEEAE6"/>
    <w:lvl w:ilvl="0" w:tplc="906286D8">
      <w:start w:val="1"/>
      <w:numFmt w:val="bullet"/>
      <w:lvlText w:val=""/>
      <w:lvlJc w:val="left"/>
      <w:pPr>
        <w:ind w:left="1080" w:hanging="360"/>
      </w:pPr>
      <w:rPr>
        <w:rFonts w:ascii="Symbol" w:hAnsi="Symbol" w:hint="default"/>
      </w:rPr>
    </w:lvl>
    <w:lvl w:ilvl="1" w:tplc="B66255CE" w:tentative="1">
      <w:start w:val="1"/>
      <w:numFmt w:val="bullet"/>
      <w:lvlText w:val="o"/>
      <w:lvlJc w:val="left"/>
      <w:pPr>
        <w:ind w:left="1800" w:hanging="360"/>
      </w:pPr>
      <w:rPr>
        <w:rFonts w:ascii="Courier New" w:hAnsi="Courier New" w:cs="Courier New" w:hint="default"/>
      </w:rPr>
    </w:lvl>
    <w:lvl w:ilvl="2" w:tplc="1B40B27E" w:tentative="1">
      <w:start w:val="1"/>
      <w:numFmt w:val="bullet"/>
      <w:lvlText w:val=""/>
      <w:lvlJc w:val="left"/>
      <w:pPr>
        <w:ind w:left="2520" w:hanging="360"/>
      </w:pPr>
      <w:rPr>
        <w:rFonts w:ascii="Wingdings" w:hAnsi="Wingdings" w:hint="default"/>
      </w:rPr>
    </w:lvl>
    <w:lvl w:ilvl="3" w:tplc="2C367014" w:tentative="1">
      <w:start w:val="1"/>
      <w:numFmt w:val="bullet"/>
      <w:lvlText w:val=""/>
      <w:lvlJc w:val="left"/>
      <w:pPr>
        <w:ind w:left="3240" w:hanging="360"/>
      </w:pPr>
      <w:rPr>
        <w:rFonts w:ascii="Symbol" w:hAnsi="Symbol" w:hint="default"/>
      </w:rPr>
    </w:lvl>
    <w:lvl w:ilvl="4" w:tplc="139A527A" w:tentative="1">
      <w:start w:val="1"/>
      <w:numFmt w:val="bullet"/>
      <w:lvlText w:val="o"/>
      <w:lvlJc w:val="left"/>
      <w:pPr>
        <w:ind w:left="3960" w:hanging="360"/>
      </w:pPr>
      <w:rPr>
        <w:rFonts w:ascii="Courier New" w:hAnsi="Courier New" w:cs="Courier New" w:hint="default"/>
      </w:rPr>
    </w:lvl>
    <w:lvl w:ilvl="5" w:tplc="72443B40" w:tentative="1">
      <w:start w:val="1"/>
      <w:numFmt w:val="bullet"/>
      <w:lvlText w:val=""/>
      <w:lvlJc w:val="left"/>
      <w:pPr>
        <w:ind w:left="4680" w:hanging="360"/>
      </w:pPr>
      <w:rPr>
        <w:rFonts w:ascii="Wingdings" w:hAnsi="Wingdings" w:hint="default"/>
      </w:rPr>
    </w:lvl>
    <w:lvl w:ilvl="6" w:tplc="6F2A1078" w:tentative="1">
      <w:start w:val="1"/>
      <w:numFmt w:val="bullet"/>
      <w:lvlText w:val=""/>
      <w:lvlJc w:val="left"/>
      <w:pPr>
        <w:ind w:left="5400" w:hanging="360"/>
      </w:pPr>
      <w:rPr>
        <w:rFonts w:ascii="Symbol" w:hAnsi="Symbol" w:hint="default"/>
      </w:rPr>
    </w:lvl>
    <w:lvl w:ilvl="7" w:tplc="4F560A5A" w:tentative="1">
      <w:start w:val="1"/>
      <w:numFmt w:val="bullet"/>
      <w:lvlText w:val="o"/>
      <w:lvlJc w:val="left"/>
      <w:pPr>
        <w:ind w:left="6120" w:hanging="360"/>
      </w:pPr>
      <w:rPr>
        <w:rFonts w:ascii="Courier New" w:hAnsi="Courier New" w:cs="Courier New" w:hint="default"/>
      </w:rPr>
    </w:lvl>
    <w:lvl w:ilvl="8" w:tplc="86C6CA9E" w:tentative="1">
      <w:start w:val="1"/>
      <w:numFmt w:val="bullet"/>
      <w:lvlText w:val=""/>
      <w:lvlJc w:val="left"/>
      <w:pPr>
        <w:ind w:left="6840" w:hanging="360"/>
      </w:pPr>
      <w:rPr>
        <w:rFonts w:ascii="Wingdings" w:hAnsi="Wingdings" w:hint="default"/>
      </w:rPr>
    </w:lvl>
  </w:abstractNum>
  <w:abstractNum w:abstractNumId="6" w15:restartNumberingAfterBreak="0">
    <w:nsid w:val="22B946C0"/>
    <w:multiLevelType w:val="hybridMultilevel"/>
    <w:tmpl w:val="3DCC13D0"/>
    <w:lvl w:ilvl="0" w:tplc="04090013">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40A45EF"/>
    <w:multiLevelType w:val="hybridMultilevel"/>
    <w:tmpl w:val="689A419C"/>
    <w:lvl w:ilvl="0" w:tplc="8BA2545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0826E2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29A58B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DAC927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8CD86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CDC6E1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4EE0F6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A008B0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72BBC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B72F0F"/>
    <w:multiLevelType w:val="hybridMultilevel"/>
    <w:tmpl w:val="2F506AD8"/>
    <w:lvl w:ilvl="0" w:tplc="6AAA824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F6AF5A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4267AF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6A8F5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BA85CC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D8E7F1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4C4E01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282CA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54C6EE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6D8383C"/>
    <w:multiLevelType w:val="hybridMultilevel"/>
    <w:tmpl w:val="353A73BA"/>
    <w:lvl w:ilvl="0" w:tplc="E4C63176">
      <w:start w:val="1"/>
      <w:numFmt w:val="decimal"/>
      <w:lvlText w:val="%1."/>
      <w:lvlJc w:val="left"/>
      <w:pPr>
        <w:tabs>
          <w:tab w:val="num" w:pos="360"/>
        </w:tabs>
        <w:ind w:left="36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11"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E7E6C35"/>
    <w:multiLevelType w:val="hybridMultilevel"/>
    <w:tmpl w:val="F1725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C4ECE"/>
    <w:multiLevelType w:val="hybridMultilevel"/>
    <w:tmpl w:val="E7041B4A"/>
    <w:lvl w:ilvl="0" w:tplc="325A002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2A046F"/>
    <w:multiLevelType w:val="hybridMultilevel"/>
    <w:tmpl w:val="ABB8463E"/>
    <w:lvl w:ilvl="0" w:tplc="4A52A7D2">
      <w:start w:val="1"/>
      <w:numFmt w:val="bullet"/>
      <w:lvlText w:val="•"/>
      <w:lvlJc w:val="left"/>
      <w:pPr>
        <w:tabs>
          <w:tab w:val="num" w:pos="720"/>
        </w:tabs>
        <w:ind w:left="720" w:hanging="360"/>
      </w:pPr>
      <w:rPr>
        <w:rFonts w:ascii="Arial" w:hAnsi="Arial" w:hint="default"/>
      </w:rPr>
    </w:lvl>
    <w:lvl w:ilvl="1" w:tplc="BBCAAEC6" w:tentative="1">
      <w:start w:val="1"/>
      <w:numFmt w:val="bullet"/>
      <w:lvlText w:val="•"/>
      <w:lvlJc w:val="left"/>
      <w:pPr>
        <w:tabs>
          <w:tab w:val="num" w:pos="1440"/>
        </w:tabs>
        <w:ind w:left="1440" w:hanging="360"/>
      </w:pPr>
      <w:rPr>
        <w:rFonts w:ascii="Arial" w:hAnsi="Arial" w:hint="default"/>
      </w:rPr>
    </w:lvl>
    <w:lvl w:ilvl="2" w:tplc="7172BC58" w:tentative="1">
      <w:start w:val="1"/>
      <w:numFmt w:val="bullet"/>
      <w:lvlText w:val="•"/>
      <w:lvlJc w:val="left"/>
      <w:pPr>
        <w:tabs>
          <w:tab w:val="num" w:pos="2160"/>
        </w:tabs>
        <w:ind w:left="2160" w:hanging="360"/>
      </w:pPr>
      <w:rPr>
        <w:rFonts w:ascii="Arial" w:hAnsi="Arial" w:hint="default"/>
      </w:rPr>
    </w:lvl>
    <w:lvl w:ilvl="3" w:tplc="0684449C" w:tentative="1">
      <w:start w:val="1"/>
      <w:numFmt w:val="bullet"/>
      <w:lvlText w:val="•"/>
      <w:lvlJc w:val="left"/>
      <w:pPr>
        <w:tabs>
          <w:tab w:val="num" w:pos="2880"/>
        </w:tabs>
        <w:ind w:left="2880" w:hanging="360"/>
      </w:pPr>
      <w:rPr>
        <w:rFonts w:ascii="Arial" w:hAnsi="Arial" w:hint="default"/>
      </w:rPr>
    </w:lvl>
    <w:lvl w:ilvl="4" w:tplc="60086C04" w:tentative="1">
      <w:start w:val="1"/>
      <w:numFmt w:val="bullet"/>
      <w:lvlText w:val="•"/>
      <w:lvlJc w:val="left"/>
      <w:pPr>
        <w:tabs>
          <w:tab w:val="num" w:pos="3600"/>
        </w:tabs>
        <w:ind w:left="3600" w:hanging="360"/>
      </w:pPr>
      <w:rPr>
        <w:rFonts w:ascii="Arial" w:hAnsi="Arial" w:hint="default"/>
      </w:rPr>
    </w:lvl>
    <w:lvl w:ilvl="5" w:tplc="43B4B97C" w:tentative="1">
      <w:start w:val="1"/>
      <w:numFmt w:val="bullet"/>
      <w:lvlText w:val="•"/>
      <w:lvlJc w:val="left"/>
      <w:pPr>
        <w:tabs>
          <w:tab w:val="num" w:pos="4320"/>
        </w:tabs>
        <w:ind w:left="4320" w:hanging="360"/>
      </w:pPr>
      <w:rPr>
        <w:rFonts w:ascii="Arial" w:hAnsi="Arial" w:hint="default"/>
      </w:rPr>
    </w:lvl>
    <w:lvl w:ilvl="6" w:tplc="424E1E0E" w:tentative="1">
      <w:start w:val="1"/>
      <w:numFmt w:val="bullet"/>
      <w:lvlText w:val="•"/>
      <w:lvlJc w:val="left"/>
      <w:pPr>
        <w:tabs>
          <w:tab w:val="num" w:pos="5040"/>
        </w:tabs>
        <w:ind w:left="5040" w:hanging="360"/>
      </w:pPr>
      <w:rPr>
        <w:rFonts w:ascii="Arial" w:hAnsi="Arial" w:hint="default"/>
      </w:rPr>
    </w:lvl>
    <w:lvl w:ilvl="7" w:tplc="51D4B82A" w:tentative="1">
      <w:start w:val="1"/>
      <w:numFmt w:val="bullet"/>
      <w:lvlText w:val="•"/>
      <w:lvlJc w:val="left"/>
      <w:pPr>
        <w:tabs>
          <w:tab w:val="num" w:pos="5760"/>
        </w:tabs>
        <w:ind w:left="5760" w:hanging="360"/>
      </w:pPr>
      <w:rPr>
        <w:rFonts w:ascii="Arial" w:hAnsi="Arial" w:hint="default"/>
      </w:rPr>
    </w:lvl>
    <w:lvl w:ilvl="8" w:tplc="A156F2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123FF8"/>
    <w:multiLevelType w:val="hybridMultilevel"/>
    <w:tmpl w:val="EDDCDA8E"/>
    <w:lvl w:ilvl="0" w:tplc="016CDB90">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BC3554"/>
    <w:multiLevelType w:val="hybridMultilevel"/>
    <w:tmpl w:val="1A64F3C8"/>
    <w:lvl w:ilvl="0" w:tplc="3C26C850">
      <w:start w:val="1"/>
      <w:numFmt w:val="bullet"/>
      <w:lvlText w:val=""/>
      <w:lvlJc w:val="left"/>
      <w:pPr>
        <w:ind w:left="720" w:hanging="360"/>
      </w:pPr>
      <w:rPr>
        <w:rFonts w:ascii="Symbol" w:hAnsi="Symbol" w:hint="default"/>
      </w:rPr>
    </w:lvl>
    <w:lvl w:ilvl="1" w:tplc="48B80BB0" w:tentative="1">
      <w:start w:val="1"/>
      <w:numFmt w:val="bullet"/>
      <w:lvlText w:val="o"/>
      <w:lvlJc w:val="left"/>
      <w:pPr>
        <w:ind w:left="1440" w:hanging="360"/>
      </w:pPr>
      <w:rPr>
        <w:rFonts w:ascii="Courier New" w:hAnsi="Courier New" w:cs="Courier New" w:hint="default"/>
      </w:rPr>
    </w:lvl>
    <w:lvl w:ilvl="2" w:tplc="BBB217AC" w:tentative="1">
      <w:start w:val="1"/>
      <w:numFmt w:val="bullet"/>
      <w:lvlText w:val=""/>
      <w:lvlJc w:val="left"/>
      <w:pPr>
        <w:ind w:left="2160" w:hanging="360"/>
      </w:pPr>
      <w:rPr>
        <w:rFonts w:ascii="Wingdings" w:hAnsi="Wingdings" w:hint="default"/>
      </w:rPr>
    </w:lvl>
    <w:lvl w:ilvl="3" w:tplc="8C8C6A32" w:tentative="1">
      <w:start w:val="1"/>
      <w:numFmt w:val="bullet"/>
      <w:lvlText w:val=""/>
      <w:lvlJc w:val="left"/>
      <w:pPr>
        <w:ind w:left="2880" w:hanging="360"/>
      </w:pPr>
      <w:rPr>
        <w:rFonts w:ascii="Symbol" w:hAnsi="Symbol" w:hint="default"/>
      </w:rPr>
    </w:lvl>
    <w:lvl w:ilvl="4" w:tplc="65B0A84E" w:tentative="1">
      <w:start w:val="1"/>
      <w:numFmt w:val="bullet"/>
      <w:lvlText w:val="o"/>
      <w:lvlJc w:val="left"/>
      <w:pPr>
        <w:ind w:left="3600" w:hanging="360"/>
      </w:pPr>
      <w:rPr>
        <w:rFonts w:ascii="Courier New" w:hAnsi="Courier New" w:cs="Courier New" w:hint="default"/>
      </w:rPr>
    </w:lvl>
    <w:lvl w:ilvl="5" w:tplc="3BC8D5DA" w:tentative="1">
      <w:start w:val="1"/>
      <w:numFmt w:val="bullet"/>
      <w:lvlText w:val=""/>
      <w:lvlJc w:val="left"/>
      <w:pPr>
        <w:ind w:left="4320" w:hanging="360"/>
      </w:pPr>
      <w:rPr>
        <w:rFonts w:ascii="Wingdings" w:hAnsi="Wingdings" w:hint="default"/>
      </w:rPr>
    </w:lvl>
    <w:lvl w:ilvl="6" w:tplc="9864CC9A" w:tentative="1">
      <w:start w:val="1"/>
      <w:numFmt w:val="bullet"/>
      <w:lvlText w:val=""/>
      <w:lvlJc w:val="left"/>
      <w:pPr>
        <w:ind w:left="5040" w:hanging="360"/>
      </w:pPr>
      <w:rPr>
        <w:rFonts w:ascii="Symbol" w:hAnsi="Symbol" w:hint="default"/>
      </w:rPr>
    </w:lvl>
    <w:lvl w:ilvl="7" w:tplc="A442161E" w:tentative="1">
      <w:start w:val="1"/>
      <w:numFmt w:val="bullet"/>
      <w:lvlText w:val="o"/>
      <w:lvlJc w:val="left"/>
      <w:pPr>
        <w:ind w:left="5760" w:hanging="360"/>
      </w:pPr>
      <w:rPr>
        <w:rFonts w:ascii="Courier New" w:hAnsi="Courier New" w:cs="Courier New" w:hint="default"/>
      </w:rPr>
    </w:lvl>
    <w:lvl w:ilvl="8" w:tplc="F01C2AAE" w:tentative="1">
      <w:start w:val="1"/>
      <w:numFmt w:val="bullet"/>
      <w:lvlText w:val=""/>
      <w:lvlJc w:val="left"/>
      <w:pPr>
        <w:ind w:left="6480" w:hanging="360"/>
      </w:pPr>
      <w:rPr>
        <w:rFonts w:ascii="Wingdings" w:hAnsi="Wingdings" w:hint="default"/>
      </w:rPr>
    </w:lvl>
  </w:abstractNum>
  <w:abstractNum w:abstractNumId="18" w15:restartNumberingAfterBreak="0">
    <w:nsid w:val="78B57D26"/>
    <w:multiLevelType w:val="hybridMultilevel"/>
    <w:tmpl w:val="DC5E8800"/>
    <w:lvl w:ilvl="0" w:tplc="2D4640B4">
      <w:start w:val="1"/>
      <w:numFmt w:val="bullet"/>
      <w:lvlText w:val=""/>
      <w:lvlJc w:val="left"/>
      <w:pPr>
        <w:ind w:left="720" w:hanging="360"/>
      </w:pPr>
      <w:rPr>
        <w:rFonts w:ascii="Symbol" w:hAnsi="Symbol" w:hint="default"/>
      </w:rPr>
    </w:lvl>
    <w:lvl w:ilvl="1" w:tplc="8EB665BE" w:tentative="1">
      <w:start w:val="1"/>
      <w:numFmt w:val="bullet"/>
      <w:lvlText w:val="o"/>
      <w:lvlJc w:val="left"/>
      <w:pPr>
        <w:ind w:left="1440" w:hanging="360"/>
      </w:pPr>
      <w:rPr>
        <w:rFonts w:ascii="Courier New" w:hAnsi="Courier New" w:cs="Courier New" w:hint="default"/>
      </w:rPr>
    </w:lvl>
    <w:lvl w:ilvl="2" w:tplc="B8DA0FAC" w:tentative="1">
      <w:start w:val="1"/>
      <w:numFmt w:val="bullet"/>
      <w:lvlText w:val=""/>
      <w:lvlJc w:val="left"/>
      <w:pPr>
        <w:ind w:left="2160" w:hanging="360"/>
      </w:pPr>
      <w:rPr>
        <w:rFonts w:ascii="Wingdings" w:hAnsi="Wingdings" w:hint="default"/>
      </w:rPr>
    </w:lvl>
    <w:lvl w:ilvl="3" w:tplc="AC420A96" w:tentative="1">
      <w:start w:val="1"/>
      <w:numFmt w:val="bullet"/>
      <w:lvlText w:val=""/>
      <w:lvlJc w:val="left"/>
      <w:pPr>
        <w:ind w:left="2880" w:hanging="360"/>
      </w:pPr>
      <w:rPr>
        <w:rFonts w:ascii="Symbol" w:hAnsi="Symbol" w:hint="default"/>
      </w:rPr>
    </w:lvl>
    <w:lvl w:ilvl="4" w:tplc="9894E08C" w:tentative="1">
      <w:start w:val="1"/>
      <w:numFmt w:val="bullet"/>
      <w:lvlText w:val="o"/>
      <w:lvlJc w:val="left"/>
      <w:pPr>
        <w:ind w:left="3600" w:hanging="360"/>
      </w:pPr>
      <w:rPr>
        <w:rFonts w:ascii="Courier New" w:hAnsi="Courier New" w:cs="Courier New" w:hint="default"/>
      </w:rPr>
    </w:lvl>
    <w:lvl w:ilvl="5" w:tplc="F8A8E8DA" w:tentative="1">
      <w:start w:val="1"/>
      <w:numFmt w:val="bullet"/>
      <w:lvlText w:val=""/>
      <w:lvlJc w:val="left"/>
      <w:pPr>
        <w:ind w:left="4320" w:hanging="360"/>
      </w:pPr>
      <w:rPr>
        <w:rFonts w:ascii="Wingdings" w:hAnsi="Wingdings" w:hint="default"/>
      </w:rPr>
    </w:lvl>
    <w:lvl w:ilvl="6" w:tplc="9D10FBA6" w:tentative="1">
      <w:start w:val="1"/>
      <w:numFmt w:val="bullet"/>
      <w:lvlText w:val=""/>
      <w:lvlJc w:val="left"/>
      <w:pPr>
        <w:ind w:left="5040" w:hanging="360"/>
      </w:pPr>
      <w:rPr>
        <w:rFonts w:ascii="Symbol" w:hAnsi="Symbol" w:hint="default"/>
      </w:rPr>
    </w:lvl>
    <w:lvl w:ilvl="7" w:tplc="ADFE800A" w:tentative="1">
      <w:start w:val="1"/>
      <w:numFmt w:val="bullet"/>
      <w:lvlText w:val="o"/>
      <w:lvlJc w:val="left"/>
      <w:pPr>
        <w:ind w:left="5760" w:hanging="360"/>
      </w:pPr>
      <w:rPr>
        <w:rFonts w:ascii="Courier New" w:hAnsi="Courier New" w:cs="Courier New" w:hint="default"/>
      </w:rPr>
    </w:lvl>
    <w:lvl w:ilvl="8" w:tplc="8F124436" w:tentative="1">
      <w:start w:val="1"/>
      <w:numFmt w:val="bullet"/>
      <w:lvlText w:val=""/>
      <w:lvlJc w:val="left"/>
      <w:pPr>
        <w:ind w:left="6480" w:hanging="360"/>
      </w:pPr>
      <w:rPr>
        <w:rFonts w:ascii="Wingdings" w:hAnsi="Wingdings" w:hint="default"/>
      </w:rPr>
    </w:lvl>
  </w:abstractNum>
  <w:abstractNum w:abstractNumId="19" w15:restartNumberingAfterBreak="0">
    <w:nsid w:val="7C1B636A"/>
    <w:multiLevelType w:val="hybridMultilevel"/>
    <w:tmpl w:val="2AAC6FD4"/>
    <w:lvl w:ilvl="0" w:tplc="A8844008">
      <w:start w:val="1"/>
      <w:numFmt w:val="bullet"/>
      <w:lvlText w:val="•"/>
      <w:lvlJc w:val="left"/>
      <w:pPr>
        <w:tabs>
          <w:tab w:val="num" w:pos="720"/>
        </w:tabs>
        <w:ind w:left="720" w:hanging="360"/>
      </w:pPr>
      <w:rPr>
        <w:rFonts w:ascii="Arial" w:hAnsi="Arial" w:hint="default"/>
      </w:rPr>
    </w:lvl>
    <w:lvl w:ilvl="1" w:tplc="FAD8B604" w:tentative="1">
      <w:start w:val="1"/>
      <w:numFmt w:val="bullet"/>
      <w:lvlText w:val="•"/>
      <w:lvlJc w:val="left"/>
      <w:pPr>
        <w:tabs>
          <w:tab w:val="num" w:pos="1440"/>
        </w:tabs>
        <w:ind w:left="1440" w:hanging="360"/>
      </w:pPr>
      <w:rPr>
        <w:rFonts w:ascii="Arial" w:hAnsi="Arial" w:hint="default"/>
      </w:rPr>
    </w:lvl>
    <w:lvl w:ilvl="2" w:tplc="3C2A8C8C" w:tentative="1">
      <w:start w:val="1"/>
      <w:numFmt w:val="bullet"/>
      <w:lvlText w:val="•"/>
      <w:lvlJc w:val="left"/>
      <w:pPr>
        <w:tabs>
          <w:tab w:val="num" w:pos="2160"/>
        </w:tabs>
        <w:ind w:left="2160" w:hanging="360"/>
      </w:pPr>
      <w:rPr>
        <w:rFonts w:ascii="Arial" w:hAnsi="Arial" w:hint="default"/>
      </w:rPr>
    </w:lvl>
    <w:lvl w:ilvl="3" w:tplc="44B2C764" w:tentative="1">
      <w:start w:val="1"/>
      <w:numFmt w:val="bullet"/>
      <w:lvlText w:val="•"/>
      <w:lvlJc w:val="left"/>
      <w:pPr>
        <w:tabs>
          <w:tab w:val="num" w:pos="2880"/>
        </w:tabs>
        <w:ind w:left="2880" w:hanging="360"/>
      </w:pPr>
      <w:rPr>
        <w:rFonts w:ascii="Arial" w:hAnsi="Arial" w:hint="default"/>
      </w:rPr>
    </w:lvl>
    <w:lvl w:ilvl="4" w:tplc="F1E8E904" w:tentative="1">
      <w:start w:val="1"/>
      <w:numFmt w:val="bullet"/>
      <w:lvlText w:val="•"/>
      <w:lvlJc w:val="left"/>
      <w:pPr>
        <w:tabs>
          <w:tab w:val="num" w:pos="3600"/>
        </w:tabs>
        <w:ind w:left="3600" w:hanging="360"/>
      </w:pPr>
      <w:rPr>
        <w:rFonts w:ascii="Arial" w:hAnsi="Arial" w:hint="default"/>
      </w:rPr>
    </w:lvl>
    <w:lvl w:ilvl="5" w:tplc="EBA265BE" w:tentative="1">
      <w:start w:val="1"/>
      <w:numFmt w:val="bullet"/>
      <w:lvlText w:val="•"/>
      <w:lvlJc w:val="left"/>
      <w:pPr>
        <w:tabs>
          <w:tab w:val="num" w:pos="4320"/>
        </w:tabs>
        <w:ind w:left="4320" w:hanging="360"/>
      </w:pPr>
      <w:rPr>
        <w:rFonts w:ascii="Arial" w:hAnsi="Arial" w:hint="default"/>
      </w:rPr>
    </w:lvl>
    <w:lvl w:ilvl="6" w:tplc="CAFA4E98" w:tentative="1">
      <w:start w:val="1"/>
      <w:numFmt w:val="bullet"/>
      <w:lvlText w:val="•"/>
      <w:lvlJc w:val="left"/>
      <w:pPr>
        <w:tabs>
          <w:tab w:val="num" w:pos="5040"/>
        </w:tabs>
        <w:ind w:left="5040" w:hanging="360"/>
      </w:pPr>
      <w:rPr>
        <w:rFonts w:ascii="Arial" w:hAnsi="Arial" w:hint="default"/>
      </w:rPr>
    </w:lvl>
    <w:lvl w:ilvl="7" w:tplc="B2A4ABD0" w:tentative="1">
      <w:start w:val="1"/>
      <w:numFmt w:val="bullet"/>
      <w:lvlText w:val="•"/>
      <w:lvlJc w:val="left"/>
      <w:pPr>
        <w:tabs>
          <w:tab w:val="num" w:pos="5760"/>
        </w:tabs>
        <w:ind w:left="5760" w:hanging="360"/>
      </w:pPr>
      <w:rPr>
        <w:rFonts w:ascii="Arial" w:hAnsi="Arial" w:hint="default"/>
      </w:rPr>
    </w:lvl>
    <w:lvl w:ilvl="8" w:tplc="B8C2696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D672C04"/>
    <w:multiLevelType w:val="hybridMultilevel"/>
    <w:tmpl w:val="A1D0237C"/>
    <w:lvl w:ilvl="0" w:tplc="B694F622">
      <w:start w:val="1"/>
      <w:numFmt w:val="bullet"/>
      <w:lvlText w:val="•"/>
      <w:lvlJc w:val="left"/>
      <w:pPr>
        <w:tabs>
          <w:tab w:val="num" w:pos="720"/>
        </w:tabs>
        <w:ind w:left="720" w:hanging="360"/>
      </w:pPr>
      <w:rPr>
        <w:rFonts w:ascii="Arial" w:hAnsi="Arial" w:hint="default"/>
      </w:rPr>
    </w:lvl>
    <w:lvl w:ilvl="1" w:tplc="137824D4" w:tentative="1">
      <w:start w:val="1"/>
      <w:numFmt w:val="bullet"/>
      <w:lvlText w:val="•"/>
      <w:lvlJc w:val="left"/>
      <w:pPr>
        <w:tabs>
          <w:tab w:val="num" w:pos="1440"/>
        </w:tabs>
        <w:ind w:left="1440" w:hanging="360"/>
      </w:pPr>
      <w:rPr>
        <w:rFonts w:ascii="Arial" w:hAnsi="Arial" w:hint="default"/>
      </w:rPr>
    </w:lvl>
    <w:lvl w:ilvl="2" w:tplc="3E5E11DC" w:tentative="1">
      <w:start w:val="1"/>
      <w:numFmt w:val="bullet"/>
      <w:lvlText w:val="•"/>
      <w:lvlJc w:val="left"/>
      <w:pPr>
        <w:tabs>
          <w:tab w:val="num" w:pos="2160"/>
        </w:tabs>
        <w:ind w:left="2160" w:hanging="360"/>
      </w:pPr>
      <w:rPr>
        <w:rFonts w:ascii="Arial" w:hAnsi="Arial" w:hint="default"/>
      </w:rPr>
    </w:lvl>
    <w:lvl w:ilvl="3" w:tplc="93940738" w:tentative="1">
      <w:start w:val="1"/>
      <w:numFmt w:val="bullet"/>
      <w:lvlText w:val="•"/>
      <w:lvlJc w:val="left"/>
      <w:pPr>
        <w:tabs>
          <w:tab w:val="num" w:pos="2880"/>
        </w:tabs>
        <w:ind w:left="2880" w:hanging="360"/>
      </w:pPr>
      <w:rPr>
        <w:rFonts w:ascii="Arial" w:hAnsi="Arial" w:hint="default"/>
      </w:rPr>
    </w:lvl>
    <w:lvl w:ilvl="4" w:tplc="6A7EE642" w:tentative="1">
      <w:start w:val="1"/>
      <w:numFmt w:val="bullet"/>
      <w:lvlText w:val="•"/>
      <w:lvlJc w:val="left"/>
      <w:pPr>
        <w:tabs>
          <w:tab w:val="num" w:pos="3600"/>
        </w:tabs>
        <w:ind w:left="3600" w:hanging="360"/>
      </w:pPr>
      <w:rPr>
        <w:rFonts w:ascii="Arial" w:hAnsi="Arial" w:hint="default"/>
      </w:rPr>
    </w:lvl>
    <w:lvl w:ilvl="5" w:tplc="153E295E" w:tentative="1">
      <w:start w:val="1"/>
      <w:numFmt w:val="bullet"/>
      <w:lvlText w:val="•"/>
      <w:lvlJc w:val="left"/>
      <w:pPr>
        <w:tabs>
          <w:tab w:val="num" w:pos="4320"/>
        </w:tabs>
        <w:ind w:left="4320" w:hanging="360"/>
      </w:pPr>
      <w:rPr>
        <w:rFonts w:ascii="Arial" w:hAnsi="Arial" w:hint="default"/>
      </w:rPr>
    </w:lvl>
    <w:lvl w:ilvl="6" w:tplc="69602886" w:tentative="1">
      <w:start w:val="1"/>
      <w:numFmt w:val="bullet"/>
      <w:lvlText w:val="•"/>
      <w:lvlJc w:val="left"/>
      <w:pPr>
        <w:tabs>
          <w:tab w:val="num" w:pos="5040"/>
        </w:tabs>
        <w:ind w:left="5040" w:hanging="360"/>
      </w:pPr>
      <w:rPr>
        <w:rFonts w:ascii="Arial" w:hAnsi="Arial" w:hint="default"/>
      </w:rPr>
    </w:lvl>
    <w:lvl w:ilvl="7" w:tplc="0F708E7E" w:tentative="1">
      <w:start w:val="1"/>
      <w:numFmt w:val="bullet"/>
      <w:lvlText w:val="•"/>
      <w:lvlJc w:val="left"/>
      <w:pPr>
        <w:tabs>
          <w:tab w:val="num" w:pos="5760"/>
        </w:tabs>
        <w:ind w:left="5760" w:hanging="360"/>
      </w:pPr>
      <w:rPr>
        <w:rFonts w:ascii="Arial" w:hAnsi="Arial" w:hint="default"/>
      </w:rPr>
    </w:lvl>
    <w:lvl w:ilvl="8" w:tplc="0B0C119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6"/>
  </w:num>
  <w:num w:numId="3">
    <w:abstractNumId w:val="5"/>
  </w:num>
  <w:num w:numId="4">
    <w:abstractNumId w:val="18"/>
  </w:num>
  <w:num w:numId="5">
    <w:abstractNumId w:val="8"/>
  </w:num>
  <w:num w:numId="6">
    <w:abstractNumId w:val="6"/>
  </w:num>
  <w:num w:numId="7">
    <w:abstractNumId w:val="6"/>
  </w:num>
  <w:num w:numId="8">
    <w:abstractNumId w:val="17"/>
  </w:num>
  <w:num w:numId="9">
    <w:abstractNumId w:val="2"/>
  </w:num>
  <w:num w:numId="10">
    <w:abstractNumId w:val="15"/>
  </w:num>
  <w:num w:numId="11">
    <w:abstractNumId w:val="19"/>
  </w:num>
  <w:num w:numId="12">
    <w:abstractNumId w:val="16"/>
  </w:num>
  <w:num w:numId="13">
    <w:abstractNumId w:val="3"/>
  </w:num>
  <w:num w:numId="14">
    <w:abstractNumId w:val="2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num>
  <w:num w:numId="18">
    <w:abstractNumId w:val="14"/>
  </w:num>
  <w:num w:numId="19">
    <w:abstractNumId w:val="13"/>
  </w:num>
  <w:num w:numId="20">
    <w:abstractNumId w:val="12"/>
  </w:num>
  <w:num w:numId="21">
    <w:abstractNumId w:val="4"/>
  </w:num>
  <w:num w:numId="22">
    <w:abstractNumId w:val="7"/>
  </w:num>
  <w:num w:numId="23">
    <w:abstractNumId w:val="9"/>
  </w:num>
  <w:num w:numId="24">
    <w:abstractNumId w:val="0"/>
  </w:num>
  <w:num w:numId="25">
    <w:abstractNumId w:val="10"/>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018FC"/>
    <w:rsid w:val="000056C7"/>
    <w:rsid w:val="00006F66"/>
    <w:rsid w:val="00011272"/>
    <w:rsid w:val="000129E8"/>
    <w:rsid w:val="0001316F"/>
    <w:rsid w:val="00017567"/>
    <w:rsid w:val="000205EC"/>
    <w:rsid w:val="0002282A"/>
    <w:rsid w:val="00022A50"/>
    <w:rsid w:val="00023FF1"/>
    <w:rsid w:val="00031116"/>
    <w:rsid w:val="00031C2F"/>
    <w:rsid w:val="0003346F"/>
    <w:rsid w:val="000404E4"/>
    <w:rsid w:val="000427B5"/>
    <w:rsid w:val="0004682E"/>
    <w:rsid w:val="00046C7C"/>
    <w:rsid w:val="00050886"/>
    <w:rsid w:val="00050CEF"/>
    <w:rsid w:val="00061861"/>
    <w:rsid w:val="00064A6B"/>
    <w:rsid w:val="00064DCC"/>
    <w:rsid w:val="0006522E"/>
    <w:rsid w:val="000661F4"/>
    <w:rsid w:val="00066E87"/>
    <w:rsid w:val="0006783F"/>
    <w:rsid w:val="00070537"/>
    <w:rsid w:val="000736AA"/>
    <w:rsid w:val="00073CCC"/>
    <w:rsid w:val="00074325"/>
    <w:rsid w:val="00074E66"/>
    <w:rsid w:val="000770DC"/>
    <w:rsid w:val="0008508C"/>
    <w:rsid w:val="00085B75"/>
    <w:rsid w:val="0008602B"/>
    <w:rsid w:val="00086935"/>
    <w:rsid w:val="00094337"/>
    <w:rsid w:val="00095374"/>
    <w:rsid w:val="000969F9"/>
    <w:rsid w:val="00097899"/>
    <w:rsid w:val="000A0033"/>
    <w:rsid w:val="000A72E3"/>
    <w:rsid w:val="000B1025"/>
    <w:rsid w:val="000B1FCF"/>
    <w:rsid w:val="000B43F5"/>
    <w:rsid w:val="000B6478"/>
    <w:rsid w:val="000B6D64"/>
    <w:rsid w:val="000C119A"/>
    <w:rsid w:val="000C3347"/>
    <w:rsid w:val="000C3438"/>
    <w:rsid w:val="000C344F"/>
    <w:rsid w:val="000C4880"/>
    <w:rsid w:val="000C4A18"/>
    <w:rsid w:val="000C4E12"/>
    <w:rsid w:val="000C6064"/>
    <w:rsid w:val="000C6A76"/>
    <w:rsid w:val="000C7FFE"/>
    <w:rsid w:val="000D140C"/>
    <w:rsid w:val="000D2D2E"/>
    <w:rsid w:val="000D35E7"/>
    <w:rsid w:val="000D4368"/>
    <w:rsid w:val="000D540D"/>
    <w:rsid w:val="000D6070"/>
    <w:rsid w:val="000E1DB2"/>
    <w:rsid w:val="000E279F"/>
    <w:rsid w:val="000E313E"/>
    <w:rsid w:val="000E3C83"/>
    <w:rsid w:val="000E439E"/>
    <w:rsid w:val="000E589A"/>
    <w:rsid w:val="000F02B7"/>
    <w:rsid w:val="000F077A"/>
    <w:rsid w:val="000F189B"/>
    <w:rsid w:val="000F1E02"/>
    <w:rsid w:val="00101D39"/>
    <w:rsid w:val="00102ACA"/>
    <w:rsid w:val="001050AD"/>
    <w:rsid w:val="0010530F"/>
    <w:rsid w:val="001069A4"/>
    <w:rsid w:val="00106BF9"/>
    <w:rsid w:val="00106D57"/>
    <w:rsid w:val="001157EA"/>
    <w:rsid w:val="00120C78"/>
    <w:rsid w:val="00125642"/>
    <w:rsid w:val="00125970"/>
    <w:rsid w:val="001259E2"/>
    <w:rsid w:val="0012611C"/>
    <w:rsid w:val="00127A90"/>
    <w:rsid w:val="0013037E"/>
    <w:rsid w:val="00133A15"/>
    <w:rsid w:val="0013464D"/>
    <w:rsid w:val="0013492E"/>
    <w:rsid w:val="001405C9"/>
    <w:rsid w:val="00142D34"/>
    <w:rsid w:val="00146D49"/>
    <w:rsid w:val="00146FB1"/>
    <w:rsid w:val="00147F9E"/>
    <w:rsid w:val="00150AE4"/>
    <w:rsid w:val="00152D2E"/>
    <w:rsid w:val="00153DD8"/>
    <w:rsid w:val="0015580A"/>
    <w:rsid w:val="00160DD0"/>
    <w:rsid w:val="00163948"/>
    <w:rsid w:val="0016428D"/>
    <w:rsid w:val="0016660D"/>
    <w:rsid w:val="00166C73"/>
    <w:rsid w:val="001675E2"/>
    <w:rsid w:val="001719EE"/>
    <w:rsid w:val="00171B89"/>
    <w:rsid w:val="001759A0"/>
    <w:rsid w:val="00180746"/>
    <w:rsid w:val="00183C2C"/>
    <w:rsid w:val="00183F59"/>
    <w:rsid w:val="001842C2"/>
    <w:rsid w:val="00187102"/>
    <w:rsid w:val="00187D59"/>
    <w:rsid w:val="00191AA0"/>
    <w:rsid w:val="00193A06"/>
    <w:rsid w:val="001A460B"/>
    <w:rsid w:val="001B0828"/>
    <w:rsid w:val="001B0AB0"/>
    <w:rsid w:val="001B0C5C"/>
    <w:rsid w:val="001B31A0"/>
    <w:rsid w:val="001B6AEF"/>
    <w:rsid w:val="001C3064"/>
    <w:rsid w:val="001C6DC5"/>
    <w:rsid w:val="001D0221"/>
    <w:rsid w:val="001D1222"/>
    <w:rsid w:val="001D285A"/>
    <w:rsid w:val="001D5C19"/>
    <w:rsid w:val="001D738C"/>
    <w:rsid w:val="001D78E8"/>
    <w:rsid w:val="001E1652"/>
    <w:rsid w:val="001E3150"/>
    <w:rsid w:val="001E3C78"/>
    <w:rsid w:val="001E5172"/>
    <w:rsid w:val="001F2739"/>
    <w:rsid w:val="001F756B"/>
    <w:rsid w:val="00200F1B"/>
    <w:rsid w:val="0020227F"/>
    <w:rsid w:val="002024FE"/>
    <w:rsid w:val="00203839"/>
    <w:rsid w:val="00203B24"/>
    <w:rsid w:val="0020460C"/>
    <w:rsid w:val="002050F0"/>
    <w:rsid w:val="002119ED"/>
    <w:rsid w:val="0021263B"/>
    <w:rsid w:val="00216850"/>
    <w:rsid w:val="00221544"/>
    <w:rsid w:val="00222AFE"/>
    <w:rsid w:val="00224B2B"/>
    <w:rsid w:val="00224C3F"/>
    <w:rsid w:val="00225597"/>
    <w:rsid w:val="0022713E"/>
    <w:rsid w:val="0023293E"/>
    <w:rsid w:val="00234996"/>
    <w:rsid w:val="002352E7"/>
    <w:rsid w:val="00235CB9"/>
    <w:rsid w:val="00236B14"/>
    <w:rsid w:val="00237585"/>
    <w:rsid w:val="002409D6"/>
    <w:rsid w:val="002506DA"/>
    <w:rsid w:val="00253004"/>
    <w:rsid w:val="00255B74"/>
    <w:rsid w:val="0026183C"/>
    <w:rsid w:val="00261F76"/>
    <w:rsid w:val="00264202"/>
    <w:rsid w:val="0026449A"/>
    <w:rsid w:val="00265F00"/>
    <w:rsid w:val="0026779F"/>
    <w:rsid w:val="00267E1B"/>
    <w:rsid w:val="002704E2"/>
    <w:rsid w:val="00271614"/>
    <w:rsid w:val="0027412E"/>
    <w:rsid w:val="00274564"/>
    <w:rsid w:val="00277682"/>
    <w:rsid w:val="00280612"/>
    <w:rsid w:val="002822E7"/>
    <w:rsid w:val="0028278B"/>
    <w:rsid w:val="00282ED9"/>
    <w:rsid w:val="00283B9D"/>
    <w:rsid w:val="0028696A"/>
    <w:rsid w:val="00286D8C"/>
    <w:rsid w:val="0029276F"/>
    <w:rsid w:val="00292D64"/>
    <w:rsid w:val="002942BD"/>
    <w:rsid w:val="0029642E"/>
    <w:rsid w:val="002A03E9"/>
    <w:rsid w:val="002A0FB3"/>
    <w:rsid w:val="002A1985"/>
    <w:rsid w:val="002A1CB2"/>
    <w:rsid w:val="002A3CB5"/>
    <w:rsid w:val="002A63EC"/>
    <w:rsid w:val="002B2168"/>
    <w:rsid w:val="002B2DE0"/>
    <w:rsid w:val="002B541D"/>
    <w:rsid w:val="002B56D2"/>
    <w:rsid w:val="002B6EEE"/>
    <w:rsid w:val="002C0112"/>
    <w:rsid w:val="002C0187"/>
    <w:rsid w:val="002C17AC"/>
    <w:rsid w:val="002C1BDD"/>
    <w:rsid w:val="002C3EDD"/>
    <w:rsid w:val="002C6B0D"/>
    <w:rsid w:val="002D07B4"/>
    <w:rsid w:val="002D3A25"/>
    <w:rsid w:val="002D412D"/>
    <w:rsid w:val="002D6FD5"/>
    <w:rsid w:val="002E259C"/>
    <w:rsid w:val="002E2CC7"/>
    <w:rsid w:val="002E3061"/>
    <w:rsid w:val="002E609F"/>
    <w:rsid w:val="002E6B3F"/>
    <w:rsid w:val="002F0A27"/>
    <w:rsid w:val="002F0AF9"/>
    <w:rsid w:val="002F2544"/>
    <w:rsid w:val="002F25F2"/>
    <w:rsid w:val="002F5352"/>
    <w:rsid w:val="002F5F89"/>
    <w:rsid w:val="002F7829"/>
    <w:rsid w:val="00301AF6"/>
    <w:rsid w:val="00302022"/>
    <w:rsid w:val="00305D01"/>
    <w:rsid w:val="00305E93"/>
    <w:rsid w:val="00305FBE"/>
    <w:rsid w:val="0031086B"/>
    <w:rsid w:val="0031130C"/>
    <w:rsid w:val="003116AC"/>
    <w:rsid w:val="00312CA2"/>
    <w:rsid w:val="00312E32"/>
    <w:rsid w:val="00315E23"/>
    <w:rsid w:val="003200A4"/>
    <w:rsid w:val="0032713A"/>
    <w:rsid w:val="00327382"/>
    <w:rsid w:val="003302CF"/>
    <w:rsid w:val="0033103C"/>
    <w:rsid w:val="00335ABE"/>
    <w:rsid w:val="003366D5"/>
    <w:rsid w:val="00343793"/>
    <w:rsid w:val="00345C27"/>
    <w:rsid w:val="00345DCF"/>
    <w:rsid w:val="00350910"/>
    <w:rsid w:val="003523D9"/>
    <w:rsid w:val="003529F3"/>
    <w:rsid w:val="00352BB7"/>
    <w:rsid w:val="00353D7A"/>
    <w:rsid w:val="00354054"/>
    <w:rsid w:val="00355967"/>
    <w:rsid w:val="003567C5"/>
    <w:rsid w:val="00356E08"/>
    <w:rsid w:val="00357684"/>
    <w:rsid w:val="00361898"/>
    <w:rsid w:val="00362D68"/>
    <w:rsid w:val="00362DA5"/>
    <w:rsid w:val="00364EB4"/>
    <w:rsid w:val="003663DE"/>
    <w:rsid w:val="003715E1"/>
    <w:rsid w:val="003721E7"/>
    <w:rsid w:val="00374F0A"/>
    <w:rsid w:val="0037599C"/>
    <w:rsid w:val="003775B4"/>
    <w:rsid w:val="003805E5"/>
    <w:rsid w:val="0038288B"/>
    <w:rsid w:val="003836D2"/>
    <w:rsid w:val="003862D2"/>
    <w:rsid w:val="00390A70"/>
    <w:rsid w:val="00390D0F"/>
    <w:rsid w:val="003923A6"/>
    <w:rsid w:val="003945DC"/>
    <w:rsid w:val="00395B6C"/>
    <w:rsid w:val="003A1DD1"/>
    <w:rsid w:val="003A50F3"/>
    <w:rsid w:val="003A5B70"/>
    <w:rsid w:val="003B1D31"/>
    <w:rsid w:val="003B2254"/>
    <w:rsid w:val="003B4053"/>
    <w:rsid w:val="003B40C4"/>
    <w:rsid w:val="003B4130"/>
    <w:rsid w:val="003B4489"/>
    <w:rsid w:val="003C1542"/>
    <w:rsid w:val="003C27AB"/>
    <w:rsid w:val="003C332F"/>
    <w:rsid w:val="003C448A"/>
    <w:rsid w:val="003D0721"/>
    <w:rsid w:val="003D13AD"/>
    <w:rsid w:val="003D3AED"/>
    <w:rsid w:val="003D4305"/>
    <w:rsid w:val="003D67B6"/>
    <w:rsid w:val="003D7799"/>
    <w:rsid w:val="003E018C"/>
    <w:rsid w:val="003E04C0"/>
    <w:rsid w:val="003E4E9B"/>
    <w:rsid w:val="003E687F"/>
    <w:rsid w:val="003E68C3"/>
    <w:rsid w:val="003E7518"/>
    <w:rsid w:val="003E7F87"/>
    <w:rsid w:val="003F023D"/>
    <w:rsid w:val="003F2522"/>
    <w:rsid w:val="003F46EA"/>
    <w:rsid w:val="003F4FA0"/>
    <w:rsid w:val="003F6FF7"/>
    <w:rsid w:val="003F7B1F"/>
    <w:rsid w:val="004011CB"/>
    <w:rsid w:val="00410ED3"/>
    <w:rsid w:val="004123EC"/>
    <w:rsid w:val="00412CD0"/>
    <w:rsid w:val="00413FE5"/>
    <w:rsid w:val="00414A9D"/>
    <w:rsid w:val="00417C96"/>
    <w:rsid w:val="00420CBA"/>
    <w:rsid w:val="00421AA1"/>
    <w:rsid w:val="004249B9"/>
    <w:rsid w:val="004279F5"/>
    <w:rsid w:val="00427E8A"/>
    <w:rsid w:val="0043293F"/>
    <w:rsid w:val="004330BC"/>
    <w:rsid w:val="0043588E"/>
    <w:rsid w:val="00435F73"/>
    <w:rsid w:val="004372E7"/>
    <w:rsid w:val="00443606"/>
    <w:rsid w:val="00444A4F"/>
    <w:rsid w:val="00450075"/>
    <w:rsid w:val="0045141C"/>
    <w:rsid w:val="00451729"/>
    <w:rsid w:val="00452315"/>
    <w:rsid w:val="00457B19"/>
    <w:rsid w:val="00461F49"/>
    <w:rsid w:val="0046301C"/>
    <w:rsid w:val="00463A6B"/>
    <w:rsid w:val="00464793"/>
    <w:rsid w:val="0046512F"/>
    <w:rsid w:val="00467329"/>
    <w:rsid w:val="00467A8F"/>
    <w:rsid w:val="00472522"/>
    <w:rsid w:val="00473A3B"/>
    <w:rsid w:val="00474D29"/>
    <w:rsid w:val="00476255"/>
    <w:rsid w:val="004843BF"/>
    <w:rsid w:val="00484B6F"/>
    <w:rsid w:val="00490731"/>
    <w:rsid w:val="0049246C"/>
    <w:rsid w:val="00493B12"/>
    <w:rsid w:val="00494F25"/>
    <w:rsid w:val="00496643"/>
    <w:rsid w:val="00496BBC"/>
    <w:rsid w:val="00497D4E"/>
    <w:rsid w:val="004A1D26"/>
    <w:rsid w:val="004A2853"/>
    <w:rsid w:val="004A29E0"/>
    <w:rsid w:val="004A5232"/>
    <w:rsid w:val="004A6065"/>
    <w:rsid w:val="004A7C48"/>
    <w:rsid w:val="004B2B39"/>
    <w:rsid w:val="004B2D0E"/>
    <w:rsid w:val="004B3633"/>
    <w:rsid w:val="004B387B"/>
    <w:rsid w:val="004B5C41"/>
    <w:rsid w:val="004B6A6F"/>
    <w:rsid w:val="004C139D"/>
    <w:rsid w:val="004D1A42"/>
    <w:rsid w:val="004D1D9E"/>
    <w:rsid w:val="004D2279"/>
    <w:rsid w:val="004D2D2E"/>
    <w:rsid w:val="004D3825"/>
    <w:rsid w:val="004D4046"/>
    <w:rsid w:val="004D44C9"/>
    <w:rsid w:val="004D7FB5"/>
    <w:rsid w:val="004E4B3D"/>
    <w:rsid w:val="004E62A6"/>
    <w:rsid w:val="004F0EF3"/>
    <w:rsid w:val="004F16DE"/>
    <w:rsid w:val="004F1AED"/>
    <w:rsid w:val="004F26A2"/>
    <w:rsid w:val="004F4571"/>
    <w:rsid w:val="004F6805"/>
    <w:rsid w:val="0050011F"/>
    <w:rsid w:val="00502854"/>
    <w:rsid w:val="0050667F"/>
    <w:rsid w:val="005112C3"/>
    <w:rsid w:val="0051320B"/>
    <w:rsid w:val="00513B4E"/>
    <w:rsid w:val="00514EDB"/>
    <w:rsid w:val="00520355"/>
    <w:rsid w:val="00526C6F"/>
    <w:rsid w:val="00531BB7"/>
    <w:rsid w:val="00532166"/>
    <w:rsid w:val="005336D0"/>
    <w:rsid w:val="0053678B"/>
    <w:rsid w:val="005376A0"/>
    <w:rsid w:val="005401AD"/>
    <w:rsid w:val="00540938"/>
    <w:rsid w:val="00540AB4"/>
    <w:rsid w:val="005462E3"/>
    <w:rsid w:val="0055186F"/>
    <w:rsid w:val="00553E7C"/>
    <w:rsid w:val="005572A9"/>
    <w:rsid w:val="005621FB"/>
    <w:rsid w:val="00562221"/>
    <w:rsid w:val="00564C90"/>
    <w:rsid w:val="00564FA3"/>
    <w:rsid w:val="005679D8"/>
    <w:rsid w:val="00571D5C"/>
    <w:rsid w:val="00573594"/>
    <w:rsid w:val="00573A36"/>
    <w:rsid w:val="00575576"/>
    <w:rsid w:val="005757FA"/>
    <w:rsid w:val="00577517"/>
    <w:rsid w:val="0058420A"/>
    <w:rsid w:val="00594069"/>
    <w:rsid w:val="005A07DF"/>
    <w:rsid w:val="005A255F"/>
    <w:rsid w:val="005A4577"/>
    <w:rsid w:val="005A5372"/>
    <w:rsid w:val="005A5D50"/>
    <w:rsid w:val="005A62F8"/>
    <w:rsid w:val="005A69E3"/>
    <w:rsid w:val="005A70C5"/>
    <w:rsid w:val="005B5F61"/>
    <w:rsid w:val="005B7D03"/>
    <w:rsid w:val="005C17AE"/>
    <w:rsid w:val="005C2050"/>
    <w:rsid w:val="005C20AF"/>
    <w:rsid w:val="005C2862"/>
    <w:rsid w:val="005D1365"/>
    <w:rsid w:val="005D3D10"/>
    <w:rsid w:val="005D44CE"/>
    <w:rsid w:val="005D74F2"/>
    <w:rsid w:val="005E07F1"/>
    <w:rsid w:val="005E085B"/>
    <w:rsid w:val="005E0977"/>
    <w:rsid w:val="005E1121"/>
    <w:rsid w:val="005E3A24"/>
    <w:rsid w:val="005F1964"/>
    <w:rsid w:val="005F29C1"/>
    <w:rsid w:val="005F78BB"/>
    <w:rsid w:val="00600777"/>
    <w:rsid w:val="00601AF2"/>
    <w:rsid w:val="00602980"/>
    <w:rsid w:val="00607AA8"/>
    <w:rsid w:val="00611D28"/>
    <w:rsid w:val="006123C5"/>
    <w:rsid w:val="00612E0C"/>
    <w:rsid w:val="00621C03"/>
    <w:rsid w:val="00622F41"/>
    <w:rsid w:val="00623C3A"/>
    <w:rsid w:val="006309A9"/>
    <w:rsid w:val="0063190B"/>
    <w:rsid w:val="0063413B"/>
    <w:rsid w:val="00634E7B"/>
    <w:rsid w:val="006374D0"/>
    <w:rsid w:val="006402B5"/>
    <w:rsid w:val="00641862"/>
    <w:rsid w:val="00642AD3"/>
    <w:rsid w:val="00642E66"/>
    <w:rsid w:val="0064346E"/>
    <w:rsid w:val="00643E86"/>
    <w:rsid w:val="0064648A"/>
    <w:rsid w:val="00651316"/>
    <w:rsid w:val="006525AA"/>
    <w:rsid w:val="00655B90"/>
    <w:rsid w:val="006610EF"/>
    <w:rsid w:val="00663628"/>
    <w:rsid w:val="00663D49"/>
    <w:rsid w:val="00663F3D"/>
    <w:rsid w:val="00666B25"/>
    <w:rsid w:val="00670C77"/>
    <w:rsid w:val="00670E8A"/>
    <w:rsid w:val="006711F3"/>
    <w:rsid w:val="006715BA"/>
    <w:rsid w:val="006716CD"/>
    <w:rsid w:val="00673626"/>
    <w:rsid w:val="00675634"/>
    <w:rsid w:val="00676074"/>
    <w:rsid w:val="006800BE"/>
    <w:rsid w:val="00680EA5"/>
    <w:rsid w:val="00682E58"/>
    <w:rsid w:val="006839FF"/>
    <w:rsid w:val="00685580"/>
    <w:rsid w:val="0068655B"/>
    <w:rsid w:val="00686FEA"/>
    <w:rsid w:val="00687846"/>
    <w:rsid w:val="00691B9D"/>
    <w:rsid w:val="0069379D"/>
    <w:rsid w:val="00693B37"/>
    <w:rsid w:val="00697C70"/>
    <w:rsid w:val="006A16D7"/>
    <w:rsid w:val="006A1A6B"/>
    <w:rsid w:val="006A483E"/>
    <w:rsid w:val="006A545B"/>
    <w:rsid w:val="006A5B97"/>
    <w:rsid w:val="006A6025"/>
    <w:rsid w:val="006A67F9"/>
    <w:rsid w:val="006A7AFF"/>
    <w:rsid w:val="006B20C5"/>
    <w:rsid w:val="006B21AD"/>
    <w:rsid w:val="006B2A8A"/>
    <w:rsid w:val="006B3BA2"/>
    <w:rsid w:val="006B6A53"/>
    <w:rsid w:val="006B710A"/>
    <w:rsid w:val="006C581A"/>
    <w:rsid w:val="006C665E"/>
    <w:rsid w:val="006C6F0E"/>
    <w:rsid w:val="006D11BB"/>
    <w:rsid w:val="006D193D"/>
    <w:rsid w:val="006D49A4"/>
    <w:rsid w:val="006D513A"/>
    <w:rsid w:val="006D7239"/>
    <w:rsid w:val="006E2472"/>
    <w:rsid w:val="006F0712"/>
    <w:rsid w:val="006F3B62"/>
    <w:rsid w:val="006F4488"/>
    <w:rsid w:val="006F6D7A"/>
    <w:rsid w:val="006F7BAD"/>
    <w:rsid w:val="007008BA"/>
    <w:rsid w:val="007025BF"/>
    <w:rsid w:val="0070275F"/>
    <w:rsid w:val="00703316"/>
    <w:rsid w:val="007075C4"/>
    <w:rsid w:val="00714735"/>
    <w:rsid w:val="00716EF8"/>
    <w:rsid w:val="00720C9D"/>
    <w:rsid w:val="00721843"/>
    <w:rsid w:val="00722693"/>
    <w:rsid w:val="00722D23"/>
    <w:rsid w:val="00723DE2"/>
    <w:rsid w:val="0072562F"/>
    <w:rsid w:val="007269A3"/>
    <w:rsid w:val="00730E0A"/>
    <w:rsid w:val="00731A03"/>
    <w:rsid w:val="007325A6"/>
    <w:rsid w:val="007326F5"/>
    <w:rsid w:val="00733CA7"/>
    <w:rsid w:val="0073480E"/>
    <w:rsid w:val="00734C2E"/>
    <w:rsid w:val="00736367"/>
    <w:rsid w:val="007418D6"/>
    <w:rsid w:val="0074286A"/>
    <w:rsid w:val="00743DD7"/>
    <w:rsid w:val="007443E9"/>
    <w:rsid w:val="007467EF"/>
    <w:rsid w:val="007537DA"/>
    <w:rsid w:val="00756232"/>
    <w:rsid w:val="007642BF"/>
    <w:rsid w:val="007648E4"/>
    <w:rsid w:val="00766F68"/>
    <w:rsid w:val="0076783E"/>
    <w:rsid w:val="007703A2"/>
    <w:rsid w:val="00772068"/>
    <w:rsid w:val="00772F05"/>
    <w:rsid w:val="00777E14"/>
    <w:rsid w:val="007803E0"/>
    <w:rsid w:val="00781CB8"/>
    <w:rsid w:val="00781D3F"/>
    <w:rsid w:val="007829F8"/>
    <w:rsid w:val="00783480"/>
    <w:rsid w:val="00784BCF"/>
    <w:rsid w:val="00787435"/>
    <w:rsid w:val="007875B3"/>
    <w:rsid w:val="00791916"/>
    <w:rsid w:val="0079320F"/>
    <w:rsid w:val="00794A66"/>
    <w:rsid w:val="00794BF4"/>
    <w:rsid w:val="00796149"/>
    <w:rsid w:val="007A16A6"/>
    <w:rsid w:val="007A307C"/>
    <w:rsid w:val="007B08BF"/>
    <w:rsid w:val="007B1300"/>
    <w:rsid w:val="007B2DE5"/>
    <w:rsid w:val="007B3C68"/>
    <w:rsid w:val="007B5591"/>
    <w:rsid w:val="007B6A70"/>
    <w:rsid w:val="007B6AD7"/>
    <w:rsid w:val="007B6E4E"/>
    <w:rsid w:val="007B7D90"/>
    <w:rsid w:val="007C1C2A"/>
    <w:rsid w:val="007C2A94"/>
    <w:rsid w:val="007C2BE9"/>
    <w:rsid w:val="007C4674"/>
    <w:rsid w:val="007C565B"/>
    <w:rsid w:val="007C6CAB"/>
    <w:rsid w:val="007D0B50"/>
    <w:rsid w:val="007D2223"/>
    <w:rsid w:val="007D3DC1"/>
    <w:rsid w:val="007D5C3E"/>
    <w:rsid w:val="007D764E"/>
    <w:rsid w:val="007E064D"/>
    <w:rsid w:val="007E1D64"/>
    <w:rsid w:val="007E4931"/>
    <w:rsid w:val="007E4BB3"/>
    <w:rsid w:val="007E51BF"/>
    <w:rsid w:val="007E53AE"/>
    <w:rsid w:val="007E57B0"/>
    <w:rsid w:val="007E6118"/>
    <w:rsid w:val="007E6D06"/>
    <w:rsid w:val="007F13AB"/>
    <w:rsid w:val="007F22EF"/>
    <w:rsid w:val="007F2774"/>
    <w:rsid w:val="007F4737"/>
    <w:rsid w:val="007F4DAA"/>
    <w:rsid w:val="007F5E7F"/>
    <w:rsid w:val="007F764A"/>
    <w:rsid w:val="00800761"/>
    <w:rsid w:val="00801C23"/>
    <w:rsid w:val="008023AC"/>
    <w:rsid w:val="008023EA"/>
    <w:rsid w:val="008026FE"/>
    <w:rsid w:val="008100D6"/>
    <w:rsid w:val="00812DBC"/>
    <w:rsid w:val="00815A1F"/>
    <w:rsid w:val="00820F66"/>
    <w:rsid w:val="00821E7C"/>
    <w:rsid w:val="00821F13"/>
    <w:rsid w:val="00827358"/>
    <w:rsid w:val="00827421"/>
    <w:rsid w:val="0083030C"/>
    <w:rsid w:val="00830510"/>
    <w:rsid w:val="00831D4D"/>
    <w:rsid w:val="00836CCC"/>
    <w:rsid w:val="00837C1A"/>
    <w:rsid w:val="0084046A"/>
    <w:rsid w:val="00841C10"/>
    <w:rsid w:val="0084580F"/>
    <w:rsid w:val="0084632F"/>
    <w:rsid w:val="008544A4"/>
    <w:rsid w:val="0085646C"/>
    <w:rsid w:val="008566A0"/>
    <w:rsid w:val="00860083"/>
    <w:rsid w:val="00860DE1"/>
    <w:rsid w:val="00861D2D"/>
    <w:rsid w:val="00862858"/>
    <w:rsid w:val="00862870"/>
    <w:rsid w:val="00862FB9"/>
    <w:rsid w:val="00863A23"/>
    <w:rsid w:val="00865686"/>
    <w:rsid w:val="00865B5C"/>
    <w:rsid w:val="00866605"/>
    <w:rsid w:val="008672B9"/>
    <w:rsid w:val="00871019"/>
    <w:rsid w:val="00872150"/>
    <w:rsid w:val="00874E21"/>
    <w:rsid w:val="008765A9"/>
    <w:rsid w:val="008814B8"/>
    <w:rsid w:val="008819DA"/>
    <w:rsid w:val="00887A65"/>
    <w:rsid w:val="0089063B"/>
    <w:rsid w:val="00890C34"/>
    <w:rsid w:val="008917B9"/>
    <w:rsid w:val="008918DC"/>
    <w:rsid w:val="00896014"/>
    <w:rsid w:val="00897BA2"/>
    <w:rsid w:val="008A2F14"/>
    <w:rsid w:val="008A78C9"/>
    <w:rsid w:val="008B2788"/>
    <w:rsid w:val="008B356D"/>
    <w:rsid w:val="008B3A12"/>
    <w:rsid w:val="008B4134"/>
    <w:rsid w:val="008B4897"/>
    <w:rsid w:val="008B5AF8"/>
    <w:rsid w:val="008C254E"/>
    <w:rsid w:val="008C3418"/>
    <w:rsid w:val="008C4706"/>
    <w:rsid w:val="008C5979"/>
    <w:rsid w:val="008C6EF9"/>
    <w:rsid w:val="008C70BC"/>
    <w:rsid w:val="008D2C52"/>
    <w:rsid w:val="008D4F52"/>
    <w:rsid w:val="008D57AD"/>
    <w:rsid w:val="008D583C"/>
    <w:rsid w:val="008D5C20"/>
    <w:rsid w:val="008D602B"/>
    <w:rsid w:val="008E0785"/>
    <w:rsid w:val="008E3638"/>
    <w:rsid w:val="008E4BE6"/>
    <w:rsid w:val="008E51CF"/>
    <w:rsid w:val="008F0B95"/>
    <w:rsid w:val="008F6B33"/>
    <w:rsid w:val="008F747C"/>
    <w:rsid w:val="009005B4"/>
    <w:rsid w:val="00900FAC"/>
    <w:rsid w:val="0090209F"/>
    <w:rsid w:val="009054CB"/>
    <w:rsid w:val="00906230"/>
    <w:rsid w:val="00910645"/>
    <w:rsid w:val="00910F9E"/>
    <w:rsid w:val="009115B6"/>
    <w:rsid w:val="00915E7D"/>
    <w:rsid w:val="009166F8"/>
    <w:rsid w:val="00920867"/>
    <w:rsid w:val="00920F2A"/>
    <w:rsid w:val="00921B83"/>
    <w:rsid w:val="00921E9E"/>
    <w:rsid w:val="00922D98"/>
    <w:rsid w:val="00924BA1"/>
    <w:rsid w:val="00926E3A"/>
    <w:rsid w:val="009304AE"/>
    <w:rsid w:val="0093064C"/>
    <w:rsid w:val="00930D3E"/>
    <w:rsid w:val="009311DD"/>
    <w:rsid w:val="0093336F"/>
    <w:rsid w:val="00934680"/>
    <w:rsid w:val="00934888"/>
    <w:rsid w:val="0093527F"/>
    <w:rsid w:val="00935DB1"/>
    <w:rsid w:val="009363DC"/>
    <w:rsid w:val="00942059"/>
    <w:rsid w:val="00942174"/>
    <w:rsid w:val="00943F3F"/>
    <w:rsid w:val="00945D81"/>
    <w:rsid w:val="00947C3A"/>
    <w:rsid w:val="00951334"/>
    <w:rsid w:val="009527B1"/>
    <w:rsid w:val="009571C8"/>
    <w:rsid w:val="0096142F"/>
    <w:rsid w:val="00962EF0"/>
    <w:rsid w:val="00965A6D"/>
    <w:rsid w:val="00966EB0"/>
    <w:rsid w:val="00967DF5"/>
    <w:rsid w:val="0097131C"/>
    <w:rsid w:val="00971815"/>
    <w:rsid w:val="00980349"/>
    <w:rsid w:val="0098331D"/>
    <w:rsid w:val="00986E8C"/>
    <w:rsid w:val="00991130"/>
    <w:rsid w:val="00991EC8"/>
    <w:rsid w:val="009937AE"/>
    <w:rsid w:val="009948AD"/>
    <w:rsid w:val="00997005"/>
    <w:rsid w:val="009979A7"/>
    <w:rsid w:val="009A077F"/>
    <w:rsid w:val="009A07F3"/>
    <w:rsid w:val="009A194A"/>
    <w:rsid w:val="009A2FA7"/>
    <w:rsid w:val="009A5A1A"/>
    <w:rsid w:val="009B0021"/>
    <w:rsid w:val="009B2AE9"/>
    <w:rsid w:val="009B2F59"/>
    <w:rsid w:val="009B307F"/>
    <w:rsid w:val="009B7F51"/>
    <w:rsid w:val="009C3EA4"/>
    <w:rsid w:val="009C6F26"/>
    <w:rsid w:val="009C75F5"/>
    <w:rsid w:val="009C7695"/>
    <w:rsid w:val="009C7AAB"/>
    <w:rsid w:val="009D0A52"/>
    <w:rsid w:val="009D5805"/>
    <w:rsid w:val="009E1EBA"/>
    <w:rsid w:val="009E3F62"/>
    <w:rsid w:val="009E628C"/>
    <w:rsid w:val="009E7FA4"/>
    <w:rsid w:val="009F0791"/>
    <w:rsid w:val="009F42FD"/>
    <w:rsid w:val="00A01501"/>
    <w:rsid w:val="00A0623F"/>
    <w:rsid w:val="00A06676"/>
    <w:rsid w:val="00A066F1"/>
    <w:rsid w:val="00A06AF5"/>
    <w:rsid w:val="00A06E9F"/>
    <w:rsid w:val="00A06FE9"/>
    <w:rsid w:val="00A07A97"/>
    <w:rsid w:val="00A115F5"/>
    <w:rsid w:val="00A12EA0"/>
    <w:rsid w:val="00A13E2C"/>
    <w:rsid w:val="00A16A35"/>
    <w:rsid w:val="00A21C1C"/>
    <w:rsid w:val="00A22E10"/>
    <w:rsid w:val="00A232CD"/>
    <w:rsid w:val="00A23402"/>
    <w:rsid w:val="00A2384A"/>
    <w:rsid w:val="00A23E00"/>
    <w:rsid w:val="00A256AB"/>
    <w:rsid w:val="00A3042A"/>
    <w:rsid w:val="00A313C3"/>
    <w:rsid w:val="00A323C5"/>
    <w:rsid w:val="00A33B48"/>
    <w:rsid w:val="00A34777"/>
    <w:rsid w:val="00A36552"/>
    <w:rsid w:val="00A44C39"/>
    <w:rsid w:val="00A455AA"/>
    <w:rsid w:val="00A46E27"/>
    <w:rsid w:val="00A5263A"/>
    <w:rsid w:val="00A52CAE"/>
    <w:rsid w:val="00A54FD7"/>
    <w:rsid w:val="00A61635"/>
    <w:rsid w:val="00A62A7E"/>
    <w:rsid w:val="00A65508"/>
    <w:rsid w:val="00A67CD8"/>
    <w:rsid w:val="00A719C7"/>
    <w:rsid w:val="00A74B2B"/>
    <w:rsid w:val="00A763C3"/>
    <w:rsid w:val="00A8081F"/>
    <w:rsid w:val="00A840AC"/>
    <w:rsid w:val="00A8430B"/>
    <w:rsid w:val="00A851C2"/>
    <w:rsid w:val="00A86D40"/>
    <w:rsid w:val="00A86D6C"/>
    <w:rsid w:val="00A870BA"/>
    <w:rsid w:val="00A9158D"/>
    <w:rsid w:val="00A9203C"/>
    <w:rsid w:val="00A946F7"/>
    <w:rsid w:val="00A94A6F"/>
    <w:rsid w:val="00A96D30"/>
    <w:rsid w:val="00A97B79"/>
    <w:rsid w:val="00A97D78"/>
    <w:rsid w:val="00AA2258"/>
    <w:rsid w:val="00AA2AE0"/>
    <w:rsid w:val="00AA31CF"/>
    <w:rsid w:val="00AA68E7"/>
    <w:rsid w:val="00AA75C8"/>
    <w:rsid w:val="00AA7CBB"/>
    <w:rsid w:val="00AB7175"/>
    <w:rsid w:val="00AC1121"/>
    <w:rsid w:val="00AC1F96"/>
    <w:rsid w:val="00AC3A0C"/>
    <w:rsid w:val="00AC4232"/>
    <w:rsid w:val="00AC6E4F"/>
    <w:rsid w:val="00AC7FA2"/>
    <w:rsid w:val="00AD4B7D"/>
    <w:rsid w:val="00AD6394"/>
    <w:rsid w:val="00AE13AF"/>
    <w:rsid w:val="00AE6180"/>
    <w:rsid w:val="00AE63F7"/>
    <w:rsid w:val="00AF06BC"/>
    <w:rsid w:val="00AF0C03"/>
    <w:rsid w:val="00AF139E"/>
    <w:rsid w:val="00AF2B93"/>
    <w:rsid w:val="00AF44A0"/>
    <w:rsid w:val="00AF6FBC"/>
    <w:rsid w:val="00AF7CDD"/>
    <w:rsid w:val="00B04801"/>
    <w:rsid w:val="00B1025E"/>
    <w:rsid w:val="00B13720"/>
    <w:rsid w:val="00B16016"/>
    <w:rsid w:val="00B177E6"/>
    <w:rsid w:val="00B211D8"/>
    <w:rsid w:val="00B21F82"/>
    <w:rsid w:val="00B234AF"/>
    <w:rsid w:val="00B270A2"/>
    <w:rsid w:val="00B27F1B"/>
    <w:rsid w:val="00B32702"/>
    <w:rsid w:val="00B33078"/>
    <w:rsid w:val="00B331AE"/>
    <w:rsid w:val="00B35227"/>
    <w:rsid w:val="00B35B30"/>
    <w:rsid w:val="00B427A8"/>
    <w:rsid w:val="00B43107"/>
    <w:rsid w:val="00B439EC"/>
    <w:rsid w:val="00B44978"/>
    <w:rsid w:val="00B458F3"/>
    <w:rsid w:val="00B46E47"/>
    <w:rsid w:val="00B47109"/>
    <w:rsid w:val="00B50945"/>
    <w:rsid w:val="00B5122D"/>
    <w:rsid w:val="00B530CB"/>
    <w:rsid w:val="00B53242"/>
    <w:rsid w:val="00B5382C"/>
    <w:rsid w:val="00B563FC"/>
    <w:rsid w:val="00B5781C"/>
    <w:rsid w:val="00B6151A"/>
    <w:rsid w:val="00B61C73"/>
    <w:rsid w:val="00B624CF"/>
    <w:rsid w:val="00B63016"/>
    <w:rsid w:val="00B63B4B"/>
    <w:rsid w:val="00B66809"/>
    <w:rsid w:val="00B6694A"/>
    <w:rsid w:val="00B70E4D"/>
    <w:rsid w:val="00B72C6E"/>
    <w:rsid w:val="00B749C7"/>
    <w:rsid w:val="00B76CC5"/>
    <w:rsid w:val="00B8091C"/>
    <w:rsid w:val="00B82374"/>
    <w:rsid w:val="00B847B7"/>
    <w:rsid w:val="00B90CD0"/>
    <w:rsid w:val="00B915B5"/>
    <w:rsid w:val="00B930C9"/>
    <w:rsid w:val="00B94C7D"/>
    <w:rsid w:val="00B97D8D"/>
    <w:rsid w:val="00BA2865"/>
    <w:rsid w:val="00BA2D10"/>
    <w:rsid w:val="00BA3604"/>
    <w:rsid w:val="00BA58BC"/>
    <w:rsid w:val="00BA6C13"/>
    <w:rsid w:val="00BB2C43"/>
    <w:rsid w:val="00BB36CB"/>
    <w:rsid w:val="00BB4A78"/>
    <w:rsid w:val="00BB5152"/>
    <w:rsid w:val="00BB53B5"/>
    <w:rsid w:val="00BB6E62"/>
    <w:rsid w:val="00BB7135"/>
    <w:rsid w:val="00BB73A8"/>
    <w:rsid w:val="00BC3F45"/>
    <w:rsid w:val="00BC4795"/>
    <w:rsid w:val="00BC47CE"/>
    <w:rsid w:val="00BC5445"/>
    <w:rsid w:val="00BC7B0E"/>
    <w:rsid w:val="00BD07F0"/>
    <w:rsid w:val="00BD2433"/>
    <w:rsid w:val="00BD2D0D"/>
    <w:rsid w:val="00BD3B9E"/>
    <w:rsid w:val="00BD3D82"/>
    <w:rsid w:val="00BD3DD0"/>
    <w:rsid w:val="00BD4B3F"/>
    <w:rsid w:val="00BD583F"/>
    <w:rsid w:val="00BD6CF4"/>
    <w:rsid w:val="00BE0DFE"/>
    <w:rsid w:val="00BE28BD"/>
    <w:rsid w:val="00BE3015"/>
    <w:rsid w:val="00BE5314"/>
    <w:rsid w:val="00BF03BE"/>
    <w:rsid w:val="00BF08CE"/>
    <w:rsid w:val="00BF1293"/>
    <w:rsid w:val="00BF2C0A"/>
    <w:rsid w:val="00BF3A74"/>
    <w:rsid w:val="00BF3EEB"/>
    <w:rsid w:val="00BF722D"/>
    <w:rsid w:val="00C02DB7"/>
    <w:rsid w:val="00C02DEE"/>
    <w:rsid w:val="00C05556"/>
    <w:rsid w:val="00C07B9C"/>
    <w:rsid w:val="00C10749"/>
    <w:rsid w:val="00C109DC"/>
    <w:rsid w:val="00C11323"/>
    <w:rsid w:val="00C1169D"/>
    <w:rsid w:val="00C1280F"/>
    <w:rsid w:val="00C17BCA"/>
    <w:rsid w:val="00C223D4"/>
    <w:rsid w:val="00C24AFA"/>
    <w:rsid w:val="00C24CF7"/>
    <w:rsid w:val="00C32157"/>
    <w:rsid w:val="00C32208"/>
    <w:rsid w:val="00C327E3"/>
    <w:rsid w:val="00C35638"/>
    <w:rsid w:val="00C36BAA"/>
    <w:rsid w:val="00C41591"/>
    <w:rsid w:val="00C45F98"/>
    <w:rsid w:val="00C461C4"/>
    <w:rsid w:val="00C46BCF"/>
    <w:rsid w:val="00C4712F"/>
    <w:rsid w:val="00C47346"/>
    <w:rsid w:val="00C50ACB"/>
    <w:rsid w:val="00C51DDA"/>
    <w:rsid w:val="00C52216"/>
    <w:rsid w:val="00C52488"/>
    <w:rsid w:val="00C52D9C"/>
    <w:rsid w:val="00C539B1"/>
    <w:rsid w:val="00C607E3"/>
    <w:rsid w:val="00C61825"/>
    <w:rsid w:val="00C6350D"/>
    <w:rsid w:val="00C6456D"/>
    <w:rsid w:val="00C66752"/>
    <w:rsid w:val="00C70DF9"/>
    <w:rsid w:val="00C714D0"/>
    <w:rsid w:val="00C727F7"/>
    <w:rsid w:val="00C73C34"/>
    <w:rsid w:val="00C81A83"/>
    <w:rsid w:val="00C81B13"/>
    <w:rsid w:val="00C83711"/>
    <w:rsid w:val="00C8384A"/>
    <w:rsid w:val="00C878A5"/>
    <w:rsid w:val="00C90BA2"/>
    <w:rsid w:val="00C92818"/>
    <w:rsid w:val="00C93F82"/>
    <w:rsid w:val="00C94C2B"/>
    <w:rsid w:val="00C95A94"/>
    <w:rsid w:val="00C962B2"/>
    <w:rsid w:val="00CA12D4"/>
    <w:rsid w:val="00CA21CF"/>
    <w:rsid w:val="00CA2349"/>
    <w:rsid w:val="00CA376D"/>
    <w:rsid w:val="00CA389E"/>
    <w:rsid w:val="00CA4D6A"/>
    <w:rsid w:val="00CB0A35"/>
    <w:rsid w:val="00CB2F2F"/>
    <w:rsid w:val="00CB3520"/>
    <w:rsid w:val="00CB38CF"/>
    <w:rsid w:val="00CC112D"/>
    <w:rsid w:val="00CC49AE"/>
    <w:rsid w:val="00CC550E"/>
    <w:rsid w:val="00CC7FAC"/>
    <w:rsid w:val="00CD3A0E"/>
    <w:rsid w:val="00CD3B89"/>
    <w:rsid w:val="00CD472D"/>
    <w:rsid w:val="00CE107A"/>
    <w:rsid w:val="00CE4454"/>
    <w:rsid w:val="00CE52EB"/>
    <w:rsid w:val="00CF4554"/>
    <w:rsid w:val="00CF4D95"/>
    <w:rsid w:val="00CF629A"/>
    <w:rsid w:val="00CF6933"/>
    <w:rsid w:val="00CF6FDB"/>
    <w:rsid w:val="00D0137E"/>
    <w:rsid w:val="00D051B4"/>
    <w:rsid w:val="00D07BD9"/>
    <w:rsid w:val="00D108CD"/>
    <w:rsid w:val="00D11EB0"/>
    <w:rsid w:val="00D12A50"/>
    <w:rsid w:val="00D16168"/>
    <w:rsid w:val="00D23253"/>
    <w:rsid w:val="00D307BF"/>
    <w:rsid w:val="00D31989"/>
    <w:rsid w:val="00D324C0"/>
    <w:rsid w:val="00D32A6A"/>
    <w:rsid w:val="00D3590A"/>
    <w:rsid w:val="00D410A6"/>
    <w:rsid w:val="00D5095B"/>
    <w:rsid w:val="00D57730"/>
    <w:rsid w:val="00D643E9"/>
    <w:rsid w:val="00D64A20"/>
    <w:rsid w:val="00D64EA6"/>
    <w:rsid w:val="00D6769E"/>
    <w:rsid w:val="00D676CC"/>
    <w:rsid w:val="00D777D6"/>
    <w:rsid w:val="00D80335"/>
    <w:rsid w:val="00D81864"/>
    <w:rsid w:val="00D8755F"/>
    <w:rsid w:val="00D90AEF"/>
    <w:rsid w:val="00D91A63"/>
    <w:rsid w:val="00DA289E"/>
    <w:rsid w:val="00DA297F"/>
    <w:rsid w:val="00DA67FE"/>
    <w:rsid w:val="00DB35D8"/>
    <w:rsid w:val="00DB360D"/>
    <w:rsid w:val="00DB36EA"/>
    <w:rsid w:val="00DB3B6E"/>
    <w:rsid w:val="00DB5D3D"/>
    <w:rsid w:val="00DB6AF9"/>
    <w:rsid w:val="00DB7FFB"/>
    <w:rsid w:val="00DC24A9"/>
    <w:rsid w:val="00DC373D"/>
    <w:rsid w:val="00DC4BF4"/>
    <w:rsid w:val="00DC4C4A"/>
    <w:rsid w:val="00DC520A"/>
    <w:rsid w:val="00DD0139"/>
    <w:rsid w:val="00DD0DD6"/>
    <w:rsid w:val="00DD53C8"/>
    <w:rsid w:val="00DE3F3B"/>
    <w:rsid w:val="00DE65BB"/>
    <w:rsid w:val="00DE77FE"/>
    <w:rsid w:val="00DF16BA"/>
    <w:rsid w:val="00DF1F8F"/>
    <w:rsid w:val="00DF3027"/>
    <w:rsid w:val="00DF34F4"/>
    <w:rsid w:val="00DF59E9"/>
    <w:rsid w:val="00E0149A"/>
    <w:rsid w:val="00E0378E"/>
    <w:rsid w:val="00E0439B"/>
    <w:rsid w:val="00E0528B"/>
    <w:rsid w:val="00E06590"/>
    <w:rsid w:val="00E06B40"/>
    <w:rsid w:val="00E072BE"/>
    <w:rsid w:val="00E149E7"/>
    <w:rsid w:val="00E16177"/>
    <w:rsid w:val="00E209E8"/>
    <w:rsid w:val="00E2178D"/>
    <w:rsid w:val="00E23168"/>
    <w:rsid w:val="00E26F54"/>
    <w:rsid w:val="00E302E1"/>
    <w:rsid w:val="00E31F17"/>
    <w:rsid w:val="00E326B5"/>
    <w:rsid w:val="00E32772"/>
    <w:rsid w:val="00E3284A"/>
    <w:rsid w:val="00E35485"/>
    <w:rsid w:val="00E3639A"/>
    <w:rsid w:val="00E37300"/>
    <w:rsid w:val="00E40079"/>
    <w:rsid w:val="00E423A7"/>
    <w:rsid w:val="00E4284D"/>
    <w:rsid w:val="00E4336F"/>
    <w:rsid w:val="00E44EA2"/>
    <w:rsid w:val="00E477DB"/>
    <w:rsid w:val="00E50C47"/>
    <w:rsid w:val="00E51CC2"/>
    <w:rsid w:val="00E55047"/>
    <w:rsid w:val="00E55B8A"/>
    <w:rsid w:val="00E61585"/>
    <w:rsid w:val="00E6304F"/>
    <w:rsid w:val="00E73352"/>
    <w:rsid w:val="00E74B99"/>
    <w:rsid w:val="00E754BF"/>
    <w:rsid w:val="00E755CB"/>
    <w:rsid w:val="00E829D2"/>
    <w:rsid w:val="00E84D5C"/>
    <w:rsid w:val="00E8549F"/>
    <w:rsid w:val="00E904F7"/>
    <w:rsid w:val="00E90F30"/>
    <w:rsid w:val="00E922F4"/>
    <w:rsid w:val="00E93BD9"/>
    <w:rsid w:val="00E946CB"/>
    <w:rsid w:val="00EA16D2"/>
    <w:rsid w:val="00EA447A"/>
    <w:rsid w:val="00EA4683"/>
    <w:rsid w:val="00EA7DE7"/>
    <w:rsid w:val="00EB09BC"/>
    <w:rsid w:val="00EB3EC6"/>
    <w:rsid w:val="00EB5671"/>
    <w:rsid w:val="00EB6891"/>
    <w:rsid w:val="00EB69E3"/>
    <w:rsid w:val="00EB6C10"/>
    <w:rsid w:val="00EB7237"/>
    <w:rsid w:val="00EB72B9"/>
    <w:rsid w:val="00EB7C4A"/>
    <w:rsid w:val="00EC00D8"/>
    <w:rsid w:val="00EC1ECD"/>
    <w:rsid w:val="00EC21CF"/>
    <w:rsid w:val="00EC5E91"/>
    <w:rsid w:val="00EC7711"/>
    <w:rsid w:val="00ED147B"/>
    <w:rsid w:val="00ED1B92"/>
    <w:rsid w:val="00ED1F5F"/>
    <w:rsid w:val="00ED2AF4"/>
    <w:rsid w:val="00ED2DE0"/>
    <w:rsid w:val="00ED313E"/>
    <w:rsid w:val="00ED414A"/>
    <w:rsid w:val="00ED6D4C"/>
    <w:rsid w:val="00ED7AC8"/>
    <w:rsid w:val="00ED7C6A"/>
    <w:rsid w:val="00EE29AE"/>
    <w:rsid w:val="00EE51B7"/>
    <w:rsid w:val="00EE78C5"/>
    <w:rsid w:val="00EE7D67"/>
    <w:rsid w:val="00EF0110"/>
    <w:rsid w:val="00EF468D"/>
    <w:rsid w:val="00EF56E6"/>
    <w:rsid w:val="00EF5709"/>
    <w:rsid w:val="00EF7311"/>
    <w:rsid w:val="00F013AE"/>
    <w:rsid w:val="00F018EE"/>
    <w:rsid w:val="00F0248D"/>
    <w:rsid w:val="00F029FE"/>
    <w:rsid w:val="00F03E97"/>
    <w:rsid w:val="00F0479A"/>
    <w:rsid w:val="00F0621C"/>
    <w:rsid w:val="00F103CE"/>
    <w:rsid w:val="00F10A06"/>
    <w:rsid w:val="00F141D8"/>
    <w:rsid w:val="00F16B8E"/>
    <w:rsid w:val="00F213D6"/>
    <w:rsid w:val="00F215FE"/>
    <w:rsid w:val="00F2260E"/>
    <w:rsid w:val="00F22877"/>
    <w:rsid w:val="00F255E7"/>
    <w:rsid w:val="00F256C7"/>
    <w:rsid w:val="00F25E58"/>
    <w:rsid w:val="00F270B0"/>
    <w:rsid w:val="00F31B9A"/>
    <w:rsid w:val="00F37557"/>
    <w:rsid w:val="00F41933"/>
    <w:rsid w:val="00F42FB3"/>
    <w:rsid w:val="00F4735E"/>
    <w:rsid w:val="00F47E62"/>
    <w:rsid w:val="00F5197F"/>
    <w:rsid w:val="00F524DB"/>
    <w:rsid w:val="00F530B2"/>
    <w:rsid w:val="00F53223"/>
    <w:rsid w:val="00F60677"/>
    <w:rsid w:val="00F639BA"/>
    <w:rsid w:val="00F663E8"/>
    <w:rsid w:val="00F7428D"/>
    <w:rsid w:val="00F75E26"/>
    <w:rsid w:val="00F76DC9"/>
    <w:rsid w:val="00F773E4"/>
    <w:rsid w:val="00F77685"/>
    <w:rsid w:val="00F8041D"/>
    <w:rsid w:val="00F8105E"/>
    <w:rsid w:val="00F81BF4"/>
    <w:rsid w:val="00F82202"/>
    <w:rsid w:val="00F8743C"/>
    <w:rsid w:val="00F87541"/>
    <w:rsid w:val="00F90D4E"/>
    <w:rsid w:val="00F915A8"/>
    <w:rsid w:val="00F915ED"/>
    <w:rsid w:val="00F91F7C"/>
    <w:rsid w:val="00F942A4"/>
    <w:rsid w:val="00F94488"/>
    <w:rsid w:val="00F97CD9"/>
    <w:rsid w:val="00FA00B2"/>
    <w:rsid w:val="00FA0EC8"/>
    <w:rsid w:val="00FA2D14"/>
    <w:rsid w:val="00FA607C"/>
    <w:rsid w:val="00FA61C9"/>
    <w:rsid w:val="00FA6A04"/>
    <w:rsid w:val="00FA6B4A"/>
    <w:rsid w:val="00FB0853"/>
    <w:rsid w:val="00FB6445"/>
    <w:rsid w:val="00FB7C5C"/>
    <w:rsid w:val="00FC16EC"/>
    <w:rsid w:val="00FC73C7"/>
    <w:rsid w:val="00FC7A8F"/>
    <w:rsid w:val="00FD02D9"/>
    <w:rsid w:val="00FD4184"/>
    <w:rsid w:val="00FD4F65"/>
    <w:rsid w:val="00FD5E4D"/>
    <w:rsid w:val="00FD6D29"/>
    <w:rsid w:val="00FE356F"/>
    <w:rsid w:val="00FE404F"/>
    <w:rsid w:val="00FE4DD7"/>
    <w:rsid w:val="00FE6CCA"/>
    <w:rsid w:val="00FE7AA0"/>
    <w:rsid w:val="00FF0964"/>
    <w:rsid w:val="00FF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5C6D01"/>
  <w15:docId w15:val="{4EAFA4D5-9CBD-4E82-AB59-34681955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BB6E6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UnresolvedMention1">
    <w:name w:val="Unresolved Mention1"/>
    <w:basedOn w:val="DefaultParagraphFont"/>
    <w:uiPriority w:val="99"/>
    <w:semiHidden/>
    <w:unhideWhenUsed/>
    <w:rsid w:val="00A313C3"/>
    <w:rPr>
      <w:color w:val="605E5C"/>
      <w:shd w:val="clear" w:color="auto" w:fill="E1DFDD"/>
    </w:rPr>
  </w:style>
  <w:style w:type="character" w:customStyle="1" w:styleId="Heading2Char">
    <w:name w:val="Heading 2 Char"/>
    <w:basedOn w:val="DefaultParagraphFont"/>
    <w:link w:val="Heading2"/>
    <w:semiHidden/>
    <w:rsid w:val="00BB6E62"/>
    <w:rPr>
      <w:rFonts w:asciiTheme="majorHAnsi" w:eastAsiaTheme="majorEastAsia" w:hAnsiTheme="majorHAnsi" w:cstheme="majorBidi"/>
      <w:b/>
      <w:bCs/>
      <w:i/>
      <w:iCs/>
      <w:sz w:val="28"/>
      <w:szCs w:val="28"/>
    </w:rPr>
  </w:style>
  <w:style w:type="character" w:customStyle="1" w:styleId="UnresolvedMention">
    <w:name w:val="Unresolved Mention"/>
    <w:basedOn w:val="DefaultParagraphFont"/>
    <w:uiPriority w:val="99"/>
    <w:semiHidden/>
    <w:unhideWhenUsed/>
    <w:rsid w:val="00BF722D"/>
    <w:rPr>
      <w:color w:val="605E5C"/>
      <w:shd w:val="clear" w:color="auto" w:fill="E1DFDD"/>
    </w:rPr>
  </w:style>
  <w:style w:type="paragraph" w:styleId="TOC1">
    <w:name w:val="toc 1"/>
    <w:basedOn w:val="Normal"/>
    <w:next w:val="Normal"/>
    <w:uiPriority w:val="39"/>
    <w:rsid w:val="0098331D"/>
    <w:pPr>
      <w:tabs>
        <w:tab w:val="right" w:leader="dot" w:pos="9360"/>
      </w:tabs>
      <w:suppressAutoHyphens/>
      <w:spacing w:before="480"/>
      <w:ind w:left="720" w:right="720" w:hanging="720"/>
      <w:jc w:val="both"/>
    </w:pPr>
    <w:rPr>
      <w:sz w:val="22"/>
      <w:lang w:val="es-ES"/>
    </w:rPr>
  </w:style>
  <w:style w:type="paragraph" w:styleId="CommentSubject">
    <w:name w:val="annotation subject"/>
    <w:basedOn w:val="CommentText"/>
    <w:next w:val="CommentText"/>
    <w:link w:val="CommentSubjectChar"/>
    <w:semiHidden/>
    <w:unhideWhenUsed/>
    <w:rsid w:val="00315E23"/>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315E23"/>
    <w:rPr>
      <w:rFonts w:ascii="Calibri" w:eastAsia="Calibri" w:hAnsi="Calibri"/>
      <w:b/>
      <w:bCs/>
    </w:rPr>
  </w:style>
  <w:style w:type="character" w:customStyle="1" w:styleId="ListParagraphChar">
    <w:name w:val="List Paragraph Char"/>
    <w:basedOn w:val="DefaultParagraphFont"/>
    <w:link w:val="ListParagraph0"/>
    <w:uiPriority w:val="34"/>
    <w:locked/>
    <w:rsid w:val="00B76CC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8110">
      <w:bodyDiv w:val="1"/>
      <w:marLeft w:val="0"/>
      <w:marRight w:val="0"/>
      <w:marTop w:val="0"/>
      <w:marBottom w:val="0"/>
      <w:divBdr>
        <w:top w:val="none" w:sz="0" w:space="0" w:color="auto"/>
        <w:left w:val="none" w:sz="0" w:space="0" w:color="auto"/>
        <w:bottom w:val="none" w:sz="0" w:space="0" w:color="auto"/>
        <w:right w:val="none" w:sz="0" w:space="0" w:color="auto"/>
      </w:divBdr>
      <w:divsChild>
        <w:div w:id="1422213081">
          <w:marLeft w:val="547"/>
          <w:marRight w:val="0"/>
          <w:marTop w:val="115"/>
          <w:marBottom w:val="0"/>
          <w:divBdr>
            <w:top w:val="none" w:sz="0" w:space="0" w:color="auto"/>
            <w:left w:val="none" w:sz="0" w:space="0" w:color="auto"/>
            <w:bottom w:val="none" w:sz="0" w:space="0" w:color="auto"/>
            <w:right w:val="none" w:sz="0" w:space="0" w:color="auto"/>
          </w:divBdr>
        </w:div>
      </w:divsChild>
    </w:div>
    <w:div w:id="228079746">
      <w:bodyDiv w:val="1"/>
      <w:marLeft w:val="0"/>
      <w:marRight w:val="0"/>
      <w:marTop w:val="0"/>
      <w:marBottom w:val="0"/>
      <w:divBdr>
        <w:top w:val="none" w:sz="0" w:space="0" w:color="auto"/>
        <w:left w:val="none" w:sz="0" w:space="0" w:color="auto"/>
        <w:bottom w:val="none" w:sz="0" w:space="0" w:color="auto"/>
        <w:right w:val="none" w:sz="0" w:space="0" w:color="auto"/>
      </w:divBdr>
    </w:div>
    <w:div w:id="263732971">
      <w:bodyDiv w:val="1"/>
      <w:marLeft w:val="0"/>
      <w:marRight w:val="0"/>
      <w:marTop w:val="0"/>
      <w:marBottom w:val="0"/>
      <w:divBdr>
        <w:top w:val="none" w:sz="0" w:space="0" w:color="auto"/>
        <w:left w:val="none" w:sz="0" w:space="0" w:color="auto"/>
        <w:bottom w:val="none" w:sz="0" w:space="0" w:color="auto"/>
        <w:right w:val="none" w:sz="0" w:space="0" w:color="auto"/>
      </w:divBdr>
    </w:div>
    <w:div w:id="329139640">
      <w:bodyDiv w:val="1"/>
      <w:marLeft w:val="0"/>
      <w:marRight w:val="0"/>
      <w:marTop w:val="0"/>
      <w:marBottom w:val="0"/>
      <w:divBdr>
        <w:top w:val="none" w:sz="0" w:space="0" w:color="auto"/>
        <w:left w:val="none" w:sz="0" w:space="0" w:color="auto"/>
        <w:bottom w:val="none" w:sz="0" w:space="0" w:color="auto"/>
        <w:right w:val="none" w:sz="0" w:space="0" w:color="auto"/>
      </w:divBdr>
    </w:div>
    <w:div w:id="386301230">
      <w:bodyDiv w:val="1"/>
      <w:marLeft w:val="0"/>
      <w:marRight w:val="0"/>
      <w:marTop w:val="0"/>
      <w:marBottom w:val="0"/>
      <w:divBdr>
        <w:top w:val="none" w:sz="0" w:space="0" w:color="auto"/>
        <w:left w:val="none" w:sz="0" w:space="0" w:color="auto"/>
        <w:bottom w:val="none" w:sz="0" w:space="0" w:color="auto"/>
        <w:right w:val="none" w:sz="0" w:space="0" w:color="auto"/>
      </w:divBdr>
    </w:div>
    <w:div w:id="423306363">
      <w:bodyDiv w:val="1"/>
      <w:marLeft w:val="0"/>
      <w:marRight w:val="0"/>
      <w:marTop w:val="0"/>
      <w:marBottom w:val="0"/>
      <w:divBdr>
        <w:top w:val="none" w:sz="0" w:space="0" w:color="auto"/>
        <w:left w:val="none" w:sz="0" w:space="0" w:color="auto"/>
        <w:bottom w:val="none" w:sz="0" w:space="0" w:color="auto"/>
        <w:right w:val="none" w:sz="0" w:space="0" w:color="auto"/>
      </w:divBdr>
      <w:divsChild>
        <w:div w:id="1253509666">
          <w:marLeft w:val="0"/>
          <w:marRight w:val="0"/>
          <w:marTop w:val="0"/>
          <w:marBottom w:val="0"/>
          <w:divBdr>
            <w:top w:val="none" w:sz="0" w:space="0" w:color="auto"/>
            <w:left w:val="none" w:sz="0" w:space="0" w:color="auto"/>
            <w:bottom w:val="none" w:sz="0" w:space="0" w:color="auto"/>
            <w:right w:val="none" w:sz="0" w:space="0" w:color="auto"/>
          </w:divBdr>
        </w:div>
        <w:div w:id="889465781">
          <w:marLeft w:val="0"/>
          <w:marRight w:val="0"/>
          <w:marTop w:val="0"/>
          <w:marBottom w:val="0"/>
          <w:divBdr>
            <w:top w:val="none" w:sz="0" w:space="0" w:color="auto"/>
            <w:left w:val="none" w:sz="0" w:space="0" w:color="auto"/>
            <w:bottom w:val="none" w:sz="0" w:space="0" w:color="auto"/>
            <w:right w:val="none" w:sz="0" w:space="0" w:color="auto"/>
          </w:divBdr>
        </w:div>
        <w:div w:id="1201893573">
          <w:marLeft w:val="0"/>
          <w:marRight w:val="0"/>
          <w:marTop w:val="0"/>
          <w:marBottom w:val="0"/>
          <w:divBdr>
            <w:top w:val="none" w:sz="0" w:space="0" w:color="auto"/>
            <w:left w:val="none" w:sz="0" w:space="0" w:color="auto"/>
            <w:bottom w:val="none" w:sz="0" w:space="0" w:color="auto"/>
            <w:right w:val="none" w:sz="0" w:space="0" w:color="auto"/>
          </w:divBdr>
        </w:div>
        <w:div w:id="1844517017">
          <w:marLeft w:val="0"/>
          <w:marRight w:val="0"/>
          <w:marTop w:val="0"/>
          <w:marBottom w:val="0"/>
          <w:divBdr>
            <w:top w:val="none" w:sz="0" w:space="0" w:color="auto"/>
            <w:left w:val="none" w:sz="0" w:space="0" w:color="auto"/>
            <w:bottom w:val="none" w:sz="0" w:space="0" w:color="auto"/>
            <w:right w:val="none" w:sz="0" w:space="0" w:color="auto"/>
          </w:divBdr>
        </w:div>
        <w:div w:id="1082681517">
          <w:marLeft w:val="0"/>
          <w:marRight w:val="0"/>
          <w:marTop w:val="0"/>
          <w:marBottom w:val="0"/>
          <w:divBdr>
            <w:top w:val="none" w:sz="0" w:space="0" w:color="auto"/>
            <w:left w:val="none" w:sz="0" w:space="0" w:color="auto"/>
            <w:bottom w:val="none" w:sz="0" w:space="0" w:color="auto"/>
            <w:right w:val="none" w:sz="0" w:space="0" w:color="auto"/>
          </w:divBdr>
        </w:div>
        <w:div w:id="1661733111">
          <w:marLeft w:val="0"/>
          <w:marRight w:val="0"/>
          <w:marTop w:val="0"/>
          <w:marBottom w:val="0"/>
          <w:divBdr>
            <w:top w:val="none" w:sz="0" w:space="0" w:color="auto"/>
            <w:left w:val="none" w:sz="0" w:space="0" w:color="auto"/>
            <w:bottom w:val="none" w:sz="0" w:space="0" w:color="auto"/>
            <w:right w:val="none" w:sz="0" w:space="0" w:color="auto"/>
          </w:divBdr>
        </w:div>
        <w:div w:id="2016152169">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663361131">
          <w:marLeft w:val="0"/>
          <w:marRight w:val="0"/>
          <w:marTop w:val="0"/>
          <w:marBottom w:val="0"/>
          <w:divBdr>
            <w:top w:val="none" w:sz="0" w:space="0" w:color="auto"/>
            <w:left w:val="none" w:sz="0" w:space="0" w:color="auto"/>
            <w:bottom w:val="none" w:sz="0" w:space="0" w:color="auto"/>
            <w:right w:val="none" w:sz="0" w:space="0" w:color="auto"/>
          </w:divBdr>
        </w:div>
      </w:divsChild>
    </w:div>
    <w:div w:id="455678383">
      <w:bodyDiv w:val="1"/>
      <w:marLeft w:val="0"/>
      <w:marRight w:val="0"/>
      <w:marTop w:val="0"/>
      <w:marBottom w:val="0"/>
      <w:divBdr>
        <w:top w:val="none" w:sz="0" w:space="0" w:color="auto"/>
        <w:left w:val="none" w:sz="0" w:space="0" w:color="auto"/>
        <w:bottom w:val="none" w:sz="0" w:space="0" w:color="auto"/>
        <w:right w:val="none" w:sz="0" w:space="0" w:color="auto"/>
      </w:divBdr>
    </w:div>
    <w:div w:id="481242675">
      <w:bodyDiv w:val="1"/>
      <w:marLeft w:val="0"/>
      <w:marRight w:val="0"/>
      <w:marTop w:val="0"/>
      <w:marBottom w:val="0"/>
      <w:divBdr>
        <w:top w:val="none" w:sz="0" w:space="0" w:color="auto"/>
        <w:left w:val="none" w:sz="0" w:space="0" w:color="auto"/>
        <w:bottom w:val="none" w:sz="0" w:space="0" w:color="auto"/>
        <w:right w:val="none" w:sz="0" w:space="0" w:color="auto"/>
      </w:divBdr>
      <w:divsChild>
        <w:div w:id="1829056152">
          <w:marLeft w:val="547"/>
          <w:marRight w:val="0"/>
          <w:marTop w:val="154"/>
          <w:marBottom w:val="0"/>
          <w:divBdr>
            <w:top w:val="none" w:sz="0" w:space="0" w:color="auto"/>
            <w:left w:val="none" w:sz="0" w:space="0" w:color="auto"/>
            <w:bottom w:val="none" w:sz="0" w:space="0" w:color="auto"/>
            <w:right w:val="none" w:sz="0" w:space="0" w:color="auto"/>
          </w:divBdr>
        </w:div>
        <w:div w:id="562565733">
          <w:marLeft w:val="547"/>
          <w:marRight w:val="0"/>
          <w:marTop w:val="154"/>
          <w:marBottom w:val="0"/>
          <w:divBdr>
            <w:top w:val="none" w:sz="0" w:space="0" w:color="auto"/>
            <w:left w:val="none" w:sz="0" w:space="0" w:color="auto"/>
            <w:bottom w:val="none" w:sz="0" w:space="0" w:color="auto"/>
            <w:right w:val="none" w:sz="0" w:space="0" w:color="auto"/>
          </w:divBdr>
        </w:div>
        <w:div w:id="2025353264">
          <w:marLeft w:val="547"/>
          <w:marRight w:val="0"/>
          <w:marTop w:val="154"/>
          <w:marBottom w:val="0"/>
          <w:divBdr>
            <w:top w:val="none" w:sz="0" w:space="0" w:color="auto"/>
            <w:left w:val="none" w:sz="0" w:space="0" w:color="auto"/>
            <w:bottom w:val="none" w:sz="0" w:space="0" w:color="auto"/>
            <w:right w:val="none" w:sz="0" w:space="0" w:color="auto"/>
          </w:divBdr>
        </w:div>
      </w:divsChild>
    </w:div>
    <w:div w:id="816648249">
      <w:bodyDiv w:val="1"/>
      <w:marLeft w:val="0"/>
      <w:marRight w:val="0"/>
      <w:marTop w:val="0"/>
      <w:marBottom w:val="0"/>
      <w:divBdr>
        <w:top w:val="none" w:sz="0" w:space="0" w:color="auto"/>
        <w:left w:val="none" w:sz="0" w:space="0" w:color="auto"/>
        <w:bottom w:val="none" w:sz="0" w:space="0" w:color="auto"/>
        <w:right w:val="none" w:sz="0" w:space="0" w:color="auto"/>
      </w:divBdr>
      <w:divsChild>
        <w:div w:id="998848874">
          <w:marLeft w:val="0"/>
          <w:marRight w:val="0"/>
          <w:marTop w:val="0"/>
          <w:marBottom w:val="48"/>
          <w:divBdr>
            <w:top w:val="none" w:sz="0" w:space="0" w:color="auto"/>
            <w:left w:val="none" w:sz="0" w:space="0" w:color="auto"/>
            <w:bottom w:val="none" w:sz="0" w:space="0" w:color="auto"/>
            <w:right w:val="none" w:sz="0" w:space="0" w:color="auto"/>
          </w:divBdr>
        </w:div>
      </w:divsChild>
    </w:div>
    <w:div w:id="1351447274">
      <w:bodyDiv w:val="1"/>
      <w:marLeft w:val="0"/>
      <w:marRight w:val="0"/>
      <w:marTop w:val="0"/>
      <w:marBottom w:val="0"/>
      <w:divBdr>
        <w:top w:val="none" w:sz="0" w:space="0" w:color="auto"/>
        <w:left w:val="none" w:sz="0" w:space="0" w:color="auto"/>
        <w:bottom w:val="none" w:sz="0" w:space="0" w:color="auto"/>
        <w:right w:val="none" w:sz="0" w:space="0" w:color="auto"/>
      </w:divBdr>
      <w:divsChild>
        <w:div w:id="142310207">
          <w:marLeft w:val="0"/>
          <w:marRight w:val="0"/>
          <w:marTop w:val="0"/>
          <w:marBottom w:val="0"/>
          <w:divBdr>
            <w:top w:val="none" w:sz="0" w:space="0" w:color="auto"/>
            <w:left w:val="none" w:sz="0" w:space="0" w:color="auto"/>
            <w:bottom w:val="none" w:sz="0" w:space="0" w:color="auto"/>
            <w:right w:val="none" w:sz="0" w:space="0" w:color="auto"/>
          </w:divBdr>
        </w:div>
        <w:div w:id="1462655684">
          <w:marLeft w:val="0"/>
          <w:marRight w:val="0"/>
          <w:marTop w:val="0"/>
          <w:marBottom w:val="0"/>
          <w:divBdr>
            <w:top w:val="none" w:sz="0" w:space="0" w:color="auto"/>
            <w:left w:val="none" w:sz="0" w:space="0" w:color="auto"/>
            <w:bottom w:val="none" w:sz="0" w:space="0" w:color="auto"/>
            <w:right w:val="none" w:sz="0" w:space="0" w:color="auto"/>
          </w:divBdr>
        </w:div>
        <w:div w:id="766539052">
          <w:marLeft w:val="0"/>
          <w:marRight w:val="0"/>
          <w:marTop w:val="0"/>
          <w:marBottom w:val="0"/>
          <w:divBdr>
            <w:top w:val="none" w:sz="0" w:space="0" w:color="auto"/>
            <w:left w:val="none" w:sz="0" w:space="0" w:color="auto"/>
            <w:bottom w:val="none" w:sz="0" w:space="0" w:color="auto"/>
            <w:right w:val="none" w:sz="0" w:space="0" w:color="auto"/>
          </w:divBdr>
        </w:div>
        <w:div w:id="908150130">
          <w:marLeft w:val="0"/>
          <w:marRight w:val="0"/>
          <w:marTop w:val="0"/>
          <w:marBottom w:val="0"/>
          <w:divBdr>
            <w:top w:val="none" w:sz="0" w:space="0" w:color="auto"/>
            <w:left w:val="none" w:sz="0" w:space="0" w:color="auto"/>
            <w:bottom w:val="none" w:sz="0" w:space="0" w:color="auto"/>
            <w:right w:val="none" w:sz="0" w:space="0" w:color="auto"/>
          </w:divBdr>
        </w:div>
        <w:div w:id="1366562531">
          <w:marLeft w:val="0"/>
          <w:marRight w:val="0"/>
          <w:marTop w:val="0"/>
          <w:marBottom w:val="0"/>
          <w:divBdr>
            <w:top w:val="none" w:sz="0" w:space="0" w:color="auto"/>
            <w:left w:val="none" w:sz="0" w:space="0" w:color="auto"/>
            <w:bottom w:val="none" w:sz="0" w:space="0" w:color="auto"/>
            <w:right w:val="none" w:sz="0" w:space="0" w:color="auto"/>
          </w:divBdr>
        </w:div>
        <w:div w:id="320238632">
          <w:marLeft w:val="0"/>
          <w:marRight w:val="0"/>
          <w:marTop w:val="0"/>
          <w:marBottom w:val="0"/>
          <w:divBdr>
            <w:top w:val="none" w:sz="0" w:space="0" w:color="auto"/>
            <w:left w:val="none" w:sz="0" w:space="0" w:color="auto"/>
            <w:bottom w:val="none" w:sz="0" w:space="0" w:color="auto"/>
            <w:right w:val="none" w:sz="0" w:space="0" w:color="auto"/>
          </w:divBdr>
        </w:div>
        <w:div w:id="1471096169">
          <w:marLeft w:val="0"/>
          <w:marRight w:val="0"/>
          <w:marTop w:val="0"/>
          <w:marBottom w:val="0"/>
          <w:divBdr>
            <w:top w:val="none" w:sz="0" w:space="0" w:color="auto"/>
            <w:left w:val="none" w:sz="0" w:space="0" w:color="auto"/>
            <w:bottom w:val="none" w:sz="0" w:space="0" w:color="auto"/>
            <w:right w:val="none" w:sz="0" w:space="0" w:color="auto"/>
          </w:divBdr>
        </w:div>
      </w:divsChild>
    </w:div>
    <w:div w:id="1502236961">
      <w:bodyDiv w:val="1"/>
      <w:marLeft w:val="0"/>
      <w:marRight w:val="0"/>
      <w:marTop w:val="0"/>
      <w:marBottom w:val="0"/>
      <w:divBdr>
        <w:top w:val="none" w:sz="0" w:space="0" w:color="auto"/>
        <w:left w:val="none" w:sz="0" w:space="0" w:color="auto"/>
        <w:bottom w:val="none" w:sz="0" w:space="0" w:color="auto"/>
        <w:right w:val="none" w:sz="0" w:space="0" w:color="auto"/>
      </w:divBdr>
    </w:div>
    <w:div w:id="1732313791">
      <w:bodyDiv w:val="1"/>
      <w:marLeft w:val="0"/>
      <w:marRight w:val="0"/>
      <w:marTop w:val="0"/>
      <w:marBottom w:val="0"/>
      <w:divBdr>
        <w:top w:val="none" w:sz="0" w:space="0" w:color="auto"/>
        <w:left w:val="none" w:sz="0" w:space="0" w:color="auto"/>
        <w:bottom w:val="none" w:sz="0" w:space="0" w:color="auto"/>
        <w:right w:val="none" w:sz="0" w:space="0" w:color="auto"/>
      </w:divBdr>
      <w:divsChild>
        <w:div w:id="1766149178">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A2877-03CB-461B-859A-8B989932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12992</TotalTime>
  <Pages>7</Pages>
  <Words>2796</Words>
  <Characters>15942</Characters>
  <Application>Microsoft Office Word</Application>
  <DocSecurity>0</DocSecurity>
  <Lines>306</Lines>
  <Paragraphs>48</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Palmer, Margaret</cp:lastModifiedBy>
  <cp:revision>30</cp:revision>
  <cp:lastPrinted>2018-08-24T16:52:00Z</cp:lastPrinted>
  <dcterms:created xsi:type="dcterms:W3CDTF">2020-12-16T22:48:00Z</dcterms:created>
  <dcterms:modified xsi:type="dcterms:W3CDTF">2020-12-30T21:57:00Z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