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2737" w14:textId="77777777" w:rsidR="00722693" w:rsidRPr="007B466E" w:rsidRDefault="00FA607C" w:rsidP="00B70E4D">
      <w:pPr>
        <w:tabs>
          <w:tab w:val="left" w:pos="7200"/>
        </w:tabs>
        <w:ind w:right="-1080"/>
        <w:jc w:val="both"/>
        <w:rPr>
          <w:sz w:val="22"/>
          <w:szCs w:val="22"/>
        </w:rPr>
      </w:pPr>
      <w:bookmarkStart w:id="0" w:name="_top"/>
      <w:bookmarkEnd w:id="0"/>
      <w:r w:rsidRPr="007B466E">
        <w:rPr>
          <w:sz w:val="22"/>
        </w:rPr>
        <w:tab/>
        <w:t>OEA/Ser.W</w:t>
      </w:r>
    </w:p>
    <w:p w14:paraId="59B65FBE" w14:textId="42E52155" w:rsidR="00722693" w:rsidRPr="007B466E" w:rsidRDefault="00FA607C" w:rsidP="00B70E4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B466E">
        <w:rPr>
          <w:sz w:val="22"/>
        </w:rPr>
        <w:tab/>
        <w:t>CIDI/INF.397/20</w:t>
      </w:r>
    </w:p>
    <w:p w14:paraId="4483D20B" w14:textId="742295E9" w:rsidR="00921E9E" w:rsidRPr="007B466E" w:rsidRDefault="00FA607C" w:rsidP="00B70E4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7B466E">
        <w:rPr>
          <w:sz w:val="22"/>
        </w:rPr>
        <w:tab/>
        <w:t>15 dezembro 2020</w:t>
      </w:r>
    </w:p>
    <w:p w14:paraId="5F1787F8" w14:textId="3F5D7279" w:rsidR="00921E9E" w:rsidRPr="007B466E" w:rsidRDefault="00FA607C" w:rsidP="00B70E4D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 w:rsidRPr="007B466E">
        <w:rPr>
          <w:sz w:val="22"/>
        </w:rPr>
        <w:tab/>
        <w:t>Original: inglês</w:t>
      </w:r>
    </w:p>
    <w:p w14:paraId="7EFD68F1" w14:textId="77777777" w:rsidR="00B70E4D" w:rsidRPr="007B466E" w:rsidRDefault="00B70E4D" w:rsidP="00C109D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</w:p>
    <w:p w14:paraId="24C81694" w14:textId="3E378F45" w:rsidR="00722693" w:rsidRPr="007B466E" w:rsidRDefault="00722693" w:rsidP="00B70E4D">
      <w:pPr>
        <w:tabs>
          <w:tab w:val="left" w:pos="7200"/>
        </w:tabs>
        <w:ind w:right="-1080"/>
        <w:jc w:val="center"/>
        <w:rPr>
          <w:sz w:val="22"/>
          <w:szCs w:val="22"/>
        </w:rPr>
      </w:pPr>
    </w:p>
    <w:p w14:paraId="294DEA60" w14:textId="77777777" w:rsidR="00723DE2" w:rsidRPr="007B466E" w:rsidRDefault="00723DE2" w:rsidP="00B70E4D">
      <w:pPr>
        <w:jc w:val="center"/>
        <w:rPr>
          <w:rFonts w:eastAsia="Calibri"/>
          <w:sz w:val="22"/>
          <w:szCs w:val="22"/>
        </w:rPr>
      </w:pPr>
    </w:p>
    <w:p w14:paraId="336FE805" w14:textId="77777777" w:rsidR="0038288B" w:rsidRPr="007B466E" w:rsidRDefault="0038288B" w:rsidP="0038288B">
      <w:pPr>
        <w:ind w:left="-917"/>
        <w:rPr>
          <w:sz w:val="22"/>
          <w:szCs w:val="22"/>
        </w:rPr>
      </w:pPr>
    </w:p>
    <w:p w14:paraId="26AF2A7D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0817BB27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5A1A5293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6788F12C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798CE3B1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78DD02FF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73EA499D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5D1C70C6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7FBA3F28" w14:textId="77777777" w:rsidR="0038288B" w:rsidRPr="007B466E" w:rsidRDefault="0038288B" w:rsidP="0038288B">
      <w:pPr>
        <w:ind w:right="1"/>
        <w:jc w:val="center"/>
        <w:rPr>
          <w:rFonts w:eastAsia="Calibri"/>
          <w:b/>
          <w:sz w:val="22"/>
          <w:szCs w:val="22"/>
        </w:rPr>
      </w:pPr>
    </w:p>
    <w:p w14:paraId="6B851AB4" w14:textId="73AFDEDF" w:rsidR="0038288B" w:rsidRPr="007B466E" w:rsidRDefault="0038288B" w:rsidP="0038288B">
      <w:pPr>
        <w:snapToGrid w:val="0"/>
        <w:jc w:val="center"/>
        <w:rPr>
          <w:color w:val="000000"/>
          <w:sz w:val="22"/>
          <w:szCs w:val="22"/>
        </w:rPr>
      </w:pPr>
      <w:r w:rsidRPr="007B466E">
        <w:rPr>
          <w:color w:val="000000"/>
          <w:sz w:val="22"/>
        </w:rPr>
        <w:t>APRESENTAÇÃO FEITA PELA SECRETÁRIA EXECUTIVA DE DESENVOLVIMENTO INTEGRAL,</w:t>
      </w:r>
      <w:r w:rsidR="00A11AFC">
        <w:rPr>
          <w:color w:val="000000"/>
          <w:sz w:val="22"/>
        </w:rPr>
        <w:t xml:space="preserve"> </w:t>
      </w:r>
      <w:r w:rsidRPr="007B466E">
        <w:rPr>
          <w:color w:val="000000"/>
          <w:sz w:val="22"/>
        </w:rPr>
        <w:t>SENHORA KIM OSBORNE</w:t>
      </w:r>
    </w:p>
    <w:p w14:paraId="6C5E5244" w14:textId="77777777" w:rsidR="0038288B" w:rsidRPr="007B466E" w:rsidRDefault="0038288B" w:rsidP="0038288B">
      <w:pPr>
        <w:snapToGrid w:val="0"/>
        <w:jc w:val="center"/>
        <w:rPr>
          <w:color w:val="000000"/>
          <w:sz w:val="22"/>
          <w:szCs w:val="22"/>
        </w:rPr>
      </w:pPr>
    </w:p>
    <w:p w14:paraId="7986E3AD" w14:textId="77777777" w:rsidR="0038288B" w:rsidRPr="007B466E" w:rsidRDefault="0038288B" w:rsidP="0038288B">
      <w:pPr>
        <w:snapToGrid w:val="0"/>
        <w:jc w:val="center"/>
        <w:rPr>
          <w:color w:val="000000"/>
          <w:sz w:val="22"/>
          <w:szCs w:val="22"/>
        </w:rPr>
      </w:pPr>
      <w:r w:rsidRPr="007B466E">
        <w:rPr>
          <w:color w:val="000000"/>
          <w:sz w:val="22"/>
        </w:rPr>
        <w:t>NA REUNIÃO ORDINÁRIA DO</w:t>
      </w:r>
    </w:p>
    <w:p w14:paraId="46D9501E" w14:textId="77777777" w:rsidR="0038288B" w:rsidRPr="007B466E" w:rsidRDefault="0038288B" w:rsidP="0038288B">
      <w:pPr>
        <w:snapToGrid w:val="0"/>
        <w:jc w:val="center"/>
        <w:rPr>
          <w:color w:val="000000"/>
          <w:sz w:val="22"/>
          <w:szCs w:val="22"/>
        </w:rPr>
      </w:pPr>
      <w:r w:rsidRPr="007B466E">
        <w:rPr>
          <w:color w:val="000000"/>
          <w:sz w:val="22"/>
        </w:rPr>
        <w:t xml:space="preserve"> CONSELHO INTERAMERICANO DE DESENVOLVIMENTO INTEGRAL SOBRE </w:t>
      </w:r>
    </w:p>
    <w:p w14:paraId="5AB79370" w14:textId="77777777" w:rsidR="00B76CC5" w:rsidRPr="007B466E" w:rsidRDefault="00B76CC5" w:rsidP="00B76CC5">
      <w:pPr>
        <w:rPr>
          <w:color w:val="000000"/>
          <w:sz w:val="22"/>
          <w:szCs w:val="22"/>
        </w:rPr>
      </w:pPr>
    </w:p>
    <w:p w14:paraId="7FFF36C2" w14:textId="1C093363" w:rsidR="00B76CC5" w:rsidRPr="007B466E" w:rsidRDefault="00B76CC5" w:rsidP="00B76CC5">
      <w:pPr>
        <w:jc w:val="center"/>
        <w:rPr>
          <w:sz w:val="22"/>
          <w:szCs w:val="22"/>
        </w:rPr>
      </w:pPr>
      <w:r w:rsidRPr="007B466E">
        <w:rPr>
          <w:sz w:val="22"/>
        </w:rPr>
        <w:t>PARCERIAS COM MÚLTIPLAS PARTES INTERESSADAS PARA A CONSTRUÇÃO DE RESILIÊNCIA FRENTE A CHOQUES EXTERNOS</w:t>
      </w:r>
    </w:p>
    <w:p w14:paraId="4F5CC05C" w14:textId="77777777" w:rsidR="0038288B" w:rsidRPr="007B466E" w:rsidRDefault="0038288B" w:rsidP="0038288B">
      <w:pPr>
        <w:jc w:val="center"/>
        <w:outlineLvl w:val="0"/>
        <w:rPr>
          <w:color w:val="000000"/>
          <w:sz w:val="22"/>
          <w:szCs w:val="22"/>
        </w:rPr>
      </w:pPr>
    </w:p>
    <w:p w14:paraId="344C734C" w14:textId="25061557" w:rsidR="0038288B" w:rsidRPr="007B466E" w:rsidRDefault="0038288B" w:rsidP="0038288B">
      <w:pPr>
        <w:jc w:val="center"/>
        <w:outlineLvl w:val="0"/>
        <w:rPr>
          <w:color w:val="000000"/>
          <w:sz w:val="22"/>
          <w:szCs w:val="22"/>
        </w:rPr>
      </w:pPr>
      <w:r w:rsidRPr="007B466E">
        <w:rPr>
          <w:color w:val="000000"/>
          <w:sz w:val="22"/>
        </w:rPr>
        <w:t>REALIZADA EM 8 DE DEZEMBRO DE 2020</w:t>
      </w:r>
    </w:p>
    <w:p w14:paraId="3DDCEBF5" w14:textId="77777777" w:rsidR="00A11AFC" w:rsidRDefault="00A11AFC" w:rsidP="0038288B">
      <w:pPr>
        <w:ind w:right="1"/>
        <w:jc w:val="center"/>
        <w:sectPr w:rsidR="00A11AFC" w:rsidSect="00A11AFC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fmt="numberInDash" w:start="2"/>
          <w:cols w:space="720"/>
          <w:titlePg/>
          <w:docGrid w:linePitch="272"/>
        </w:sectPr>
      </w:pPr>
    </w:p>
    <w:p w14:paraId="69CED603" w14:textId="21AC8091" w:rsidR="00B76CC5" w:rsidRPr="007B466E" w:rsidRDefault="00B76CC5" w:rsidP="004E511D">
      <w:pPr>
        <w:snapToGrid w:val="0"/>
        <w:jc w:val="center"/>
        <w:rPr>
          <w:color w:val="000000"/>
          <w:sz w:val="22"/>
          <w:szCs w:val="22"/>
        </w:rPr>
      </w:pPr>
      <w:bookmarkStart w:id="1" w:name="_GoBack"/>
      <w:bookmarkEnd w:id="1"/>
      <w:r w:rsidRPr="007B466E">
        <w:rPr>
          <w:color w:val="000000"/>
          <w:sz w:val="22"/>
        </w:rPr>
        <w:t>APRESENTAÇÃO FEITA PELA SECRETÁRIA EXECUTIVA DE DESENVOLVIMENTO INTEGRAL,</w:t>
      </w:r>
      <w:r w:rsidR="004E511D" w:rsidRPr="007B466E">
        <w:rPr>
          <w:color w:val="000000"/>
          <w:sz w:val="22"/>
        </w:rPr>
        <w:t xml:space="preserve"> </w:t>
      </w:r>
      <w:r w:rsidRPr="007B466E">
        <w:rPr>
          <w:color w:val="000000"/>
          <w:sz w:val="22"/>
        </w:rPr>
        <w:t xml:space="preserve">SENHORA KIM OSBORNE, NA REUNIÃO ORDINÁRIA DO CONSELHO INTERAMERICANO DE DESENVOLVIMENTO INTEGRAL SOBRE </w:t>
      </w:r>
      <w:r w:rsidRPr="007B466E">
        <w:rPr>
          <w:sz w:val="22"/>
        </w:rPr>
        <w:t xml:space="preserve">PARCERIAS DE MÚLTIPLAS PARTES INTERESSADAS PARA A CONSTRUÇÃO DE RESISTÊNCIA </w:t>
      </w:r>
      <w:r w:rsidR="00A11AFC">
        <w:rPr>
          <w:sz w:val="22"/>
        </w:rPr>
        <w:br/>
      </w:r>
      <w:r w:rsidRPr="007B466E">
        <w:rPr>
          <w:sz w:val="22"/>
        </w:rPr>
        <w:t>FRENTE A CHOQUES EXTERNOS</w:t>
      </w:r>
      <w:r w:rsidR="004E511D" w:rsidRPr="007B466E">
        <w:rPr>
          <w:sz w:val="22"/>
        </w:rPr>
        <w:t xml:space="preserve"> </w:t>
      </w:r>
      <w:r w:rsidRPr="007B466E">
        <w:rPr>
          <w:color w:val="000000"/>
          <w:sz w:val="22"/>
        </w:rPr>
        <w:t>REALIZADA EM 8 DE DEZEMBRO DE 2020</w:t>
      </w:r>
    </w:p>
    <w:p w14:paraId="491391FE" w14:textId="77777777" w:rsidR="00B76CC5" w:rsidRPr="007B466E" w:rsidRDefault="00B76CC5" w:rsidP="0038288B">
      <w:pPr>
        <w:ind w:left="10" w:right="1" w:hanging="10"/>
        <w:jc w:val="center"/>
        <w:rPr>
          <w:rFonts w:eastAsia="Calibri"/>
          <w:sz w:val="22"/>
          <w:szCs w:val="22"/>
        </w:rPr>
      </w:pPr>
    </w:p>
    <w:p w14:paraId="19C8F3E9" w14:textId="2D1CE896" w:rsidR="0038288B" w:rsidRPr="007B466E" w:rsidRDefault="0038288B" w:rsidP="0038288B">
      <w:pPr>
        <w:ind w:left="10" w:right="1" w:hanging="10"/>
        <w:jc w:val="center"/>
        <w:rPr>
          <w:sz w:val="22"/>
          <w:szCs w:val="22"/>
        </w:rPr>
      </w:pPr>
      <w:r w:rsidRPr="007B466E">
        <w:rPr>
          <w:sz w:val="22"/>
        </w:rPr>
        <w:t xml:space="preserve">PARCERIAS SEDI 2020 </w:t>
      </w:r>
    </w:p>
    <w:p w14:paraId="74A6606E" w14:textId="784A9FCA" w:rsidR="0038288B" w:rsidRPr="007B466E" w:rsidRDefault="0038288B" w:rsidP="0038288B">
      <w:pPr>
        <w:rPr>
          <w:sz w:val="22"/>
          <w:szCs w:val="22"/>
        </w:rPr>
      </w:pPr>
    </w:p>
    <w:p w14:paraId="70F4886D" w14:textId="67011634" w:rsidR="00B76CC5" w:rsidRPr="007B466E" w:rsidRDefault="00B76CC5" w:rsidP="00B76CC5">
      <w:pPr>
        <w:tabs>
          <w:tab w:val="left" w:pos="720"/>
        </w:tabs>
        <w:ind w:firstLine="10"/>
        <w:jc w:val="both"/>
        <w:rPr>
          <w:sz w:val="22"/>
          <w:szCs w:val="22"/>
        </w:rPr>
      </w:pPr>
    </w:p>
    <w:p w14:paraId="2DCE52E0" w14:textId="18994082" w:rsidR="0038288B" w:rsidRPr="007B466E" w:rsidRDefault="00B76CC5" w:rsidP="00B76CC5">
      <w:pPr>
        <w:tabs>
          <w:tab w:val="left" w:pos="720"/>
          <w:tab w:val="left" w:pos="1440"/>
          <w:tab w:val="left" w:pos="2160"/>
        </w:tabs>
        <w:ind w:firstLine="10"/>
        <w:jc w:val="both"/>
        <w:rPr>
          <w:sz w:val="22"/>
          <w:szCs w:val="22"/>
        </w:rPr>
      </w:pPr>
      <w:r w:rsidRPr="007B466E">
        <w:rPr>
          <w:sz w:val="22"/>
        </w:rPr>
        <w:tab/>
        <w:t xml:space="preserve">Para superar os assustadores desafios econômicos e sociais que nossos Estados membros enfrentam e que foram exacerbados pela pandemia da covid-19 precisaremos de parcerias fortes com múltiplos setores e múltiplas partes interessadas, que possam reunir a experiência, o conhecimento, o financiamento e outros recursos necessários para a construção de economias resilientes e inclusivas. </w:t>
      </w:r>
    </w:p>
    <w:p w14:paraId="5F4E190A" w14:textId="398A867D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2238147" w14:textId="4DA13B97" w:rsidR="0038288B" w:rsidRPr="007B466E" w:rsidRDefault="00B76CC5" w:rsidP="00B76CC5">
      <w:pPr>
        <w:tabs>
          <w:tab w:val="left" w:pos="720"/>
          <w:tab w:val="left" w:pos="1440"/>
          <w:tab w:val="left" w:pos="2160"/>
        </w:tabs>
        <w:ind w:left="-15" w:right="-13" w:firstLine="25"/>
        <w:jc w:val="both"/>
        <w:rPr>
          <w:sz w:val="22"/>
          <w:szCs w:val="22"/>
        </w:rPr>
      </w:pPr>
      <w:r w:rsidRPr="007B466E">
        <w:rPr>
          <w:sz w:val="22"/>
        </w:rPr>
        <w:tab/>
        <w:t xml:space="preserve">A Secretaria Executiva de Desenvolvimento Integral da Organização dos Estados Americanos (OEA/SEDI) tem desenvolvido parcerias concretas com vistas à expansão de nosso alcance e impacto nos Estados membros. Nossos parceiros são diversos e oferecem uma ampla gama de apoio, desde assistência técnica direta, mentoria, treinamento e capacitação até acesso a ferramentas e serviços. Incluem o setor privado, universidades, bancos de desenvolvimento, </w:t>
      </w:r>
      <w:r w:rsidRPr="007B466E">
        <w:rPr>
          <w:i/>
          <w:iCs/>
          <w:sz w:val="22"/>
        </w:rPr>
        <w:t>think-tanks</w:t>
      </w:r>
      <w:r w:rsidRPr="007B466E">
        <w:rPr>
          <w:sz w:val="22"/>
        </w:rPr>
        <w:t xml:space="preserve">, fundações e outros atores.  </w:t>
      </w:r>
    </w:p>
    <w:p w14:paraId="3723692B" w14:textId="77777777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7B466E">
        <w:rPr>
          <w:sz w:val="22"/>
        </w:rPr>
        <w:t xml:space="preserve"> </w:t>
      </w:r>
    </w:p>
    <w:p w14:paraId="2E9CBBC2" w14:textId="6F4507D5" w:rsidR="00B76CC5" w:rsidRPr="007B466E" w:rsidRDefault="00B76CC5" w:rsidP="00B76CC5">
      <w:pPr>
        <w:tabs>
          <w:tab w:val="left" w:pos="720"/>
          <w:tab w:val="left" w:pos="1440"/>
          <w:tab w:val="left" w:pos="2160"/>
        </w:tabs>
        <w:ind w:left="-15" w:right="-13"/>
        <w:jc w:val="both"/>
        <w:rPr>
          <w:sz w:val="22"/>
          <w:szCs w:val="22"/>
        </w:rPr>
      </w:pPr>
      <w:r w:rsidRPr="007B466E">
        <w:rPr>
          <w:sz w:val="22"/>
        </w:rPr>
        <w:tab/>
        <w:t xml:space="preserve">Dado o tempo limitado, destacarei apenas alguns dos nossos parceiros na reunião de hoje, oferecendo algumas informações sobre o impacto conjunto que estamos tendo na nossa região. Enquanto falo, continuamos construindo parcerias, e estou confiante no potencial para expandir o nosso grupo de parceiros no futuro. Com base nas recentes discussões com muitos atores, posso confirmar que as agendas estão alinhadas. </w:t>
      </w:r>
      <w:r w:rsidR="004E511D" w:rsidRPr="007B466E">
        <w:rPr>
          <w:sz w:val="22"/>
        </w:rPr>
        <w:t>Autoridades</w:t>
      </w:r>
      <w:r w:rsidRPr="007B466E">
        <w:rPr>
          <w:sz w:val="22"/>
        </w:rPr>
        <w:t xml:space="preserve"> públic</w:t>
      </w:r>
      <w:r w:rsidR="004E511D" w:rsidRPr="007B466E">
        <w:rPr>
          <w:sz w:val="22"/>
        </w:rPr>
        <w:t>a</w:t>
      </w:r>
      <w:r w:rsidRPr="007B466E">
        <w:rPr>
          <w:sz w:val="22"/>
        </w:rPr>
        <w:t xml:space="preserve">s, a comunidade internacional, empresários, instituições e empresas estão todos prontos a colaborar e trabalhar em conjunto — o potencial de crescimento e de expansão do nosso alcance por meio de parcerias está seguindo a direção certa.  </w:t>
      </w:r>
    </w:p>
    <w:p w14:paraId="33E68DFA" w14:textId="77777777" w:rsidR="00B76CC5" w:rsidRPr="007B466E" w:rsidRDefault="00B76CC5" w:rsidP="00B76CC5">
      <w:pPr>
        <w:tabs>
          <w:tab w:val="left" w:pos="720"/>
          <w:tab w:val="left" w:pos="1440"/>
          <w:tab w:val="left" w:pos="2160"/>
        </w:tabs>
        <w:ind w:left="-15" w:right="-13"/>
        <w:jc w:val="both"/>
        <w:rPr>
          <w:sz w:val="22"/>
          <w:szCs w:val="22"/>
        </w:rPr>
      </w:pPr>
    </w:p>
    <w:p w14:paraId="5407581A" w14:textId="566D230D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ind w:left="-15" w:right="-13"/>
        <w:jc w:val="both"/>
        <w:rPr>
          <w:sz w:val="22"/>
          <w:szCs w:val="22"/>
        </w:rPr>
      </w:pPr>
      <w:r w:rsidRPr="007B466E">
        <w:rPr>
          <w:b/>
          <w:bCs/>
          <w:sz w:val="22"/>
        </w:rPr>
        <w:t>DEPARTAMENTO DE DESENVOLVIMENTO ECONÔMICO (DDE)</w:t>
      </w:r>
      <w:r w:rsidRPr="007B466E">
        <w:rPr>
          <w:sz w:val="22"/>
          <w:u w:color="000000"/>
        </w:rPr>
        <w:t xml:space="preserve"> </w:t>
      </w:r>
    </w:p>
    <w:p w14:paraId="38CBB08B" w14:textId="667F75BE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94088D4" w14:textId="5E36C686" w:rsidR="0038288B" w:rsidRPr="007B466E" w:rsidRDefault="00B76CC5" w:rsidP="00B76CC5">
      <w:pPr>
        <w:tabs>
          <w:tab w:val="left" w:pos="720"/>
          <w:tab w:val="left" w:pos="1440"/>
          <w:tab w:val="left" w:pos="2160"/>
        </w:tabs>
        <w:ind w:left="-15" w:right="-13"/>
        <w:jc w:val="both"/>
        <w:rPr>
          <w:sz w:val="22"/>
          <w:szCs w:val="22"/>
        </w:rPr>
      </w:pPr>
      <w:r w:rsidRPr="007B466E">
        <w:rPr>
          <w:b/>
          <w:sz w:val="22"/>
        </w:rPr>
        <w:tab/>
        <w:t xml:space="preserve">MPMEs: </w:t>
      </w:r>
      <w:r w:rsidRPr="007B466E">
        <w:rPr>
          <w:sz w:val="22"/>
        </w:rPr>
        <w:t xml:space="preserve">Nunca é demais reconhecer o peso </w:t>
      </w:r>
      <w:r w:rsidR="004E511D" w:rsidRPr="007B466E">
        <w:rPr>
          <w:sz w:val="22"/>
        </w:rPr>
        <w:t>que</w:t>
      </w:r>
      <w:r w:rsidRPr="007B466E">
        <w:rPr>
          <w:sz w:val="22"/>
        </w:rPr>
        <w:t xml:space="preserve"> micro, pequenas e médias empresas (MPMEs) mais fortes, mais produtivas, competitivas e digitalizadas </w:t>
      </w:r>
      <w:r w:rsidR="004E511D" w:rsidRPr="007B466E">
        <w:rPr>
          <w:sz w:val="22"/>
        </w:rPr>
        <w:t>têm na</w:t>
      </w:r>
      <w:r w:rsidRPr="007B466E">
        <w:rPr>
          <w:sz w:val="22"/>
        </w:rPr>
        <w:t xml:space="preserve"> recuperação econômica e social de nossa região.  </w:t>
      </w:r>
    </w:p>
    <w:p w14:paraId="3BCE2008" w14:textId="77777777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7B466E">
        <w:rPr>
          <w:sz w:val="22"/>
        </w:rPr>
        <w:t xml:space="preserve"> </w:t>
      </w:r>
    </w:p>
    <w:p w14:paraId="6DAFA5D9" w14:textId="77777777" w:rsidR="0038288B" w:rsidRPr="007B466E" w:rsidRDefault="0038288B" w:rsidP="00B76CC5">
      <w:pPr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Nossa parceria de longa data com a </w:t>
      </w:r>
      <w:r w:rsidRPr="007B466E">
        <w:rPr>
          <w:b/>
          <w:sz w:val="22"/>
        </w:rPr>
        <w:t>Missão Permanente dos Estados Unidos junto à OEA</w:t>
      </w:r>
      <w:r w:rsidRPr="007B466E">
        <w:rPr>
          <w:sz w:val="22"/>
        </w:rPr>
        <w:t xml:space="preserve"> apoia e financia a implementação do Programa SBDC do Caribe desde 2012, permitindo que instituições apoiadoras de MPMEs prestem assistência técnica padronizada de qualidade aos clientes, de forma a proporcionar resultados mensuráveis e impacto econômico. Em 2020, mais de 5.700 pequenas empresas foram atendidas, 977 novos negócios foram iniciados e mais de 12.000 empregos foram apoiados em seis países da CARICOM. A receita de vendas totalizou mais de US$ 67 milhões e os lucros gerados superaram US$ 7 milhões. Nos últimos anos, foram empreendidos esforços significativos para coordenar com outros doadores e parceiros a alavancagem de financiamento. Parcerias com a </w:t>
      </w:r>
      <w:r w:rsidRPr="007B466E">
        <w:rPr>
          <w:b/>
          <w:sz w:val="22"/>
        </w:rPr>
        <w:t>Agência de Desenvolvimento de Exportações do Caribe</w:t>
      </w:r>
      <w:r w:rsidRPr="007B466E">
        <w:rPr>
          <w:sz w:val="22"/>
        </w:rPr>
        <w:t xml:space="preserve"> e o </w:t>
      </w:r>
      <w:r w:rsidRPr="007B466E">
        <w:rPr>
          <w:b/>
          <w:sz w:val="22"/>
        </w:rPr>
        <w:t>Programa Compete Caribe</w:t>
      </w:r>
      <w:r w:rsidRPr="007B466E">
        <w:rPr>
          <w:sz w:val="22"/>
        </w:rPr>
        <w:t xml:space="preserve">, financiado pelo BID, na área de capacitação, por exemplo, têm fornecido apoio e recursos críticos aos programas existentes do SBDC e, ao fazê-lo, têm sido um bom augúrio para a sua sustentabilidade futura. </w:t>
      </w:r>
    </w:p>
    <w:p w14:paraId="067A78F6" w14:textId="3FF8386B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ind w:left="360"/>
        <w:jc w:val="both"/>
        <w:rPr>
          <w:sz w:val="22"/>
          <w:szCs w:val="22"/>
        </w:rPr>
      </w:pPr>
    </w:p>
    <w:p w14:paraId="237F240D" w14:textId="6A1C6523" w:rsidR="0038288B" w:rsidRPr="007B466E" w:rsidRDefault="0038288B" w:rsidP="00B76CC5">
      <w:pPr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Os programas de </w:t>
      </w:r>
      <w:r w:rsidR="00015922" w:rsidRPr="007B466E">
        <w:rPr>
          <w:sz w:val="22"/>
        </w:rPr>
        <w:t>treinamento</w:t>
      </w:r>
      <w:r w:rsidRPr="007B466E">
        <w:rPr>
          <w:sz w:val="22"/>
        </w:rPr>
        <w:t xml:space="preserve"> virtual personalizados para MPMEs estarão disponíveis no início de 2021 por meio de uma parceria com a</w:t>
      </w:r>
      <w:r w:rsidRPr="007B466E">
        <w:rPr>
          <w:b/>
          <w:sz w:val="22"/>
        </w:rPr>
        <w:t xml:space="preserve"> </w:t>
      </w:r>
      <w:r w:rsidR="007B466E" w:rsidRPr="007B466E">
        <w:rPr>
          <w:b/>
          <w:sz w:val="22"/>
        </w:rPr>
        <w:t>WhatsApp</w:t>
      </w:r>
      <w:r w:rsidRPr="007B466E">
        <w:rPr>
          <w:b/>
          <w:sz w:val="22"/>
        </w:rPr>
        <w:t xml:space="preserve"> </w:t>
      </w:r>
      <w:r w:rsidRPr="007B466E">
        <w:rPr>
          <w:sz w:val="22"/>
        </w:rPr>
        <w:t xml:space="preserve">e  colaboração da </w:t>
      </w:r>
      <w:r w:rsidRPr="007B466E">
        <w:rPr>
          <w:b/>
          <w:sz w:val="22"/>
        </w:rPr>
        <w:t>eBay</w:t>
      </w:r>
      <w:r w:rsidRPr="007B466E">
        <w:rPr>
          <w:sz w:val="22"/>
        </w:rPr>
        <w:t xml:space="preserve"> e da </w:t>
      </w:r>
      <w:r w:rsidRPr="007B466E">
        <w:rPr>
          <w:b/>
          <w:sz w:val="22"/>
        </w:rPr>
        <w:t>Google</w:t>
      </w:r>
      <w:r w:rsidRPr="007B466E">
        <w:rPr>
          <w:sz w:val="22"/>
        </w:rPr>
        <w:t xml:space="preserve">. O treinamento expandirá a pegada digital das MPMEs e aumentará seus esforços de internacionalização e oportunidades de entrada no comércio eletrônico. Para assegurar a sustentabilidade, essas parcerias incluem também um programa de formação de formadores para as autoridades responsáveis pelo apoio ao setor das MPMEs. </w:t>
      </w:r>
    </w:p>
    <w:p w14:paraId="5F96C06A" w14:textId="508C55A5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35609D77" w14:textId="7B846B22" w:rsidR="0038288B" w:rsidRPr="007B466E" w:rsidRDefault="00B76CC5" w:rsidP="00B76CC5">
      <w:pPr>
        <w:tabs>
          <w:tab w:val="left" w:pos="720"/>
          <w:tab w:val="left" w:pos="1440"/>
          <w:tab w:val="left" w:pos="2160"/>
        </w:tabs>
        <w:ind w:left="720" w:hanging="735"/>
        <w:jc w:val="both"/>
        <w:rPr>
          <w:rFonts w:eastAsia="Calibri"/>
          <w:b/>
          <w:sz w:val="22"/>
          <w:szCs w:val="22"/>
        </w:rPr>
      </w:pPr>
      <w:r w:rsidRPr="007B466E">
        <w:rPr>
          <w:b/>
          <w:sz w:val="22"/>
        </w:rPr>
        <w:tab/>
        <w:t xml:space="preserve">Competitividade, Produtividade e Inovação: </w:t>
      </w:r>
    </w:p>
    <w:p w14:paraId="19165A23" w14:textId="77777777" w:rsidR="00B76CC5" w:rsidRPr="007B466E" w:rsidRDefault="00B76CC5" w:rsidP="00B76CC5">
      <w:pPr>
        <w:tabs>
          <w:tab w:val="left" w:pos="720"/>
          <w:tab w:val="left" w:pos="1440"/>
          <w:tab w:val="left" w:pos="2160"/>
        </w:tabs>
        <w:ind w:left="-5" w:hanging="10"/>
        <w:jc w:val="both"/>
        <w:rPr>
          <w:sz w:val="22"/>
          <w:szCs w:val="22"/>
        </w:rPr>
      </w:pPr>
    </w:p>
    <w:p w14:paraId="5685BAD7" w14:textId="4EA51A44" w:rsidR="0038288B" w:rsidRPr="007B466E" w:rsidRDefault="0038288B" w:rsidP="00B76CC5">
      <w:pPr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>Nossos Intercâmbios para a Competitividade das Américas (ACE), que se tornaram a principal rede de desenvolvimento econômico, inovação e empreendedorismo da região, não seria</w:t>
      </w:r>
      <w:r w:rsidR="00015922" w:rsidRPr="007B466E">
        <w:rPr>
          <w:sz w:val="22"/>
        </w:rPr>
        <w:t>m</w:t>
      </w:r>
      <w:r w:rsidRPr="007B466E">
        <w:rPr>
          <w:sz w:val="22"/>
        </w:rPr>
        <w:t xml:space="preserve"> possíve</w:t>
      </w:r>
      <w:r w:rsidR="00015922" w:rsidRPr="007B466E">
        <w:rPr>
          <w:sz w:val="22"/>
        </w:rPr>
        <w:t>is</w:t>
      </w:r>
      <w:r w:rsidRPr="007B466E">
        <w:rPr>
          <w:sz w:val="22"/>
        </w:rPr>
        <w:t xml:space="preserve"> sem o apoio inabalável do</w:t>
      </w:r>
      <w:r w:rsidRPr="007B466E">
        <w:rPr>
          <w:b/>
          <w:sz w:val="22"/>
        </w:rPr>
        <w:t xml:space="preserve"> Departamento de Comércio</w:t>
      </w:r>
      <w:r w:rsidRPr="007B466E">
        <w:rPr>
          <w:sz w:val="22"/>
        </w:rPr>
        <w:t xml:space="preserve"> </w:t>
      </w:r>
      <w:r w:rsidRPr="007B466E">
        <w:rPr>
          <w:b/>
          <w:bCs/>
          <w:sz w:val="22"/>
        </w:rPr>
        <w:t>dos Estados Unidos</w:t>
      </w:r>
      <w:r w:rsidRPr="007B466E">
        <w:rPr>
          <w:sz w:val="22"/>
        </w:rPr>
        <w:t xml:space="preserve"> e da </w:t>
      </w:r>
      <w:r w:rsidRPr="007B466E">
        <w:rPr>
          <w:b/>
          <w:sz w:val="22"/>
        </w:rPr>
        <w:t>Missão Permanente dos Estados Unidos junto à OEA</w:t>
      </w:r>
      <w:r w:rsidRPr="007B466E">
        <w:rPr>
          <w:sz w:val="22"/>
        </w:rPr>
        <w:t xml:space="preserve">. O programa ACE concentra-se no compartilhamento de boas práticas e oportunidades para promover parcerias viáveis entre tomadores de decisão de alto nível de todos os países das Américas e os principais </w:t>
      </w:r>
      <w:r w:rsidRPr="007B466E">
        <w:rPr>
          <w:i/>
          <w:iCs/>
          <w:sz w:val="22"/>
        </w:rPr>
        <w:t>hubs</w:t>
      </w:r>
      <w:r w:rsidRPr="007B466E">
        <w:rPr>
          <w:sz w:val="22"/>
        </w:rPr>
        <w:t xml:space="preserve"> de inovação, centros avançados de pesquisa e tecnologia, empresas de ponta e instituições acadêmicas líderes visitadas em cada edição do Programa ACE. Desde 2014, realizaram-se 12 edições bem-sucedidas, apresentando 57 regiões e mais de 900 projetos, beneficiando mais de 36.500 empresários e beneficiários de programas aceleradores, e criando mais de 1.000 empregos. </w:t>
      </w:r>
    </w:p>
    <w:p w14:paraId="635DB76D" w14:textId="77777777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7B466E">
        <w:rPr>
          <w:sz w:val="22"/>
        </w:rPr>
        <w:t xml:space="preserve"> </w:t>
      </w:r>
    </w:p>
    <w:p w14:paraId="1D52AAF7" w14:textId="77777777" w:rsidR="0038288B" w:rsidRPr="007B466E" w:rsidRDefault="0038288B" w:rsidP="00B76CC5">
      <w:pPr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A </w:t>
      </w:r>
      <w:r w:rsidRPr="007B466E">
        <w:rPr>
          <w:b/>
          <w:sz w:val="22"/>
        </w:rPr>
        <w:t xml:space="preserve">Walmart </w:t>
      </w:r>
      <w:r w:rsidRPr="007B466E">
        <w:rPr>
          <w:sz w:val="22"/>
        </w:rPr>
        <w:t>e a</w:t>
      </w:r>
      <w:r w:rsidRPr="007B466E">
        <w:rPr>
          <w:b/>
          <w:sz w:val="22"/>
        </w:rPr>
        <w:t xml:space="preserve"> CONAMER (Comissão Nacional de Reforma Regulatória) do México</w:t>
      </w:r>
      <w:r w:rsidRPr="007B466E">
        <w:rPr>
          <w:sz w:val="22"/>
        </w:rPr>
        <w:t xml:space="preserve"> forneceram recursos técnicos e financeiros e capacitação no contexto do Grupo de Peritos em Competitividade Subnacional (GTECS) da RIAC, a fim de avançar no compartilhamento de boas práticas regulatórias sobre licenciamento de construção e no lançamento de</w:t>
      </w:r>
      <w:r w:rsidRPr="007B466E">
        <w:rPr>
          <w:b/>
          <w:sz w:val="22"/>
        </w:rPr>
        <w:t xml:space="preserve"> </w:t>
      </w:r>
      <w:r w:rsidRPr="007B466E">
        <w:rPr>
          <w:sz w:val="22"/>
        </w:rPr>
        <w:t xml:space="preserve">um programa-piloto interamericano de certificação de licenças de construção para apoiar os países com a implementação de um processo de guichê único. Quatro países manifestaram interesse em aderir ao programa-piloto: Guatemala, El Salvador, Colômbia e Honduras.  </w:t>
      </w:r>
    </w:p>
    <w:p w14:paraId="07757B75" w14:textId="0373B553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410DF40C" w14:textId="3B62BC51" w:rsidR="0038288B" w:rsidRPr="007B466E" w:rsidRDefault="00B76CC5" w:rsidP="00A11AFC">
      <w:pPr>
        <w:ind w:left="720" w:hanging="14"/>
        <w:jc w:val="both"/>
        <w:rPr>
          <w:b/>
          <w:sz w:val="22"/>
          <w:szCs w:val="22"/>
        </w:rPr>
      </w:pPr>
      <w:r w:rsidRPr="007B466E">
        <w:rPr>
          <w:b/>
          <w:sz w:val="22"/>
        </w:rPr>
        <w:t>Ciência e Tecnologia:</w:t>
      </w:r>
    </w:p>
    <w:p w14:paraId="292EC17E" w14:textId="77777777" w:rsidR="00B76CC5" w:rsidRPr="007B466E" w:rsidRDefault="00B76CC5" w:rsidP="00A11AFC">
      <w:pPr>
        <w:tabs>
          <w:tab w:val="left" w:pos="720"/>
          <w:tab w:val="left" w:pos="1440"/>
          <w:tab w:val="left" w:pos="2160"/>
        </w:tabs>
        <w:ind w:right="-13"/>
        <w:jc w:val="both"/>
        <w:rPr>
          <w:sz w:val="22"/>
          <w:szCs w:val="22"/>
        </w:rPr>
      </w:pPr>
    </w:p>
    <w:p w14:paraId="4F584135" w14:textId="041AE427" w:rsidR="0038288B" w:rsidRPr="007B466E" w:rsidRDefault="0038288B" w:rsidP="00B76CC5">
      <w:pPr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>O</w:t>
      </w:r>
      <w:r w:rsidRPr="007B466E">
        <w:rPr>
          <w:color w:val="333333"/>
          <w:sz w:val="22"/>
        </w:rPr>
        <w:t xml:space="preserve"> </w:t>
      </w:r>
      <w:r w:rsidRPr="007B466E">
        <w:rPr>
          <w:b/>
          <w:sz w:val="22"/>
        </w:rPr>
        <w:t>Conselho Nacional de Ciência, Tecnologia e Inovação Tecnológica (CONCYTEC) do Peru</w:t>
      </w:r>
      <w:r w:rsidRPr="007B466E">
        <w:rPr>
          <w:sz w:val="22"/>
        </w:rPr>
        <w:t xml:space="preserve"> ajudou a lançar a iniciativa Prospecta Américas em 2019, plataforma regional da OEA destinada a mapear tendências e avanços tecnológicos futuros em setores de importância crítica para as Américas, bem como fornecer subsídios aos Estados membros da OEA para a formulação de políticas públicas. O Prospecta Américas segue uma abordagem baseada em parcerias, que levará ao estabelecimento de 10 Centros de Excelência em toda a região para facilitar a pesquisa hemisférica, a colaboração e a apropriação social de tecnologias transformadoras, tais como inteligência artificial, </w:t>
      </w:r>
      <w:r w:rsidRPr="007B466E">
        <w:rPr>
          <w:i/>
          <w:iCs/>
          <w:sz w:val="22"/>
        </w:rPr>
        <w:t>big data</w:t>
      </w:r>
      <w:r w:rsidRPr="007B466E">
        <w:rPr>
          <w:sz w:val="22"/>
        </w:rPr>
        <w:t xml:space="preserve">, </w:t>
      </w:r>
      <w:r w:rsidRPr="007B466E">
        <w:rPr>
          <w:i/>
          <w:iCs/>
          <w:sz w:val="22"/>
        </w:rPr>
        <w:t>blockchain</w:t>
      </w:r>
      <w:r w:rsidRPr="007B466E">
        <w:rPr>
          <w:sz w:val="22"/>
        </w:rPr>
        <w:t xml:space="preserve">, computação quântica, edição de genes e outras. Brasil, Colômbia, Costa Rica, Chile, México e Peru expressaram interesse em hospedar esses centros. O Estado de Hidalgo, México, ofereceu-se para ser sede do Prospecta Américas em 2021. </w:t>
      </w:r>
    </w:p>
    <w:p w14:paraId="07CA67B9" w14:textId="1A26DA02" w:rsidR="0038288B" w:rsidRPr="007B466E" w:rsidRDefault="0038288B" w:rsidP="00A11AFC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AF9D309" w14:textId="1EE485D3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rFonts w:eastAsia="Calibri"/>
          <w:b/>
          <w:sz w:val="22"/>
          <w:szCs w:val="22"/>
        </w:rPr>
      </w:pPr>
      <w:r w:rsidRPr="007B466E">
        <w:rPr>
          <w:b/>
          <w:sz w:val="22"/>
        </w:rPr>
        <w:t>Turismo e Cultura:</w:t>
      </w:r>
    </w:p>
    <w:p w14:paraId="3FEEA54D" w14:textId="77777777" w:rsidR="00B76CC5" w:rsidRPr="007B466E" w:rsidRDefault="00B76CC5" w:rsidP="00A11AFC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D21EE43" w14:textId="77777777" w:rsidR="0038288B" w:rsidRPr="007B466E" w:rsidRDefault="0038288B" w:rsidP="00B76CC5">
      <w:pPr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Estamos trabalhando em parceria com a </w:t>
      </w:r>
      <w:r w:rsidRPr="007B466E">
        <w:rPr>
          <w:b/>
          <w:sz w:val="22"/>
        </w:rPr>
        <w:t>Organização Mundial do Turismo das Nações Unidas (OMT/ONU</w:t>
      </w:r>
      <w:r w:rsidRPr="007B466E">
        <w:rPr>
          <w:sz w:val="22"/>
        </w:rPr>
        <w:t xml:space="preserve">) para oferecer oportunidades conjuntas de capacitação e gerar produtos de conhecimento para os Estados membros da OEA, particularmente em apoio à Agenda 2030. Uma recente publicação conjunta sobre “Turismo e os Objetivos de Desenvolvimento Sustentável: Boas Práticas nas Américas” destacou ações e avanços nas instituições de turismo dos Estados membros da OEA em apoio aos ODS. </w:t>
      </w:r>
    </w:p>
    <w:p w14:paraId="79BE730D" w14:textId="465C4635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3E7F636" w14:textId="68DB0623" w:rsidR="00B76CC5" w:rsidRPr="007B466E" w:rsidRDefault="0038288B" w:rsidP="00B76CC5">
      <w:pPr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A </w:t>
      </w:r>
      <w:r w:rsidRPr="007B466E">
        <w:rPr>
          <w:b/>
          <w:sz w:val="22"/>
        </w:rPr>
        <w:t>Universidade George Washington</w:t>
      </w:r>
      <w:r w:rsidRPr="007B466E">
        <w:rPr>
          <w:sz w:val="22"/>
        </w:rPr>
        <w:t xml:space="preserve"> e o </w:t>
      </w:r>
      <w:r w:rsidRPr="007B466E">
        <w:rPr>
          <w:b/>
          <w:sz w:val="22"/>
        </w:rPr>
        <w:t>Bureau de Assuntos Indígenas dos Estados Unidos</w:t>
      </w:r>
      <w:r w:rsidRPr="007B466E">
        <w:rPr>
          <w:sz w:val="22"/>
        </w:rPr>
        <w:t xml:space="preserve"> </w:t>
      </w:r>
      <w:r w:rsidR="00015922" w:rsidRPr="007B466E">
        <w:rPr>
          <w:sz w:val="22"/>
        </w:rPr>
        <w:t>juntaram</w:t>
      </w:r>
      <w:r w:rsidRPr="007B466E">
        <w:rPr>
          <w:sz w:val="22"/>
        </w:rPr>
        <w:t xml:space="preserve">-se a nós na organização do Primeiro Fórum de Turismo Indígena das Américas, em outubro de 2020. O fórum e uma série de </w:t>
      </w:r>
      <w:r w:rsidRPr="007B466E">
        <w:rPr>
          <w:i/>
          <w:iCs/>
          <w:sz w:val="22"/>
        </w:rPr>
        <w:t>webinars</w:t>
      </w:r>
      <w:r w:rsidRPr="007B466E">
        <w:rPr>
          <w:sz w:val="22"/>
        </w:rPr>
        <w:t xml:space="preserve"> realizados em nível sub-regional ajudaram na conscientização sobre a necessidade de fomentar atividades econômicas sustentáveis no setor do turismo, especificamente para as comunidades indígenas historicamente desfavorecidas. Também se destacou a importância do fortalecimento das instituições responsáveis pelo turismo rural comunitário e das diretrizes para o funcionamento do turismo comunitário sustentável nas Américas — um dos principais componentes da Comissão Interamericana de Turismo (CITUR).</w:t>
      </w:r>
    </w:p>
    <w:p w14:paraId="00BFB91B" w14:textId="77777777" w:rsidR="00B76CC5" w:rsidRPr="00A11AFC" w:rsidRDefault="00B76CC5" w:rsidP="00A11AFC">
      <w:pPr>
        <w:rPr>
          <w:sz w:val="22"/>
          <w:szCs w:val="22"/>
        </w:rPr>
      </w:pPr>
    </w:p>
    <w:p w14:paraId="3CE8928A" w14:textId="25D12793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ind w:right="-13"/>
        <w:jc w:val="both"/>
        <w:rPr>
          <w:b/>
          <w:sz w:val="22"/>
          <w:szCs w:val="22"/>
        </w:rPr>
      </w:pPr>
      <w:r w:rsidRPr="007B466E">
        <w:rPr>
          <w:b/>
          <w:sz w:val="22"/>
        </w:rPr>
        <w:t>DEPARTAMENTO DE DESENVOLVIMENTO SUSTENTÁVEL (DDS)</w:t>
      </w:r>
      <w:r w:rsidRPr="007B466E">
        <w:rPr>
          <w:b/>
          <w:sz w:val="22"/>
          <w:u w:color="000000"/>
        </w:rPr>
        <w:t xml:space="preserve"> </w:t>
      </w:r>
    </w:p>
    <w:p w14:paraId="414A9EEF" w14:textId="6D4E403E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6C018C1" w14:textId="65C691CC" w:rsidR="0038288B" w:rsidRPr="007B466E" w:rsidRDefault="00B76CC5" w:rsidP="00B76CC5">
      <w:pPr>
        <w:tabs>
          <w:tab w:val="left" w:pos="720"/>
          <w:tab w:val="left" w:pos="1440"/>
          <w:tab w:val="left" w:pos="2160"/>
          <w:tab w:val="center" w:pos="2881"/>
        </w:tabs>
        <w:ind w:left="-15"/>
        <w:jc w:val="both"/>
        <w:rPr>
          <w:rFonts w:eastAsia="Calibri"/>
          <w:b/>
          <w:sz w:val="22"/>
          <w:szCs w:val="22"/>
        </w:rPr>
      </w:pPr>
      <w:r w:rsidRPr="007B466E">
        <w:rPr>
          <w:b/>
          <w:sz w:val="22"/>
        </w:rPr>
        <w:tab/>
        <w:t xml:space="preserve">Energia Sustentável: </w:t>
      </w:r>
    </w:p>
    <w:p w14:paraId="0DD41A4D" w14:textId="77777777" w:rsidR="00B76CC5" w:rsidRPr="007B466E" w:rsidRDefault="00B76CC5" w:rsidP="00B76CC5">
      <w:pPr>
        <w:tabs>
          <w:tab w:val="left" w:pos="720"/>
          <w:tab w:val="left" w:pos="1440"/>
          <w:tab w:val="left" w:pos="2160"/>
          <w:tab w:val="center" w:pos="2881"/>
        </w:tabs>
        <w:ind w:left="-15"/>
        <w:jc w:val="both"/>
        <w:rPr>
          <w:sz w:val="22"/>
          <w:szCs w:val="22"/>
        </w:rPr>
      </w:pPr>
    </w:p>
    <w:p w14:paraId="72828D76" w14:textId="77777777" w:rsidR="0038288B" w:rsidRPr="007B466E" w:rsidRDefault="0038288B" w:rsidP="00B76CC5">
      <w:pPr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Desde 2009, a </w:t>
      </w:r>
      <w:r w:rsidRPr="007B466E">
        <w:rPr>
          <w:b/>
          <w:sz w:val="22"/>
        </w:rPr>
        <w:t>Missão Permanente dos Estados Unidos junto à OEA</w:t>
      </w:r>
      <w:r w:rsidRPr="007B466E">
        <w:rPr>
          <w:sz w:val="22"/>
        </w:rPr>
        <w:t xml:space="preserve"> oferece apoio financeiro para a implementação da Parceria em Energia e Clima para as Américas (ECPA). Além disso, o </w:t>
      </w:r>
      <w:r w:rsidRPr="007B466E">
        <w:rPr>
          <w:b/>
          <w:sz w:val="22"/>
        </w:rPr>
        <w:t>Departamento de Energia</w:t>
      </w:r>
      <w:r w:rsidRPr="007B466E">
        <w:rPr>
          <w:sz w:val="22"/>
        </w:rPr>
        <w:t xml:space="preserve"> </w:t>
      </w:r>
      <w:r w:rsidRPr="007B466E">
        <w:rPr>
          <w:b/>
          <w:bCs/>
          <w:sz w:val="22"/>
        </w:rPr>
        <w:t>dos EUA</w:t>
      </w:r>
      <w:r w:rsidRPr="007B466E">
        <w:rPr>
          <w:sz w:val="22"/>
        </w:rPr>
        <w:t xml:space="preserve"> e o </w:t>
      </w:r>
      <w:r w:rsidRPr="007B466E">
        <w:rPr>
          <w:b/>
          <w:sz w:val="22"/>
        </w:rPr>
        <w:t>Instituto Nacional de Padrões e Tecnologia dos EUA</w:t>
      </w:r>
      <w:r w:rsidRPr="007B466E">
        <w:rPr>
          <w:sz w:val="22"/>
        </w:rPr>
        <w:t xml:space="preserve"> fornecem recursos técnicos para desenvolver intervenções mensuráveis e de impacto no campo da energia sustentável. A ECPA é a única plataforma hemisférica de diálogo e cooperação sobre energia que reúne todos os Estados membros da OEA e envolve governos e empresas na promoção da sustentabilidade energética. A OEA/SEDI alavancou com sucesso esse programa e está agregando outros parceiros valiosos. Um dos muitos exemplos são a GE e o MIT, que ajudaram a avaliar a viabilidade das opções políticas e tecnológicas implementadas pelos países latino-americanos e caribenhos para o cumprimento de suas NDCs no âmbito do Acordo de Paris, uma contribuição avaliada em US$ 100.000. Outros parceiros são CARICOM, CXC e GIZ, que treinaram professores no uso do currículo de Engenharia Verde para escolas primárias e secundárias do Caribe, uma contribuição avaliada em US$ 60.000, entre muitos outros. </w:t>
      </w:r>
    </w:p>
    <w:p w14:paraId="7D4234E4" w14:textId="14902E8C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FF40B35" w14:textId="7C1C5A24" w:rsidR="0038288B" w:rsidRPr="007B466E" w:rsidRDefault="0038288B" w:rsidP="00B76CC5">
      <w:pPr>
        <w:tabs>
          <w:tab w:val="left" w:pos="720"/>
          <w:tab w:val="left" w:pos="1440"/>
          <w:tab w:val="left" w:pos="2160"/>
          <w:tab w:val="center" w:pos="5760"/>
        </w:tabs>
        <w:ind w:left="720"/>
        <w:jc w:val="both"/>
        <w:rPr>
          <w:rFonts w:eastAsia="Calibri"/>
          <w:b/>
          <w:sz w:val="22"/>
          <w:szCs w:val="22"/>
        </w:rPr>
      </w:pPr>
      <w:r w:rsidRPr="007B466E">
        <w:rPr>
          <w:b/>
          <w:sz w:val="22"/>
        </w:rPr>
        <w:t>Gestão Integrada de Recursos Hídricos:</w:t>
      </w:r>
    </w:p>
    <w:p w14:paraId="66BB1E8C" w14:textId="77777777" w:rsidR="00B76CC5" w:rsidRPr="007B466E" w:rsidRDefault="00B76CC5" w:rsidP="00B76CC5">
      <w:pPr>
        <w:tabs>
          <w:tab w:val="left" w:pos="720"/>
          <w:tab w:val="left" w:pos="1440"/>
          <w:tab w:val="left" w:pos="2160"/>
          <w:tab w:val="center" w:pos="5760"/>
        </w:tabs>
        <w:ind w:left="-15"/>
        <w:jc w:val="both"/>
        <w:rPr>
          <w:sz w:val="22"/>
          <w:szCs w:val="22"/>
        </w:rPr>
      </w:pPr>
    </w:p>
    <w:p w14:paraId="005EDE2E" w14:textId="0A293CEC" w:rsidR="0038288B" w:rsidRPr="007B466E" w:rsidRDefault="0038288B" w:rsidP="00B76CC5">
      <w:pPr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Nossos principais parceiros na área de gestão da água são o </w:t>
      </w:r>
      <w:r w:rsidRPr="007B466E">
        <w:rPr>
          <w:b/>
          <w:sz w:val="22"/>
        </w:rPr>
        <w:t>Banco Interamericano de Desenvolvimento (BID</w:t>
      </w:r>
      <w:r w:rsidRPr="007B466E">
        <w:rPr>
          <w:sz w:val="22"/>
        </w:rPr>
        <w:t xml:space="preserve">), o </w:t>
      </w:r>
      <w:r w:rsidRPr="007B466E">
        <w:rPr>
          <w:b/>
          <w:sz w:val="22"/>
        </w:rPr>
        <w:t>Programa das Nações Unidas para o Meio Ambiente (PNUMA)</w:t>
      </w:r>
      <w:r w:rsidRPr="007B466E">
        <w:rPr>
          <w:sz w:val="22"/>
        </w:rPr>
        <w:t xml:space="preserve"> e o </w:t>
      </w:r>
      <w:r w:rsidRPr="007B466E">
        <w:rPr>
          <w:b/>
          <w:sz w:val="22"/>
        </w:rPr>
        <w:t>Banco Latino-Americano de Desenvolvimento (CAF)</w:t>
      </w:r>
      <w:r w:rsidRPr="007B466E">
        <w:rPr>
          <w:sz w:val="22"/>
        </w:rPr>
        <w:t xml:space="preserve">, com uma contribuição combinada em dinheiro de quase </w:t>
      </w:r>
      <w:r w:rsidR="00CD07C3" w:rsidRPr="007B466E">
        <w:rPr>
          <w:sz w:val="22"/>
        </w:rPr>
        <w:t>US$ </w:t>
      </w:r>
      <w:r w:rsidRPr="007B466E">
        <w:rPr>
          <w:sz w:val="22"/>
        </w:rPr>
        <w:t xml:space="preserve">13 milhões executados diretamente pela OEA/SEDI. Em 2020, foi desenvolvida uma carteira de investimentos de 25 projetos para promover a gestão integrada dos recursos hídricos da Bacia do Prata (Argentina, Bolívia, Brasil, Uruguai e Paraguai), que totaliza US$ 90 milhões de financiamento em dinheiro e contribuições em espécie estimadas em US$ 1 bilhão. Os projetos abordam áreas prioritárias de ação definidas pelos países, como melhoria da gestão hídrica, sistemas de alerta preventivo, navegação, agricultura e energia hidroelétrica na Bacia. Os novos avanços dentro dessa carteira irão concentrar-se no saneamento, particularmente no que diz respeito à prevenção e resposta da covid-19. </w:t>
      </w:r>
    </w:p>
    <w:p w14:paraId="4D16AC49" w14:textId="6E52FCA4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9DC5CAF" w14:textId="7D440158" w:rsidR="0038288B" w:rsidRPr="007B466E" w:rsidRDefault="00B76CC5" w:rsidP="00B76CC5">
      <w:pPr>
        <w:tabs>
          <w:tab w:val="left" w:pos="720"/>
          <w:tab w:val="left" w:pos="1440"/>
          <w:tab w:val="left" w:pos="2160"/>
          <w:tab w:val="center" w:pos="3601"/>
        </w:tabs>
        <w:ind w:left="-15"/>
        <w:jc w:val="both"/>
        <w:rPr>
          <w:rFonts w:eastAsia="Calibri"/>
          <w:b/>
          <w:sz w:val="22"/>
          <w:szCs w:val="22"/>
        </w:rPr>
      </w:pPr>
      <w:r w:rsidRPr="007B466E">
        <w:rPr>
          <w:b/>
          <w:sz w:val="22"/>
        </w:rPr>
        <w:tab/>
        <w:t xml:space="preserve">Gestão de riscos de desastres: </w:t>
      </w:r>
    </w:p>
    <w:p w14:paraId="34F47EC9" w14:textId="77777777" w:rsidR="00B76CC5" w:rsidRPr="007B466E" w:rsidRDefault="00B76CC5" w:rsidP="00B76CC5">
      <w:pPr>
        <w:tabs>
          <w:tab w:val="left" w:pos="720"/>
          <w:tab w:val="left" w:pos="1440"/>
          <w:tab w:val="left" w:pos="2160"/>
          <w:tab w:val="center" w:pos="3601"/>
        </w:tabs>
        <w:ind w:left="-15"/>
        <w:jc w:val="both"/>
        <w:rPr>
          <w:sz w:val="22"/>
          <w:szCs w:val="22"/>
        </w:rPr>
      </w:pPr>
    </w:p>
    <w:p w14:paraId="4C54FA87" w14:textId="0ABBC24F" w:rsidR="0038288B" w:rsidRPr="007B466E" w:rsidRDefault="0038288B" w:rsidP="00333EE9">
      <w:pPr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Lançado em 2020 e financiado pelo </w:t>
      </w:r>
      <w:r w:rsidRPr="007B466E">
        <w:rPr>
          <w:b/>
          <w:sz w:val="22"/>
        </w:rPr>
        <w:t>Departamento de Estado dos EUA</w:t>
      </w:r>
      <w:r w:rsidRPr="007B466E">
        <w:rPr>
          <w:sz w:val="22"/>
        </w:rPr>
        <w:t xml:space="preserve">, o projeto “Fomento da resiliência de pequenas empresas de turismo no Caribe” já formou mais de 260 empresários ou gestores e 30 profissionais de gestão de emergência para auxiliarem as pequenas empresas de turismo do Caribe a superarem os desafios nacionais e corporativos que afetam a continuidade dos negócios durante e após as catástrofes. O projeto depende fortemente de parcerias com agências especializadas como a </w:t>
      </w:r>
      <w:r w:rsidRPr="007B466E">
        <w:rPr>
          <w:b/>
          <w:sz w:val="22"/>
        </w:rPr>
        <w:t>Agência Caribenha de Gestão de Emergência em Casos de Desastre (CDEMA)</w:t>
      </w:r>
      <w:r w:rsidRPr="007B466E">
        <w:rPr>
          <w:sz w:val="22"/>
        </w:rPr>
        <w:t xml:space="preserve">, a </w:t>
      </w:r>
      <w:r w:rsidRPr="007B466E">
        <w:rPr>
          <w:b/>
          <w:sz w:val="22"/>
        </w:rPr>
        <w:t xml:space="preserve">Organização de Turismo do Caribe (CTO), a Associação de Hotelaria e Turismo do Caribe </w:t>
      </w:r>
      <w:r w:rsidRPr="007B466E">
        <w:rPr>
          <w:sz w:val="22"/>
        </w:rPr>
        <w:t xml:space="preserve">e a </w:t>
      </w:r>
      <w:r w:rsidRPr="007B466E">
        <w:rPr>
          <w:b/>
          <w:sz w:val="22"/>
        </w:rPr>
        <w:t>Agência Federal para Manejo de Emergência (FEMA)</w:t>
      </w:r>
      <w:r w:rsidRPr="007B466E">
        <w:rPr>
          <w:sz w:val="22"/>
        </w:rPr>
        <w:t xml:space="preserve"> dos EUA, pois visa estabelecer um diálogo político de alto nível entre governos, atores do setor privado e outras partes interessadas relevantes</w:t>
      </w:r>
      <w:r w:rsidR="00D15466" w:rsidRPr="007B466E">
        <w:rPr>
          <w:sz w:val="22"/>
        </w:rPr>
        <w:t>,</w:t>
      </w:r>
      <w:r w:rsidRPr="007B466E">
        <w:rPr>
          <w:sz w:val="22"/>
        </w:rPr>
        <w:t xml:space="preserve"> a fim de fortalecer os planos de contingência e assegurar a continuidade dos negócios após um desastre. </w:t>
      </w:r>
    </w:p>
    <w:p w14:paraId="0E3377C5" w14:textId="1EFA0C11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7868A5E" w14:textId="77777777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7B466E">
        <w:rPr>
          <w:b/>
          <w:sz w:val="22"/>
          <w:u w:val="single" w:color="000000"/>
        </w:rPr>
        <w:t>DEPARTAMENTO DE DESENVOLVIMENTO HUMANO, EDUCAÇÃO E EMPREGO (DDHEC)</w:t>
      </w:r>
      <w:r w:rsidRPr="007B466E">
        <w:rPr>
          <w:b/>
          <w:sz w:val="22"/>
        </w:rPr>
        <w:t xml:space="preserve"> </w:t>
      </w:r>
    </w:p>
    <w:p w14:paraId="2F773521" w14:textId="3BA97812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0B3E0BEF" w14:textId="77777777" w:rsidR="0038288B" w:rsidRPr="007B466E" w:rsidRDefault="0038288B" w:rsidP="00497D4E">
      <w:pPr>
        <w:tabs>
          <w:tab w:val="left" w:pos="720"/>
          <w:tab w:val="left" w:pos="1440"/>
          <w:tab w:val="left" w:pos="2160"/>
        </w:tabs>
        <w:ind w:left="-15" w:right="-13" w:firstLine="735"/>
        <w:jc w:val="both"/>
        <w:rPr>
          <w:sz w:val="22"/>
          <w:szCs w:val="22"/>
        </w:rPr>
      </w:pPr>
      <w:r w:rsidRPr="007B466E">
        <w:rPr>
          <w:sz w:val="22"/>
        </w:rPr>
        <w:t xml:space="preserve">Além da valiosa parceria estabelecida com a Structuralia, apresentada hoje, o DDHEC oferece oportunidades de bolsas de estudo e contribui para melhorar a qualidade da educação na região, em colaboração com muitos outros parceiros.  </w:t>
      </w:r>
    </w:p>
    <w:p w14:paraId="665C743D" w14:textId="28931212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03E42CA5" w14:textId="05E57B78" w:rsidR="0038288B" w:rsidRPr="007B466E" w:rsidRDefault="0038288B" w:rsidP="00B76CC5">
      <w:pPr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b/>
          <w:sz w:val="22"/>
        </w:rPr>
        <w:t>PAEC Brasil com o Grupo Coimbra: 3.880 estudantes</w:t>
      </w:r>
      <w:r w:rsidRPr="007B466E">
        <w:rPr>
          <w:sz w:val="22"/>
        </w:rPr>
        <w:t xml:space="preserve"> receberam bolsas de estudo para mestrado e doutorado em mais de </w:t>
      </w:r>
      <w:r w:rsidRPr="007B466E">
        <w:rPr>
          <w:b/>
          <w:sz w:val="22"/>
        </w:rPr>
        <w:t>700</w:t>
      </w:r>
      <w:r w:rsidRPr="007B466E">
        <w:rPr>
          <w:sz w:val="22"/>
        </w:rPr>
        <w:t xml:space="preserve"> programas altamente especializados em todo o Brasil, como resultado de nossa parceria com </w:t>
      </w:r>
      <w:r w:rsidRPr="007B466E">
        <w:rPr>
          <w:b/>
          <w:sz w:val="22"/>
        </w:rPr>
        <w:t>o Grupo Coimbra de Universidades Brasileiras (GCUB)</w:t>
      </w:r>
      <w:r w:rsidRPr="007B466E">
        <w:rPr>
          <w:sz w:val="22"/>
        </w:rPr>
        <w:t>.  O Programa de Bolsas de Estudos do Brasil promove a mobilidade acadêmica, a internacionalização universitária e o desenvolvimento humano no Hemisfério; fortaleceu efetivamente os laços da América Latina e do Caribe com o Brasil e ajudou a promover o Brasil como líder em internacionalização no ensino superior. O valor total do programa desde o seu início em 2011 é de quase US$ 200 milhões,</w:t>
      </w:r>
      <w:r w:rsidRPr="007B466E">
        <w:rPr>
          <w:b/>
          <w:sz w:val="22"/>
        </w:rPr>
        <w:t xml:space="preserve"> </w:t>
      </w:r>
      <w:r w:rsidRPr="007B466E">
        <w:rPr>
          <w:sz w:val="22"/>
        </w:rPr>
        <w:t>beneficiando</w:t>
      </w:r>
      <w:r w:rsidRPr="007B466E">
        <w:rPr>
          <w:b/>
          <w:sz w:val="22"/>
        </w:rPr>
        <w:t xml:space="preserve"> </w:t>
      </w:r>
      <w:r w:rsidRPr="007B466E">
        <w:rPr>
          <w:sz w:val="22"/>
        </w:rPr>
        <w:t>estudantes de 30</w:t>
      </w:r>
      <w:r w:rsidRPr="007B466E">
        <w:rPr>
          <w:b/>
          <w:sz w:val="22"/>
        </w:rPr>
        <w:t xml:space="preserve"> </w:t>
      </w:r>
      <w:r w:rsidRPr="007B466E">
        <w:rPr>
          <w:sz w:val="22"/>
        </w:rPr>
        <w:t>países.</w:t>
      </w:r>
    </w:p>
    <w:p w14:paraId="6391594E" w14:textId="3576E392" w:rsidR="0038288B" w:rsidRPr="007B466E" w:rsidRDefault="0038288B" w:rsidP="00A11AFC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A1BFB59" w14:textId="4E5E3EAB" w:rsidR="0038288B" w:rsidRPr="007B466E" w:rsidRDefault="0038288B" w:rsidP="00B76CC5">
      <w:pPr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b/>
          <w:sz w:val="22"/>
        </w:rPr>
        <w:t xml:space="preserve">PAEC México: </w:t>
      </w:r>
      <w:r w:rsidRPr="007B466E">
        <w:rPr>
          <w:sz w:val="22"/>
        </w:rPr>
        <w:t xml:space="preserve">O Programa de Bolsas de Estudos da OEA-CONACYT-AMEXCID é um dos principais programas de bolsas de estudo da OEA e faz parte de uma aliança e colaboração estratégica com o </w:t>
      </w:r>
      <w:r w:rsidR="007B466E" w:rsidRPr="007B466E">
        <w:rPr>
          <w:sz w:val="22"/>
        </w:rPr>
        <w:t>G</w:t>
      </w:r>
      <w:r w:rsidRPr="007B466E">
        <w:rPr>
          <w:sz w:val="22"/>
        </w:rPr>
        <w:t xml:space="preserve">overno do México. Desde 2013, foram concedidas mais de </w:t>
      </w:r>
      <w:r w:rsidRPr="007B466E">
        <w:rPr>
          <w:b/>
          <w:sz w:val="22"/>
        </w:rPr>
        <w:t>3.400 bolsas de estudo</w:t>
      </w:r>
      <w:r w:rsidRPr="007B466E">
        <w:rPr>
          <w:sz w:val="22"/>
        </w:rPr>
        <w:t xml:space="preserve"> a estudantes de 27 Estados membros da OEA, ampliando as oportunidades educacionais nas áreas de ciência e engenharia e fortalecendo o desenvolvimento humano nas Américas. O valor total estimado do programa desde o seu início é de cerca de US$ 173 milhões. </w:t>
      </w:r>
    </w:p>
    <w:p w14:paraId="7E866264" w14:textId="663E2216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04798719" w14:textId="1B823AD1" w:rsidR="0038288B" w:rsidRPr="007B466E" w:rsidRDefault="0038288B" w:rsidP="00B76CC5">
      <w:pPr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b/>
          <w:sz w:val="22"/>
        </w:rPr>
        <w:t xml:space="preserve">Parceiros para a RIED: </w:t>
      </w:r>
      <w:r w:rsidRPr="007B466E">
        <w:rPr>
          <w:sz w:val="22"/>
        </w:rPr>
        <w:t xml:space="preserve">Uma parceria de sucesso entre a Universidade das Índias Ocidentais (UWI), com sede em Barbados, e a nossa Rede Interamericana de Educação Docente (RIED, ou ITEN na sigla em inglês) tem servido para institucionalizar a educação STREAM (ciência, tecnologia, pesquisa, engenharia, artes e matemática) em um programa acadêmico credenciado que opera no Caribe. Entre as ações concretas estão a criação da Comunidade Virtual UWI-ITEN STREAM e a incorporação das atividades STREAM desenvolvidas pela RIED em dois </w:t>
      </w:r>
      <w:r w:rsidR="007B466E" w:rsidRPr="007B466E">
        <w:rPr>
          <w:sz w:val="22"/>
        </w:rPr>
        <w:t>currículos</w:t>
      </w:r>
      <w:r w:rsidRPr="007B466E">
        <w:rPr>
          <w:sz w:val="22"/>
        </w:rPr>
        <w:t xml:space="preserve"> de curso</w:t>
      </w:r>
      <w:r w:rsidR="007B466E" w:rsidRPr="007B466E">
        <w:rPr>
          <w:sz w:val="22"/>
        </w:rPr>
        <w:t>s</w:t>
      </w:r>
      <w:r w:rsidRPr="007B466E">
        <w:rPr>
          <w:sz w:val="22"/>
        </w:rPr>
        <w:t xml:space="preserve">.  </w:t>
      </w:r>
    </w:p>
    <w:p w14:paraId="45408BCB" w14:textId="0429E37F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21EFC9D1" w14:textId="50337AEC" w:rsidR="00B76CC5" w:rsidRPr="007B466E" w:rsidRDefault="0038288B" w:rsidP="00B76CC5">
      <w:pPr>
        <w:numPr>
          <w:ilvl w:val="0"/>
          <w:numId w:val="23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b/>
          <w:sz w:val="22"/>
        </w:rPr>
        <w:t xml:space="preserve">Parceiros do Portal Educacional das Américas: </w:t>
      </w:r>
      <w:r w:rsidRPr="007B466E">
        <w:rPr>
          <w:sz w:val="22"/>
        </w:rPr>
        <w:t xml:space="preserve">A aliança </w:t>
      </w:r>
      <w:r w:rsidRPr="007B466E">
        <w:rPr>
          <w:b/>
          <w:sz w:val="22"/>
        </w:rPr>
        <w:t>OEA-Fundação ProFuturo</w:t>
      </w:r>
      <w:r w:rsidRPr="007B466E">
        <w:rPr>
          <w:sz w:val="22"/>
        </w:rPr>
        <w:t xml:space="preserve"> busca proporcionar acesso à educação digital de qualidade em áreas desfavorecidas de cinco países caribenhos, mediante o fornecimento de capacitação de professores, equipamentos tecnológicos e conteúdos didáticos digitais para as escolas. Desde a sua criação em 2018, um total de 92 escolas receberam </w:t>
      </w:r>
      <w:r w:rsidRPr="007B466E">
        <w:rPr>
          <w:i/>
          <w:iCs/>
          <w:sz w:val="22"/>
        </w:rPr>
        <w:t>tablets</w:t>
      </w:r>
      <w:r w:rsidRPr="007B466E">
        <w:rPr>
          <w:sz w:val="22"/>
        </w:rPr>
        <w:t xml:space="preserve"> e computadores</w:t>
      </w:r>
      <w:r w:rsidR="007B466E" w:rsidRPr="007B466E">
        <w:rPr>
          <w:sz w:val="22"/>
        </w:rPr>
        <w:t>,</w:t>
      </w:r>
      <w:r w:rsidRPr="007B466E">
        <w:rPr>
          <w:sz w:val="22"/>
        </w:rPr>
        <w:t xml:space="preserve"> acesso a uma plataforma de educação </w:t>
      </w:r>
      <w:r w:rsidRPr="007B466E">
        <w:rPr>
          <w:i/>
          <w:iCs/>
          <w:sz w:val="22"/>
        </w:rPr>
        <w:t>online</w:t>
      </w:r>
      <w:r w:rsidRPr="007B466E">
        <w:rPr>
          <w:sz w:val="22"/>
        </w:rPr>
        <w:t xml:space="preserve"> para a gestão de processos de ensino</w:t>
      </w:r>
      <w:r w:rsidR="007B466E" w:rsidRPr="007B466E">
        <w:rPr>
          <w:sz w:val="22"/>
        </w:rPr>
        <w:t>,</w:t>
      </w:r>
      <w:r w:rsidRPr="007B466E">
        <w:rPr>
          <w:sz w:val="22"/>
        </w:rPr>
        <w:t xml:space="preserve"> conteúdos digitais gratuitos</w:t>
      </w:r>
      <w:r w:rsidR="007B466E" w:rsidRPr="007B466E">
        <w:rPr>
          <w:sz w:val="22"/>
        </w:rPr>
        <w:t>,</w:t>
      </w:r>
      <w:r w:rsidRPr="007B466E">
        <w:rPr>
          <w:sz w:val="22"/>
        </w:rPr>
        <w:t xml:space="preserve"> treinamento e apoio aos professores participantes. Em resposta à pandemia da covid-19, são oferecidos novos cursos </w:t>
      </w:r>
      <w:r w:rsidRPr="007B466E">
        <w:rPr>
          <w:i/>
          <w:iCs/>
          <w:sz w:val="22"/>
        </w:rPr>
        <w:t>online</w:t>
      </w:r>
      <w:r w:rsidRPr="007B466E">
        <w:rPr>
          <w:sz w:val="22"/>
        </w:rPr>
        <w:t xml:space="preserve"> sobre inovação e TICs, e outros conteúdos de educação digital. O programa treinou 3.659 professores com um modelo de formação de formadores, superando em mais de 100% a meta original. A contribuição da Fundação ProFuturo para o projeto está avaliada em mais de US$ 1,3 milh</w:t>
      </w:r>
      <w:r w:rsidR="007B466E" w:rsidRPr="007B466E">
        <w:rPr>
          <w:sz w:val="22"/>
        </w:rPr>
        <w:t>ão</w:t>
      </w:r>
      <w:r w:rsidRPr="007B466E">
        <w:rPr>
          <w:sz w:val="22"/>
        </w:rPr>
        <w:t xml:space="preserve">.  </w:t>
      </w:r>
    </w:p>
    <w:p w14:paraId="4F8E72A2" w14:textId="77777777" w:rsidR="00B76CC5" w:rsidRPr="00A11AFC" w:rsidRDefault="00B76CC5" w:rsidP="00A11AFC">
      <w:pPr>
        <w:rPr>
          <w:sz w:val="22"/>
          <w:szCs w:val="22"/>
        </w:rPr>
      </w:pPr>
    </w:p>
    <w:p w14:paraId="693F318D" w14:textId="4DDFE8B8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ind w:right="-13"/>
        <w:jc w:val="both"/>
        <w:rPr>
          <w:b/>
          <w:sz w:val="22"/>
          <w:szCs w:val="22"/>
        </w:rPr>
      </w:pPr>
      <w:r w:rsidRPr="007B466E">
        <w:rPr>
          <w:b/>
          <w:bCs/>
          <w:sz w:val="22"/>
        </w:rPr>
        <w:t>SECRETARIA DA COMISSÃO INTERAMERICANA DE PORTOS (CIP)</w:t>
      </w:r>
      <w:r w:rsidRPr="007B466E">
        <w:rPr>
          <w:b/>
          <w:sz w:val="22"/>
          <w:u w:color="000000"/>
        </w:rPr>
        <w:t xml:space="preserve"> </w:t>
      </w:r>
    </w:p>
    <w:p w14:paraId="385CDE9E" w14:textId="60FD6D82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DD5188E" w14:textId="348DDBF5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ind w:left="-5" w:firstLine="725"/>
        <w:jc w:val="both"/>
        <w:rPr>
          <w:rFonts w:eastAsia="Calibri"/>
          <w:b/>
          <w:sz w:val="22"/>
          <w:szCs w:val="22"/>
        </w:rPr>
      </w:pPr>
      <w:r w:rsidRPr="007B466E">
        <w:rPr>
          <w:b/>
          <w:sz w:val="22"/>
        </w:rPr>
        <w:t>Gestão de Risco de Desastres e Resiliência:</w:t>
      </w:r>
    </w:p>
    <w:p w14:paraId="413C1414" w14:textId="77777777" w:rsidR="00B76CC5" w:rsidRPr="007B466E" w:rsidRDefault="00B76CC5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31BF286" w14:textId="77777777" w:rsidR="0038288B" w:rsidRPr="007B466E" w:rsidRDefault="0038288B" w:rsidP="00B76CC5">
      <w:pPr>
        <w:numPr>
          <w:ilvl w:val="0"/>
          <w:numId w:val="24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 xml:space="preserve">Um novo projeto da CIP, “Melhoria da mitigação de desastres para portos no Caribe”, concebido para melhorar as respostas das autoridades portuárias nacionais a desastres naturais e aumentar a resiliência portuária e empresarial no Caribe, está sendo financiado pelos Governos da Itália e dos Estados Unidos. Suas contribuições estão alavancando o apoio estratégico em espécie de parceiros-chave como a </w:t>
      </w:r>
      <w:r w:rsidRPr="007B466E">
        <w:rPr>
          <w:b/>
          <w:sz w:val="22"/>
        </w:rPr>
        <w:t>Agência Caribenha de Gestão de Emergência em Casos de Desastre (CDEMA)</w:t>
      </w:r>
      <w:r w:rsidRPr="007B466E">
        <w:rPr>
          <w:sz w:val="22"/>
        </w:rPr>
        <w:t xml:space="preserve">, a </w:t>
      </w:r>
      <w:r w:rsidRPr="007B466E">
        <w:rPr>
          <w:b/>
          <w:sz w:val="22"/>
        </w:rPr>
        <w:t>Associação de Gestão Portuária do Caribe (PMAC)</w:t>
      </w:r>
      <w:r w:rsidRPr="007B466E">
        <w:rPr>
          <w:sz w:val="22"/>
        </w:rPr>
        <w:t xml:space="preserve"> e a </w:t>
      </w:r>
      <w:r w:rsidRPr="007B466E">
        <w:rPr>
          <w:b/>
          <w:sz w:val="22"/>
        </w:rPr>
        <w:t>Associação de Navegação do Caribe (CSA)</w:t>
      </w:r>
      <w:r w:rsidRPr="007B466E">
        <w:rPr>
          <w:sz w:val="22"/>
        </w:rPr>
        <w:t xml:space="preserve">. </w:t>
      </w:r>
    </w:p>
    <w:p w14:paraId="4DAF4DD4" w14:textId="5E11D3CB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94996A8" w14:textId="668FF60B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rFonts w:eastAsia="Calibri"/>
          <w:b/>
          <w:sz w:val="22"/>
          <w:szCs w:val="22"/>
        </w:rPr>
      </w:pPr>
      <w:r w:rsidRPr="007B466E">
        <w:rPr>
          <w:b/>
          <w:sz w:val="22"/>
        </w:rPr>
        <w:t>Educação e Treinamento:</w:t>
      </w:r>
    </w:p>
    <w:p w14:paraId="3BDEFD61" w14:textId="77777777" w:rsidR="00B76CC5" w:rsidRPr="007B466E" w:rsidRDefault="00B76CC5" w:rsidP="00497D4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7725804C" w14:textId="2F1B13AD" w:rsidR="0038288B" w:rsidRPr="007B466E" w:rsidRDefault="0038288B" w:rsidP="00B76CC5">
      <w:pPr>
        <w:numPr>
          <w:ilvl w:val="0"/>
          <w:numId w:val="24"/>
        </w:numPr>
        <w:tabs>
          <w:tab w:val="left" w:pos="720"/>
          <w:tab w:val="left" w:pos="1440"/>
          <w:tab w:val="left" w:pos="2160"/>
        </w:tabs>
        <w:ind w:left="1440" w:right="-13" w:hanging="720"/>
        <w:jc w:val="both"/>
        <w:rPr>
          <w:sz w:val="22"/>
          <w:szCs w:val="22"/>
        </w:rPr>
      </w:pPr>
      <w:r w:rsidRPr="007B466E">
        <w:rPr>
          <w:sz w:val="22"/>
        </w:rPr>
        <w:t>Por meio de parcerias estratégicas, a Secretaria da CIP construiu um robusto Programa de Capacitação Técnica e Humana que oferece a centenas de agentes portuários das Américas cursos de desenvolvimento profissional certificados nas principais áreas de desenvolvimento portuário, como Logística e Operações; Gestão Sustentável e Proteção Ambiental; Segurança e Proteção; Dragagem e Portos Internos</w:t>
      </w:r>
      <w:r w:rsidR="007B466E" w:rsidRPr="007B466E">
        <w:rPr>
          <w:sz w:val="22"/>
        </w:rPr>
        <w:t>;</w:t>
      </w:r>
      <w:r w:rsidRPr="007B466E">
        <w:rPr>
          <w:sz w:val="22"/>
        </w:rPr>
        <w:t xml:space="preserve"> Legislação Portuária e Negociação de Contratos</w:t>
      </w:r>
      <w:r w:rsidR="007B466E" w:rsidRPr="007B466E">
        <w:rPr>
          <w:sz w:val="22"/>
        </w:rPr>
        <w:t>;</w:t>
      </w:r>
      <w:r w:rsidRPr="007B466E">
        <w:rPr>
          <w:sz w:val="22"/>
        </w:rPr>
        <w:t xml:space="preserve"> Responsabilidade Social e Igualdade de Gênero, entre outros. Os parceiros estratégicos são </w:t>
      </w:r>
      <w:r w:rsidRPr="007B466E">
        <w:rPr>
          <w:b/>
          <w:sz w:val="22"/>
        </w:rPr>
        <w:t xml:space="preserve">Puertos del Estado do Governo da Espanha, </w:t>
      </w:r>
      <w:r w:rsidRPr="007B466E">
        <w:rPr>
          <w:sz w:val="22"/>
        </w:rPr>
        <w:t xml:space="preserve">a </w:t>
      </w:r>
      <w:r w:rsidRPr="007B466E">
        <w:rPr>
          <w:b/>
          <w:sz w:val="22"/>
        </w:rPr>
        <w:t>Autoridade Portuária Nacional do Peru (APN), a Fundação Valencia Port, o Governo dos Estados Unidos e a Rede Internacional do México para a Segurança de Navios e Instalações Portuárias (Rede PBIP)</w:t>
      </w:r>
      <w:r w:rsidRPr="007B466E">
        <w:rPr>
          <w:sz w:val="22"/>
        </w:rPr>
        <w:t xml:space="preserve">. </w:t>
      </w:r>
    </w:p>
    <w:p w14:paraId="32A8DBE7" w14:textId="4F6DC748" w:rsidR="00497D4E" w:rsidRPr="007B466E" w:rsidRDefault="00497D4E" w:rsidP="00497D4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46036C22" w14:textId="45866352" w:rsidR="00497D4E" w:rsidRPr="007B466E" w:rsidRDefault="00497D4E" w:rsidP="00497D4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7B466E">
        <w:rPr>
          <w:sz w:val="22"/>
        </w:rPr>
        <w:tab/>
        <w:t xml:space="preserve">Em 2021 e nos anos </w:t>
      </w:r>
      <w:r w:rsidR="007B466E" w:rsidRPr="007B466E">
        <w:rPr>
          <w:sz w:val="22"/>
        </w:rPr>
        <w:t>futuros</w:t>
      </w:r>
      <w:r w:rsidRPr="007B466E">
        <w:rPr>
          <w:sz w:val="22"/>
        </w:rPr>
        <w:t xml:space="preserve">, continuaremos buscando novas parcerias para expandir o alcance e o impacto do nosso trabalho. </w:t>
      </w:r>
    </w:p>
    <w:p w14:paraId="4AAE89EF" w14:textId="77777777" w:rsidR="00497D4E" w:rsidRPr="007B466E" w:rsidRDefault="00497D4E" w:rsidP="00497D4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58728441" w14:textId="77D454F1" w:rsidR="0038288B" w:rsidRPr="007B466E" w:rsidRDefault="00497D4E" w:rsidP="00497D4E">
      <w:pPr>
        <w:tabs>
          <w:tab w:val="left" w:pos="720"/>
          <w:tab w:val="left" w:pos="1440"/>
          <w:tab w:val="left" w:pos="2160"/>
        </w:tabs>
        <w:jc w:val="both"/>
        <w:rPr>
          <w:rFonts w:eastAsia="Calibri"/>
          <w:sz w:val="22"/>
          <w:szCs w:val="22"/>
        </w:rPr>
      </w:pPr>
      <w:r w:rsidRPr="007B466E">
        <w:rPr>
          <w:sz w:val="22"/>
        </w:rPr>
        <w:tab/>
        <w:t>Presidente, aproveito esta oportunidade para agradecer a todos os nossos parceiros, grandes e pequenos, sua inestimável contribuição para o nosso trabalho e, por extensão, para os nossos Estados membros.</w:t>
      </w:r>
    </w:p>
    <w:p w14:paraId="27CB9431" w14:textId="77777777" w:rsidR="00497D4E" w:rsidRPr="007B466E" w:rsidRDefault="00497D4E" w:rsidP="00497D4E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46CFCAAA" w14:textId="5EEA8063" w:rsidR="0038288B" w:rsidRPr="007B466E" w:rsidRDefault="0038288B" w:rsidP="00497D4E">
      <w:pPr>
        <w:tabs>
          <w:tab w:val="left" w:pos="720"/>
          <w:tab w:val="left" w:pos="1440"/>
          <w:tab w:val="left" w:pos="2160"/>
        </w:tabs>
        <w:ind w:left="-5" w:firstLine="725"/>
        <w:jc w:val="both"/>
        <w:rPr>
          <w:sz w:val="22"/>
          <w:szCs w:val="22"/>
        </w:rPr>
      </w:pPr>
      <w:r w:rsidRPr="007B466E">
        <w:rPr>
          <w:sz w:val="22"/>
        </w:rPr>
        <w:t xml:space="preserve">Finalmente, expresso meu agradecimento especial à equipe da SEDI por seu trabalho </w:t>
      </w:r>
      <w:r w:rsidR="007B466E" w:rsidRPr="007B466E">
        <w:rPr>
          <w:sz w:val="22"/>
        </w:rPr>
        <w:t>árduo</w:t>
      </w:r>
      <w:r w:rsidRPr="007B466E">
        <w:rPr>
          <w:sz w:val="22"/>
        </w:rPr>
        <w:t xml:space="preserve"> e dedicação e seus incansáveis esforços na busca de parcerias que agreguem valor para os nossos Estados membros. Como este é único momento em que tomarei a palavra nesta última reunião do CIDI para o ano, gostaria de desejar a todos um feliz Natal e convidá-los a continuar a nossa jornada juntos rumo ao objetivo de melhorar a vida e o sustento dos povos das Américas. </w:t>
      </w:r>
    </w:p>
    <w:p w14:paraId="2C9EBE11" w14:textId="662F87DB" w:rsidR="0038288B" w:rsidRPr="007B466E" w:rsidRDefault="0038288B" w:rsidP="00B76CC5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60EE51A3" w14:textId="4BC0A7B5" w:rsidR="0038288B" w:rsidRPr="007B466E" w:rsidRDefault="0038288B" w:rsidP="00497D4E">
      <w:pPr>
        <w:tabs>
          <w:tab w:val="left" w:pos="720"/>
          <w:tab w:val="left" w:pos="1440"/>
          <w:tab w:val="left" w:pos="2160"/>
        </w:tabs>
        <w:ind w:left="-5" w:firstLine="725"/>
        <w:jc w:val="both"/>
        <w:rPr>
          <w:sz w:val="22"/>
          <w:szCs w:val="22"/>
        </w:rPr>
      </w:pPr>
      <w:r w:rsidRPr="007B466E">
        <w:rPr>
          <w:sz w:val="22"/>
        </w:rPr>
        <w:t xml:space="preserve">Muito obrigada pela atenção. </w:t>
      </w:r>
    </w:p>
    <w:p w14:paraId="68460AF9" w14:textId="4D05947D" w:rsidR="000B6478" w:rsidRPr="007B466E" w:rsidRDefault="0023293E" w:rsidP="00A11AFC">
      <w:pPr>
        <w:contextualSpacing/>
        <w:jc w:val="both"/>
        <w:rPr>
          <w:sz w:val="22"/>
          <w:szCs w:val="22"/>
        </w:rPr>
      </w:pPr>
      <w:r w:rsidRPr="007B466E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A1E611D" wp14:editId="47CBA0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FC41B0" w14:textId="52FC907C" w:rsidR="0023293E" w:rsidRPr="0023293E" w:rsidRDefault="002329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E511D">
                              <w:rPr>
                                <w:noProof/>
                                <w:sz w:val="18"/>
                              </w:rPr>
                              <w:t>CIDRP03053P0</w:t>
                            </w:r>
                            <w:r w:rsidR="00A11AFC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61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78FC41B0" w14:textId="52FC907C" w:rsidR="0023293E" w:rsidRPr="0023293E" w:rsidRDefault="002329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E511D">
                        <w:rPr>
                          <w:noProof/>
                          <w:sz w:val="18"/>
                        </w:rPr>
                        <w:t>CIDRP03053P0</w:t>
                      </w:r>
                      <w:r w:rsidR="00A11AFC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7B466E" w:rsidSect="00A11AF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0B612" w14:textId="77777777" w:rsidR="00084977" w:rsidRDefault="00084977">
      <w:r>
        <w:separator/>
      </w:r>
    </w:p>
  </w:endnote>
  <w:endnote w:type="continuationSeparator" w:id="0">
    <w:p w14:paraId="1B549D60" w14:textId="77777777" w:rsidR="00084977" w:rsidRDefault="00084977">
      <w:r>
        <w:continuationSeparator/>
      </w:r>
    </w:p>
  </w:endnote>
  <w:endnote w:type="continuationNotice" w:id="1">
    <w:p w14:paraId="0945B49B" w14:textId="77777777" w:rsidR="00084977" w:rsidRDefault="00084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C0A2" w14:textId="77777777" w:rsidR="00084977" w:rsidRDefault="00084977">
      <w:r>
        <w:separator/>
      </w:r>
    </w:p>
  </w:footnote>
  <w:footnote w:type="continuationSeparator" w:id="0">
    <w:p w14:paraId="6FB679C8" w14:textId="77777777" w:rsidR="00084977" w:rsidRDefault="00084977">
      <w:r>
        <w:continuationSeparator/>
      </w:r>
    </w:p>
  </w:footnote>
  <w:footnote w:type="continuationNotice" w:id="1">
    <w:p w14:paraId="0C48844C" w14:textId="77777777" w:rsidR="00084977" w:rsidRDefault="00084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3887" w14:textId="664496E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D27702">
      <w:rPr>
        <w:noProof/>
        <w:sz w:val="22"/>
      </w:rPr>
      <w:t>- 6 -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E37F" w14:textId="62592F37" w:rsidR="0073480E" w:rsidRDefault="00A11AF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B743E" wp14:editId="6A8CD39D">
              <wp:simplePos x="0" y="0"/>
              <wp:positionH relativeFrom="column">
                <wp:posOffset>320565</wp:posOffset>
              </wp:positionH>
              <wp:positionV relativeFrom="paragraph">
                <wp:posOffset>-369736</wp:posOffset>
              </wp:positionV>
              <wp:extent cx="4728845" cy="697424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974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49FB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7EDAFC18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320623B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B74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25pt;margin-top:-29.1pt;width:372.35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" stroked="f">
              <v:textbox>
                <w:txbxContent>
                  <w:p w14:paraId="401849FB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7EDAFC18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320623B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94ACD75" wp14:editId="0F79C8FC">
          <wp:simplePos x="0" y="0"/>
          <wp:positionH relativeFrom="column">
            <wp:posOffset>-635331</wp:posOffset>
          </wp:positionH>
          <wp:positionV relativeFrom="paragraph">
            <wp:posOffset>-475283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02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661507" wp14:editId="1678F992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A07CA" w14:textId="77777777" w:rsidR="0073480E" w:rsidRDefault="009B0021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34CE1C5B" wp14:editId="6222A3BA">
                                <wp:extent cx="1106805" cy="768985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805" cy="768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61507" id="Text Box 2" o:spid="_x0000_s1028" type="#_x0000_t202" style="position:absolute;margin-left:400pt;margin-top:-38.05pt;width:101.4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699A07CA" w14:textId="77777777" w:rsidR="0073480E" w:rsidRDefault="009B0021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34CE1C5B" wp14:editId="6222A3BA">
                          <wp:extent cx="1106805" cy="768985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805" cy="768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4D5D52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4CAB" w14:textId="6DDFD621" w:rsidR="00A11AFC" w:rsidRDefault="00A11AFC">
    <w:pPr>
      <w:pStyle w:val="Header"/>
    </w:pPr>
  </w:p>
  <w:p w14:paraId="3F4628B1" w14:textId="77777777" w:rsidR="00A11AFC" w:rsidRDefault="00A11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A3"/>
    <w:multiLevelType w:val="hybridMultilevel"/>
    <w:tmpl w:val="95E61F64"/>
    <w:lvl w:ilvl="0" w:tplc="B4D0FF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2D1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CC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67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060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26F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01F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D40D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E39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44A5"/>
    <w:multiLevelType w:val="hybridMultilevel"/>
    <w:tmpl w:val="7ABCECBC"/>
    <w:lvl w:ilvl="0" w:tplc="5F7A31D6">
      <w:start w:val="100"/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698"/>
    <w:multiLevelType w:val="hybridMultilevel"/>
    <w:tmpl w:val="DACC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570"/>
    <w:multiLevelType w:val="hybridMultilevel"/>
    <w:tmpl w:val="16BEEAE6"/>
    <w:lvl w:ilvl="0" w:tplc="906286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6255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40B2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3670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9A52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443B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2A1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560A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C6CA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3DCC1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5EF"/>
    <w:multiLevelType w:val="hybridMultilevel"/>
    <w:tmpl w:val="689A419C"/>
    <w:lvl w:ilvl="0" w:tplc="8BA254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26E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A58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C92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CD8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C6E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E0F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08B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2BB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72F0F"/>
    <w:multiLevelType w:val="hybridMultilevel"/>
    <w:tmpl w:val="2F506AD8"/>
    <w:lvl w:ilvl="0" w:tplc="6AAA82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AF5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67A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6A8F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85C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E7F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4E0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82C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C6E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D8383C"/>
    <w:multiLevelType w:val="hybridMultilevel"/>
    <w:tmpl w:val="353A73BA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7E6C35"/>
    <w:multiLevelType w:val="hybridMultilevel"/>
    <w:tmpl w:val="F172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C4ECE"/>
    <w:multiLevelType w:val="hybridMultilevel"/>
    <w:tmpl w:val="E7041B4A"/>
    <w:lvl w:ilvl="0" w:tplc="325A0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A046F"/>
    <w:multiLevelType w:val="hybridMultilevel"/>
    <w:tmpl w:val="ABB8463E"/>
    <w:lvl w:ilvl="0" w:tplc="4A52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A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4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E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4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123FF8"/>
    <w:multiLevelType w:val="hybridMultilevel"/>
    <w:tmpl w:val="EDDCDA8E"/>
    <w:lvl w:ilvl="0" w:tplc="016CDB9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C3554"/>
    <w:multiLevelType w:val="hybridMultilevel"/>
    <w:tmpl w:val="1A64F3C8"/>
    <w:lvl w:ilvl="0" w:tplc="3C26C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0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21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C6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A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8D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4C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21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C2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2D46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6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A0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0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4E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8E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F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8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24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636A"/>
    <w:multiLevelType w:val="hybridMultilevel"/>
    <w:tmpl w:val="2AAC6FD4"/>
    <w:lvl w:ilvl="0" w:tplc="A884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A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C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8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2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A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A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672C04"/>
    <w:multiLevelType w:val="hybridMultilevel"/>
    <w:tmpl w:val="A1D0237C"/>
    <w:lvl w:ilvl="0" w:tplc="B694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2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E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4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E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2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2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0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8"/>
  </w:num>
  <w:num w:numId="5">
    <w:abstractNumId w:val="8"/>
  </w:num>
  <w:num w:numId="6">
    <w:abstractNumId w:val="6"/>
  </w:num>
  <w:num w:numId="7">
    <w:abstractNumId w:val="6"/>
  </w:num>
  <w:num w:numId="8">
    <w:abstractNumId w:val="17"/>
  </w:num>
  <w:num w:numId="9">
    <w:abstractNumId w:val="2"/>
  </w:num>
  <w:num w:numId="10">
    <w:abstractNumId w:val="15"/>
  </w:num>
  <w:num w:numId="11">
    <w:abstractNumId w:val="19"/>
  </w:num>
  <w:num w:numId="12">
    <w:abstractNumId w:val="16"/>
  </w:num>
  <w:num w:numId="13">
    <w:abstractNumId w:val="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4"/>
  </w:num>
  <w:num w:numId="19">
    <w:abstractNumId w:val="13"/>
  </w:num>
  <w:num w:numId="20">
    <w:abstractNumId w:val="12"/>
  </w:num>
  <w:num w:numId="21">
    <w:abstractNumId w:val="4"/>
  </w:num>
  <w:num w:numId="22">
    <w:abstractNumId w:val="7"/>
  </w:num>
  <w:num w:numId="23">
    <w:abstractNumId w:val="9"/>
  </w:num>
  <w:num w:numId="24">
    <w:abstractNumId w:val="0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18FC"/>
    <w:rsid w:val="000056C7"/>
    <w:rsid w:val="00006F66"/>
    <w:rsid w:val="00011272"/>
    <w:rsid w:val="000129E8"/>
    <w:rsid w:val="0001316F"/>
    <w:rsid w:val="00015922"/>
    <w:rsid w:val="00017567"/>
    <w:rsid w:val="000205EC"/>
    <w:rsid w:val="0002282A"/>
    <w:rsid w:val="00022A50"/>
    <w:rsid w:val="00023FF1"/>
    <w:rsid w:val="00031116"/>
    <w:rsid w:val="00031C2F"/>
    <w:rsid w:val="0003346F"/>
    <w:rsid w:val="000404E4"/>
    <w:rsid w:val="000427B5"/>
    <w:rsid w:val="0004682E"/>
    <w:rsid w:val="00046C7C"/>
    <w:rsid w:val="00050886"/>
    <w:rsid w:val="00050CEF"/>
    <w:rsid w:val="00061861"/>
    <w:rsid w:val="00064A6B"/>
    <w:rsid w:val="00064DCC"/>
    <w:rsid w:val="0006522E"/>
    <w:rsid w:val="000661F4"/>
    <w:rsid w:val="00066E87"/>
    <w:rsid w:val="0006783F"/>
    <w:rsid w:val="00070537"/>
    <w:rsid w:val="000736AA"/>
    <w:rsid w:val="00073CCC"/>
    <w:rsid w:val="00074325"/>
    <w:rsid w:val="00074E66"/>
    <w:rsid w:val="00084977"/>
    <w:rsid w:val="0008508C"/>
    <w:rsid w:val="00085B75"/>
    <w:rsid w:val="0008602B"/>
    <w:rsid w:val="00094337"/>
    <w:rsid w:val="00095374"/>
    <w:rsid w:val="000969F9"/>
    <w:rsid w:val="00097899"/>
    <w:rsid w:val="000A0033"/>
    <w:rsid w:val="000A72E3"/>
    <w:rsid w:val="000B1025"/>
    <w:rsid w:val="000B1FCF"/>
    <w:rsid w:val="000B43F5"/>
    <w:rsid w:val="000B6478"/>
    <w:rsid w:val="000B6D64"/>
    <w:rsid w:val="000C119A"/>
    <w:rsid w:val="000C3347"/>
    <w:rsid w:val="000C3438"/>
    <w:rsid w:val="000C344F"/>
    <w:rsid w:val="000C4880"/>
    <w:rsid w:val="000C4A18"/>
    <w:rsid w:val="000C4E12"/>
    <w:rsid w:val="000C6064"/>
    <w:rsid w:val="000C6A76"/>
    <w:rsid w:val="000C7FFE"/>
    <w:rsid w:val="000D2D2E"/>
    <w:rsid w:val="000D35E7"/>
    <w:rsid w:val="000D4368"/>
    <w:rsid w:val="000D540D"/>
    <w:rsid w:val="000D6070"/>
    <w:rsid w:val="000E1DB2"/>
    <w:rsid w:val="000E279F"/>
    <w:rsid w:val="000E313E"/>
    <w:rsid w:val="000E3C83"/>
    <w:rsid w:val="000E439E"/>
    <w:rsid w:val="000E589A"/>
    <w:rsid w:val="000F02B7"/>
    <w:rsid w:val="000F077A"/>
    <w:rsid w:val="000F189B"/>
    <w:rsid w:val="000F1E02"/>
    <w:rsid w:val="00101D39"/>
    <w:rsid w:val="00102ACA"/>
    <w:rsid w:val="001050AD"/>
    <w:rsid w:val="0010530F"/>
    <w:rsid w:val="001069A4"/>
    <w:rsid w:val="00106BF9"/>
    <w:rsid w:val="00106D57"/>
    <w:rsid w:val="001157EA"/>
    <w:rsid w:val="00120C78"/>
    <w:rsid w:val="00125642"/>
    <w:rsid w:val="00125970"/>
    <w:rsid w:val="001259E2"/>
    <w:rsid w:val="0012611C"/>
    <w:rsid w:val="0013037E"/>
    <w:rsid w:val="00133A15"/>
    <w:rsid w:val="0013464D"/>
    <w:rsid w:val="0013492E"/>
    <w:rsid w:val="001405C9"/>
    <w:rsid w:val="00142D34"/>
    <w:rsid w:val="00146D49"/>
    <w:rsid w:val="00146FB1"/>
    <w:rsid w:val="00147F9E"/>
    <w:rsid w:val="00150AE4"/>
    <w:rsid w:val="00152D2E"/>
    <w:rsid w:val="00153DD8"/>
    <w:rsid w:val="0015580A"/>
    <w:rsid w:val="00160DD0"/>
    <w:rsid w:val="00163948"/>
    <w:rsid w:val="0016428D"/>
    <w:rsid w:val="0016660D"/>
    <w:rsid w:val="00166C73"/>
    <w:rsid w:val="001675E2"/>
    <w:rsid w:val="001719EE"/>
    <w:rsid w:val="00171B89"/>
    <w:rsid w:val="00180746"/>
    <w:rsid w:val="00183C2C"/>
    <w:rsid w:val="00183F59"/>
    <w:rsid w:val="001842C2"/>
    <w:rsid w:val="00187102"/>
    <w:rsid w:val="00187D59"/>
    <w:rsid w:val="00191AA0"/>
    <w:rsid w:val="00193A06"/>
    <w:rsid w:val="001A460B"/>
    <w:rsid w:val="001B0828"/>
    <w:rsid w:val="001B0AB0"/>
    <w:rsid w:val="001B0C5C"/>
    <w:rsid w:val="001B0DD9"/>
    <w:rsid w:val="001B31A0"/>
    <w:rsid w:val="001C3064"/>
    <w:rsid w:val="001C6DC5"/>
    <w:rsid w:val="001D0221"/>
    <w:rsid w:val="001D1222"/>
    <w:rsid w:val="001D285A"/>
    <w:rsid w:val="001D5C19"/>
    <w:rsid w:val="001D738C"/>
    <w:rsid w:val="001D78E8"/>
    <w:rsid w:val="001E1652"/>
    <w:rsid w:val="001E3150"/>
    <w:rsid w:val="001E3C78"/>
    <w:rsid w:val="001E5172"/>
    <w:rsid w:val="001F2739"/>
    <w:rsid w:val="001F756B"/>
    <w:rsid w:val="0020227F"/>
    <w:rsid w:val="002024FE"/>
    <w:rsid w:val="00203839"/>
    <w:rsid w:val="00203B24"/>
    <w:rsid w:val="0020460C"/>
    <w:rsid w:val="002050F0"/>
    <w:rsid w:val="002119ED"/>
    <w:rsid w:val="0021263B"/>
    <w:rsid w:val="00216850"/>
    <w:rsid w:val="00222AFE"/>
    <w:rsid w:val="00224B2B"/>
    <w:rsid w:val="00224C3F"/>
    <w:rsid w:val="00225597"/>
    <w:rsid w:val="0022713E"/>
    <w:rsid w:val="0023293E"/>
    <w:rsid w:val="00234996"/>
    <w:rsid w:val="002352E7"/>
    <w:rsid w:val="00235CB9"/>
    <w:rsid w:val="00236B14"/>
    <w:rsid w:val="00237585"/>
    <w:rsid w:val="002409D6"/>
    <w:rsid w:val="002506DA"/>
    <w:rsid w:val="00253004"/>
    <w:rsid w:val="0026183C"/>
    <w:rsid w:val="00261F76"/>
    <w:rsid w:val="00264202"/>
    <w:rsid w:val="0026449A"/>
    <w:rsid w:val="00265F00"/>
    <w:rsid w:val="0026779F"/>
    <w:rsid w:val="00267E1B"/>
    <w:rsid w:val="002704E2"/>
    <w:rsid w:val="00271614"/>
    <w:rsid w:val="0027412E"/>
    <w:rsid w:val="00274564"/>
    <w:rsid w:val="00277682"/>
    <w:rsid w:val="00280612"/>
    <w:rsid w:val="002822E7"/>
    <w:rsid w:val="0028278B"/>
    <w:rsid w:val="00282ED9"/>
    <w:rsid w:val="00283B9D"/>
    <w:rsid w:val="0028696A"/>
    <w:rsid w:val="00286D8C"/>
    <w:rsid w:val="0029276F"/>
    <w:rsid w:val="00292D64"/>
    <w:rsid w:val="002942BD"/>
    <w:rsid w:val="002A03E9"/>
    <w:rsid w:val="002A0FB3"/>
    <w:rsid w:val="002A1985"/>
    <w:rsid w:val="002A1CB2"/>
    <w:rsid w:val="002A3CB5"/>
    <w:rsid w:val="002A63EC"/>
    <w:rsid w:val="002B2168"/>
    <w:rsid w:val="002B2DE0"/>
    <w:rsid w:val="002B541D"/>
    <w:rsid w:val="002B56D2"/>
    <w:rsid w:val="002B6EEE"/>
    <w:rsid w:val="002C0112"/>
    <w:rsid w:val="002C0187"/>
    <w:rsid w:val="002C17AC"/>
    <w:rsid w:val="002C1BDD"/>
    <w:rsid w:val="002C3EDD"/>
    <w:rsid w:val="002C6B0D"/>
    <w:rsid w:val="002D07B4"/>
    <w:rsid w:val="002D3A25"/>
    <w:rsid w:val="002D412D"/>
    <w:rsid w:val="002D6FD5"/>
    <w:rsid w:val="002E259C"/>
    <w:rsid w:val="002E2CC7"/>
    <w:rsid w:val="002E3061"/>
    <w:rsid w:val="002E609F"/>
    <w:rsid w:val="002E6B3F"/>
    <w:rsid w:val="002F0A27"/>
    <w:rsid w:val="002F0AF9"/>
    <w:rsid w:val="002F2544"/>
    <w:rsid w:val="002F25F2"/>
    <w:rsid w:val="002F5352"/>
    <w:rsid w:val="002F5F89"/>
    <w:rsid w:val="002F7829"/>
    <w:rsid w:val="00305D01"/>
    <w:rsid w:val="00305E93"/>
    <w:rsid w:val="0031086B"/>
    <w:rsid w:val="0031130C"/>
    <w:rsid w:val="003116AC"/>
    <w:rsid w:val="00312CA2"/>
    <w:rsid w:val="00312E32"/>
    <w:rsid w:val="00315E23"/>
    <w:rsid w:val="003200A4"/>
    <w:rsid w:val="0032713A"/>
    <w:rsid w:val="00327382"/>
    <w:rsid w:val="003302CF"/>
    <w:rsid w:val="0033103C"/>
    <w:rsid w:val="00335ABE"/>
    <w:rsid w:val="003366D5"/>
    <w:rsid w:val="00343793"/>
    <w:rsid w:val="00345C27"/>
    <w:rsid w:val="00345DCF"/>
    <w:rsid w:val="00350910"/>
    <w:rsid w:val="003523D9"/>
    <w:rsid w:val="003529F3"/>
    <w:rsid w:val="00352BB7"/>
    <w:rsid w:val="00353D7A"/>
    <w:rsid w:val="00354054"/>
    <w:rsid w:val="00355967"/>
    <w:rsid w:val="003567C5"/>
    <w:rsid w:val="00356E08"/>
    <w:rsid w:val="00357684"/>
    <w:rsid w:val="00361898"/>
    <w:rsid w:val="00362D68"/>
    <w:rsid w:val="00362DA5"/>
    <w:rsid w:val="00364EB4"/>
    <w:rsid w:val="003663DE"/>
    <w:rsid w:val="003715E1"/>
    <w:rsid w:val="003721E7"/>
    <w:rsid w:val="00374F0A"/>
    <w:rsid w:val="0037599C"/>
    <w:rsid w:val="003775B4"/>
    <w:rsid w:val="003805E5"/>
    <w:rsid w:val="0038288B"/>
    <w:rsid w:val="003836D2"/>
    <w:rsid w:val="003862D2"/>
    <w:rsid w:val="00390A70"/>
    <w:rsid w:val="00390D0F"/>
    <w:rsid w:val="003923A6"/>
    <w:rsid w:val="003945DC"/>
    <w:rsid w:val="00395B6C"/>
    <w:rsid w:val="003A1DD1"/>
    <w:rsid w:val="003A50F3"/>
    <w:rsid w:val="003A5B70"/>
    <w:rsid w:val="003B1D31"/>
    <w:rsid w:val="003B2254"/>
    <w:rsid w:val="003B40C4"/>
    <w:rsid w:val="003B4130"/>
    <w:rsid w:val="003B4489"/>
    <w:rsid w:val="003C1542"/>
    <w:rsid w:val="003C27AB"/>
    <w:rsid w:val="003C332F"/>
    <w:rsid w:val="003C448A"/>
    <w:rsid w:val="003D0721"/>
    <w:rsid w:val="003D13AD"/>
    <w:rsid w:val="003D3AED"/>
    <w:rsid w:val="003D4305"/>
    <w:rsid w:val="003D67B6"/>
    <w:rsid w:val="003D7799"/>
    <w:rsid w:val="003E018C"/>
    <w:rsid w:val="003E04C0"/>
    <w:rsid w:val="003E4E9B"/>
    <w:rsid w:val="003E687F"/>
    <w:rsid w:val="003E68C3"/>
    <w:rsid w:val="003E7518"/>
    <w:rsid w:val="003E7F87"/>
    <w:rsid w:val="003F023D"/>
    <w:rsid w:val="003F46EA"/>
    <w:rsid w:val="003F4FA0"/>
    <w:rsid w:val="003F6FF7"/>
    <w:rsid w:val="003F7B1F"/>
    <w:rsid w:val="004011CB"/>
    <w:rsid w:val="00410ED3"/>
    <w:rsid w:val="004123EC"/>
    <w:rsid w:val="00412CD0"/>
    <w:rsid w:val="00413FE5"/>
    <w:rsid w:val="00414A9D"/>
    <w:rsid w:val="00417C96"/>
    <w:rsid w:val="00420CBA"/>
    <w:rsid w:val="00421AA1"/>
    <w:rsid w:val="004249B9"/>
    <w:rsid w:val="004279F5"/>
    <w:rsid w:val="00427E8A"/>
    <w:rsid w:val="0043293F"/>
    <w:rsid w:val="004330BC"/>
    <w:rsid w:val="0043588E"/>
    <w:rsid w:val="00435F73"/>
    <w:rsid w:val="004372E7"/>
    <w:rsid w:val="00443606"/>
    <w:rsid w:val="00450075"/>
    <w:rsid w:val="0045141C"/>
    <w:rsid w:val="00451729"/>
    <w:rsid w:val="00457B19"/>
    <w:rsid w:val="00461F49"/>
    <w:rsid w:val="0046301C"/>
    <w:rsid w:val="00463A6B"/>
    <w:rsid w:val="0046512F"/>
    <w:rsid w:val="00467329"/>
    <w:rsid w:val="00467A8F"/>
    <w:rsid w:val="00473A3B"/>
    <w:rsid w:val="00474D29"/>
    <w:rsid w:val="00476255"/>
    <w:rsid w:val="004843BF"/>
    <w:rsid w:val="00484B6F"/>
    <w:rsid w:val="00490731"/>
    <w:rsid w:val="0049246C"/>
    <w:rsid w:val="00493B12"/>
    <w:rsid w:val="00494F25"/>
    <w:rsid w:val="00496643"/>
    <w:rsid w:val="00496BBC"/>
    <w:rsid w:val="00497D4E"/>
    <w:rsid w:val="004A1D26"/>
    <w:rsid w:val="004A2853"/>
    <w:rsid w:val="004A29E0"/>
    <w:rsid w:val="004A5232"/>
    <w:rsid w:val="004A6065"/>
    <w:rsid w:val="004A7C48"/>
    <w:rsid w:val="004B2B39"/>
    <w:rsid w:val="004B2D0E"/>
    <w:rsid w:val="004B387B"/>
    <w:rsid w:val="004B5C41"/>
    <w:rsid w:val="004B6A6F"/>
    <w:rsid w:val="004C139D"/>
    <w:rsid w:val="004D1A42"/>
    <w:rsid w:val="004D2279"/>
    <w:rsid w:val="004D2D2E"/>
    <w:rsid w:val="004D3825"/>
    <w:rsid w:val="004D4046"/>
    <w:rsid w:val="004D44C9"/>
    <w:rsid w:val="004D7FB5"/>
    <w:rsid w:val="004E4B3D"/>
    <w:rsid w:val="004E511D"/>
    <w:rsid w:val="004E62A6"/>
    <w:rsid w:val="004F0EF3"/>
    <w:rsid w:val="004F16DE"/>
    <w:rsid w:val="004F1AED"/>
    <w:rsid w:val="004F4571"/>
    <w:rsid w:val="004F6805"/>
    <w:rsid w:val="0050011F"/>
    <w:rsid w:val="00502854"/>
    <w:rsid w:val="0050667F"/>
    <w:rsid w:val="005112C3"/>
    <w:rsid w:val="0051320B"/>
    <w:rsid w:val="00513B4E"/>
    <w:rsid w:val="00514EDB"/>
    <w:rsid w:val="00520355"/>
    <w:rsid w:val="00531BB7"/>
    <w:rsid w:val="005336D0"/>
    <w:rsid w:val="0053678B"/>
    <w:rsid w:val="005401AD"/>
    <w:rsid w:val="00540938"/>
    <w:rsid w:val="00540AB4"/>
    <w:rsid w:val="005462E3"/>
    <w:rsid w:val="0055186F"/>
    <w:rsid w:val="00553E7C"/>
    <w:rsid w:val="005621FB"/>
    <w:rsid w:val="00562221"/>
    <w:rsid w:val="00564C90"/>
    <w:rsid w:val="00564FA3"/>
    <w:rsid w:val="005679D8"/>
    <w:rsid w:val="00571D5C"/>
    <w:rsid w:val="00573594"/>
    <w:rsid w:val="00573A36"/>
    <w:rsid w:val="00575576"/>
    <w:rsid w:val="00577517"/>
    <w:rsid w:val="0058420A"/>
    <w:rsid w:val="00594069"/>
    <w:rsid w:val="005A255F"/>
    <w:rsid w:val="005A4577"/>
    <w:rsid w:val="005A5372"/>
    <w:rsid w:val="005A5D50"/>
    <w:rsid w:val="005A62F8"/>
    <w:rsid w:val="005A69E3"/>
    <w:rsid w:val="005A70C5"/>
    <w:rsid w:val="005B5F61"/>
    <w:rsid w:val="005B7D03"/>
    <w:rsid w:val="005C17AE"/>
    <w:rsid w:val="005C2050"/>
    <w:rsid w:val="005C20AF"/>
    <w:rsid w:val="005C2862"/>
    <w:rsid w:val="005D1365"/>
    <w:rsid w:val="005D3D10"/>
    <w:rsid w:val="005D44CE"/>
    <w:rsid w:val="005D74F2"/>
    <w:rsid w:val="005E07F1"/>
    <w:rsid w:val="005E085B"/>
    <w:rsid w:val="005E0977"/>
    <w:rsid w:val="005E1121"/>
    <w:rsid w:val="005E3A24"/>
    <w:rsid w:val="005F1964"/>
    <w:rsid w:val="005F29C1"/>
    <w:rsid w:val="005F78BB"/>
    <w:rsid w:val="00600777"/>
    <w:rsid w:val="00601AF2"/>
    <w:rsid w:val="00602980"/>
    <w:rsid w:val="00607AA8"/>
    <w:rsid w:val="00611D28"/>
    <w:rsid w:val="006123C5"/>
    <w:rsid w:val="00612E0C"/>
    <w:rsid w:val="00621C03"/>
    <w:rsid w:val="00622F41"/>
    <w:rsid w:val="00623C3A"/>
    <w:rsid w:val="006309A9"/>
    <w:rsid w:val="0063190B"/>
    <w:rsid w:val="0063413B"/>
    <w:rsid w:val="00634E7B"/>
    <w:rsid w:val="006374D0"/>
    <w:rsid w:val="006402B5"/>
    <w:rsid w:val="00641862"/>
    <w:rsid w:val="00642AD3"/>
    <w:rsid w:val="00642E66"/>
    <w:rsid w:val="0064346E"/>
    <w:rsid w:val="00643E86"/>
    <w:rsid w:val="0064648A"/>
    <w:rsid w:val="00651316"/>
    <w:rsid w:val="006525AA"/>
    <w:rsid w:val="00655B90"/>
    <w:rsid w:val="006610EF"/>
    <w:rsid w:val="00663628"/>
    <w:rsid w:val="00663D49"/>
    <w:rsid w:val="00663F3D"/>
    <w:rsid w:val="00666B25"/>
    <w:rsid w:val="00670C77"/>
    <w:rsid w:val="00670E8A"/>
    <w:rsid w:val="006711F3"/>
    <w:rsid w:val="006715BA"/>
    <w:rsid w:val="006716CD"/>
    <w:rsid w:val="00673626"/>
    <w:rsid w:val="00675634"/>
    <w:rsid w:val="00676074"/>
    <w:rsid w:val="006800BE"/>
    <w:rsid w:val="00680EA5"/>
    <w:rsid w:val="006839FF"/>
    <w:rsid w:val="00685580"/>
    <w:rsid w:val="0068655B"/>
    <w:rsid w:val="00686FEA"/>
    <w:rsid w:val="00687846"/>
    <w:rsid w:val="00691B9D"/>
    <w:rsid w:val="0069379D"/>
    <w:rsid w:val="00693B37"/>
    <w:rsid w:val="00697C70"/>
    <w:rsid w:val="006A16D7"/>
    <w:rsid w:val="006A1A6B"/>
    <w:rsid w:val="006A483E"/>
    <w:rsid w:val="006A545B"/>
    <w:rsid w:val="006A5B97"/>
    <w:rsid w:val="006A6025"/>
    <w:rsid w:val="006A67F9"/>
    <w:rsid w:val="006A7AFF"/>
    <w:rsid w:val="006B20C5"/>
    <w:rsid w:val="006B21AD"/>
    <w:rsid w:val="006B2A8A"/>
    <w:rsid w:val="006B3BA2"/>
    <w:rsid w:val="006B6A53"/>
    <w:rsid w:val="006B710A"/>
    <w:rsid w:val="006C581A"/>
    <w:rsid w:val="006C665E"/>
    <w:rsid w:val="006C6F0E"/>
    <w:rsid w:val="006D11BB"/>
    <w:rsid w:val="006D193D"/>
    <w:rsid w:val="006D513A"/>
    <w:rsid w:val="006D7239"/>
    <w:rsid w:val="006E2472"/>
    <w:rsid w:val="006F0712"/>
    <w:rsid w:val="006F3B62"/>
    <w:rsid w:val="006F4488"/>
    <w:rsid w:val="006F6D7A"/>
    <w:rsid w:val="006F7BAD"/>
    <w:rsid w:val="007008BA"/>
    <w:rsid w:val="007025BF"/>
    <w:rsid w:val="0070275F"/>
    <w:rsid w:val="00703316"/>
    <w:rsid w:val="007075C4"/>
    <w:rsid w:val="00714735"/>
    <w:rsid w:val="00716EF8"/>
    <w:rsid w:val="00720C9D"/>
    <w:rsid w:val="00721843"/>
    <w:rsid w:val="00722693"/>
    <w:rsid w:val="00723DE2"/>
    <w:rsid w:val="0072562F"/>
    <w:rsid w:val="007269A3"/>
    <w:rsid w:val="00730E0A"/>
    <w:rsid w:val="00731A03"/>
    <w:rsid w:val="007325A6"/>
    <w:rsid w:val="007326F5"/>
    <w:rsid w:val="00733CA7"/>
    <w:rsid w:val="0073480E"/>
    <w:rsid w:val="00734C2E"/>
    <w:rsid w:val="00736367"/>
    <w:rsid w:val="007418D6"/>
    <w:rsid w:val="0074286A"/>
    <w:rsid w:val="00743DD7"/>
    <w:rsid w:val="007443E9"/>
    <w:rsid w:val="007467EF"/>
    <w:rsid w:val="007537DA"/>
    <w:rsid w:val="00756232"/>
    <w:rsid w:val="007642BF"/>
    <w:rsid w:val="007648E4"/>
    <w:rsid w:val="00766F68"/>
    <w:rsid w:val="0076783E"/>
    <w:rsid w:val="007703A2"/>
    <w:rsid w:val="00772068"/>
    <w:rsid w:val="00772F05"/>
    <w:rsid w:val="00777E14"/>
    <w:rsid w:val="007803E0"/>
    <w:rsid w:val="00781CB8"/>
    <w:rsid w:val="00781D3F"/>
    <w:rsid w:val="007829F8"/>
    <w:rsid w:val="00783480"/>
    <w:rsid w:val="00787435"/>
    <w:rsid w:val="007875B3"/>
    <w:rsid w:val="00791916"/>
    <w:rsid w:val="0079320F"/>
    <w:rsid w:val="00794A66"/>
    <w:rsid w:val="00794BF4"/>
    <w:rsid w:val="00796149"/>
    <w:rsid w:val="007A16A6"/>
    <w:rsid w:val="007A307C"/>
    <w:rsid w:val="007B08BF"/>
    <w:rsid w:val="007B1300"/>
    <w:rsid w:val="007B2DE5"/>
    <w:rsid w:val="007B3C68"/>
    <w:rsid w:val="007B466E"/>
    <w:rsid w:val="007B5591"/>
    <w:rsid w:val="007B6A70"/>
    <w:rsid w:val="007B6AD7"/>
    <w:rsid w:val="007B6E4E"/>
    <w:rsid w:val="007B7D90"/>
    <w:rsid w:val="007C1C2A"/>
    <w:rsid w:val="007C2A94"/>
    <w:rsid w:val="007C2BE9"/>
    <w:rsid w:val="007C4674"/>
    <w:rsid w:val="007C565B"/>
    <w:rsid w:val="007C6CAB"/>
    <w:rsid w:val="007C75E8"/>
    <w:rsid w:val="007D0B50"/>
    <w:rsid w:val="007D2223"/>
    <w:rsid w:val="007D3DC1"/>
    <w:rsid w:val="007D5C3E"/>
    <w:rsid w:val="007D764E"/>
    <w:rsid w:val="007E064D"/>
    <w:rsid w:val="007E1D64"/>
    <w:rsid w:val="007E4931"/>
    <w:rsid w:val="007E4BB3"/>
    <w:rsid w:val="007E51BF"/>
    <w:rsid w:val="007E53AE"/>
    <w:rsid w:val="007E57B0"/>
    <w:rsid w:val="007E6118"/>
    <w:rsid w:val="007E6D06"/>
    <w:rsid w:val="007F13AB"/>
    <w:rsid w:val="007F22EF"/>
    <w:rsid w:val="007F2774"/>
    <w:rsid w:val="007F4737"/>
    <w:rsid w:val="007F4DAA"/>
    <w:rsid w:val="007F5E7F"/>
    <w:rsid w:val="007F764A"/>
    <w:rsid w:val="00800761"/>
    <w:rsid w:val="00801C23"/>
    <w:rsid w:val="008023AC"/>
    <w:rsid w:val="008023EA"/>
    <w:rsid w:val="008026FE"/>
    <w:rsid w:val="008100D6"/>
    <w:rsid w:val="00815A1F"/>
    <w:rsid w:val="00820F66"/>
    <w:rsid w:val="00821E7C"/>
    <w:rsid w:val="00821F13"/>
    <w:rsid w:val="00827358"/>
    <w:rsid w:val="00827421"/>
    <w:rsid w:val="0083030C"/>
    <w:rsid w:val="00830510"/>
    <w:rsid w:val="00836CCC"/>
    <w:rsid w:val="0084046A"/>
    <w:rsid w:val="00841C10"/>
    <w:rsid w:val="0084632F"/>
    <w:rsid w:val="008544A4"/>
    <w:rsid w:val="0085646C"/>
    <w:rsid w:val="008566A0"/>
    <w:rsid w:val="00860083"/>
    <w:rsid w:val="00860DE1"/>
    <w:rsid w:val="00861D2D"/>
    <w:rsid w:val="00862858"/>
    <w:rsid w:val="00862870"/>
    <w:rsid w:val="00863A23"/>
    <w:rsid w:val="00865686"/>
    <w:rsid w:val="00865B5C"/>
    <w:rsid w:val="00866605"/>
    <w:rsid w:val="008672B9"/>
    <w:rsid w:val="00871019"/>
    <w:rsid w:val="00872150"/>
    <w:rsid w:val="008765A9"/>
    <w:rsid w:val="008814B8"/>
    <w:rsid w:val="008819DA"/>
    <w:rsid w:val="00887A65"/>
    <w:rsid w:val="0089063B"/>
    <w:rsid w:val="00890C34"/>
    <w:rsid w:val="008917B9"/>
    <w:rsid w:val="008918DC"/>
    <w:rsid w:val="00896014"/>
    <w:rsid w:val="00897BA2"/>
    <w:rsid w:val="008A2F14"/>
    <w:rsid w:val="008A78C9"/>
    <w:rsid w:val="008B2788"/>
    <w:rsid w:val="008B356D"/>
    <w:rsid w:val="008B3A12"/>
    <w:rsid w:val="008B4134"/>
    <w:rsid w:val="008B4897"/>
    <w:rsid w:val="008B5AF8"/>
    <w:rsid w:val="008C254E"/>
    <w:rsid w:val="008C3418"/>
    <w:rsid w:val="008C4706"/>
    <w:rsid w:val="008C5979"/>
    <w:rsid w:val="008C70BC"/>
    <w:rsid w:val="008D2C52"/>
    <w:rsid w:val="008D57AD"/>
    <w:rsid w:val="008D583C"/>
    <w:rsid w:val="008D5C20"/>
    <w:rsid w:val="008D602B"/>
    <w:rsid w:val="008E3638"/>
    <w:rsid w:val="008E51CF"/>
    <w:rsid w:val="008F0B95"/>
    <w:rsid w:val="008F6B33"/>
    <w:rsid w:val="008F747C"/>
    <w:rsid w:val="009005B4"/>
    <w:rsid w:val="00900FAC"/>
    <w:rsid w:val="0090209F"/>
    <w:rsid w:val="009054CB"/>
    <w:rsid w:val="00906230"/>
    <w:rsid w:val="00910645"/>
    <w:rsid w:val="009115B6"/>
    <w:rsid w:val="00915E7D"/>
    <w:rsid w:val="00920867"/>
    <w:rsid w:val="00920F2A"/>
    <w:rsid w:val="00921B83"/>
    <w:rsid w:val="00921E9E"/>
    <w:rsid w:val="00922D98"/>
    <w:rsid w:val="00924BA1"/>
    <w:rsid w:val="00926E3A"/>
    <w:rsid w:val="009304AE"/>
    <w:rsid w:val="0093064C"/>
    <w:rsid w:val="00930D3E"/>
    <w:rsid w:val="009311DD"/>
    <w:rsid w:val="0093336F"/>
    <w:rsid w:val="00934680"/>
    <w:rsid w:val="00934888"/>
    <w:rsid w:val="0093527F"/>
    <w:rsid w:val="009363DC"/>
    <w:rsid w:val="00942059"/>
    <w:rsid w:val="00942174"/>
    <w:rsid w:val="00943F3F"/>
    <w:rsid w:val="00945D81"/>
    <w:rsid w:val="00947C3A"/>
    <w:rsid w:val="00951334"/>
    <w:rsid w:val="009527B1"/>
    <w:rsid w:val="009571C8"/>
    <w:rsid w:val="0096142F"/>
    <w:rsid w:val="00962EF0"/>
    <w:rsid w:val="00965A6D"/>
    <w:rsid w:val="00966EB0"/>
    <w:rsid w:val="0097131C"/>
    <w:rsid w:val="00971815"/>
    <w:rsid w:val="00980349"/>
    <w:rsid w:val="0098331D"/>
    <w:rsid w:val="00986E8C"/>
    <w:rsid w:val="00991130"/>
    <w:rsid w:val="00991EC8"/>
    <w:rsid w:val="009937AE"/>
    <w:rsid w:val="009948AD"/>
    <w:rsid w:val="009979A7"/>
    <w:rsid w:val="009A077F"/>
    <w:rsid w:val="009A07F3"/>
    <w:rsid w:val="009A194A"/>
    <w:rsid w:val="009A5A1A"/>
    <w:rsid w:val="009B0021"/>
    <w:rsid w:val="009B2AE9"/>
    <w:rsid w:val="009B2F59"/>
    <w:rsid w:val="009B307F"/>
    <w:rsid w:val="009B4003"/>
    <w:rsid w:val="009B7F51"/>
    <w:rsid w:val="009C3EA4"/>
    <w:rsid w:val="009C6F26"/>
    <w:rsid w:val="009C75F5"/>
    <w:rsid w:val="009C7695"/>
    <w:rsid w:val="009C7AAB"/>
    <w:rsid w:val="009D0A52"/>
    <w:rsid w:val="009D5805"/>
    <w:rsid w:val="009E1EBA"/>
    <w:rsid w:val="009E3F62"/>
    <w:rsid w:val="009E628C"/>
    <w:rsid w:val="009E7FA4"/>
    <w:rsid w:val="009F0791"/>
    <w:rsid w:val="009F42FD"/>
    <w:rsid w:val="00A0623F"/>
    <w:rsid w:val="00A06676"/>
    <w:rsid w:val="00A066F1"/>
    <w:rsid w:val="00A06AF5"/>
    <w:rsid w:val="00A06E9F"/>
    <w:rsid w:val="00A06FE9"/>
    <w:rsid w:val="00A07A97"/>
    <w:rsid w:val="00A115F5"/>
    <w:rsid w:val="00A11AFC"/>
    <w:rsid w:val="00A12EA0"/>
    <w:rsid w:val="00A13E2C"/>
    <w:rsid w:val="00A16A35"/>
    <w:rsid w:val="00A21C1C"/>
    <w:rsid w:val="00A22E10"/>
    <w:rsid w:val="00A232CD"/>
    <w:rsid w:val="00A23402"/>
    <w:rsid w:val="00A2384A"/>
    <w:rsid w:val="00A23E00"/>
    <w:rsid w:val="00A256AB"/>
    <w:rsid w:val="00A3042A"/>
    <w:rsid w:val="00A313C3"/>
    <w:rsid w:val="00A323C5"/>
    <w:rsid w:val="00A33B48"/>
    <w:rsid w:val="00A34777"/>
    <w:rsid w:val="00A36552"/>
    <w:rsid w:val="00A44C39"/>
    <w:rsid w:val="00A455AA"/>
    <w:rsid w:val="00A46E27"/>
    <w:rsid w:val="00A5263A"/>
    <w:rsid w:val="00A52CAE"/>
    <w:rsid w:val="00A54FD7"/>
    <w:rsid w:val="00A61635"/>
    <w:rsid w:val="00A62A7E"/>
    <w:rsid w:val="00A65508"/>
    <w:rsid w:val="00A67CD8"/>
    <w:rsid w:val="00A719C7"/>
    <w:rsid w:val="00A74B2B"/>
    <w:rsid w:val="00A763C3"/>
    <w:rsid w:val="00A8081F"/>
    <w:rsid w:val="00A840AC"/>
    <w:rsid w:val="00A8430B"/>
    <w:rsid w:val="00A851C2"/>
    <w:rsid w:val="00A86D6C"/>
    <w:rsid w:val="00A870BA"/>
    <w:rsid w:val="00A9158D"/>
    <w:rsid w:val="00A9203C"/>
    <w:rsid w:val="00A946F7"/>
    <w:rsid w:val="00A96D30"/>
    <w:rsid w:val="00A97B79"/>
    <w:rsid w:val="00A97D78"/>
    <w:rsid w:val="00AA2258"/>
    <w:rsid w:val="00AA2AE0"/>
    <w:rsid w:val="00AA31CF"/>
    <w:rsid w:val="00AA68E7"/>
    <w:rsid w:val="00AA75C8"/>
    <w:rsid w:val="00AA7CBB"/>
    <w:rsid w:val="00AB7175"/>
    <w:rsid w:val="00AC1121"/>
    <w:rsid w:val="00AC1F96"/>
    <w:rsid w:val="00AC3A0C"/>
    <w:rsid w:val="00AC4232"/>
    <w:rsid w:val="00AC6E4F"/>
    <w:rsid w:val="00AC7FA2"/>
    <w:rsid w:val="00AD4B7D"/>
    <w:rsid w:val="00AD6394"/>
    <w:rsid w:val="00AE13AF"/>
    <w:rsid w:val="00AE6180"/>
    <w:rsid w:val="00AE63F7"/>
    <w:rsid w:val="00AF06BC"/>
    <w:rsid w:val="00AF0C03"/>
    <w:rsid w:val="00AF139E"/>
    <w:rsid w:val="00AF2B93"/>
    <w:rsid w:val="00AF44A0"/>
    <w:rsid w:val="00AF6FBC"/>
    <w:rsid w:val="00AF7CDD"/>
    <w:rsid w:val="00B04801"/>
    <w:rsid w:val="00B1025E"/>
    <w:rsid w:val="00B13720"/>
    <w:rsid w:val="00B16016"/>
    <w:rsid w:val="00B177E6"/>
    <w:rsid w:val="00B211D8"/>
    <w:rsid w:val="00B21F82"/>
    <w:rsid w:val="00B234AF"/>
    <w:rsid w:val="00B270A2"/>
    <w:rsid w:val="00B27F1B"/>
    <w:rsid w:val="00B32702"/>
    <w:rsid w:val="00B331AE"/>
    <w:rsid w:val="00B35227"/>
    <w:rsid w:val="00B35B30"/>
    <w:rsid w:val="00B427A8"/>
    <w:rsid w:val="00B43107"/>
    <w:rsid w:val="00B439EC"/>
    <w:rsid w:val="00B44978"/>
    <w:rsid w:val="00B47109"/>
    <w:rsid w:val="00B50945"/>
    <w:rsid w:val="00B5122D"/>
    <w:rsid w:val="00B530CB"/>
    <w:rsid w:val="00B53242"/>
    <w:rsid w:val="00B5382C"/>
    <w:rsid w:val="00B563FC"/>
    <w:rsid w:val="00B5781C"/>
    <w:rsid w:val="00B6151A"/>
    <w:rsid w:val="00B61C73"/>
    <w:rsid w:val="00B624CF"/>
    <w:rsid w:val="00B63B4B"/>
    <w:rsid w:val="00B66809"/>
    <w:rsid w:val="00B6694A"/>
    <w:rsid w:val="00B70E4D"/>
    <w:rsid w:val="00B72C6E"/>
    <w:rsid w:val="00B749C7"/>
    <w:rsid w:val="00B76CC5"/>
    <w:rsid w:val="00B82374"/>
    <w:rsid w:val="00B847B7"/>
    <w:rsid w:val="00B90CD0"/>
    <w:rsid w:val="00B930C9"/>
    <w:rsid w:val="00B94C7D"/>
    <w:rsid w:val="00B97D8D"/>
    <w:rsid w:val="00BA2D10"/>
    <w:rsid w:val="00BA3604"/>
    <w:rsid w:val="00BA58BC"/>
    <w:rsid w:val="00BA6C13"/>
    <w:rsid w:val="00BB2C43"/>
    <w:rsid w:val="00BB4A78"/>
    <w:rsid w:val="00BB5152"/>
    <w:rsid w:val="00BB53B5"/>
    <w:rsid w:val="00BB6E62"/>
    <w:rsid w:val="00BB7135"/>
    <w:rsid w:val="00BB73A8"/>
    <w:rsid w:val="00BC3F45"/>
    <w:rsid w:val="00BC4795"/>
    <w:rsid w:val="00BC47CE"/>
    <w:rsid w:val="00BC5445"/>
    <w:rsid w:val="00BC7B0E"/>
    <w:rsid w:val="00BD07F0"/>
    <w:rsid w:val="00BD2433"/>
    <w:rsid w:val="00BD2D0D"/>
    <w:rsid w:val="00BD3DD0"/>
    <w:rsid w:val="00BD4B3F"/>
    <w:rsid w:val="00BD583F"/>
    <w:rsid w:val="00BD6330"/>
    <w:rsid w:val="00BD6CF4"/>
    <w:rsid w:val="00BE0DFE"/>
    <w:rsid w:val="00BE28BD"/>
    <w:rsid w:val="00BE3015"/>
    <w:rsid w:val="00BF03BE"/>
    <w:rsid w:val="00BF08CE"/>
    <w:rsid w:val="00BF1293"/>
    <w:rsid w:val="00BF3A74"/>
    <w:rsid w:val="00BF3EEB"/>
    <w:rsid w:val="00BF722D"/>
    <w:rsid w:val="00C02DB7"/>
    <w:rsid w:val="00C02DEE"/>
    <w:rsid w:val="00C05556"/>
    <w:rsid w:val="00C07B9C"/>
    <w:rsid w:val="00C10749"/>
    <w:rsid w:val="00C109DC"/>
    <w:rsid w:val="00C11323"/>
    <w:rsid w:val="00C1169D"/>
    <w:rsid w:val="00C17BCA"/>
    <w:rsid w:val="00C223D4"/>
    <w:rsid w:val="00C24AFA"/>
    <w:rsid w:val="00C24CF7"/>
    <w:rsid w:val="00C32157"/>
    <w:rsid w:val="00C32208"/>
    <w:rsid w:val="00C327E3"/>
    <w:rsid w:val="00C35638"/>
    <w:rsid w:val="00C36BAA"/>
    <w:rsid w:val="00C41591"/>
    <w:rsid w:val="00C45F98"/>
    <w:rsid w:val="00C46BCF"/>
    <w:rsid w:val="00C4712F"/>
    <w:rsid w:val="00C47346"/>
    <w:rsid w:val="00C50ACB"/>
    <w:rsid w:val="00C51DDA"/>
    <w:rsid w:val="00C52216"/>
    <w:rsid w:val="00C52488"/>
    <w:rsid w:val="00C52D9C"/>
    <w:rsid w:val="00C607E3"/>
    <w:rsid w:val="00C61825"/>
    <w:rsid w:val="00C6350D"/>
    <w:rsid w:val="00C6456D"/>
    <w:rsid w:val="00C66752"/>
    <w:rsid w:val="00C70DF9"/>
    <w:rsid w:val="00C714D0"/>
    <w:rsid w:val="00C727F7"/>
    <w:rsid w:val="00C73C34"/>
    <w:rsid w:val="00C81A83"/>
    <w:rsid w:val="00C81B13"/>
    <w:rsid w:val="00C83711"/>
    <w:rsid w:val="00C8384A"/>
    <w:rsid w:val="00C878A5"/>
    <w:rsid w:val="00C90BA2"/>
    <w:rsid w:val="00C92818"/>
    <w:rsid w:val="00C93F82"/>
    <w:rsid w:val="00C94C2B"/>
    <w:rsid w:val="00C95A94"/>
    <w:rsid w:val="00C962B2"/>
    <w:rsid w:val="00CA12D4"/>
    <w:rsid w:val="00CA21CF"/>
    <w:rsid w:val="00CA2349"/>
    <w:rsid w:val="00CA376D"/>
    <w:rsid w:val="00CA389E"/>
    <w:rsid w:val="00CA4D6A"/>
    <w:rsid w:val="00CB0A35"/>
    <w:rsid w:val="00CB2F2F"/>
    <w:rsid w:val="00CB3520"/>
    <w:rsid w:val="00CB38CF"/>
    <w:rsid w:val="00CC112D"/>
    <w:rsid w:val="00CC49AE"/>
    <w:rsid w:val="00CC550E"/>
    <w:rsid w:val="00CC7FAC"/>
    <w:rsid w:val="00CD07C3"/>
    <w:rsid w:val="00CD3A0E"/>
    <w:rsid w:val="00CD3B89"/>
    <w:rsid w:val="00CD472D"/>
    <w:rsid w:val="00CD734A"/>
    <w:rsid w:val="00CE107A"/>
    <w:rsid w:val="00CE4454"/>
    <w:rsid w:val="00CE52EB"/>
    <w:rsid w:val="00CF4554"/>
    <w:rsid w:val="00CF4D95"/>
    <w:rsid w:val="00CF629A"/>
    <w:rsid w:val="00CF6933"/>
    <w:rsid w:val="00CF6FDB"/>
    <w:rsid w:val="00D051B4"/>
    <w:rsid w:val="00D07BD9"/>
    <w:rsid w:val="00D108CD"/>
    <w:rsid w:val="00D11EB0"/>
    <w:rsid w:val="00D12A50"/>
    <w:rsid w:val="00D15466"/>
    <w:rsid w:val="00D16168"/>
    <w:rsid w:val="00D23253"/>
    <w:rsid w:val="00D27702"/>
    <w:rsid w:val="00D307BF"/>
    <w:rsid w:val="00D31989"/>
    <w:rsid w:val="00D324C0"/>
    <w:rsid w:val="00D32A6A"/>
    <w:rsid w:val="00D3590A"/>
    <w:rsid w:val="00D5095B"/>
    <w:rsid w:val="00D57730"/>
    <w:rsid w:val="00D643E9"/>
    <w:rsid w:val="00D64A20"/>
    <w:rsid w:val="00D64EA6"/>
    <w:rsid w:val="00D6769E"/>
    <w:rsid w:val="00D676CC"/>
    <w:rsid w:val="00D777D6"/>
    <w:rsid w:val="00D80335"/>
    <w:rsid w:val="00D81864"/>
    <w:rsid w:val="00D8755F"/>
    <w:rsid w:val="00D90AEF"/>
    <w:rsid w:val="00D91A63"/>
    <w:rsid w:val="00DA289E"/>
    <w:rsid w:val="00DA297F"/>
    <w:rsid w:val="00DA67FE"/>
    <w:rsid w:val="00DB35D8"/>
    <w:rsid w:val="00DB360D"/>
    <w:rsid w:val="00DB36EA"/>
    <w:rsid w:val="00DB3B6E"/>
    <w:rsid w:val="00DB5D3D"/>
    <w:rsid w:val="00DB6AF9"/>
    <w:rsid w:val="00DC24A9"/>
    <w:rsid w:val="00DC4BF4"/>
    <w:rsid w:val="00DC4C4A"/>
    <w:rsid w:val="00DC520A"/>
    <w:rsid w:val="00DD0139"/>
    <w:rsid w:val="00DD0DD6"/>
    <w:rsid w:val="00DD53C8"/>
    <w:rsid w:val="00DE3F3B"/>
    <w:rsid w:val="00DE77FE"/>
    <w:rsid w:val="00DF16BA"/>
    <w:rsid w:val="00DF1F8F"/>
    <w:rsid w:val="00DF3027"/>
    <w:rsid w:val="00DF34F4"/>
    <w:rsid w:val="00DF59E9"/>
    <w:rsid w:val="00E0149A"/>
    <w:rsid w:val="00E0378E"/>
    <w:rsid w:val="00E0439B"/>
    <w:rsid w:val="00E0528B"/>
    <w:rsid w:val="00E06590"/>
    <w:rsid w:val="00E06B40"/>
    <w:rsid w:val="00E072BE"/>
    <w:rsid w:val="00E149E7"/>
    <w:rsid w:val="00E16177"/>
    <w:rsid w:val="00E209E8"/>
    <w:rsid w:val="00E2178D"/>
    <w:rsid w:val="00E23168"/>
    <w:rsid w:val="00E26F54"/>
    <w:rsid w:val="00E302E1"/>
    <w:rsid w:val="00E31F17"/>
    <w:rsid w:val="00E32772"/>
    <w:rsid w:val="00E3284A"/>
    <w:rsid w:val="00E35485"/>
    <w:rsid w:val="00E3639A"/>
    <w:rsid w:val="00E40079"/>
    <w:rsid w:val="00E423A7"/>
    <w:rsid w:val="00E4284D"/>
    <w:rsid w:val="00E4336F"/>
    <w:rsid w:val="00E44EA2"/>
    <w:rsid w:val="00E477DB"/>
    <w:rsid w:val="00E50C47"/>
    <w:rsid w:val="00E51CC2"/>
    <w:rsid w:val="00E55047"/>
    <w:rsid w:val="00E55B8A"/>
    <w:rsid w:val="00E61585"/>
    <w:rsid w:val="00E6304F"/>
    <w:rsid w:val="00E73352"/>
    <w:rsid w:val="00E74B99"/>
    <w:rsid w:val="00E754BF"/>
    <w:rsid w:val="00E755CB"/>
    <w:rsid w:val="00E829D2"/>
    <w:rsid w:val="00E84D5C"/>
    <w:rsid w:val="00E904F7"/>
    <w:rsid w:val="00E90F30"/>
    <w:rsid w:val="00E922F4"/>
    <w:rsid w:val="00E93BD9"/>
    <w:rsid w:val="00E946CB"/>
    <w:rsid w:val="00EA16D2"/>
    <w:rsid w:val="00EA447A"/>
    <w:rsid w:val="00EA4683"/>
    <w:rsid w:val="00EA7DE7"/>
    <w:rsid w:val="00EB09BC"/>
    <w:rsid w:val="00EB3EC6"/>
    <w:rsid w:val="00EB5671"/>
    <w:rsid w:val="00EB6891"/>
    <w:rsid w:val="00EB69E3"/>
    <w:rsid w:val="00EB6C10"/>
    <w:rsid w:val="00EB7237"/>
    <w:rsid w:val="00EB72B9"/>
    <w:rsid w:val="00EB7C4A"/>
    <w:rsid w:val="00EC00D8"/>
    <w:rsid w:val="00EC1ECD"/>
    <w:rsid w:val="00EC21CF"/>
    <w:rsid w:val="00EC5E91"/>
    <w:rsid w:val="00EC7711"/>
    <w:rsid w:val="00ED147B"/>
    <w:rsid w:val="00ED1B92"/>
    <w:rsid w:val="00ED1F5F"/>
    <w:rsid w:val="00ED2AF4"/>
    <w:rsid w:val="00ED2DE0"/>
    <w:rsid w:val="00ED313E"/>
    <w:rsid w:val="00ED6D4C"/>
    <w:rsid w:val="00ED7AC8"/>
    <w:rsid w:val="00ED7C6A"/>
    <w:rsid w:val="00EE29AE"/>
    <w:rsid w:val="00EE51B7"/>
    <w:rsid w:val="00EE78C5"/>
    <w:rsid w:val="00EE7D67"/>
    <w:rsid w:val="00EF0110"/>
    <w:rsid w:val="00EF468D"/>
    <w:rsid w:val="00EF56E6"/>
    <w:rsid w:val="00EF5709"/>
    <w:rsid w:val="00EF7311"/>
    <w:rsid w:val="00F013AE"/>
    <w:rsid w:val="00F018EE"/>
    <w:rsid w:val="00F0248D"/>
    <w:rsid w:val="00F029FE"/>
    <w:rsid w:val="00F03E97"/>
    <w:rsid w:val="00F0479A"/>
    <w:rsid w:val="00F0621C"/>
    <w:rsid w:val="00F103CE"/>
    <w:rsid w:val="00F10A06"/>
    <w:rsid w:val="00F141D8"/>
    <w:rsid w:val="00F16B8E"/>
    <w:rsid w:val="00F213D6"/>
    <w:rsid w:val="00F215FE"/>
    <w:rsid w:val="00F2260E"/>
    <w:rsid w:val="00F22877"/>
    <w:rsid w:val="00F256C7"/>
    <w:rsid w:val="00F25E58"/>
    <w:rsid w:val="00F270B0"/>
    <w:rsid w:val="00F31B9A"/>
    <w:rsid w:val="00F37557"/>
    <w:rsid w:val="00F41933"/>
    <w:rsid w:val="00F42FB3"/>
    <w:rsid w:val="00F4735E"/>
    <w:rsid w:val="00F47E62"/>
    <w:rsid w:val="00F5197F"/>
    <w:rsid w:val="00F524DB"/>
    <w:rsid w:val="00F530B2"/>
    <w:rsid w:val="00F53223"/>
    <w:rsid w:val="00F60677"/>
    <w:rsid w:val="00F639BA"/>
    <w:rsid w:val="00F663E8"/>
    <w:rsid w:val="00F7428D"/>
    <w:rsid w:val="00F75E26"/>
    <w:rsid w:val="00F76DC9"/>
    <w:rsid w:val="00F773E4"/>
    <w:rsid w:val="00F77685"/>
    <w:rsid w:val="00F8041D"/>
    <w:rsid w:val="00F8105E"/>
    <w:rsid w:val="00F8743C"/>
    <w:rsid w:val="00F87541"/>
    <w:rsid w:val="00F90D4E"/>
    <w:rsid w:val="00F915A8"/>
    <w:rsid w:val="00F915ED"/>
    <w:rsid w:val="00F91F7C"/>
    <w:rsid w:val="00F942A4"/>
    <w:rsid w:val="00F94488"/>
    <w:rsid w:val="00FA0EC8"/>
    <w:rsid w:val="00FA2D14"/>
    <w:rsid w:val="00FA607C"/>
    <w:rsid w:val="00FA61C9"/>
    <w:rsid w:val="00FA6A04"/>
    <w:rsid w:val="00FB0853"/>
    <w:rsid w:val="00FB6445"/>
    <w:rsid w:val="00FB7C5C"/>
    <w:rsid w:val="00FC16EC"/>
    <w:rsid w:val="00FC73C7"/>
    <w:rsid w:val="00FC7A8F"/>
    <w:rsid w:val="00FD02D9"/>
    <w:rsid w:val="00FD4184"/>
    <w:rsid w:val="00FD4F65"/>
    <w:rsid w:val="00FD5E4D"/>
    <w:rsid w:val="00FD6D29"/>
    <w:rsid w:val="00FE356F"/>
    <w:rsid w:val="00FE404F"/>
    <w:rsid w:val="00FE4DD7"/>
    <w:rsid w:val="00FE6CCA"/>
    <w:rsid w:val="00FE7AA0"/>
    <w:rsid w:val="00FF0964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C6D01"/>
  <w15:docId w15:val="{188A9EE9-C4E3-499F-82F2-85A549FD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E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3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BB6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22D"/>
    <w:rPr>
      <w:color w:val="605E5C"/>
      <w:shd w:val="clear" w:color="auto" w:fill="E1DFDD"/>
    </w:rPr>
  </w:style>
  <w:style w:type="paragraph" w:styleId="TOC1">
    <w:name w:val="toc 1"/>
    <w:basedOn w:val="Normal"/>
    <w:next w:val="Normal"/>
    <w:uiPriority w:val="39"/>
    <w:rsid w:val="0098331D"/>
    <w:pPr>
      <w:tabs>
        <w:tab w:val="right" w:leader="dot" w:pos="9360"/>
      </w:tabs>
      <w:suppressAutoHyphens/>
      <w:spacing w:before="480"/>
      <w:ind w:left="720" w:right="720" w:hanging="720"/>
      <w:jc w:val="both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E2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E23"/>
    <w:rPr>
      <w:rFonts w:ascii="Calibri" w:eastAsia="Calibri" w:hAnsi="Calibri"/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B76CC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8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5D4D-30F5-43FA-8193-F693D156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40</TotalTime>
  <Pages>7</Pages>
  <Words>2417</Words>
  <Characters>13880</Characters>
  <Application>Microsoft Office Word</Application>
  <DocSecurity>0</DocSecurity>
  <Lines>289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Palmer, Margaret</cp:lastModifiedBy>
  <cp:revision>9</cp:revision>
  <cp:lastPrinted>2018-08-24T16:52:00Z</cp:lastPrinted>
  <dcterms:created xsi:type="dcterms:W3CDTF">2020-12-29T15:38:00Z</dcterms:created>
  <dcterms:modified xsi:type="dcterms:W3CDTF">2020-12-29T22:14:00Z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