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70D6" w14:textId="77777777" w:rsidR="001569F3" w:rsidRPr="00B426D4" w:rsidRDefault="001569F3" w:rsidP="001569F3">
      <w:pPr>
        <w:tabs>
          <w:tab w:val="left" w:pos="7200"/>
        </w:tabs>
        <w:ind w:right="-1080"/>
        <w:jc w:val="both"/>
        <w:rPr>
          <w:noProof/>
          <w:sz w:val="22"/>
          <w:szCs w:val="22"/>
          <w:lang w:val="pt-BR"/>
        </w:rPr>
      </w:pPr>
      <w:r>
        <w:rPr>
          <w:sz w:val="22"/>
        </w:rPr>
        <w:tab/>
      </w:r>
      <w:r w:rsidRPr="00B426D4">
        <w:rPr>
          <w:sz w:val="22"/>
          <w:lang w:val="pt-BR"/>
        </w:rPr>
        <w:t>OEA/Ser.W</w:t>
      </w:r>
      <w:bookmarkStart w:id="0" w:name="_top"/>
      <w:bookmarkEnd w:id="0"/>
    </w:p>
    <w:p w14:paraId="7073931D" w14:textId="77777777" w:rsidR="001569F3" w:rsidRPr="00B426D4" w:rsidRDefault="001569F3" w:rsidP="001569F3">
      <w:pPr>
        <w:tabs>
          <w:tab w:val="left" w:pos="7200"/>
        </w:tabs>
        <w:ind w:right="-1080"/>
        <w:jc w:val="both"/>
        <w:rPr>
          <w:noProof/>
          <w:sz w:val="22"/>
          <w:szCs w:val="22"/>
          <w:lang w:val="pt-BR"/>
        </w:rPr>
      </w:pPr>
      <w:r w:rsidRPr="00B426D4">
        <w:rPr>
          <w:sz w:val="22"/>
          <w:lang w:val="pt-BR"/>
        </w:rPr>
        <w:tab/>
        <w:t>CIDI/INF.397/20</w:t>
      </w:r>
    </w:p>
    <w:p w14:paraId="1CDFA36B" w14:textId="77777777" w:rsidR="001569F3" w:rsidRPr="001569F3" w:rsidRDefault="001569F3" w:rsidP="001569F3">
      <w:pPr>
        <w:tabs>
          <w:tab w:val="left" w:pos="7200"/>
        </w:tabs>
        <w:ind w:right="-1080"/>
        <w:jc w:val="both"/>
        <w:rPr>
          <w:noProof/>
          <w:sz w:val="22"/>
          <w:szCs w:val="22"/>
        </w:rPr>
      </w:pPr>
      <w:r w:rsidRPr="00B426D4">
        <w:rPr>
          <w:sz w:val="22"/>
          <w:lang w:val="pt-BR"/>
        </w:rPr>
        <w:tab/>
      </w:r>
      <w:r>
        <w:rPr>
          <w:sz w:val="22"/>
        </w:rPr>
        <w:t>15 diciembre 2020</w:t>
      </w:r>
    </w:p>
    <w:p w14:paraId="4A8CF84B" w14:textId="77777777" w:rsidR="001569F3" w:rsidRPr="001569F3" w:rsidRDefault="001569F3" w:rsidP="001569F3">
      <w:pPr>
        <w:pBdr>
          <w:bottom w:val="single" w:sz="12" w:space="1" w:color="auto"/>
        </w:pBdr>
        <w:tabs>
          <w:tab w:val="left" w:pos="7200"/>
        </w:tabs>
        <w:ind w:right="-389"/>
        <w:jc w:val="both"/>
        <w:rPr>
          <w:noProof/>
          <w:sz w:val="22"/>
          <w:szCs w:val="22"/>
        </w:rPr>
      </w:pPr>
      <w:r>
        <w:rPr>
          <w:sz w:val="22"/>
        </w:rPr>
        <w:tab/>
        <w:t>Original: inglés</w:t>
      </w:r>
    </w:p>
    <w:p w14:paraId="1D1E2679" w14:textId="77777777" w:rsidR="001569F3" w:rsidRPr="001569F3" w:rsidRDefault="001569F3" w:rsidP="001569F3">
      <w:pPr>
        <w:pBdr>
          <w:bottom w:val="single" w:sz="12" w:space="1" w:color="auto"/>
        </w:pBdr>
        <w:tabs>
          <w:tab w:val="left" w:pos="7200"/>
        </w:tabs>
        <w:ind w:right="-389"/>
        <w:jc w:val="both"/>
        <w:rPr>
          <w:noProof/>
          <w:sz w:val="22"/>
          <w:szCs w:val="22"/>
        </w:rPr>
      </w:pPr>
    </w:p>
    <w:p w14:paraId="28B69F8A" w14:textId="77777777" w:rsidR="001569F3" w:rsidRPr="00B426D4" w:rsidRDefault="001569F3" w:rsidP="00B426D4">
      <w:pPr>
        <w:suppressAutoHyphens/>
        <w:jc w:val="both"/>
        <w:rPr>
          <w:noProof/>
          <w:sz w:val="22"/>
          <w:szCs w:val="22"/>
        </w:rPr>
      </w:pPr>
    </w:p>
    <w:p w14:paraId="011331BA" w14:textId="77777777" w:rsidR="001569F3" w:rsidRPr="00B426D4" w:rsidRDefault="001569F3" w:rsidP="00B426D4">
      <w:pPr>
        <w:suppressAutoHyphens/>
        <w:jc w:val="both"/>
        <w:rPr>
          <w:rFonts w:eastAsia="Calibri"/>
          <w:noProof/>
          <w:sz w:val="22"/>
          <w:szCs w:val="22"/>
        </w:rPr>
      </w:pPr>
    </w:p>
    <w:p w14:paraId="58674FB6" w14:textId="77777777" w:rsidR="001569F3" w:rsidRPr="00B426D4" w:rsidRDefault="001569F3" w:rsidP="00B426D4">
      <w:pPr>
        <w:suppressAutoHyphens/>
        <w:jc w:val="both"/>
        <w:rPr>
          <w:noProof/>
          <w:sz w:val="22"/>
          <w:szCs w:val="22"/>
        </w:rPr>
      </w:pPr>
    </w:p>
    <w:p w14:paraId="0E69DA3B" w14:textId="77777777" w:rsidR="001569F3" w:rsidRPr="00B426D4" w:rsidRDefault="001569F3" w:rsidP="00B426D4">
      <w:pPr>
        <w:suppressAutoHyphens/>
        <w:jc w:val="both"/>
        <w:rPr>
          <w:rFonts w:eastAsia="Calibri"/>
          <w:noProof/>
          <w:sz w:val="22"/>
          <w:szCs w:val="22"/>
        </w:rPr>
      </w:pPr>
    </w:p>
    <w:p w14:paraId="0DE5B199" w14:textId="77777777" w:rsidR="001569F3" w:rsidRPr="00B426D4" w:rsidRDefault="001569F3" w:rsidP="00B426D4">
      <w:pPr>
        <w:suppressAutoHyphens/>
        <w:jc w:val="both"/>
        <w:rPr>
          <w:rFonts w:eastAsia="Calibri"/>
          <w:noProof/>
          <w:sz w:val="22"/>
          <w:szCs w:val="22"/>
        </w:rPr>
      </w:pPr>
    </w:p>
    <w:p w14:paraId="3FDAFBD8" w14:textId="77777777" w:rsidR="001569F3" w:rsidRPr="00B426D4" w:rsidRDefault="001569F3" w:rsidP="00B426D4">
      <w:pPr>
        <w:suppressAutoHyphens/>
        <w:jc w:val="both"/>
        <w:rPr>
          <w:rFonts w:eastAsia="Calibri"/>
          <w:noProof/>
          <w:sz w:val="22"/>
          <w:szCs w:val="22"/>
        </w:rPr>
      </w:pPr>
    </w:p>
    <w:p w14:paraId="4EFC6F53" w14:textId="74B7284E" w:rsidR="001569F3" w:rsidRDefault="001569F3" w:rsidP="00B426D4">
      <w:pPr>
        <w:suppressAutoHyphens/>
        <w:jc w:val="both"/>
        <w:rPr>
          <w:rFonts w:eastAsia="Calibri"/>
          <w:noProof/>
          <w:sz w:val="22"/>
          <w:szCs w:val="22"/>
        </w:rPr>
      </w:pPr>
    </w:p>
    <w:p w14:paraId="319237F1" w14:textId="5178D8EA" w:rsidR="00B426D4" w:rsidRDefault="00B426D4" w:rsidP="00B426D4">
      <w:pPr>
        <w:suppressAutoHyphens/>
        <w:jc w:val="both"/>
        <w:rPr>
          <w:rFonts w:eastAsia="Calibri"/>
          <w:noProof/>
          <w:sz w:val="22"/>
          <w:szCs w:val="22"/>
        </w:rPr>
      </w:pPr>
    </w:p>
    <w:p w14:paraId="242663F9" w14:textId="77777777" w:rsidR="00B426D4" w:rsidRPr="00B426D4" w:rsidRDefault="00B426D4" w:rsidP="00B426D4">
      <w:pPr>
        <w:suppressAutoHyphens/>
        <w:jc w:val="both"/>
        <w:rPr>
          <w:rFonts w:eastAsia="Calibri"/>
          <w:noProof/>
          <w:sz w:val="22"/>
          <w:szCs w:val="22"/>
        </w:rPr>
      </w:pPr>
    </w:p>
    <w:p w14:paraId="4547A588" w14:textId="77777777" w:rsidR="001569F3" w:rsidRPr="00B426D4" w:rsidRDefault="001569F3" w:rsidP="00B426D4">
      <w:pPr>
        <w:suppressAutoHyphens/>
        <w:jc w:val="both"/>
        <w:rPr>
          <w:rFonts w:eastAsia="Calibri"/>
          <w:noProof/>
          <w:sz w:val="22"/>
          <w:szCs w:val="22"/>
        </w:rPr>
      </w:pPr>
    </w:p>
    <w:p w14:paraId="68A63F33" w14:textId="77777777" w:rsidR="001569F3" w:rsidRPr="00B426D4" w:rsidRDefault="001569F3" w:rsidP="00B426D4">
      <w:pPr>
        <w:suppressAutoHyphens/>
        <w:jc w:val="both"/>
        <w:rPr>
          <w:rFonts w:eastAsia="Calibri"/>
          <w:noProof/>
          <w:sz w:val="22"/>
          <w:szCs w:val="22"/>
        </w:rPr>
      </w:pPr>
    </w:p>
    <w:p w14:paraId="4CD37DD7" w14:textId="77777777" w:rsidR="001569F3" w:rsidRPr="00B426D4" w:rsidRDefault="001569F3" w:rsidP="00B426D4">
      <w:pPr>
        <w:suppressAutoHyphens/>
        <w:jc w:val="both"/>
        <w:rPr>
          <w:rFonts w:eastAsia="Calibri"/>
          <w:noProof/>
          <w:sz w:val="22"/>
          <w:szCs w:val="22"/>
        </w:rPr>
      </w:pPr>
    </w:p>
    <w:p w14:paraId="688F73AD" w14:textId="77777777" w:rsidR="001569F3" w:rsidRPr="00B426D4" w:rsidRDefault="001569F3" w:rsidP="00B426D4">
      <w:pPr>
        <w:suppressAutoHyphens/>
        <w:jc w:val="both"/>
        <w:rPr>
          <w:rFonts w:eastAsia="Calibri"/>
          <w:noProof/>
          <w:sz w:val="22"/>
          <w:szCs w:val="22"/>
        </w:rPr>
      </w:pPr>
    </w:p>
    <w:p w14:paraId="62559421" w14:textId="77777777" w:rsidR="001569F3" w:rsidRPr="00B426D4" w:rsidRDefault="001569F3" w:rsidP="00B426D4">
      <w:pPr>
        <w:suppressAutoHyphens/>
        <w:jc w:val="both"/>
        <w:rPr>
          <w:rFonts w:eastAsia="Calibri"/>
          <w:noProof/>
          <w:sz w:val="22"/>
          <w:szCs w:val="22"/>
        </w:rPr>
      </w:pPr>
    </w:p>
    <w:p w14:paraId="66934EA8" w14:textId="5859D57A" w:rsidR="001569F3" w:rsidRPr="00B426D4" w:rsidRDefault="001569F3" w:rsidP="00B426D4">
      <w:pPr>
        <w:suppressAutoHyphens/>
        <w:snapToGrid w:val="0"/>
        <w:jc w:val="center"/>
        <w:rPr>
          <w:noProof/>
          <w:color w:val="000000"/>
          <w:sz w:val="22"/>
          <w:szCs w:val="22"/>
        </w:rPr>
      </w:pPr>
      <w:r w:rsidRPr="00B426D4">
        <w:rPr>
          <w:color w:val="000000"/>
          <w:sz w:val="22"/>
          <w:szCs w:val="22"/>
        </w:rPr>
        <w:t>PRESENTACIÓN DE LA SECRETARIA EJECUTIVA PARA EL DESARROLLO INTEGRAL, SRA. KIM OSBORNE, DURANTE LA REUNIÓN ORDINARIA DEL CONSEJO INTERAMERICANO PARA EL DESARROLLO INTEGRAL, SOBRE ESQUEMAS ASOCIATIVOS MULTILATERALES PARA LA CREACIÓN DE RESILIENCIA ANTE PERTURBACIONES EXTERNAS</w:t>
      </w:r>
      <w:r w:rsidRPr="00B426D4">
        <w:rPr>
          <w:sz w:val="22"/>
          <w:szCs w:val="22"/>
        </w:rPr>
        <w:t xml:space="preserve">, CELEBRADA EL </w:t>
      </w:r>
      <w:r w:rsidRPr="00B426D4">
        <w:rPr>
          <w:color w:val="000000"/>
          <w:sz w:val="22"/>
          <w:szCs w:val="22"/>
        </w:rPr>
        <w:t>8 DE DICIEMBRE DE 2020</w:t>
      </w:r>
    </w:p>
    <w:p w14:paraId="5FADDF8E" w14:textId="77777777" w:rsidR="00B426D4" w:rsidRPr="00B426D4" w:rsidRDefault="00B426D4" w:rsidP="00B426D4">
      <w:pPr>
        <w:suppressAutoHyphens/>
        <w:jc w:val="center"/>
        <w:rPr>
          <w:sz w:val="22"/>
          <w:szCs w:val="22"/>
        </w:rPr>
        <w:sectPr w:rsidR="00B426D4" w:rsidRPr="00B426D4" w:rsidSect="00B426D4">
          <w:headerReference w:type="default" r:id="rId8"/>
          <w:headerReference w:type="first" r:id="rId9"/>
          <w:type w:val="oddPage"/>
          <w:pgSz w:w="12240" w:h="15840" w:code="1"/>
          <w:pgMar w:top="2160" w:right="1570" w:bottom="1296" w:left="1699" w:header="1296" w:footer="1296" w:gutter="0"/>
          <w:pgNumType w:fmt="numberInDash" w:start="2"/>
          <w:cols w:space="720"/>
          <w:titlePg/>
          <w:docGrid w:linePitch="272"/>
        </w:sectPr>
      </w:pPr>
    </w:p>
    <w:p w14:paraId="1C37251F" w14:textId="13705AD8" w:rsidR="001569F3" w:rsidRPr="00B426D4" w:rsidRDefault="001569F3" w:rsidP="00B426D4">
      <w:pPr>
        <w:suppressAutoHyphens/>
        <w:snapToGrid w:val="0"/>
        <w:jc w:val="center"/>
        <w:rPr>
          <w:noProof/>
          <w:color w:val="000000"/>
          <w:sz w:val="22"/>
          <w:szCs w:val="22"/>
        </w:rPr>
      </w:pPr>
      <w:r w:rsidRPr="00B426D4">
        <w:rPr>
          <w:color w:val="000000"/>
          <w:sz w:val="22"/>
          <w:szCs w:val="22"/>
        </w:rPr>
        <w:t>PRESENTACIÓN DE LA SECRETARIA EJECUTIVA PARA EL DESARROLLO INTEGRAL, SRA. KIM OSBORNE, DURANTE LA REUNIÓN ORDINARIA DEL CONSEJO INTERAMERICANO PARA EL DESARROLLO INTEGRAL, SOBRE ESQUEMAS ASOCIATIVOS MULTILATERALES PARA LA CREACIÓN DE RESILIENCIA ANTE PERTURBACIONES EXTERNAS</w:t>
      </w:r>
      <w:r w:rsidRPr="00B426D4">
        <w:rPr>
          <w:sz w:val="22"/>
          <w:szCs w:val="22"/>
        </w:rPr>
        <w:t xml:space="preserve">, CELEBRADA EL </w:t>
      </w:r>
      <w:r w:rsidRPr="00B426D4">
        <w:rPr>
          <w:color w:val="000000"/>
          <w:sz w:val="22"/>
          <w:szCs w:val="22"/>
        </w:rPr>
        <w:t>8 DE DICIEMBRE DE 2020</w:t>
      </w:r>
    </w:p>
    <w:p w14:paraId="0A97DAE6" w14:textId="77777777" w:rsidR="001569F3" w:rsidRPr="00B426D4" w:rsidRDefault="001569F3" w:rsidP="00B426D4">
      <w:pPr>
        <w:suppressAutoHyphens/>
        <w:ind w:left="10" w:hanging="10"/>
        <w:rPr>
          <w:rFonts w:eastAsia="Calibri"/>
          <w:noProof/>
          <w:sz w:val="22"/>
          <w:szCs w:val="22"/>
        </w:rPr>
      </w:pPr>
    </w:p>
    <w:p w14:paraId="7EB56BB6" w14:textId="77777777" w:rsidR="001569F3" w:rsidRPr="00B426D4" w:rsidRDefault="001569F3" w:rsidP="00B426D4">
      <w:pPr>
        <w:suppressAutoHyphens/>
        <w:ind w:left="10" w:hanging="10"/>
        <w:jc w:val="center"/>
        <w:rPr>
          <w:noProof/>
          <w:sz w:val="22"/>
          <w:szCs w:val="22"/>
        </w:rPr>
      </w:pPr>
      <w:r w:rsidRPr="00B426D4">
        <w:rPr>
          <w:sz w:val="22"/>
          <w:szCs w:val="22"/>
        </w:rPr>
        <w:t xml:space="preserve">ESQUEMAS ASOCIATIVOS SEDI 2020 </w:t>
      </w:r>
    </w:p>
    <w:p w14:paraId="10F2343C" w14:textId="77777777" w:rsidR="001569F3" w:rsidRPr="00B426D4" w:rsidRDefault="001569F3" w:rsidP="00B426D4">
      <w:pPr>
        <w:suppressAutoHyphens/>
        <w:rPr>
          <w:noProof/>
          <w:sz w:val="22"/>
          <w:szCs w:val="22"/>
        </w:rPr>
      </w:pPr>
    </w:p>
    <w:p w14:paraId="36CA92E0" w14:textId="2C3803F6" w:rsidR="001569F3" w:rsidRPr="00B426D4" w:rsidRDefault="001569F3" w:rsidP="00B426D4">
      <w:pPr>
        <w:suppressAutoHyphens/>
        <w:ind w:firstLine="10"/>
        <w:jc w:val="both"/>
        <w:rPr>
          <w:noProof/>
          <w:sz w:val="22"/>
          <w:szCs w:val="22"/>
        </w:rPr>
      </w:pPr>
    </w:p>
    <w:p w14:paraId="1471743E" w14:textId="77777777" w:rsidR="001569F3" w:rsidRPr="00B426D4" w:rsidRDefault="001569F3" w:rsidP="00B426D4">
      <w:pPr>
        <w:suppressAutoHyphens/>
        <w:ind w:firstLine="10"/>
        <w:jc w:val="both"/>
        <w:rPr>
          <w:noProof/>
          <w:sz w:val="22"/>
          <w:szCs w:val="22"/>
        </w:rPr>
      </w:pPr>
      <w:r w:rsidRPr="00B426D4">
        <w:rPr>
          <w:sz w:val="22"/>
          <w:szCs w:val="22"/>
        </w:rPr>
        <w:tab/>
        <w:t xml:space="preserve">La superación de los enormes desafíos económicos y sociales a los que se enfrentan nuestros Estados Miembros —que se han visto exacerbados por la pandemia de COVID-19— requiere sólidos esquemas asociativos multisectoriales y multilaterales que puedan aprovechar la experiencia, los conocimientos, la financiación y otros recursos necesarios para reconstruir economías resilientes e incluyentes. </w:t>
      </w:r>
    </w:p>
    <w:p w14:paraId="5F853255" w14:textId="5EDBBFBD" w:rsidR="001569F3" w:rsidRPr="00B426D4" w:rsidRDefault="001569F3" w:rsidP="00B426D4">
      <w:pPr>
        <w:suppressAutoHyphens/>
        <w:jc w:val="both"/>
        <w:rPr>
          <w:noProof/>
          <w:sz w:val="22"/>
          <w:szCs w:val="22"/>
        </w:rPr>
      </w:pPr>
    </w:p>
    <w:p w14:paraId="13E8CF7B" w14:textId="6809BFFC" w:rsidR="001569F3" w:rsidRPr="00B426D4" w:rsidRDefault="001569F3" w:rsidP="00B426D4">
      <w:pPr>
        <w:suppressAutoHyphens/>
        <w:ind w:left="-15" w:firstLine="25"/>
        <w:jc w:val="both"/>
        <w:rPr>
          <w:noProof/>
          <w:sz w:val="22"/>
          <w:szCs w:val="22"/>
        </w:rPr>
      </w:pPr>
      <w:r w:rsidRPr="00B426D4">
        <w:rPr>
          <w:sz w:val="22"/>
          <w:szCs w:val="22"/>
        </w:rPr>
        <w:tab/>
        <w:t xml:space="preserve">La Secretaría Ejecutiva para el Desarrollo Integral de la Organización de los Estados Americanos (OEA/SEDI) se ha dado a la tarea de crear esquemas asociativos concretos con la finalidad de ampliar nuestro alcance e impacto en los Estados Miembros. Nuestros aliados son diversos y brinden apoyo en </w:t>
      </w:r>
      <w:r w:rsidR="00511E39" w:rsidRPr="00B426D4">
        <w:rPr>
          <w:sz w:val="22"/>
          <w:szCs w:val="22"/>
        </w:rPr>
        <w:t xml:space="preserve">varias </w:t>
      </w:r>
      <w:r w:rsidRPr="00B426D4">
        <w:rPr>
          <w:sz w:val="22"/>
          <w:szCs w:val="22"/>
        </w:rPr>
        <w:t>áreas que van desde la asistencia técnica directa, la tutoría, la capacitación y el desarrollo de capacidades, hasta el acceso a herramientas y servicios; entre ellos se encuentran actores del sector privado, universidades, bancos de desarrollo, grupos de reflexi</w:t>
      </w:r>
      <w:r w:rsidR="00165359">
        <w:rPr>
          <w:sz w:val="22"/>
          <w:szCs w:val="22"/>
        </w:rPr>
        <w:t>ón y fundaciones, entre otros.</w:t>
      </w:r>
    </w:p>
    <w:p w14:paraId="656C6B09" w14:textId="3D09FD40" w:rsidR="001569F3" w:rsidRPr="00B426D4" w:rsidRDefault="001569F3" w:rsidP="00B426D4">
      <w:pPr>
        <w:suppressAutoHyphens/>
        <w:jc w:val="both"/>
        <w:rPr>
          <w:noProof/>
          <w:sz w:val="22"/>
          <w:szCs w:val="22"/>
        </w:rPr>
      </w:pPr>
    </w:p>
    <w:p w14:paraId="0B5331CF" w14:textId="54B9323F" w:rsidR="001569F3" w:rsidRPr="00B426D4" w:rsidRDefault="001569F3" w:rsidP="00165359">
      <w:pPr>
        <w:suppressAutoHyphens/>
        <w:ind w:left="-15" w:firstLine="735"/>
        <w:jc w:val="both"/>
        <w:rPr>
          <w:noProof/>
          <w:sz w:val="22"/>
          <w:szCs w:val="22"/>
        </w:rPr>
      </w:pPr>
      <w:r w:rsidRPr="00B426D4">
        <w:rPr>
          <w:sz w:val="22"/>
          <w:szCs w:val="22"/>
        </w:rPr>
        <w:t xml:space="preserve">Dado el </w:t>
      </w:r>
      <w:r w:rsidR="00511E39" w:rsidRPr="00B426D4">
        <w:rPr>
          <w:sz w:val="22"/>
          <w:szCs w:val="22"/>
        </w:rPr>
        <w:t xml:space="preserve">poco </w:t>
      </w:r>
      <w:r w:rsidRPr="00B426D4">
        <w:rPr>
          <w:sz w:val="22"/>
          <w:szCs w:val="22"/>
        </w:rPr>
        <w:t xml:space="preserve">tiempo que tenemos hoy, me limitaré a destacar algunos de nuestros aliados y brindar alguna información sobre el impacto conjunto que estamos teniendo en nuestra región. En estos momentos seguimos estableciendo alianzas y me siento optimista al ver el potencial de ampliar nuestro grupo de aliados en el futuro. Basándome en los recientes intercambios que se han tenido con muchos actores, puedo confirmar que nuestros programas de trabajo se están alineando. Los funcionarios públicos, la comunidad internacional, los empresarios, las instituciones y las empresas están todos dispuestos a colaborar y trabajar juntos: el potencial de crecimiento y de expansión de nuestro alcance, a través de estas alianzas, tiende a ir en la dirección correcta.  </w:t>
      </w:r>
    </w:p>
    <w:p w14:paraId="11AA7724" w14:textId="77777777" w:rsidR="001569F3" w:rsidRPr="00B426D4" w:rsidRDefault="001569F3" w:rsidP="00B426D4">
      <w:pPr>
        <w:suppressAutoHyphens/>
        <w:ind w:left="-15"/>
        <w:jc w:val="both"/>
        <w:rPr>
          <w:noProof/>
          <w:sz w:val="22"/>
          <w:szCs w:val="22"/>
        </w:rPr>
      </w:pPr>
    </w:p>
    <w:p w14:paraId="53A9689C" w14:textId="1580D65A" w:rsidR="001569F3" w:rsidRPr="00B426D4" w:rsidRDefault="001569F3" w:rsidP="00B426D4">
      <w:pPr>
        <w:suppressAutoHyphens/>
        <w:ind w:left="-15"/>
        <w:jc w:val="both"/>
        <w:rPr>
          <w:noProof/>
          <w:sz w:val="22"/>
          <w:szCs w:val="22"/>
        </w:rPr>
      </w:pPr>
      <w:r w:rsidRPr="00B426D4">
        <w:rPr>
          <w:b/>
          <w:bCs/>
          <w:sz w:val="22"/>
          <w:szCs w:val="22"/>
        </w:rPr>
        <w:t xml:space="preserve">DEPARTAMENTO DE DESARROLLO </w:t>
      </w:r>
      <w:r w:rsidR="008A5FF3" w:rsidRPr="00B426D4">
        <w:rPr>
          <w:b/>
          <w:bCs/>
          <w:sz w:val="22"/>
          <w:szCs w:val="22"/>
        </w:rPr>
        <w:t>ECONÓMICO</w:t>
      </w:r>
      <w:r w:rsidRPr="00B426D4">
        <w:rPr>
          <w:b/>
          <w:bCs/>
          <w:sz w:val="22"/>
          <w:szCs w:val="22"/>
        </w:rPr>
        <w:t xml:space="preserve"> (DDE)</w:t>
      </w:r>
      <w:r w:rsidRPr="00B426D4">
        <w:rPr>
          <w:sz w:val="22"/>
          <w:szCs w:val="22"/>
        </w:rPr>
        <w:t xml:space="preserve"> </w:t>
      </w:r>
    </w:p>
    <w:p w14:paraId="251EFBEB" w14:textId="77777777" w:rsidR="001569F3" w:rsidRPr="00B426D4" w:rsidRDefault="001569F3" w:rsidP="00B426D4">
      <w:pPr>
        <w:suppressAutoHyphens/>
        <w:jc w:val="both"/>
        <w:rPr>
          <w:noProof/>
          <w:sz w:val="22"/>
          <w:szCs w:val="22"/>
        </w:rPr>
      </w:pPr>
    </w:p>
    <w:p w14:paraId="30B338A5" w14:textId="0F754FC9" w:rsidR="001569F3" w:rsidRPr="00B426D4" w:rsidRDefault="001569F3" w:rsidP="00165359">
      <w:pPr>
        <w:suppressAutoHyphens/>
        <w:ind w:left="-15" w:firstLine="735"/>
        <w:jc w:val="both"/>
        <w:rPr>
          <w:noProof/>
          <w:sz w:val="22"/>
          <w:szCs w:val="22"/>
        </w:rPr>
      </w:pPr>
      <w:r w:rsidRPr="00B426D4">
        <w:rPr>
          <w:b/>
          <w:sz w:val="22"/>
          <w:szCs w:val="22"/>
        </w:rPr>
        <w:t xml:space="preserve">Mipymes: </w:t>
      </w:r>
      <w:r w:rsidRPr="00B426D4">
        <w:rPr>
          <w:sz w:val="22"/>
          <w:szCs w:val="22"/>
        </w:rPr>
        <w:t>No bastan las palabras para poner de relieve la importancia de un sector de micro, pequeñas y medianas empresas (mipymes) más fuerte, productivo, competitivo y digitalizado</w:t>
      </w:r>
      <w:r w:rsidR="00511E39" w:rsidRPr="00B426D4">
        <w:rPr>
          <w:sz w:val="22"/>
          <w:szCs w:val="22"/>
        </w:rPr>
        <w:t>,</w:t>
      </w:r>
      <w:r w:rsidRPr="00B426D4">
        <w:rPr>
          <w:sz w:val="22"/>
          <w:szCs w:val="22"/>
        </w:rPr>
        <w:t xml:space="preserve"> en la recuperación económica y social de nuestra región.  </w:t>
      </w:r>
    </w:p>
    <w:p w14:paraId="6690D659" w14:textId="36B81682" w:rsidR="001569F3" w:rsidRPr="00B426D4" w:rsidRDefault="001569F3" w:rsidP="00B426D4">
      <w:pPr>
        <w:suppressAutoHyphens/>
        <w:jc w:val="both"/>
        <w:rPr>
          <w:noProof/>
          <w:sz w:val="22"/>
          <w:szCs w:val="22"/>
        </w:rPr>
      </w:pPr>
    </w:p>
    <w:p w14:paraId="5D7C0E50" w14:textId="4B8067B2"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Nuestra alianza, de larga data, con la </w:t>
      </w:r>
      <w:r w:rsidRPr="00B426D4">
        <w:rPr>
          <w:b/>
          <w:sz w:val="22"/>
          <w:szCs w:val="22"/>
        </w:rPr>
        <w:t xml:space="preserve">Misión Permanente de Estados Unidos ante la OEA </w:t>
      </w:r>
      <w:r w:rsidRPr="00B426D4">
        <w:rPr>
          <w:sz w:val="22"/>
          <w:szCs w:val="22"/>
        </w:rPr>
        <w:t>ha servido de apoyo y fuente de financiación para la puesta en marcha, desde 2012, del Programa de Centros de Desarrollo de Pequeñas Empresas del Caribe, que ha permitido brindar asistencia técnica de calidad normalizada a las mipymes, con un impacto económico y resultados mensurables. En 2020, se atendi</w:t>
      </w:r>
      <w:r w:rsidR="00511E39" w:rsidRPr="00B426D4">
        <w:rPr>
          <w:sz w:val="22"/>
          <w:szCs w:val="22"/>
        </w:rPr>
        <w:t>eron</w:t>
      </w:r>
      <w:r w:rsidRPr="00B426D4">
        <w:rPr>
          <w:sz w:val="22"/>
          <w:szCs w:val="22"/>
        </w:rPr>
        <w:t xml:space="preserve"> a más de 5700 pequeñas empresas, se pusieron en marcha 977 nuevas empresas y se brindó apoyo para más de 12</w:t>
      </w:r>
      <w:r w:rsidR="00511E39" w:rsidRPr="00B426D4">
        <w:rPr>
          <w:sz w:val="22"/>
          <w:szCs w:val="22"/>
        </w:rPr>
        <w:t> </w:t>
      </w:r>
      <w:r w:rsidRPr="00B426D4">
        <w:rPr>
          <w:sz w:val="22"/>
          <w:szCs w:val="22"/>
        </w:rPr>
        <w:t xml:space="preserve">000 puestos de trabajo en seis países de la CARICOM. Los ingresos por ventas ascendieron a más de US$67 millones y las ganancias generadas superaron los US$7 millones. En los últimos años se han realizado importantes esfuerzos para coordinar con otros donantes y aliados a fin de conseguir financiación. Por ejemplo, las alianzas con el </w:t>
      </w:r>
      <w:r w:rsidRPr="00B426D4">
        <w:rPr>
          <w:b/>
          <w:bCs/>
          <w:sz w:val="22"/>
          <w:szCs w:val="22"/>
        </w:rPr>
        <w:t>Organismo de Fomento de las Exportaciones de los Estados del Caribe</w:t>
      </w:r>
      <w:r w:rsidRPr="00B426D4">
        <w:rPr>
          <w:sz w:val="22"/>
          <w:szCs w:val="22"/>
        </w:rPr>
        <w:t xml:space="preserve"> y el programa </w:t>
      </w:r>
      <w:r w:rsidRPr="00B426D4">
        <w:rPr>
          <w:b/>
          <w:bCs/>
          <w:sz w:val="22"/>
          <w:szCs w:val="22"/>
        </w:rPr>
        <w:t>Caribe Compite</w:t>
      </w:r>
      <w:r w:rsidRPr="00B426D4">
        <w:rPr>
          <w:sz w:val="22"/>
          <w:szCs w:val="22"/>
        </w:rPr>
        <w:t xml:space="preserve">, financiado por el BID, en el ámbito del desarrollo de capacidades, han sido fuente de apoyo y recursos cruciales para los programas existentes del Programa de Centros de Desarrollo de Pequeñas Empresas del Caribe, y, de este modo, se ha cimentado su sostenibilidad futura. </w:t>
      </w:r>
    </w:p>
    <w:p w14:paraId="7B3E082C" w14:textId="77777777" w:rsidR="001569F3" w:rsidRPr="00B426D4" w:rsidRDefault="001569F3" w:rsidP="00B426D4">
      <w:pPr>
        <w:suppressAutoHyphens/>
        <w:jc w:val="both"/>
        <w:rPr>
          <w:noProof/>
          <w:sz w:val="22"/>
          <w:szCs w:val="22"/>
        </w:rPr>
      </w:pPr>
    </w:p>
    <w:p w14:paraId="15CC7C85" w14:textId="3159B0F1"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A principios de 2021 estarán disponibles los programas de formación virtual personalizados para las mipymes, gracias a la alianza con </w:t>
      </w:r>
      <w:r w:rsidRPr="00B426D4">
        <w:rPr>
          <w:b/>
          <w:sz w:val="22"/>
          <w:szCs w:val="22"/>
        </w:rPr>
        <w:t xml:space="preserve">WhatsApp </w:t>
      </w:r>
      <w:r w:rsidRPr="00B426D4">
        <w:rPr>
          <w:sz w:val="22"/>
          <w:szCs w:val="22"/>
        </w:rPr>
        <w:t xml:space="preserve">y la colaboración de </w:t>
      </w:r>
      <w:r w:rsidRPr="00B426D4">
        <w:rPr>
          <w:b/>
          <w:sz w:val="22"/>
          <w:szCs w:val="22"/>
        </w:rPr>
        <w:t xml:space="preserve">eBay </w:t>
      </w:r>
      <w:r w:rsidRPr="00B426D4">
        <w:rPr>
          <w:sz w:val="22"/>
          <w:szCs w:val="22"/>
        </w:rPr>
        <w:t xml:space="preserve">y </w:t>
      </w:r>
      <w:r w:rsidRPr="00B426D4">
        <w:rPr>
          <w:b/>
          <w:sz w:val="22"/>
          <w:szCs w:val="22"/>
        </w:rPr>
        <w:t>Google</w:t>
      </w:r>
      <w:r w:rsidRPr="00B426D4">
        <w:rPr>
          <w:sz w:val="22"/>
          <w:szCs w:val="22"/>
        </w:rPr>
        <w:t>. Estos programas permitirán ampliar la presencia de las mipymes en los medios digitales, contribuirán a sus esfuerzos de internacionalización y aumentarán las oportunidades de participación en el comercio electrónico. Con la finalidad de garantizar su sostenibilidad, esas alianzas incluyen también un programa de formación de instructores para las autoridades encargadas de a</w:t>
      </w:r>
      <w:r w:rsidR="00405C57">
        <w:rPr>
          <w:sz w:val="22"/>
          <w:szCs w:val="22"/>
        </w:rPr>
        <w:t>poyar al sector de las mipymes.</w:t>
      </w:r>
    </w:p>
    <w:p w14:paraId="60D1A998" w14:textId="77777777" w:rsidR="001569F3" w:rsidRPr="00B426D4" w:rsidRDefault="001569F3" w:rsidP="00B426D4">
      <w:pPr>
        <w:suppressAutoHyphens/>
        <w:jc w:val="both"/>
        <w:rPr>
          <w:noProof/>
          <w:sz w:val="22"/>
          <w:szCs w:val="22"/>
        </w:rPr>
      </w:pPr>
    </w:p>
    <w:p w14:paraId="66641DA8" w14:textId="73DE1A0C" w:rsidR="001569F3" w:rsidRPr="00B426D4" w:rsidRDefault="001569F3" w:rsidP="00B426D4">
      <w:pPr>
        <w:suppressAutoHyphens/>
        <w:ind w:left="720" w:hanging="735"/>
        <w:jc w:val="both"/>
        <w:rPr>
          <w:rFonts w:eastAsia="Calibri"/>
          <w:b/>
          <w:noProof/>
          <w:sz w:val="22"/>
          <w:szCs w:val="22"/>
        </w:rPr>
      </w:pPr>
      <w:r w:rsidRPr="00B426D4">
        <w:rPr>
          <w:b/>
          <w:sz w:val="22"/>
          <w:szCs w:val="22"/>
        </w:rPr>
        <w:tab/>
        <w:t xml:space="preserve">Competitividad, productividad e innovación </w:t>
      </w:r>
    </w:p>
    <w:p w14:paraId="29D2B663" w14:textId="77777777" w:rsidR="001569F3" w:rsidRPr="00B426D4" w:rsidRDefault="001569F3" w:rsidP="00B426D4">
      <w:pPr>
        <w:suppressAutoHyphens/>
        <w:ind w:left="-5" w:hanging="10"/>
        <w:jc w:val="both"/>
        <w:rPr>
          <w:noProof/>
          <w:sz w:val="22"/>
          <w:szCs w:val="22"/>
        </w:rPr>
      </w:pPr>
    </w:p>
    <w:p w14:paraId="13ABAD37" w14:textId="34BDF423"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El programa Intercambio para la Competitividad de las Américas (conocido por sus siglas en inglés como ACE), que se ha convertido en la principal red de desarrollo económico, innovación y emprendimiento en la región, no sería posible sin el apoyo inquebrantable del </w:t>
      </w:r>
      <w:r w:rsidRPr="00B426D4">
        <w:rPr>
          <w:b/>
          <w:sz w:val="22"/>
          <w:szCs w:val="22"/>
        </w:rPr>
        <w:t xml:space="preserve">Departamento de Comercio </w:t>
      </w:r>
      <w:r w:rsidRPr="00B426D4">
        <w:rPr>
          <w:sz w:val="22"/>
          <w:szCs w:val="22"/>
        </w:rPr>
        <w:t xml:space="preserve">de Estados Unidos y de la </w:t>
      </w:r>
      <w:r w:rsidRPr="00B426D4">
        <w:rPr>
          <w:b/>
          <w:sz w:val="22"/>
          <w:szCs w:val="22"/>
        </w:rPr>
        <w:t>Misión Permanente de Estados Unidos ante la OEA</w:t>
      </w:r>
      <w:r w:rsidRPr="00B426D4">
        <w:rPr>
          <w:sz w:val="22"/>
          <w:szCs w:val="22"/>
        </w:rPr>
        <w:t>. El programa ACE se centra en el intercambio de buenas prácticas y oportunidades para promover alianzas prácticas entre los responsables de la toma de decisiones de alto nivel de todo el continente americano y los principales centros de innovación, centros de investigación y tecnología avanzada, empresas de vanguardia e instituciones académicas líderes que se visitan en cada edición de este programa. Desde 2014 se han celebrado 12 exitosas ediciones de este programa, en las que se han puesto de relieve 57 regiones y más de 900 proyectos, con lo que se han beneficiado más de 36</w:t>
      </w:r>
      <w:r w:rsidR="00511E39" w:rsidRPr="00B426D4">
        <w:rPr>
          <w:sz w:val="22"/>
          <w:szCs w:val="22"/>
        </w:rPr>
        <w:t> </w:t>
      </w:r>
      <w:r w:rsidRPr="00B426D4">
        <w:rPr>
          <w:sz w:val="22"/>
          <w:szCs w:val="22"/>
        </w:rPr>
        <w:t xml:space="preserve">500 empresarios y receptores de programas de aceleración y se han creado más de 1000 puestos de trabajo. </w:t>
      </w:r>
    </w:p>
    <w:p w14:paraId="3C20C1C4" w14:textId="77777777" w:rsidR="001569F3" w:rsidRPr="00B426D4" w:rsidRDefault="001569F3" w:rsidP="00B426D4">
      <w:pPr>
        <w:suppressAutoHyphens/>
        <w:jc w:val="both"/>
        <w:rPr>
          <w:noProof/>
          <w:sz w:val="22"/>
          <w:szCs w:val="22"/>
        </w:rPr>
      </w:pPr>
      <w:r w:rsidRPr="00B426D4">
        <w:rPr>
          <w:sz w:val="22"/>
          <w:szCs w:val="22"/>
        </w:rPr>
        <w:t xml:space="preserve"> </w:t>
      </w:r>
    </w:p>
    <w:p w14:paraId="4FB64B2D" w14:textId="77777777" w:rsidR="001569F3" w:rsidRPr="00B426D4" w:rsidRDefault="001569F3" w:rsidP="00B426D4">
      <w:pPr>
        <w:numPr>
          <w:ilvl w:val="0"/>
          <w:numId w:val="22"/>
        </w:numPr>
        <w:suppressAutoHyphens/>
        <w:ind w:left="1440" w:hanging="720"/>
        <w:jc w:val="both"/>
        <w:rPr>
          <w:noProof/>
          <w:sz w:val="22"/>
          <w:szCs w:val="22"/>
        </w:rPr>
      </w:pPr>
      <w:r w:rsidRPr="00B426D4">
        <w:rPr>
          <w:b/>
          <w:bCs/>
          <w:sz w:val="22"/>
          <w:szCs w:val="22"/>
        </w:rPr>
        <w:t>Walmart</w:t>
      </w:r>
      <w:r w:rsidRPr="00B426D4">
        <w:rPr>
          <w:sz w:val="22"/>
          <w:szCs w:val="22"/>
        </w:rPr>
        <w:t xml:space="preserve"> y la </w:t>
      </w:r>
      <w:r w:rsidRPr="00B426D4">
        <w:rPr>
          <w:b/>
          <w:bCs/>
          <w:sz w:val="22"/>
          <w:szCs w:val="22"/>
        </w:rPr>
        <w:t>Comisión Nacional de Mejora Regulatoria</w:t>
      </w:r>
      <w:r w:rsidRPr="00B426D4">
        <w:rPr>
          <w:sz w:val="22"/>
          <w:szCs w:val="22"/>
        </w:rPr>
        <w:t xml:space="preserve"> (</w:t>
      </w:r>
      <w:r w:rsidRPr="00B426D4">
        <w:rPr>
          <w:b/>
          <w:bCs/>
          <w:sz w:val="22"/>
          <w:szCs w:val="22"/>
        </w:rPr>
        <w:t>CONAMER</w:t>
      </w:r>
      <w:r w:rsidRPr="00B426D4">
        <w:rPr>
          <w:sz w:val="22"/>
          <w:szCs w:val="22"/>
        </w:rPr>
        <w:t xml:space="preserve">) de México han aportado recursos técnicos y financieros y para el desarrollo de capacidades, en el contexto del Grupo de Expertos sobre Competitividad Subnacional (GTECS) de la Red Interamericana de Competitividad (RIAC), con la finalidad de promover el intercambio de buenas prácticas regulatorias sobre permisos de construcción y lanzar un programa piloto de Ventanilla de Construcción Simplificada en la región. Guatemala, El Salvador, Colombia y Honduras han expresado su interés en unirse a este programa piloto.  </w:t>
      </w:r>
    </w:p>
    <w:p w14:paraId="1F6EE86C" w14:textId="77777777" w:rsidR="001569F3" w:rsidRPr="00B426D4" w:rsidRDefault="001569F3" w:rsidP="00B426D4">
      <w:pPr>
        <w:suppressAutoHyphens/>
        <w:jc w:val="both"/>
        <w:rPr>
          <w:noProof/>
          <w:sz w:val="22"/>
          <w:szCs w:val="22"/>
        </w:rPr>
      </w:pPr>
    </w:p>
    <w:p w14:paraId="7CD7405C" w14:textId="2A9A36B2" w:rsidR="001569F3" w:rsidRPr="00B426D4" w:rsidRDefault="001569F3" w:rsidP="00B426D4">
      <w:pPr>
        <w:suppressAutoHyphens/>
        <w:ind w:left="720" w:hanging="10"/>
        <w:jc w:val="both"/>
        <w:rPr>
          <w:b/>
          <w:noProof/>
          <w:sz w:val="22"/>
          <w:szCs w:val="22"/>
        </w:rPr>
      </w:pPr>
      <w:r w:rsidRPr="00B426D4">
        <w:rPr>
          <w:b/>
          <w:sz w:val="22"/>
          <w:szCs w:val="22"/>
        </w:rPr>
        <w:t>Ciencia y tecnología</w:t>
      </w:r>
    </w:p>
    <w:p w14:paraId="68CD1469" w14:textId="77777777" w:rsidR="001569F3" w:rsidRPr="00B426D4" w:rsidRDefault="001569F3" w:rsidP="00B426D4">
      <w:pPr>
        <w:suppressAutoHyphens/>
        <w:jc w:val="both"/>
        <w:rPr>
          <w:noProof/>
          <w:sz w:val="22"/>
          <w:szCs w:val="22"/>
        </w:rPr>
      </w:pPr>
    </w:p>
    <w:p w14:paraId="1E94FE40" w14:textId="22CED56A"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El </w:t>
      </w:r>
      <w:r w:rsidRPr="00B426D4">
        <w:rPr>
          <w:b/>
          <w:bCs/>
          <w:sz w:val="22"/>
          <w:szCs w:val="22"/>
        </w:rPr>
        <w:t>Consejo Nacional de Ciencia, Tecnología e Innovación Tecnológica</w:t>
      </w:r>
      <w:r w:rsidRPr="00B426D4">
        <w:rPr>
          <w:sz w:val="22"/>
          <w:szCs w:val="22"/>
        </w:rPr>
        <w:t xml:space="preserve"> (</w:t>
      </w:r>
      <w:r w:rsidRPr="00B426D4">
        <w:rPr>
          <w:b/>
          <w:bCs/>
          <w:sz w:val="22"/>
          <w:szCs w:val="22"/>
        </w:rPr>
        <w:t>CONCYTEC</w:t>
      </w:r>
      <w:r w:rsidRPr="00B426D4">
        <w:rPr>
          <w:sz w:val="22"/>
          <w:szCs w:val="22"/>
        </w:rPr>
        <w:t>) de Perú contribuyó al lanzamiento de Prospecta Américas en 2019, una plataforma regional de la OEA que tiene por objeto trazar un mapa de las tendencias y futuros desarrollos tecnológicos en sectores de importancia crítica para las Américas y proporcionar aportes a los Estados Miembros en la formulación de políticas públicas. Prospecta Américas se basa en la formación de alianzas que conducirán al establecimiento de diez Centros de Excelencia en toda la región con el objetivo de facilitar la investigación, la colaboración y la apropiación social de tecnologías transformadoras</w:t>
      </w:r>
      <w:r w:rsidR="005915AC" w:rsidRPr="00B426D4">
        <w:rPr>
          <w:sz w:val="22"/>
          <w:szCs w:val="22"/>
        </w:rPr>
        <w:t>,</w:t>
      </w:r>
      <w:r w:rsidRPr="00B426D4">
        <w:rPr>
          <w:sz w:val="22"/>
          <w:szCs w:val="22"/>
        </w:rPr>
        <w:t xml:space="preserve"> como inteligencia artificial, grandes datos, </w:t>
      </w:r>
      <w:r w:rsidRPr="00B426D4">
        <w:rPr>
          <w:i/>
          <w:iCs/>
          <w:sz w:val="22"/>
          <w:szCs w:val="22"/>
        </w:rPr>
        <w:t>blockchain</w:t>
      </w:r>
      <w:r w:rsidRPr="00B426D4">
        <w:rPr>
          <w:sz w:val="22"/>
          <w:szCs w:val="22"/>
        </w:rPr>
        <w:t xml:space="preserve">, informática cuántica, ingeniería genética y otras. Brasil, Colombia, Costa Rica, Chile, México y Perú han expresado su interés en albergar esos centros. El estado de Hidalgo (México) se ha ofrecido como sede para Prospecta Américas en 2021. </w:t>
      </w:r>
    </w:p>
    <w:p w14:paraId="54EAABA0" w14:textId="77777777" w:rsidR="001569F3" w:rsidRPr="00B426D4" w:rsidRDefault="001569F3" w:rsidP="00B426D4">
      <w:pPr>
        <w:suppressAutoHyphens/>
        <w:jc w:val="both"/>
        <w:rPr>
          <w:noProof/>
          <w:sz w:val="22"/>
          <w:szCs w:val="22"/>
        </w:rPr>
      </w:pPr>
    </w:p>
    <w:p w14:paraId="49C6F2D0" w14:textId="70A18D7A" w:rsidR="001569F3" w:rsidRPr="00B426D4" w:rsidRDefault="001569F3" w:rsidP="00B426D4">
      <w:pPr>
        <w:suppressAutoHyphens/>
        <w:ind w:left="1440" w:hanging="720"/>
        <w:jc w:val="both"/>
        <w:rPr>
          <w:rFonts w:eastAsia="Calibri"/>
          <w:b/>
          <w:noProof/>
          <w:sz w:val="22"/>
          <w:szCs w:val="22"/>
        </w:rPr>
      </w:pPr>
      <w:r w:rsidRPr="00B426D4">
        <w:rPr>
          <w:b/>
          <w:sz w:val="22"/>
          <w:szCs w:val="22"/>
        </w:rPr>
        <w:t>Turismo y cultura</w:t>
      </w:r>
    </w:p>
    <w:p w14:paraId="705DFFA9" w14:textId="77777777" w:rsidR="001569F3" w:rsidRPr="00B426D4" w:rsidRDefault="001569F3" w:rsidP="00B426D4">
      <w:pPr>
        <w:suppressAutoHyphens/>
        <w:jc w:val="both"/>
        <w:rPr>
          <w:noProof/>
          <w:sz w:val="22"/>
          <w:szCs w:val="22"/>
        </w:rPr>
      </w:pPr>
    </w:p>
    <w:p w14:paraId="6125D806" w14:textId="66D839E2"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Estamos trabajando en colaboración con la </w:t>
      </w:r>
      <w:r w:rsidRPr="00B426D4">
        <w:rPr>
          <w:b/>
          <w:bCs/>
          <w:sz w:val="22"/>
          <w:szCs w:val="22"/>
        </w:rPr>
        <w:t>Organización Mundial del Turismo</w:t>
      </w:r>
      <w:r w:rsidRPr="00B426D4">
        <w:rPr>
          <w:sz w:val="22"/>
          <w:szCs w:val="22"/>
        </w:rPr>
        <w:t xml:space="preserve"> (</w:t>
      </w:r>
      <w:r w:rsidRPr="00B426D4">
        <w:rPr>
          <w:b/>
          <w:bCs/>
          <w:sz w:val="22"/>
          <w:szCs w:val="22"/>
        </w:rPr>
        <w:t>OMT</w:t>
      </w:r>
      <w:r w:rsidRPr="00B426D4">
        <w:rPr>
          <w:sz w:val="22"/>
          <w:szCs w:val="22"/>
        </w:rPr>
        <w:t xml:space="preserve">) para ofrecer oportunidades conjuntas de desarrollo de capacidades y generar productos de conocimiento para los Estados Miembros de la OEA, en particular en apoyo de la Agenda 2030. En una reciente publicación conjunta titulada </w:t>
      </w:r>
      <w:r w:rsidR="00762BA4" w:rsidRPr="00B426D4">
        <w:rPr>
          <w:sz w:val="22"/>
          <w:szCs w:val="22"/>
        </w:rPr>
        <w:t>“</w:t>
      </w:r>
      <w:r w:rsidRPr="00405C57">
        <w:rPr>
          <w:i/>
          <w:sz w:val="22"/>
          <w:szCs w:val="22"/>
        </w:rPr>
        <w:t>Tourism and the Sustainable Development Goals: Good Practices in the Americas</w:t>
      </w:r>
      <w:r w:rsidR="00762BA4" w:rsidRPr="00B426D4">
        <w:rPr>
          <w:sz w:val="22"/>
          <w:szCs w:val="22"/>
        </w:rPr>
        <w:t>”</w:t>
      </w:r>
      <w:r w:rsidRPr="00B426D4">
        <w:rPr>
          <w:sz w:val="22"/>
          <w:szCs w:val="22"/>
        </w:rPr>
        <w:t xml:space="preserve"> se pusieron de relieve las acciones y avances de las instituciones de turismo de los Estados Miembros de la OEA en apoyo a los ODS. </w:t>
      </w:r>
    </w:p>
    <w:p w14:paraId="03DD5219" w14:textId="77777777" w:rsidR="001569F3" w:rsidRPr="00B426D4" w:rsidRDefault="001569F3" w:rsidP="00B426D4">
      <w:pPr>
        <w:suppressAutoHyphens/>
        <w:jc w:val="both"/>
        <w:rPr>
          <w:noProof/>
          <w:sz w:val="22"/>
          <w:szCs w:val="22"/>
        </w:rPr>
      </w:pPr>
    </w:p>
    <w:p w14:paraId="5CA33C7B" w14:textId="77777777" w:rsidR="001569F3" w:rsidRPr="00B426D4" w:rsidRDefault="001569F3" w:rsidP="00B426D4">
      <w:pPr>
        <w:numPr>
          <w:ilvl w:val="0"/>
          <w:numId w:val="22"/>
        </w:numPr>
        <w:suppressAutoHyphens/>
        <w:ind w:left="1440" w:hanging="720"/>
        <w:jc w:val="both"/>
        <w:rPr>
          <w:noProof/>
          <w:sz w:val="22"/>
          <w:szCs w:val="22"/>
        </w:rPr>
      </w:pPr>
      <w:r w:rsidRPr="00B426D4">
        <w:rPr>
          <w:sz w:val="22"/>
          <w:szCs w:val="22"/>
        </w:rPr>
        <w:t xml:space="preserve">La </w:t>
      </w:r>
      <w:r w:rsidRPr="00B426D4">
        <w:rPr>
          <w:b/>
          <w:bCs/>
          <w:sz w:val="22"/>
          <w:szCs w:val="22"/>
        </w:rPr>
        <w:t>Universidad George Washington</w:t>
      </w:r>
      <w:r w:rsidRPr="00B426D4">
        <w:rPr>
          <w:sz w:val="22"/>
          <w:szCs w:val="22"/>
        </w:rPr>
        <w:t xml:space="preserve"> y la </w:t>
      </w:r>
      <w:r w:rsidRPr="00B426D4">
        <w:rPr>
          <w:b/>
          <w:bCs/>
          <w:sz w:val="22"/>
          <w:szCs w:val="22"/>
        </w:rPr>
        <w:t>Oficina de Asuntos Indígenas</w:t>
      </w:r>
      <w:r w:rsidRPr="00B426D4">
        <w:rPr>
          <w:sz w:val="22"/>
          <w:szCs w:val="22"/>
        </w:rPr>
        <w:t xml:space="preserve"> de Estados Unidos unieron fuerzas con nosotros para organizar el Primer Foro de Turismo Indígena de las Américas, en octubre de 2020. El Foro y una serie de seminarios web, celebrados a nivel subregional, contribuyeron a crear conciencia sobre la necesidad de fomentar las actividades económicas sostenibles en el sector del turismo, en particular para las comunidades indígenas históricamente desfavorecidas. También destacó la importancia de fortalecer las instituciones responsables del turismo rural comunitario y las directrices para el funcionamiento del turismo comunitario sostenible en las Américas, un componente clave de la Comisión Interamericana de Turismo (CITUR).</w:t>
      </w:r>
    </w:p>
    <w:p w14:paraId="7D542BBF" w14:textId="77777777" w:rsidR="001569F3" w:rsidRPr="00B426D4" w:rsidRDefault="001569F3" w:rsidP="00B426D4">
      <w:pPr>
        <w:suppressAutoHyphens/>
        <w:rPr>
          <w:noProof/>
          <w:sz w:val="22"/>
          <w:szCs w:val="22"/>
        </w:rPr>
      </w:pPr>
    </w:p>
    <w:p w14:paraId="211F4243" w14:textId="77777777" w:rsidR="001569F3" w:rsidRPr="00B426D4" w:rsidRDefault="001569F3" w:rsidP="00B426D4">
      <w:pPr>
        <w:suppressAutoHyphens/>
        <w:jc w:val="both"/>
        <w:rPr>
          <w:b/>
          <w:noProof/>
          <w:sz w:val="22"/>
          <w:szCs w:val="22"/>
        </w:rPr>
      </w:pPr>
      <w:r w:rsidRPr="00B426D4">
        <w:rPr>
          <w:b/>
          <w:sz w:val="22"/>
          <w:szCs w:val="22"/>
        </w:rPr>
        <w:t xml:space="preserve">DEPARTAMENTO DE DESARROLLO SOSTENIBLE (DDS) </w:t>
      </w:r>
    </w:p>
    <w:p w14:paraId="473DD231" w14:textId="77777777" w:rsidR="001569F3" w:rsidRPr="00B426D4" w:rsidRDefault="001569F3" w:rsidP="00B426D4">
      <w:pPr>
        <w:suppressAutoHyphens/>
        <w:jc w:val="both"/>
        <w:rPr>
          <w:noProof/>
          <w:sz w:val="22"/>
          <w:szCs w:val="22"/>
        </w:rPr>
      </w:pPr>
    </w:p>
    <w:p w14:paraId="29B57114" w14:textId="47B179BD" w:rsidR="001569F3" w:rsidRPr="00B426D4" w:rsidRDefault="001569F3" w:rsidP="00B426D4">
      <w:pPr>
        <w:suppressAutoHyphens/>
        <w:ind w:left="-15"/>
        <w:jc w:val="both"/>
        <w:rPr>
          <w:rFonts w:eastAsia="Calibri"/>
          <w:b/>
          <w:noProof/>
          <w:sz w:val="22"/>
          <w:szCs w:val="22"/>
        </w:rPr>
      </w:pPr>
      <w:r w:rsidRPr="00B426D4">
        <w:rPr>
          <w:b/>
          <w:sz w:val="22"/>
          <w:szCs w:val="22"/>
        </w:rPr>
        <w:t xml:space="preserve">Energía sostenible </w:t>
      </w:r>
    </w:p>
    <w:p w14:paraId="30BFC67C" w14:textId="77777777" w:rsidR="001569F3" w:rsidRPr="00B426D4" w:rsidRDefault="001569F3" w:rsidP="00B426D4">
      <w:pPr>
        <w:suppressAutoHyphens/>
        <w:ind w:left="-15"/>
        <w:jc w:val="both"/>
        <w:rPr>
          <w:noProof/>
          <w:sz w:val="22"/>
          <w:szCs w:val="22"/>
        </w:rPr>
      </w:pPr>
    </w:p>
    <w:p w14:paraId="482E620E" w14:textId="31782231" w:rsidR="001569F3" w:rsidRPr="00B426D4" w:rsidRDefault="001569F3" w:rsidP="00B426D4">
      <w:pPr>
        <w:numPr>
          <w:ilvl w:val="0"/>
          <w:numId w:val="23"/>
        </w:numPr>
        <w:suppressAutoHyphens/>
        <w:ind w:left="1440" w:hanging="720"/>
        <w:jc w:val="both"/>
        <w:rPr>
          <w:noProof/>
          <w:sz w:val="22"/>
          <w:szCs w:val="22"/>
        </w:rPr>
      </w:pPr>
      <w:r w:rsidRPr="00B426D4">
        <w:rPr>
          <w:sz w:val="22"/>
          <w:szCs w:val="22"/>
        </w:rPr>
        <w:t xml:space="preserve">Desde 2009, la </w:t>
      </w:r>
      <w:r w:rsidRPr="00B426D4">
        <w:rPr>
          <w:b/>
          <w:sz w:val="22"/>
          <w:szCs w:val="22"/>
        </w:rPr>
        <w:t xml:space="preserve">Misión Permanente de Estados Unidos ante la OEA </w:t>
      </w:r>
      <w:r w:rsidRPr="00B426D4">
        <w:rPr>
          <w:sz w:val="22"/>
          <w:szCs w:val="22"/>
        </w:rPr>
        <w:t xml:space="preserve">ha ofrecido apoyo financiero para la puesta en marcha de la Alianza de Energía y Clima de las Américas (ECPA). Además, el </w:t>
      </w:r>
      <w:r w:rsidRPr="00B426D4">
        <w:rPr>
          <w:b/>
          <w:bCs/>
          <w:sz w:val="22"/>
          <w:szCs w:val="22"/>
        </w:rPr>
        <w:t xml:space="preserve">Departamento de Energía </w:t>
      </w:r>
      <w:r w:rsidRPr="00B426D4">
        <w:rPr>
          <w:sz w:val="22"/>
          <w:szCs w:val="22"/>
        </w:rPr>
        <w:t xml:space="preserve">y el </w:t>
      </w:r>
      <w:r w:rsidRPr="00B426D4">
        <w:rPr>
          <w:b/>
          <w:bCs/>
          <w:sz w:val="22"/>
          <w:szCs w:val="22"/>
        </w:rPr>
        <w:t>National Institute for Standards and Technology</w:t>
      </w:r>
      <w:r w:rsidRPr="00B426D4">
        <w:rPr>
          <w:sz w:val="22"/>
          <w:szCs w:val="22"/>
        </w:rPr>
        <w:t xml:space="preserve"> de Estados Unidos aportan recursos técnicos para desarrollar intervenciones mensurables y de alto impacto en el campo de la energía sostenible. La ECPA es la única plataforma existente en el continente para el diálogo y la cooperación en materia de energía, congrega a todos los Estados Miembros de la OEA y logra la participación de Gobiernos y empresas en la promoción de la sostenibilidad energética. La OEA/SEDI ha aprovechado con éxito este programa y está atrayendo a otros valiosos aliados. Uno de los muchos ejemplos son GE y el MIT, que —con una contribución valorada en US$100.000— han ayudado a evaluar la viabilidad de las opciones de política y tecnología que han presentado los países de América Latina y el Caribe para cumplir con sus contribuciones determinadas a nivel nacional en virtud del Acuerdo de París. Otras entidades aliadas son la CARICOM, CXC y GIZ, que —con una aportación valorada en US$60.000— han ofrecido capacitación a maestros en el uso del programa de estudios en ingeniería ecológica para escuelas de educación básica e intermedia del Caribe. </w:t>
      </w:r>
    </w:p>
    <w:p w14:paraId="36749937" w14:textId="77777777" w:rsidR="001569F3" w:rsidRPr="00B426D4" w:rsidRDefault="001569F3" w:rsidP="00B426D4">
      <w:pPr>
        <w:suppressAutoHyphens/>
        <w:jc w:val="both"/>
        <w:rPr>
          <w:noProof/>
          <w:sz w:val="22"/>
          <w:szCs w:val="22"/>
        </w:rPr>
      </w:pPr>
    </w:p>
    <w:p w14:paraId="32269C90" w14:textId="6BB44D28" w:rsidR="001569F3" w:rsidRPr="00B426D4" w:rsidRDefault="001569F3" w:rsidP="00B426D4">
      <w:pPr>
        <w:suppressAutoHyphens/>
        <w:ind w:left="720"/>
        <w:jc w:val="both"/>
        <w:rPr>
          <w:rFonts w:eastAsia="Calibri"/>
          <w:b/>
          <w:noProof/>
          <w:sz w:val="22"/>
          <w:szCs w:val="22"/>
        </w:rPr>
      </w:pPr>
      <w:r w:rsidRPr="00B426D4">
        <w:rPr>
          <w:b/>
          <w:sz w:val="22"/>
          <w:szCs w:val="22"/>
        </w:rPr>
        <w:t>Gestión integrada de los recursos hídricos</w:t>
      </w:r>
    </w:p>
    <w:p w14:paraId="0E510207" w14:textId="77777777" w:rsidR="001569F3" w:rsidRPr="00B426D4" w:rsidRDefault="001569F3" w:rsidP="00B426D4">
      <w:pPr>
        <w:suppressAutoHyphens/>
        <w:ind w:left="-15"/>
        <w:jc w:val="both"/>
        <w:rPr>
          <w:noProof/>
          <w:sz w:val="22"/>
          <w:szCs w:val="22"/>
        </w:rPr>
      </w:pPr>
    </w:p>
    <w:p w14:paraId="54C7857B" w14:textId="77777777" w:rsidR="001569F3" w:rsidRPr="00B426D4" w:rsidRDefault="001569F3" w:rsidP="00B426D4">
      <w:pPr>
        <w:numPr>
          <w:ilvl w:val="0"/>
          <w:numId w:val="23"/>
        </w:numPr>
        <w:suppressAutoHyphens/>
        <w:ind w:left="1440" w:hanging="720"/>
        <w:jc w:val="both"/>
        <w:rPr>
          <w:noProof/>
          <w:sz w:val="22"/>
          <w:szCs w:val="22"/>
        </w:rPr>
      </w:pPr>
      <w:r w:rsidRPr="00B426D4">
        <w:rPr>
          <w:sz w:val="22"/>
          <w:szCs w:val="22"/>
        </w:rPr>
        <w:t xml:space="preserve">Nuestros principales aliados en el área de la gestión de recursos hídricos son el </w:t>
      </w:r>
      <w:r w:rsidRPr="00B426D4">
        <w:rPr>
          <w:b/>
          <w:bCs/>
          <w:sz w:val="22"/>
          <w:szCs w:val="22"/>
        </w:rPr>
        <w:t>Banco Interamericano de Desarrollo</w:t>
      </w:r>
      <w:r w:rsidRPr="00B426D4">
        <w:rPr>
          <w:sz w:val="22"/>
          <w:szCs w:val="22"/>
        </w:rPr>
        <w:t xml:space="preserve"> (</w:t>
      </w:r>
      <w:r w:rsidRPr="00B426D4">
        <w:rPr>
          <w:b/>
          <w:bCs/>
          <w:sz w:val="22"/>
          <w:szCs w:val="22"/>
        </w:rPr>
        <w:t>BID</w:t>
      </w:r>
      <w:r w:rsidRPr="00B426D4">
        <w:rPr>
          <w:sz w:val="22"/>
          <w:szCs w:val="22"/>
        </w:rPr>
        <w:t xml:space="preserve">), el </w:t>
      </w:r>
      <w:r w:rsidRPr="00B426D4">
        <w:rPr>
          <w:b/>
          <w:bCs/>
          <w:sz w:val="22"/>
          <w:szCs w:val="22"/>
        </w:rPr>
        <w:t>Programa de las Naciones Unidas para el Medio Ambiente</w:t>
      </w:r>
      <w:r w:rsidRPr="00B426D4">
        <w:rPr>
          <w:sz w:val="22"/>
          <w:szCs w:val="22"/>
        </w:rPr>
        <w:t xml:space="preserve"> (</w:t>
      </w:r>
      <w:r w:rsidRPr="00B426D4">
        <w:rPr>
          <w:b/>
          <w:bCs/>
          <w:sz w:val="22"/>
          <w:szCs w:val="22"/>
        </w:rPr>
        <w:t>PNUMA</w:t>
      </w:r>
      <w:r w:rsidRPr="00B426D4">
        <w:rPr>
          <w:sz w:val="22"/>
          <w:szCs w:val="22"/>
        </w:rPr>
        <w:t xml:space="preserve">) y el </w:t>
      </w:r>
      <w:r w:rsidRPr="00B426D4">
        <w:rPr>
          <w:b/>
          <w:bCs/>
          <w:sz w:val="22"/>
          <w:szCs w:val="22"/>
        </w:rPr>
        <w:t>Banco de Desarrollo de América Latina</w:t>
      </w:r>
      <w:r w:rsidRPr="00B426D4">
        <w:rPr>
          <w:sz w:val="22"/>
          <w:szCs w:val="22"/>
        </w:rPr>
        <w:t xml:space="preserve"> (</w:t>
      </w:r>
      <w:r w:rsidRPr="00B426D4">
        <w:rPr>
          <w:b/>
          <w:bCs/>
          <w:sz w:val="22"/>
          <w:szCs w:val="22"/>
        </w:rPr>
        <w:t>CAF</w:t>
      </w:r>
      <w:r w:rsidRPr="00B426D4">
        <w:rPr>
          <w:sz w:val="22"/>
          <w:szCs w:val="22"/>
        </w:rPr>
        <w:t xml:space="preserve">), con una aportación combinada en efectivo de casi US$13 millones, ejecutada directamente por la OEA/SEDI. En 2020, se integró una cartera de inversiones de 25 proyectos para promover la gestión integrada de los recursos hídricos en la cuenca del Plata (Argentina, Bolivia, Brasil, Uruguay y Paraguay), que totalizan US$90 millones de financiación en efectivo y contribuciones en especie estimadas en US$1.000 millones. Los proyectos abarcan las esferas de acción prioritarias definidas por los países, entre ellas el mejoramiento de la gestión de recursos hídricos, sistemas de alerta temprana, navegación, agricultura y hidroelectricidad en la cuenca del Plata. Todo elemento nuevo en esta cartera se centrará en el saneamiento, en particular en lo que respecta a la prevención y la respuesta a la COVID-19. </w:t>
      </w:r>
    </w:p>
    <w:p w14:paraId="0558AFB5" w14:textId="77777777" w:rsidR="001569F3" w:rsidRPr="00B426D4" w:rsidRDefault="001569F3" w:rsidP="00B426D4">
      <w:pPr>
        <w:suppressAutoHyphens/>
        <w:jc w:val="both"/>
        <w:rPr>
          <w:noProof/>
          <w:sz w:val="22"/>
          <w:szCs w:val="22"/>
        </w:rPr>
      </w:pPr>
    </w:p>
    <w:p w14:paraId="36595512" w14:textId="791EA9CB" w:rsidR="001569F3" w:rsidRPr="00B426D4" w:rsidRDefault="001569F3" w:rsidP="00B426D4">
      <w:pPr>
        <w:suppressAutoHyphens/>
        <w:ind w:left="-15"/>
        <w:jc w:val="both"/>
        <w:rPr>
          <w:rFonts w:eastAsia="Calibri"/>
          <w:b/>
          <w:noProof/>
          <w:sz w:val="22"/>
          <w:szCs w:val="22"/>
        </w:rPr>
      </w:pPr>
      <w:r w:rsidRPr="00B426D4">
        <w:rPr>
          <w:b/>
          <w:sz w:val="22"/>
          <w:szCs w:val="22"/>
        </w:rPr>
        <w:t xml:space="preserve">Gestión del riesgo de desastres </w:t>
      </w:r>
    </w:p>
    <w:p w14:paraId="1C2174B9" w14:textId="77777777" w:rsidR="001569F3" w:rsidRPr="00B426D4" w:rsidRDefault="001569F3" w:rsidP="00B426D4">
      <w:pPr>
        <w:suppressAutoHyphens/>
        <w:ind w:left="-15"/>
        <w:jc w:val="both"/>
        <w:rPr>
          <w:noProof/>
          <w:sz w:val="22"/>
          <w:szCs w:val="22"/>
        </w:rPr>
      </w:pPr>
    </w:p>
    <w:p w14:paraId="4A87A73C" w14:textId="7955059D" w:rsidR="001569F3" w:rsidRPr="00B426D4" w:rsidRDefault="001569F3" w:rsidP="00B426D4">
      <w:pPr>
        <w:numPr>
          <w:ilvl w:val="0"/>
          <w:numId w:val="23"/>
        </w:numPr>
        <w:suppressAutoHyphens/>
        <w:ind w:left="1440" w:hanging="720"/>
        <w:jc w:val="both"/>
        <w:rPr>
          <w:noProof/>
          <w:sz w:val="22"/>
          <w:szCs w:val="22"/>
        </w:rPr>
      </w:pPr>
      <w:r w:rsidRPr="00B426D4">
        <w:rPr>
          <w:sz w:val="22"/>
          <w:szCs w:val="22"/>
        </w:rPr>
        <w:t xml:space="preserve">El proyecto </w:t>
      </w:r>
      <w:r w:rsidR="00762BA4" w:rsidRPr="00B426D4">
        <w:rPr>
          <w:sz w:val="22"/>
          <w:szCs w:val="22"/>
        </w:rPr>
        <w:t>“</w:t>
      </w:r>
      <w:r w:rsidRPr="00E05372">
        <w:rPr>
          <w:i/>
          <w:sz w:val="22"/>
          <w:szCs w:val="22"/>
        </w:rPr>
        <w:t>Building the Resilience of the Small Tourism Enterprises in the Caribbean to Disasters</w:t>
      </w:r>
      <w:r w:rsidR="00762BA4" w:rsidRPr="00B426D4">
        <w:rPr>
          <w:sz w:val="22"/>
          <w:szCs w:val="22"/>
        </w:rPr>
        <w:t>”</w:t>
      </w:r>
      <w:r w:rsidRPr="00B426D4">
        <w:rPr>
          <w:sz w:val="22"/>
          <w:szCs w:val="22"/>
        </w:rPr>
        <w:t xml:space="preserve">, lanzado en 2020 y financiado por el </w:t>
      </w:r>
      <w:r w:rsidRPr="00B426D4">
        <w:rPr>
          <w:b/>
          <w:bCs/>
          <w:sz w:val="22"/>
          <w:szCs w:val="22"/>
        </w:rPr>
        <w:t>Departamento de Estado de Estados Unidos</w:t>
      </w:r>
      <w:r w:rsidRPr="00B426D4">
        <w:rPr>
          <w:sz w:val="22"/>
          <w:szCs w:val="22"/>
        </w:rPr>
        <w:t xml:space="preserve">, ya ha </w:t>
      </w:r>
      <w:r w:rsidR="008A5FF3" w:rsidRPr="00B426D4">
        <w:rPr>
          <w:sz w:val="22"/>
          <w:szCs w:val="22"/>
        </w:rPr>
        <w:t>brindado</w:t>
      </w:r>
      <w:r w:rsidRPr="00B426D4">
        <w:rPr>
          <w:sz w:val="22"/>
          <w:szCs w:val="22"/>
        </w:rPr>
        <w:t xml:space="preserve"> capacitación a más de 260 propietarios o gerentes de empresas y 30 profesionales de gestión de emergencias para ayudar a las pequeñas empresas turísticas del Caribe a superar los problemas que afectan a la continuidad de las empresas, tanto a nivel individual como nacional, durante y después de una catástrofe. El proyecto se basa en gran medida en las alianzas con organismos especializados como la </w:t>
      </w:r>
      <w:r w:rsidRPr="00B426D4">
        <w:rPr>
          <w:b/>
          <w:bCs/>
          <w:sz w:val="22"/>
          <w:szCs w:val="22"/>
        </w:rPr>
        <w:t>Agencia Caribeña para la Gestión de Actividades Relacionadas con Emergencias</w:t>
      </w:r>
      <w:r w:rsidRPr="00B426D4">
        <w:rPr>
          <w:sz w:val="22"/>
          <w:szCs w:val="22"/>
        </w:rPr>
        <w:t xml:space="preserve"> (</w:t>
      </w:r>
      <w:r w:rsidRPr="00B426D4">
        <w:rPr>
          <w:b/>
          <w:bCs/>
          <w:sz w:val="22"/>
          <w:szCs w:val="22"/>
        </w:rPr>
        <w:t>CDEMA</w:t>
      </w:r>
      <w:r w:rsidRPr="00B426D4">
        <w:rPr>
          <w:sz w:val="22"/>
          <w:szCs w:val="22"/>
        </w:rPr>
        <w:t xml:space="preserve"> ), la </w:t>
      </w:r>
      <w:r w:rsidRPr="00B426D4">
        <w:rPr>
          <w:b/>
          <w:bCs/>
          <w:sz w:val="22"/>
          <w:szCs w:val="22"/>
        </w:rPr>
        <w:t>Organización de Turismo del Caribe</w:t>
      </w:r>
      <w:r w:rsidRPr="00B426D4">
        <w:rPr>
          <w:sz w:val="22"/>
          <w:szCs w:val="22"/>
        </w:rPr>
        <w:t xml:space="preserve"> (</w:t>
      </w:r>
      <w:r w:rsidRPr="00B426D4">
        <w:rPr>
          <w:b/>
          <w:bCs/>
          <w:sz w:val="22"/>
          <w:szCs w:val="22"/>
        </w:rPr>
        <w:t>CTO</w:t>
      </w:r>
      <w:r w:rsidRPr="00B426D4">
        <w:rPr>
          <w:sz w:val="22"/>
          <w:szCs w:val="22"/>
        </w:rPr>
        <w:t xml:space="preserve">), la </w:t>
      </w:r>
      <w:r w:rsidRPr="00B426D4">
        <w:rPr>
          <w:b/>
          <w:bCs/>
          <w:sz w:val="22"/>
          <w:szCs w:val="22"/>
        </w:rPr>
        <w:t>Asociación de Hoteles y Turismo del Caribe</w:t>
      </w:r>
      <w:r w:rsidRPr="00B426D4">
        <w:rPr>
          <w:sz w:val="22"/>
          <w:szCs w:val="22"/>
        </w:rPr>
        <w:t xml:space="preserve"> (</w:t>
      </w:r>
      <w:r w:rsidRPr="00B426D4">
        <w:rPr>
          <w:b/>
          <w:bCs/>
          <w:sz w:val="22"/>
          <w:szCs w:val="22"/>
        </w:rPr>
        <w:t>CHTA</w:t>
      </w:r>
      <w:r w:rsidRPr="00B426D4">
        <w:rPr>
          <w:sz w:val="22"/>
          <w:szCs w:val="22"/>
        </w:rPr>
        <w:t xml:space="preserve">) y la </w:t>
      </w:r>
      <w:r w:rsidRPr="00B426D4">
        <w:rPr>
          <w:b/>
          <w:bCs/>
          <w:sz w:val="22"/>
          <w:szCs w:val="22"/>
        </w:rPr>
        <w:t>Agencia Federal para el Manejo de Emergencias</w:t>
      </w:r>
      <w:r w:rsidRPr="00B426D4">
        <w:rPr>
          <w:sz w:val="22"/>
          <w:szCs w:val="22"/>
        </w:rPr>
        <w:t xml:space="preserve"> (</w:t>
      </w:r>
      <w:r w:rsidRPr="00B426D4">
        <w:rPr>
          <w:b/>
          <w:bCs/>
          <w:sz w:val="22"/>
          <w:szCs w:val="22"/>
        </w:rPr>
        <w:t>FEMA</w:t>
      </w:r>
      <w:r w:rsidRPr="00B426D4">
        <w:rPr>
          <w:sz w:val="22"/>
          <w:szCs w:val="22"/>
        </w:rPr>
        <w:t xml:space="preserve">), y tiene por objeto establecer un diálogo normativo de alto nivel entre el Gobierno, los actores del sector privado y otras partes interesadas pertinentes para fortalecer los planes de contingencia y asegurar la continuidad de actividades después de un desastre. </w:t>
      </w:r>
    </w:p>
    <w:p w14:paraId="51279451" w14:textId="77777777" w:rsidR="001569F3" w:rsidRPr="00B426D4" w:rsidRDefault="001569F3" w:rsidP="00B426D4">
      <w:pPr>
        <w:suppressAutoHyphens/>
        <w:jc w:val="both"/>
        <w:rPr>
          <w:noProof/>
          <w:sz w:val="22"/>
          <w:szCs w:val="22"/>
        </w:rPr>
      </w:pPr>
    </w:p>
    <w:p w14:paraId="7671DA5D" w14:textId="77777777" w:rsidR="001569F3" w:rsidRPr="00B426D4" w:rsidRDefault="001569F3" w:rsidP="00B426D4">
      <w:pPr>
        <w:suppressAutoHyphens/>
        <w:jc w:val="both"/>
        <w:rPr>
          <w:b/>
          <w:noProof/>
          <w:sz w:val="22"/>
          <w:szCs w:val="22"/>
          <w:u w:val="single" w:color="000000"/>
        </w:rPr>
      </w:pPr>
      <w:r w:rsidRPr="00B426D4">
        <w:rPr>
          <w:b/>
          <w:sz w:val="22"/>
          <w:szCs w:val="22"/>
          <w:u w:val="single" w:color="000000"/>
        </w:rPr>
        <w:t xml:space="preserve">DEPARTAMENTO DE DESARROLLO HUMANO, EDUCACIÓN Y EMPLEO (DDHEE) </w:t>
      </w:r>
    </w:p>
    <w:p w14:paraId="08D3140E" w14:textId="77777777" w:rsidR="001569F3" w:rsidRPr="00B426D4" w:rsidRDefault="001569F3" w:rsidP="00B426D4">
      <w:pPr>
        <w:suppressAutoHyphens/>
        <w:jc w:val="both"/>
        <w:rPr>
          <w:noProof/>
          <w:sz w:val="22"/>
          <w:szCs w:val="22"/>
        </w:rPr>
      </w:pPr>
    </w:p>
    <w:p w14:paraId="24B510B7" w14:textId="77777777" w:rsidR="001569F3" w:rsidRPr="00B426D4" w:rsidRDefault="001569F3" w:rsidP="00B426D4">
      <w:pPr>
        <w:suppressAutoHyphens/>
        <w:ind w:left="-15" w:firstLine="735"/>
        <w:jc w:val="both"/>
        <w:rPr>
          <w:noProof/>
          <w:sz w:val="22"/>
          <w:szCs w:val="22"/>
        </w:rPr>
      </w:pPr>
      <w:r w:rsidRPr="00B426D4">
        <w:rPr>
          <w:sz w:val="22"/>
          <w:szCs w:val="22"/>
        </w:rPr>
        <w:t xml:space="preserve">Además de la valiosa alianza establecida con Structuralia, presentada hoy, el DDHEE ofrece oportunidades de becas y contribuye a mejorar la calidad de la educación en la región en colaboración con muchas otras entidades aliadas.  </w:t>
      </w:r>
    </w:p>
    <w:p w14:paraId="514EF5BA" w14:textId="77777777" w:rsidR="001569F3" w:rsidRPr="00B426D4" w:rsidRDefault="001569F3" w:rsidP="00B426D4">
      <w:pPr>
        <w:suppressAutoHyphens/>
        <w:jc w:val="both"/>
        <w:rPr>
          <w:noProof/>
          <w:sz w:val="22"/>
          <w:szCs w:val="22"/>
        </w:rPr>
      </w:pPr>
    </w:p>
    <w:p w14:paraId="5D35B1B7" w14:textId="77777777" w:rsidR="001569F3" w:rsidRPr="00B426D4" w:rsidRDefault="001569F3" w:rsidP="00B426D4">
      <w:pPr>
        <w:numPr>
          <w:ilvl w:val="0"/>
          <w:numId w:val="23"/>
        </w:numPr>
        <w:suppressAutoHyphens/>
        <w:ind w:left="1440" w:hanging="720"/>
        <w:jc w:val="both"/>
        <w:rPr>
          <w:noProof/>
          <w:sz w:val="22"/>
          <w:szCs w:val="22"/>
        </w:rPr>
      </w:pPr>
      <w:r w:rsidRPr="00B426D4">
        <w:rPr>
          <w:b/>
          <w:sz w:val="22"/>
          <w:szCs w:val="22"/>
        </w:rPr>
        <w:t xml:space="preserve">PAEC Brasil y Grupo Coimbra: </w:t>
      </w:r>
      <w:r w:rsidRPr="00B426D4">
        <w:rPr>
          <w:b/>
          <w:bCs/>
          <w:sz w:val="22"/>
          <w:szCs w:val="22"/>
        </w:rPr>
        <w:t>3880 estudiantes</w:t>
      </w:r>
      <w:r w:rsidRPr="00B426D4">
        <w:rPr>
          <w:sz w:val="22"/>
          <w:szCs w:val="22"/>
        </w:rPr>
        <w:t xml:space="preserve"> han recibido becas para completar maestrías y doctorados en más de 700 programas altamente especializados en todo Brasil, como resultado de nuestra alianza con el </w:t>
      </w:r>
      <w:r w:rsidRPr="00B426D4">
        <w:rPr>
          <w:b/>
          <w:bCs/>
          <w:sz w:val="22"/>
          <w:szCs w:val="22"/>
        </w:rPr>
        <w:t>Grupo Coimbra de Universidades Brasileñas</w:t>
      </w:r>
      <w:r w:rsidRPr="00B426D4">
        <w:rPr>
          <w:sz w:val="22"/>
          <w:szCs w:val="22"/>
        </w:rPr>
        <w:t xml:space="preserve"> (</w:t>
      </w:r>
      <w:r w:rsidRPr="00B426D4">
        <w:rPr>
          <w:b/>
          <w:bCs/>
          <w:sz w:val="22"/>
          <w:szCs w:val="22"/>
        </w:rPr>
        <w:t>CGBU</w:t>
      </w:r>
      <w:r w:rsidRPr="00B426D4">
        <w:rPr>
          <w:sz w:val="22"/>
          <w:szCs w:val="22"/>
        </w:rPr>
        <w:t>).  Este programa de becas promueve la movilidad académica, la internacionalización de las universidades y el desarrollo humano en la región; ha fortalecido eficazmente los vínculos de América Latina y el Caribe con Brasil y ha contribuido a promover este país como líder en la internacionalización de la educación superior. El valor total del programa desde su inicio en 2011 es de casi US$200 millones, que benefician a estudiantes de 30 países.</w:t>
      </w:r>
    </w:p>
    <w:p w14:paraId="6FEFAED1" w14:textId="77777777" w:rsidR="001569F3" w:rsidRPr="00B426D4" w:rsidRDefault="001569F3" w:rsidP="00B426D4">
      <w:pPr>
        <w:suppressAutoHyphens/>
        <w:jc w:val="both"/>
        <w:rPr>
          <w:noProof/>
          <w:sz w:val="22"/>
          <w:szCs w:val="22"/>
        </w:rPr>
      </w:pPr>
    </w:p>
    <w:p w14:paraId="591272FF" w14:textId="77777777" w:rsidR="001569F3" w:rsidRPr="00B426D4" w:rsidRDefault="001569F3" w:rsidP="00B426D4">
      <w:pPr>
        <w:numPr>
          <w:ilvl w:val="0"/>
          <w:numId w:val="23"/>
        </w:numPr>
        <w:suppressAutoHyphens/>
        <w:ind w:left="1440" w:hanging="720"/>
        <w:jc w:val="both"/>
        <w:rPr>
          <w:noProof/>
          <w:sz w:val="22"/>
          <w:szCs w:val="22"/>
        </w:rPr>
      </w:pPr>
      <w:r w:rsidRPr="00B426D4">
        <w:rPr>
          <w:b/>
          <w:sz w:val="22"/>
          <w:szCs w:val="22"/>
        </w:rPr>
        <w:t xml:space="preserve">PAEC México: </w:t>
      </w:r>
      <w:r w:rsidRPr="00B426D4">
        <w:rPr>
          <w:sz w:val="22"/>
          <w:szCs w:val="22"/>
        </w:rPr>
        <w:t xml:space="preserve">El Programa de Becas OEA-CONACYT-AMEXCID es uno de los programas pilares de la OEA y forma parte de una alianza estratégica y de colaboración con el Gobierno de México. Desde 2013, se han otorgado más de </w:t>
      </w:r>
      <w:r w:rsidRPr="00B426D4">
        <w:rPr>
          <w:b/>
          <w:sz w:val="22"/>
          <w:szCs w:val="22"/>
        </w:rPr>
        <w:t xml:space="preserve">3400 </w:t>
      </w:r>
      <w:r w:rsidRPr="00B426D4">
        <w:rPr>
          <w:b/>
          <w:bCs/>
          <w:sz w:val="22"/>
          <w:szCs w:val="22"/>
        </w:rPr>
        <w:t>becas</w:t>
      </w:r>
      <w:r w:rsidRPr="00B426D4">
        <w:rPr>
          <w:sz w:val="22"/>
          <w:szCs w:val="22"/>
        </w:rPr>
        <w:t xml:space="preserve"> a estudiantes de 27 Estados Miembros de la OEA, con lo cual se han ampliado las oportunidades educativas en las áreas de ciencia e ingeniería y se ha contribuido al fortalecimiento del desarrollo humano en las Américas. El valor total estimado de este programa desde su inicio es cercano a los US$173 millones. </w:t>
      </w:r>
    </w:p>
    <w:p w14:paraId="33D29035" w14:textId="77777777" w:rsidR="001569F3" w:rsidRPr="00B426D4" w:rsidRDefault="001569F3" w:rsidP="00B426D4">
      <w:pPr>
        <w:suppressAutoHyphens/>
        <w:jc w:val="both"/>
        <w:rPr>
          <w:noProof/>
          <w:sz w:val="22"/>
          <w:szCs w:val="22"/>
        </w:rPr>
      </w:pPr>
    </w:p>
    <w:p w14:paraId="2FF3067D" w14:textId="71A410B8" w:rsidR="001569F3" w:rsidRPr="00B426D4" w:rsidRDefault="001569F3" w:rsidP="00B426D4">
      <w:pPr>
        <w:numPr>
          <w:ilvl w:val="0"/>
          <w:numId w:val="23"/>
        </w:numPr>
        <w:suppressAutoHyphens/>
        <w:ind w:left="1440" w:hanging="720"/>
        <w:jc w:val="both"/>
        <w:rPr>
          <w:noProof/>
          <w:sz w:val="22"/>
          <w:szCs w:val="22"/>
        </w:rPr>
      </w:pPr>
      <w:r w:rsidRPr="00B426D4">
        <w:rPr>
          <w:b/>
          <w:sz w:val="22"/>
          <w:szCs w:val="22"/>
        </w:rPr>
        <w:t xml:space="preserve">Aliados de RIED: </w:t>
      </w:r>
      <w:r w:rsidRPr="00B426D4">
        <w:rPr>
          <w:sz w:val="22"/>
          <w:szCs w:val="22"/>
        </w:rPr>
        <w:t>Una exitosa alianza entre el campus abierto de la Universidad de las Indias Occidentales (con sede en Barbados) y nuestra Red Interamericana de Educación Docente (RIED) ha servido para institucionalizar la formación en ciencia, tecnología, investigación, ingeniería, artes y matemáticas en un programa académico acreditado que beneficia al Caribe. Entre las medidas concretas figuran la creación de la Comunidad Virtual UWI‐ITEN y la incorporación de las actividades desarrolladas por la RIED en las áreas de ciencia, tecnología, investigación, ingeniería, arte</w:t>
      </w:r>
      <w:r w:rsidR="00E05372">
        <w:rPr>
          <w:sz w:val="22"/>
          <w:szCs w:val="22"/>
        </w:rPr>
        <w:t>s y matemáticas en dos cursos.</w:t>
      </w:r>
    </w:p>
    <w:p w14:paraId="194CBCF5" w14:textId="77777777" w:rsidR="001569F3" w:rsidRPr="00B426D4" w:rsidRDefault="001569F3" w:rsidP="00B426D4">
      <w:pPr>
        <w:suppressAutoHyphens/>
        <w:jc w:val="both"/>
        <w:rPr>
          <w:noProof/>
          <w:sz w:val="22"/>
          <w:szCs w:val="22"/>
        </w:rPr>
      </w:pPr>
    </w:p>
    <w:p w14:paraId="2FF9CAC9" w14:textId="40631CEB" w:rsidR="001569F3" w:rsidRPr="00B426D4" w:rsidRDefault="001569F3" w:rsidP="00B426D4">
      <w:pPr>
        <w:numPr>
          <w:ilvl w:val="0"/>
          <w:numId w:val="23"/>
        </w:numPr>
        <w:suppressAutoHyphens/>
        <w:ind w:left="1440" w:hanging="720"/>
        <w:jc w:val="both"/>
        <w:rPr>
          <w:noProof/>
          <w:sz w:val="22"/>
          <w:szCs w:val="22"/>
        </w:rPr>
      </w:pPr>
      <w:r w:rsidRPr="00B426D4">
        <w:rPr>
          <w:b/>
          <w:sz w:val="22"/>
          <w:szCs w:val="22"/>
        </w:rPr>
        <w:t xml:space="preserve">Alianza con el Portal Educativo de las Américas: </w:t>
      </w:r>
      <w:r w:rsidRPr="00B426D4">
        <w:rPr>
          <w:sz w:val="22"/>
          <w:szCs w:val="22"/>
        </w:rPr>
        <w:t xml:space="preserve">La alianza entre la </w:t>
      </w:r>
      <w:r w:rsidRPr="00B426D4">
        <w:rPr>
          <w:b/>
          <w:bCs/>
          <w:sz w:val="22"/>
          <w:szCs w:val="22"/>
        </w:rPr>
        <w:t>OEA</w:t>
      </w:r>
      <w:r w:rsidRPr="00B426D4">
        <w:rPr>
          <w:sz w:val="22"/>
          <w:szCs w:val="22"/>
        </w:rPr>
        <w:t xml:space="preserve"> y la </w:t>
      </w:r>
      <w:r w:rsidRPr="00B426D4">
        <w:rPr>
          <w:b/>
          <w:bCs/>
          <w:sz w:val="22"/>
          <w:szCs w:val="22"/>
        </w:rPr>
        <w:t>Fundación ProFuturo</w:t>
      </w:r>
      <w:r w:rsidRPr="00B426D4">
        <w:rPr>
          <w:sz w:val="22"/>
          <w:szCs w:val="22"/>
        </w:rPr>
        <w:t xml:space="preserve"> tiene por objeto facilitar el acceso a una educación digital de calidad en zonas desfavorecidas de cinco países del Caribe, proporcionando a las escuelas capacitación docente, equipo tecnológico y contenidos didácticos digitales. Desde su creación en 2018, un total de 92 escuelas han recibido tabletas y computadoras, acceso a una plataforma de educación en línea para la gestión de procesos de enseñanza, contenidos digitales gratuitos, capacitación y apoyo para los maestros participantes. En respuesta a la pandemia de COVID-19, se están ofreciendo nuevos cursos en línea sobre innovación y TIC, así como otros contenidos didácticos digitales. Gracias </w:t>
      </w:r>
      <w:r w:rsidR="00762BA4" w:rsidRPr="00B426D4">
        <w:rPr>
          <w:sz w:val="22"/>
          <w:szCs w:val="22"/>
        </w:rPr>
        <w:t xml:space="preserve">a </w:t>
      </w:r>
      <w:r w:rsidRPr="00B426D4">
        <w:rPr>
          <w:sz w:val="22"/>
          <w:szCs w:val="22"/>
        </w:rPr>
        <w:t xml:space="preserve">este programa se ha ofrecido capacitación a 3659 profesores con un modelo de formación de docentes, con lo cual se ha superado el objetivo original en más de un 100%. La contribución de la Fundación ProFuturo al proyecto está valorada en más de US$1,3 millones.  </w:t>
      </w:r>
    </w:p>
    <w:p w14:paraId="1CE55B50" w14:textId="77777777" w:rsidR="001569F3" w:rsidRPr="00B426D4" w:rsidRDefault="001569F3" w:rsidP="00B426D4">
      <w:pPr>
        <w:suppressAutoHyphens/>
        <w:rPr>
          <w:noProof/>
          <w:sz w:val="22"/>
          <w:szCs w:val="22"/>
        </w:rPr>
      </w:pPr>
    </w:p>
    <w:p w14:paraId="25ECBAD2" w14:textId="1CAC8ADF" w:rsidR="001569F3" w:rsidRPr="00B426D4" w:rsidRDefault="002B4140" w:rsidP="00B426D4">
      <w:pPr>
        <w:suppressAutoHyphens/>
        <w:jc w:val="both"/>
        <w:rPr>
          <w:b/>
          <w:noProof/>
          <w:sz w:val="22"/>
          <w:szCs w:val="22"/>
        </w:rPr>
      </w:pPr>
      <w:r w:rsidRPr="00B426D4">
        <w:rPr>
          <w:b/>
          <w:bCs/>
          <w:sz w:val="22"/>
          <w:szCs w:val="22"/>
        </w:rPr>
        <w:t xml:space="preserve">SECRETARÍA DE LA COMISIÓN INTERAMERICANA DE PUERTOS </w:t>
      </w:r>
      <w:r w:rsidR="001569F3" w:rsidRPr="00B426D4">
        <w:rPr>
          <w:b/>
          <w:bCs/>
          <w:sz w:val="22"/>
          <w:szCs w:val="22"/>
        </w:rPr>
        <w:t>(CIP)</w:t>
      </w:r>
      <w:r w:rsidR="001569F3" w:rsidRPr="00B426D4">
        <w:rPr>
          <w:b/>
          <w:sz w:val="22"/>
          <w:szCs w:val="22"/>
        </w:rPr>
        <w:t xml:space="preserve"> </w:t>
      </w:r>
    </w:p>
    <w:p w14:paraId="05C7CAF5" w14:textId="77777777" w:rsidR="001569F3" w:rsidRPr="00B426D4" w:rsidRDefault="001569F3" w:rsidP="00B426D4">
      <w:pPr>
        <w:suppressAutoHyphens/>
        <w:jc w:val="both"/>
        <w:rPr>
          <w:noProof/>
          <w:sz w:val="22"/>
          <w:szCs w:val="22"/>
        </w:rPr>
      </w:pPr>
    </w:p>
    <w:p w14:paraId="5CC1C31D" w14:textId="60135CBC" w:rsidR="001569F3" w:rsidRPr="00B426D4" w:rsidRDefault="001569F3" w:rsidP="00B426D4">
      <w:pPr>
        <w:suppressAutoHyphens/>
        <w:ind w:left="-5" w:firstLine="725"/>
        <w:jc w:val="both"/>
        <w:rPr>
          <w:rFonts w:eastAsia="Calibri"/>
          <w:b/>
          <w:noProof/>
          <w:sz w:val="22"/>
          <w:szCs w:val="22"/>
        </w:rPr>
      </w:pPr>
      <w:r w:rsidRPr="00B426D4">
        <w:rPr>
          <w:b/>
          <w:sz w:val="22"/>
          <w:szCs w:val="22"/>
        </w:rPr>
        <w:t>Gestión del riesgo de desastres y resiliencia</w:t>
      </w:r>
    </w:p>
    <w:p w14:paraId="10670C86" w14:textId="77777777" w:rsidR="001569F3" w:rsidRPr="00B426D4" w:rsidRDefault="001569F3" w:rsidP="00B426D4">
      <w:pPr>
        <w:suppressAutoHyphens/>
        <w:jc w:val="both"/>
        <w:rPr>
          <w:noProof/>
          <w:sz w:val="22"/>
          <w:szCs w:val="22"/>
        </w:rPr>
      </w:pPr>
    </w:p>
    <w:p w14:paraId="5C58341D" w14:textId="66AACFB1" w:rsidR="001569F3" w:rsidRPr="00B426D4" w:rsidRDefault="001569F3" w:rsidP="00B426D4">
      <w:pPr>
        <w:numPr>
          <w:ilvl w:val="0"/>
          <w:numId w:val="24"/>
        </w:numPr>
        <w:suppressAutoHyphens/>
        <w:ind w:left="1440" w:hanging="720"/>
        <w:jc w:val="both"/>
        <w:rPr>
          <w:noProof/>
          <w:sz w:val="22"/>
          <w:szCs w:val="22"/>
        </w:rPr>
      </w:pPr>
      <w:r w:rsidRPr="00B426D4">
        <w:rPr>
          <w:sz w:val="22"/>
          <w:szCs w:val="22"/>
        </w:rPr>
        <w:t xml:space="preserve">Los Gobiernos de Italia y Estados Unidos están financiando el proyecto </w:t>
      </w:r>
      <w:r w:rsidR="00762BA4" w:rsidRPr="00B426D4">
        <w:rPr>
          <w:sz w:val="22"/>
          <w:szCs w:val="22"/>
        </w:rPr>
        <w:t>“</w:t>
      </w:r>
      <w:r w:rsidRPr="00B426D4">
        <w:rPr>
          <w:sz w:val="22"/>
          <w:szCs w:val="22"/>
        </w:rPr>
        <w:t>Mejoramiento de la mitigación de desastres en los puertos del Caribe</w:t>
      </w:r>
      <w:r w:rsidR="00762BA4" w:rsidRPr="00B426D4">
        <w:rPr>
          <w:sz w:val="22"/>
          <w:szCs w:val="22"/>
        </w:rPr>
        <w:t>”</w:t>
      </w:r>
      <w:r w:rsidRPr="00B426D4">
        <w:rPr>
          <w:sz w:val="22"/>
          <w:szCs w:val="22"/>
        </w:rPr>
        <w:t xml:space="preserve">, el cual está orientado a mejorar la capacidad de respuesta de las autoridades portuarias nacionales a los desastres naturales y a aumentar la resiliencia de puertos y empresas en el Caribe. Las aportaciones de estos </w:t>
      </w:r>
      <w:r w:rsidR="00762BA4" w:rsidRPr="00B426D4">
        <w:rPr>
          <w:sz w:val="22"/>
          <w:szCs w:val="22"/>
        </w:rPr>
        <w:t>Gobiernos</w:t>
      </w:r>
      <w:r w:rsidRPr="00B426D4">
        <w:rPr>
          <w:sz w:val="22"/>
          <w:szCs w:val="22"/>
        </w:rPr>
        <w:t xml:space="preserve"> contribuyen a aprovechar el apoyo estratégico en especie de aliados clave como la </w:t>
      </w:r>
      <w:r w:rsidRPr="00B426D4">
        <w:rPr>
          <w:b/>
          <w:bCs/>
          <w:sz w:val="22"/>
          <w:szCs w:val="22"/>
        </w:rPr>
        <w:t>CDEMA</w:t>
      </w:r>
      <w:r w:rsidRPr="00B426D4">
        <w:rPr>
          <w:sz w:val="22"/>
          <w:szCs w:val="22"/>
        </w:rPr>
        <w:t xml:space="preserve">, la </w:t>
      </w:r>
      <w:r w:rsidRPr="00B426D4">
        <w:rPr>
          <w:b/>
          <w:bCs/>
          <w:sz w:val="22"/>
          <w:szCs w:val="22"/>
        </w:rPr>
        <w:t>Port Management Association of the Caribbean</w:t>
      </w:r>
      <w:r w:rsidRPr="00B426D4">
        <w:rPr>
          <w:sz w:val="22"/>
          <w:szCs w:val="22"/>
        </w:rPr>
        <w:t xml:space="preserve"> y la </w:t>
      </w:r>
      <w:r w:rsidRPr="00B426D4">
        <w:rPr>
          <w:b/>
          <w:bCs/>
          <w:sz w:val="22"/>
          <w:szCs w:val="22"/>
        </w:rPr>
        <w:t>Caribbean Shipping Association</w:t>
      </w:r>
      <w:r w:rsidRPr="00B426D4">
        <w:rPr>
          <w:sz w:val="22"/>
          <w:szCs w:val="22"/>
        </w:rPr>
        <w:t>.</w:t>
      </w:r>
      <w:r w:rsidRPr="00B426D4">
        <w:rPr>
          <w:b/>
          <w:sz w:val="22"/>
          <w:szCs w:val="22"/>
        </w:rPr>
        <w:t xml:space="preserve"> </w:t>
      </w:r>
    </w:p>
    <w:p w14:paraId="3ED428A8" w14:textId="77777777" w:rsidR="001569F3" w:rsidRPr="00B426D4" w:rsidRDefault="001569F3" w:rsidP="00B426D4">
      <w:pPr>
        <w:suppressAutoHyphens/>
        <w:jc w:val="both"/>
        <w:rPr>
          <w:noProof/>
          <w:sz w:val="22"/>
          <w:szCs w:val="22"/>
        </w:rPr>
      </w:pPr>
    </w:p>
    <w:p w14:paraId="6C2892FD" w14:textId="61D9919B" w:rsidR="001569F3" w:rsidRPr="00B426D4" w:rsidRDefault="001569F3" w:rsidP="00B426D4">
      <w:pPr>
        <w:keepNext/>
        <w:suppressAutoHyphens/>
        <w:ind w:left="1440" w:hanging="720"/>
        <w:jc w:val="both"/>
        <w:rPr>
          <w:rFonts w:eastAsia="Calibri"/>
          <w:b/>
          <w:noProof/>
          <w:sz w:val="22"/>
          <w:szCs w:val="22"/>
        </w:rPr>
      </w:pPr>
      <w:r w:rsidRPr="00B426D4">
        <w:rPr>
          <w:b/>
          <w:sz w:val="22"/>
          <w:szCs w:val="22"/>
        </w:rPr>
        <w:t>Educación y capacitación</w:t>
      </w:r>
    </w:p>
    <w:p w14:paraId="6B9BEB91" w14:textId="77777777" w:rsidR="001569F3" w:rsidRPr="00B426D4" w:rsidRDefault="001569F3" w:rsidP="00B426D4">
      <w:pPr>
        <w:keepNext/>
        <w:suppressAutoHyphens/>
        <w:jc w:val="both"/>
        <w:rPr>
          <w:noProof/>
          <w:sz w:val="22"/>
          <w:szCs w:val="22"/>
        </w:rPr>
      </w:pPr>
    </w:p>
    <w:p w14:paraId="57A91D06" w14:textId="77777777" w:rsidR="001569F3" w:rsidRPr="00B426D4" w:rsidRDefault="001569F3" w:rsidP="00B426D4">
      <w:pPr>
        <w:numPr>
          <w:ilvl w:val="0"/>
          <w:numId w:val="24"/>
        </w:numPr>
        <w:suppressAutoHyphens/>
        <w:ind w:left="1440" w:hanging="720"/>
        <w:jc w:val="both"/>
        <w:rPr>
          <w:noProof/>
          <w:sz w:val="22"/>
          <w:szCs w:val="22"/>
        </w:rPr>
      </w:pPr>
      <w:r w:rsidRPr="00B426D4">
        <w:rPr>
          <w:sz w:val="22"/>
          <w:szCs w:val="22"/>
        </w:rPr>
        <w:t xml:space="preserve">Mediante alianzas estratégicas, la Secretaría de la CIP ha creado un sólido programa de fomento de las capacidades técnicas y humanas que ofrece a cientos de funcionarios portuarios de las Américas cursos de desarrollo profesional en esferas clave del desarrollo portuario, tales como logística y operaciones, gestión sostenible y protección del medio ambiente, seguridad y protección, dragado y puertos interiores, legislación portuaria y negociación de contratos, responsabilidad social e igualdad de género. En este programa figuran aliados estratégicos como </w:t>
      </w:r>
      <w:r w:rsidRPr="00B426D4">
        <w:rPr>
          <w:b/>
          <w:bCs/>
          <w:sz w:val="22"/>
          <w:szCs w:val="22"/>
        </w:rPr>
        <w:t>Puertos del Estado del Gobierno de España</w:t>
      </w:r>
      <w:r w:rsidRPr="00B426D4">
        <w:rPr>
          <w:sz w:val="22"/>
          <w:szCs w:val="22"/>
        </w:rPr>
        <w:t xml:space="preserve">, la </w:t>
      </w:r>
      <w:r w:rsidRPr="00B426D4">
        <w:rPr>
          <w:b/>
          <w:bCs/>
          <w:sz w:val="22"/>
          <w:szCs w:val="22"/>
        </w:rPr>
        <w:t>Autoridad Portuaria Nacional</w:t>
      </w:r>
      <w:r w:rsidRPr="00B426D4">
        <w:rPr>
          <w:sz w:val="22"/>
          <w:szCs w:val="22"/>
        </w:rPr>
        <w:t xml:space="preserve"> de Perú, la </w:t>
      </w:r>
      <w:r w:rsidRPr="00B426D4">
        <w:rPr>
          <w:b/>
          <w:bCs/>
          <w:sz w:val="22"/>
          <w:szCs w:val="22"/>
        </w:rPr>
        <w:t>Fundación Valencia Port</w:t>
      </w:r>
      <w:r w:rsidRPr="00B426D4">
        <w:rPr>
          <w:sz w:val="22"/>
          <w:szCs w:val="22"/>
        </w:rPr>
        <w:t xml:space="preserve">, el </w:t>
      </w:r>
      <w:r w:rsidRPr="00B426D4">
        <w:rPr>
          <w:b/>
          <w:bCs/>
          <w:sz w:val="22"/>
          <w:szCs w:val="22"/>
        </w:rPr>
        <w:t>Gobierno de Estados Unidos</w:t>
      </w:r>
      <w:r w:rsidRPr="00B426D4">
        <w:rPr>
          <w:sz w:val="22"/>
          <w:szCs w:val="22"/>
        </w:rPr>
        <w:t xml:space="preserve"> y la </w:t>
      </w:r>
      <w:r w:rsidRPr="00B426D4">
        <w:rPr>
          <w:b/>
          <w:bCs/>
          <w:sz w:val="22"/>
          <w:szCs w:val="22"/>
        </w:rPr>
        <w:t>Red PBIP México Internacional</w:t>
      </w:r>
      <w:r w:rsidRPr="00B426D4">
        <w:rPr>
          <w:sz w:val="22"/>
          <w:szCs w:val="22"/>
        </w:rPr>
        <w:t>.</w:t>
      </w:r>
      <w:r w:rsidRPr="00B426D4">
        <w:rPr>
          <w:b/>
          <w:sz w:val="22"/>
          <w:szCs w:val="22"/>
        </w:rPr>
        <w:t xml:space="preserve"> </w:t>
      </w:r>
    </w:p>
    <w:p w14:paraId="0DCB590F" w14:textId="77777777" w:rsidR="001569F3" w:rsidRPr="00B426D4" w:rsidRDefault="001569F3" w:rsidP="00B426D4">
      <w:pPr>
        <w:suppressAutoHyphens/>
        <w:jc w:val="both"/>
        <w:rPr>
          <w:noProof/>
          <w:sz w:val="22"/>
          <w:szCs w:val="22"/>
        </w:rPr>
      </w:pPr>
    </w:p>
    <w:p w14:paraId="4D243AD0" w14:textId="2C3EB075" w:rsidR="001569F3" w:rsidRPr="00B426D4" w:rsidRDefault="001569F3" w:rsidP="00B426D4">
      <w:pPr>
        <w:suppressAutoHyphens/>
        <w:jc w:val="both"/>
        <w:rPr>
          <w:rFonts w:eastAsia="Calibri"/>
          <w:noProof/>
          <w:sz w:val="22"/>
          <w:szCs w:val="22"/>
        </w:rPr>
      </w:pPr>
      <w:r w:rsidRPr="00B426D4">
        <w:rPr>
          <w:sz w:val="22"/>
          <w:szCs w:val="22"/>
        </w:rPr>
        <w:tab/>
        <w:t xml:space="preserve">En los años por venir seguiremos buscando nuevas alianzas para ampliar el alcance y el impacto de nuestra labor. </w:t>
      </w:r>
    </w:p>
    <w:p w14:paraId="01F11768" w14:textId="77777777" w:rsidR="001569F3" w:rsidRPr="00B426D4" w:rsidRDefault="001569F3" w:rsidP="00B426D4">
      <w:pPr>
        <w:suppressAutoHyphens/>
        <w:jc w:val="both"/>
        <w:rPr>
          <w:noProof/>
          <w:sz w:val="22"/>
          <w:szCs w:val="22"/>
        </w:rPr>
      </w:pPr>
      <w:bookmarkStart w:id="1" w:name="_GoBack"/>
      <w:bookmarkEnd w:id="1"/>
    </w:p>
    <w:p w14:paraId="191B9C18" w14:textId="5EC781CC" w:rsidR="001569F3" w:rsidRPr="00B426D4" w:rsidRDefault="001569F3" w:rsidP="00B426D4">
      <w:pPr>
        <w:suppressAutoHyphens/>
        <w:jc w:val="both"/>
        <w:rPr>
          <w:rFonts w:eastAsia="Calibri"/>
          <w:noProof/>
          <w:sz w:val="22"/>
          <w:szCs w:val="22"/>
        </w:rPr>
      </w:pPr>
      <w:r w:rsidRPr="00B426D4">
        <w:rPr>
          <w:sz w:val="22"/>
          <w:szCs w:val="22"/>
        </w:rPr>
        <w:tab/>
      </w:r>
      <w:r w:rsidR="008A5FF3">
        <w:rPr>
          <w:sz w:val="22"/>
          <w:szCs w:val="22"/>
        </w:rPr>
        <w:t>Señor</w:t>
      </w:r>
      <w:r w:rsidR="00762BA4" w:rsidRPr="00B426D4">
        <w:rPr>
          <w:sz w:val="22"/>
          <w:szCs w:val="22"/>
          <w:lang w:val="es-MX"/>
        </w:rPr>
        <w:t xml:space="preserve"> </w:t>
      </w:r>
      <w:r w:rsidRPr="00B426D4">
        <w:rPr>
          <w:sz w:val="22"/>
          <w:szCs w:val="22"/>
        </w:rPr>
        <w:t>Presidente, aprovecho esta oportunidad para agradecer a todos nuestros aliados, grandes y pequeños, por su inestimable contribución a nuestro trabajo y, por extensión, a los Estados Miembros.</w:t>
      </w:r>
    </w:p>
    <w:p w14:paraId="533FF7BF" w14:textId="77777777" w:rsidR="001569F3" w:rsidRPr="00B426D4" w:rsidRDefault="001569F3" w:rsidP="00B426D4">
      <w:pPr>
        <w:suppressAutoHyphens/>
        <w:jc w:val="both"/>
        <w:rPr>
          <w:noProof/>
          <w:sz w:val="22"/>
          <w:szCs w:val="22"/>
        </w:rPr>
      </w:pPr>
    </w:p>
    <w:p w14:paraId="58103F9D" w14:textId="2217CE5A" w:rsidR="001569F3" w:rsidRPr="00B426D4" w:rsidRDefault="001569F3" w:rsidP="00B426D4">
      <w:pPr>
        <w:suppressAutoHyphens/>
        <w:ind w:left="-5" w:firstLine="725"/>
        <w:jc w:val="both"/>
        <w:rPr>
          <w:noProof/>
          <w:sz w:val="22"/>
          <w:szCs w:val="22"/>
        </w:rPr>
      </w:pPr>
      <w:r w:rsidRPr="00B426D4">
        <w:rPr>
          <w:sz w:val="22"/>
          <w:szCs w:val="22"/>
        </w:rPr>
        <w:t xml:space="preserve">Por último, señor Presidente, quiero agradecer especialmente al equipo de la SEDI por su arduo trabajo y dedicación y sus incansables esfuerzos en la búsqueda de alianzas que añadan valor para los Estados Miembros. Asimismo, quisiera aprovechar la ocasión de esta última reunión del CIDI este año para desearles a todos una Feliz Navidad, con la esperanza de que continuemos uniendo esfuerzos para mejorar las condiciones y medios de vida </w:t>
      </w:r>
      <w:r w:rsidR="00B426D4" w:rsidRPr="00B426D4">
        <w:rPr>
          <w:sz w:val="22"/>
          <w:szCs w:val="22"/>
        </w:rPr>
        <w:t>de los pueblos de las Américas.</w:t>
      </w:r>
    </w:p>
    <w:p w14:paraId="02655317" w14:textId="2D042478" w:rsidR="001569F3" w:rsidRPr="00B426D4" w:rsidRDefault="001569F3" w:rsidP="00B426D4">
      <w:pPr>
        <w:suppressAutoHyphens/>
        <w:jc w:val="both"/>
        <w:rPr>
          <w:noProof/>
          <w:sz w:val="22"/>
          <w:szCs w:val="22"/>
        </w:rPr>
      </w:pPr>
    </w:p>
    <w:p w14:paraId="0E523F22" w14:textId="051E7CB8" w:rsidR="001569F3" w:rsidRPr="00B426D4" w:rsidRDefault="002B4140" w:rsidP="00B426D4">
      <w:pPr>
        <w:suppressAutoHyphens/>
        <w:ind w:left="-5" w:firstLine="725"/>
        <w:jc w:val="both"/>
        <w:rPr>
          <w:noProof/>
          <w:sz w:val="22"/>
          <w:szCs w:val="22"/>
        </w:rPr>
      </w:pPr>
      <w:r>
        <w:rPr>
          <w:noProof/>
          <w:sz w:val="22"/>
          <w:szCs w:val="22"/>
          <w:lang w:val="en-US"/>
        </w:rPr>
        <mc:AlternateContent>
          <mc:Choice Requires="wps">
            <w:drawing>
              <wp:anchor distT="0" distB="0" distL="114300" distR="114300" simplePos="0" relativeHeight="251659264" behindDoc="0" locked="1" layoutInCell="1" allowOverlap="1" wp14:anchorId="7DA3449B" wp14:editId="56F5C546">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58D6E1" w14:textId="3AEEEC20" w:rsidR="002B4140" w:rsidRPr="002B4140" w:rsidRDefault="002B4140">
                            <w:pPr>
                              <w:rPr>
                                <w:sz w:val="18"/>
                              </w:rPr>
                            </w:pPr>
                            <w:r>
                              <w:rPr>
                                <w:sz w:val="18"/>
                              </w:rPr>
                              <w:fldChar w:fldCharType="begin"/>
                            </w:r>
                            <w:r>
                              <w:rPr>
                                <w:sz w:val="18"/>
                              </w:rPr>
                              <w:instrText xml:space="preserve"> FILENAME  \* MERGEFORMAT </w:instrText>
                            </w:r>
                            <w:r>
                              <w:rPr>
                                <w:sz w:val="18"/>
                              </w:rPr>
                              <w:fldChar w:fldCharType="separate"/>
                            </w:r>
                            <w:r>
                              <w:rPr>
                                <w:noProof/>
                                <w:sz w:val="18"/>
                              </w:rPr>
                              <w:t>CIDRP03053S04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3449B"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A+si02fgIA&#10;AAIFAAAOAAAAAAAAAAAAAAAAAC4CAABkcnMvZTJvRG9jLnhtbFBLAQItABQABgAIAAAAIQC/IMDX&#10;3wAAAA0BAAAPAAAAAAAAAAAAAAAAANgEAABkcnMvZG93bnJldi54bWxQSwUGAAAAAAQABADzAAAA&#10;5AUAAAAA&#10;" filled="f" stroked="f">
                <v:stroke joinstyle="round"/>
                <v:path arrowok="t"/>
                <v:textbox>
                  <w:txbxContent>
                    <w:p w14:paraId="3D58D6E1" w14:textId="3AEEEC20" w:rsidR="002B4140" w:rsidRPr="002B4140" w:rsidRDefault="002B4140">
                      <w:pPr>
                        <w:rPr>
                          <w:sz w:val="18"/>
                        </w:rPr>
                      </w:pPr>
                      <w:r>
                        <w:rPr>
                          <w:sz w:val="18"/>
                        </w:rPr>
                        <w:fldChar w:fldCharType="begin"/>
                      </w:r>
                      <w:r>
                        <w:rPr>
                          <w:sz w:val="18"/>
                        </w:rPr>
                        <w:instrText xml:space="preserve"> FILENAME  \* MERGEFORMAT </w:instrText>
                      </w:r>
                      <w:r>
                        <w:rPr>
                          <w:sz w:val="18"/>
                        </w:rPr>
                        <w:fldChar w:fldCharType="separate"/>
                      </w:r>
                      <w:r>
                        <w:rPr>
                          <w:noProof/>
                          <w:sz w:val="18"/>
                        </w:rPr>
                        <w:t>CIDRP03053S04</w:t>
                      </w:r>
                      <w:r>
                        <w:rPr>
                          <w:sz w:val="18"/>
                        </w:rPr>
                        <w:fldChar w:fldCharType="end"/>
                      </w:r>
                    </w:p>
                  </w:txbxContent>
                </v:textbox>
                <w10:wrap anchory="page"/>
                <w10:anchorlock/>
              </v:shape>
            </w:pict>
          </mc:Fallback>
        </mc:AlternateContent>
      </w:r>
      <w:r w:rsidR="00B426D4" w:rsidRPr="00B426D4">
        <w:rPr>
          <w:sz w:val="22"/>
          <w:szCs w:val="22"/>
        </w:rPr>
        <w:t>Muchas gracias por su atención.</w:t>
      </w:r>
    </w:p>
    <w:sectPr w:rsidR="001569F3" w:rsidRPr="00B426D4" w:rsidSect="00B426D4">
      <w:headerReference w:type="first" r:id="rId10"/>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F270" w14:textId="77777777" w:rsidR="00AA08AD" w:rsidRPr="001569F3" w:rsidRDefault="00AA08AD">
      <w:pPr>
        <w:rPr>
          <w:noProof/>
        </w:rPr>
      </w:pPr>
      <w:r w:rsidRPr="001569F3">
        <w:rPr>
          <w:noProof/>
        </w:rPr>
        <w:separator/>
      </w:r>
    </w:p>
  </w:endnote>
  <w:endnote w:type="continuationSeparator" w:id="0">
    <w:p w14:paraId="19DA1E93" w14:textId="77777777" w:rsidR="00AA08AD" w:rsidRPr="001569F3" w:rsidRDefault="00AA08AD">
      <w:pPr>
        <w:rPr>
          <w:noProof/>
        </w:rPr>
      </w:pPr>
      <w:r w:rsidRPr="001569F3">
        <w:rPr>
          <w:noProof/>
        </w:rPr>
        <w:continuationSeparator/>
      </w:r>
    </w:p>
  </w:endnote>
  <w:endnote w:type="continuationNotice" w:id="1">
    <w:p w14:paraId="55A17FF8" w14:textId="77777777" w:rsidR="00AA08AD" w:rsidRDefault="00AA0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0F06" w14:textId="77777777" w:rsidR="00AA08AD" w:rsidRPr="001569F3" w:rsidRDefault="00AA08AD">
      <w:pPr>
        <w:rPr>
          <w:noProof/>
        </w:rPr>
      </w:pPr>
      <w:r w:rsidRPr="001569F3">
        <w:rPr>
          <w:noProof/>
        </w:rPr>
        <w:separator/>
      </w:r>
    </w:p>
  </w:footnote>
  <w:footnote w:type="continuationSeparator" w:id="0">
    <w:p w14:paraId="1B983EB7" w14:textId="77777777" w:rsidR="00AA08AD" w:rsidRPr="001569F3" w:rsidRDefault="00AA08AD">
      <w:pPr>
        <w:rPr>
          <w:noProof/>
        </w:rPr>
      </w:pPr>
      <w:r w:rsidRPr="001569F3">
        <w:rPr>
          <w:noProof/>
        </w:rPr>
        <w:continuationSeparator/>
      </w:r>
    </w:p>
  </w:footnote>
  <w:footnote w:type="continuationNotice" w:id="1">
    <w:p w14:paraId="41820499" w14:textId="77777777" w:rsidR="00AA08AD" w:rsidRDefault="00AA08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3887" w14:textId="2239A05B" w:rsidR="0073480E" w:rsidRPr="001569F3" w:rsidRDefault="00FA607C">
    <w:pPr>
      <w:pStyle w:val="Header"/>
      <w:jc w:val="center"/>
      <w:rPr>
        <w:noProof/>
        <w:sz w:val="22"/>
        <w:szCs w:val="22"/>
      </w:rPr>
    </w:pPr>
    <w:r w:rsidRPr="001569F3">
      <w:rPr>
        <w:sz w:val="22"/>
      </w:rPr>
      <w:fldChar w:fldCharType="begin"/>
    </w:r>
    <w:r w:rsidRPr="001569F3">
      <w:rPr>
        <w:sz w:val="22"/>
      </w:rPr>
      <w:instrText xml:space="preserve"> PAGE   \* MERGEFORMAT </w:instrText>
    </w:r>
    <w:r w:rsidRPr="001569F3">
      <w:rPr>
        <w:sz w:val="22"/>
      </w:rPr>
      <w:fldChar w:fldCharType="separate"/>
    </w:r>
    <w:r w:rsidR="00F70CEC">
      <w:rPr>
        <w:noProof/>
        <w:sz w:val="22"/>
      </w:rPr>
      <w:t>- 6 -</w:t>
    </w:r>
    <w:r w:rsidRPr="001569F3">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E37F" w14:textId="39695E9F" w:rsidR="0073480E" w:rsidRPr="001569F3" w:rsidRDefault="00B426D4">
    <w:pPr>
      <w:pStyle w:val="Header"/>
      <w:rPr>
        <w:noProof/>
      </w:rPr>
    </w:pPr>
    <w:r>
      <w:rPr>
        <w:noProof/>
        <w:lang w:val="en-US"/>
      </w:rPr>
      <w:drawing>
        <wp:anchor distT="0" distB="0" distL="114300" distR="114300" simplePos="0" relativeHeight="251656704" behindDoc="0" locked="0" layoutInCell="1" allowOverlap="1" wp14:anchorId="294ACD75" wp14:editId="6DD5E577">
          <wp:simplePos x="0" y="0"/>
          <wp:positionH relativeFrom="column">
            <wp:posOffset>-515620</wp:posOffset>
          </wp:positionH>
          <wp:positionV relativeFrom="paragraph">
            <wp:posOffset>-442291</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9B0021">
      <w:rPr>
        <w:noProof/>
        <w:lang w:val="en-US"/>
      </w:rPr>
      <mc:AlternateContent>
        <mc:Choice Requires="wps">
          <w:drawing>
            <wp:anchor distT="0" distB="0" distL="114300" distR="114300" simplePos="0" relativeHeight="251658752" behindDoc="0" locked="0" layoutInCell="1" allowOverlap="1" wp14:anchorId="548B743E" wp14:editId="727DCD4F">
              <wp:simplePos x="0" y="0"/>
              <wp:positionH relativeFrom="column">
                <wp:posOffset>391713</wp:posOffset>
              </wp:positionH>
              <wp:positionV relativeFrom="paragraph">
                <wp:posOffset>-286026</wp:posOffset>
              </wp:positionV>
              <wp:extent cx="4728845" cy="667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7777777" w:rsidR="00921E9E" w:rsidRPr="001569F3"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EDAFC18" w14:textId="77777777" w:rsidR="00921E9E" w:rsidRPr="001569F3"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20623B9" w14:textId="77777777" w:rsidR="00921E9E" w:rsidRPr="001569F3"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743E" id="_x0000_t202" coordsize="21600,21600" o:spt="202" path="m,l,21600r21600,l21600,xe">
              <v:stroke joinstyle="miter"/>
              <v:path gradientshapeok="t" o:connecttype="rect"/>
            </v:shapetype>
            <v:shape id="Text Box 1" o:spid="_x0000_s1027" type="#_x0000_t202" style="position:absolute;margin-left:30.85pt;margin-top:-22.5pt;width:372.35pt;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VjhAIAAA8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" stroked="f">
              <v:textbox>
                <w:txbxContent>
                  <w:p w14:paraId="401849FB" w14:textId="77777777" w:rsidR="00921E9E" w:rsidRPr="001569F3"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EDAFC18" w14:textId="77777777" w:rsidR="00921E9E" w:rsidRPr="001569F3"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20623B9" w14:textId="77777777" w:rsidR="00921E9E" w:rsidRPr="001569F3"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sidR="009B0021">
      <w:rPr>
        <w:noProof/>
        <w:lang w:val="en-US"/>
      </w:rPr>
      <mc:AlternateContent>
        <mc:Choice Requires="wps">
          <w:drawing>
            <wp:anchor distT="0" distB="0" distL="114300" distR="114300" simplePos="0" relativeHeight="251657728" behindDoc="0" locked="0" layoutInCell="1" allowOverlap="1" wp14:anchorId="1F661507" wp14:editId="09A34356">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73480E" w:rsidRPr="001569F3" w:rsidRDefault="009B0021" w:rsidP="00AB7175">
                          <w:pPr>
                            <w:ind w:right="-130"/>
                          </w:pPr>
                          <w:r>
                            <w:rPr>
                              <w:noProof/>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150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73480E" w:rsidRPr="001569F3" w:rsidRDefault="009B0021" w:rsidP="00AB7175">
                    <w:pPr>
                      <w:ind w:right="-130"/>
                    </w:pPr>
                    <w:r>
                      <w:rPr>
                        <w:noProof/>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p>
  <w:p w14:paraId="5A4D5D52" w14:textId="77777777" w:rsidR="001B0828" w:rsidRPr="001569F3" w:rsidRDefault="001B0828">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CB88" w14:textId="77777777" w:rsidR="00B426D4" w:rsidRPr="00B426D4" w:rsidRDefault="00B426D4">
    <w:pPr>
      <w:rPr>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A3"/>
    <w:multiLevelType w:val="hybridMultilevel"/>
    <w:tmpl w:val="95E61F64"/>
    <w:lvl w:ilvl="0" w:tplc="B4D0FF4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A2D1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CCF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36781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E060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626F3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A01F3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D40D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5E394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6" w15:restartNumberingAfterBreak="0">
    <w:nsid w:val="22B946C0"/>
    <w:multiLevelType w:val="hybridMultilevel"/>
    <w:tmpl w:val="3DCC13D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0A45EF"/>
    <w:multiLevelType w:val="hybridMultilevel"/>
    <w:tmpl w:val="689A419C"/>
    <w:lvl w:ilvl="0" w:tplc="8BA254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826E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9A58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AC92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8CD8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DC6E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EE0F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008B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72BB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72F0F"/>
    <w:multiLevelType w:val="hybridMultilevel"/>
    <w:tmpl w:val="2F506AD8"/>
    <w:lvl w:ilvl="0" w:tplc="6AAA82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6AF5A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267A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6A8F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A85C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8E7F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C4E0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282CA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4C6E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D8383C"/>
    <w:multiLevelType w:val="hybridMultilevel"/>
    <w:tmpl w:val="353A73BA"/>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9" w15:restartNumberingAfterBreak="0">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5"/>
  </w:num>
  <w:num w:numId="4">
    <w:abstractNumId w:val="18"/>
  </w:num>
  <w:num w:numId="5">
    <w:abstractNumId w:val="8"/>
  </w:num>
  <w:num w:numId="6">
    <w:abstractNumId w:val="6"/>
  </w:num>
  <w:num w:numId="7">
    <w:abstractNumId w:val="6"/>
  </w:num>
  <w:num w:numId="8">
    <w:abstractNumId w:val="17"/>
  </w:num>
  <w:num w:numId="9">
    <w:abstractNumId w:val="2"/>
  </w:num>
  <w:num w:numId="10">
    <w:abstractNumId w:val="15"/>
  </w:num>
  <w:num w:numId="11">
    <w:abstractNumId w:val="19"/>
  </w:num>
  <w:num w:numId="12">
    <w:abstractNumId w:val="16"/>
  </w:num>
  <w:num w:numId="13">
    <w:abstractNumId w:val="3"/>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4"/>
  </w:num>
  <w:num w:numId="19">
    <w:abstractNumId w:val="13"/>
  </w:num>
  <w:num w:numId="20">
    <w:abstractNumId w:val="12"/>
  </w:num>
  <w:num w:numId="21">
    <w:abstractNumId w:val="4"/>
  </w:num>
  <w:num w:numId="22">
    <w:abstractNumId w:val="7"/>
  </w:num>
  <w:num w:numId="23">
    <w:abstractNumId w:val="9"/>
  </w:num>
  <w:num w:numId="24">
    <w:abstractNumId w:val="0"/>
  </w:num>
  <w:num w:numId="25">
    <w:abstractNumId w:val="1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008153-02E7-4F68-9169-87BA5F9EB150}"/>
    <w:docVar w:name="dgnword-eventsink" w:val="2741136000992"/>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1527"/>
    <w:rsid w:val="000736AA"/>
    <w:rsid w:val="00073CCC"/>
    <w:rsid w:val="00074325"/>
    <w:rsid w:val="00074E66"/>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4C0"/>
    <w:rsid w:val="00147F9E"/>
    <w:rsid w:val="00150AE4"/>
    <w:rsid w:val="00152D2E"/>
    <w:rsid w:val="00153DD8"/>
    <w:rsid w:val="0015580A"/>
    <w:rsid w:val="001569F3"/>
    <w:rsid w:val="00160DD0"/>
    <w:rsid w:val="00163948"/>
    <w:rsid w:val="0016428D"/>
    <w:rsid w:val="00165359"/>
    <w:rsid w:val="0016660D"/>
    <w:rsid w:val="00166C73"/>
    <w:rsid w:val="001675E2"/>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462"/>
    <w:rsid w:val="0020460C"/>
    <w:rsid w:val="002050F0"/>
    <w:rsid w:val="002119ED"/>
    <w:rsid w:val="0021263B"/>
    <w:rsid w:val="00216850"/>
    <w:rsid w:val="00222AFE"/>
    <w:rsid w:val="00224B2B"/>
    <w:rsid w:val="00224C3F"/>
    <w:rsid w:val="00225597"/>
    <w:rsid w:val="0022713E"/>
    <w:rsid w:val="002329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4140"/>
    <w:rsid w:val="002B541D"/>
    <w:rsid w:val="002B56D2"/>
    <w:rsid w:val="002B6EC0"/>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288B"/>
    <w:rsid w:val="003836D2"/>
    <w:rsid w:val="003862D2"/>
    <w:rsid w:val="00390A70"/>
    <w:rsid w:val="00390D0F"/>
    <w:rsid w:val="003923A6"/>
    <w:rsid w:val="003945DC"/>
    <w:rsid w:val="00395B6C"/>
    <w:rsid w:val="003A1DD1"/>
    <w:rsid w:val="003A50F3"/>
    <w:rsid w:val="003A5B70"/>
    <w:rsid w:val="003B1D31"/>
    <w:rsid w:val="003B2254"/>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6EA"/>
    <w:rsid w:val="003F4FA0"/>
    <w:rsid w:val="003F6FF7"/>
    <w:rsid w:val="003F7B1F"/>
    <w:rsid w:val="004011CB"/>
    <w:rsid w:val="00405C57"/>
    <w:rsid w:val="00410ED3"/>
    <w:rsid w:val="004123EC"/>
    <w:rsid w:val="00412CD0"/>
    <w:rsid w:val="00413FE5"/>
    <w:rsid w:val="00414A9D"/>
    <w:rsid w:val="00417C96"/>
    <w:rsid w:val="00420CBA"/>
    <w:rsid w:val="00421AA1"/>
    <w:rsid w:val="004249B9"/>
    <w:rsid w:val="00426DB2"/>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97D4E"/>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1A4"/>
    <w:rsid w:val="004D44C9"/>
    <w:rsid w:val="004D7FB5"/>
    <w:rsid w:val="004E4B3D"/>
    <w:rsid w:val="004E62A6"/>
    <w:rsid w:val="004F0EF3"/>
    <w:rsid w:val="004F16DE"/>
    <w:rsid w:val="004F1AED"/>
    <w:rsid w:val="004F4571"/>
    <w:rsid w:val="004F6805"/>
    <w:rsid w:val="0050011F"/>
    <w:rsid w:val="00502854"/>
    <w:rsid w:val="0050617C"/>
    <w:rsid w:val="0050667F"/>
    <w:rsid w:val="005112C3"/>
    <w:rsid w:val="00511E39"/>
    <w:rsid w:val="0051320B"/>
    <w:rsid w:val="00513B4E"/>
    <w:rsid w:val="00514EDB"/>
    <w:rsid w:val="00520355"/>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15AC"/>
    <w:rsid w:val="00594069"/>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2BA4"/>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466C"/>
    <w:rsid w:val="00794A66"/>
    <w:rsid w:val="00794BF4"/>
    <w:rsid w:val="00796149"/>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E7D4D"/>
    <w:rsid w:val="007F13AB"/>
    <w:rsid w:val="007F22EF"/>
    <w:rsid w:val="007F2774"/>
    <w:rsid w:val="007F4737"/>
    <w:rsid w:val="007F4DAA"/>
    <w:rsid w:val="007F5E7F"/>
    <w:rsid w:val="007F764A"/>
    <w:rsid w:val="00800761"/>
    <w:rsid w:val="00801C23"/>
    <w:rsid w:val="008023AC"/>
    <w:rsid w:val="008023EA"/>
    <w:rsid w:val="008026FE"/>
    <w:rsid w:val="008100D6"/>
    <w:rsid w:val="00815A1F"/>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0149"/>
    <w:rsid w:val="008A2F14"/>
    <w:rsid w:val="008A5FF3"/>
    <w:rsid w:val="008A78C9"/>
    <w:rsid w:val="008B2788"/>
    <w:rsid w:val="008B356D"/>
    <w:rsid w:val="008B3A12"/>
    <w:rsid w:val="008B4134"/>
    <w:rsid w:val="008B4897"/>
    <w:rsid w:val="008B5AF8"/>
    <w:rsid w:val="008C254E"/>
    <w:rsid w:val="008C3418"/>
    <w:rsid w:val="008C4706"/>
    <w:rsid w:val="008C5979"/>
    <w:rsid w:val="008C70BC"/>
    <w:rsid w:val="008D2C52"/>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08AD"/>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025E"/>
    <w:rsid w:val="00B13720"/>
    <w:rsid w:val="00B16016"/>
    <w:rsid w:val="00B177E6"/>
    <w:rsid w:val="00B211D8"/>
    <w:rsid w:val="00B21F82"/>
    <w:rsid w:val="00B234AF"/>
    <w:rsid w:val="00B270A2"/>
    <w:rsid w:val="00B27F1B"/>
    <w:rsid w:val="00B32702"/>
    <w:rsid w:val="00B331AE"/>
    <w:rsid w:val="00B35227"/>
    <w:rsid w:val="00B35B30"/>
    <w:rsid w:val="00B426D4"/>
    <w:rsid w:val="00B427A8"/>
    <w:rsid w:val="00B43107"/>
    <w:rsid w:val="00B439EC"/>
    <w:rsid w:val="00B44978"/>
    <w:rsid w:val="00B47109"/>
    <w:rsid w:val="00B50945"/>
    <w:rsid w:val="00B5122D"/>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76CC5"/>
    <w:rsid w:val="00B82374"/>
    <w:rsid w:val="00B847B7"/>
    <w:rsid w:val="00B90CD0"/>
    <w:rsid w:val="00B930C9"/>
    <w:rsid w:val="00B94C7D"/>
    <w:rsid w:val="00B97D8D"/>
    <w:rsid w:val="00BA2D10"/>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330"/>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27F7"/>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47FC"/>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47424"/>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5372"/>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0CEC"/>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C6D01"/>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 w:type="character" w:customStyle="1" w:styleId="ListParagraphChar">
    <w:name w:val="List Paragraph Char"/>
    <w:basedOn w:val="DefaultParagraphFont"/>
    <w:link w:val="ListParagraph0"/>
    <w:uiPriority w:val="34"/>
    <w:locked/>
    <w:rsid w:val="00B76CC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F265-0E5D-4A5F-8E10-A8A82B04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60</TotalTime>
  <Pages>7</Pages>
  <Words>2681</Words>
  <Characters>14847</Characters>
  <Application>Microsoft Office Word</Application>
  <DocSecurity>0</DocSecurity>
  <Lines>287</Lines>
  <Paragraphs>44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Palmer, Margaret</cp:lastModifiedBy>
  <cp:revision>7</cp:revision>
  <cp:lastPrinted>2018-08-24T16:52:00Z</cp:lastPrinted>
  <dcterms:created xsi:type="dcterms:W3CDTF">2020-12-21T20:36:00Z</dcterms:created>
  <dcterms:modified xsi:type="dcterms:W3CDTF">2020-12-23T15:04:00Z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