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C5ABB" w14:textId="77777777" w:rsidR="00722693" w:rsidRPr="00724EA0" w:rsidRDefault="00FA607C" w:rsidP="00545432">
      <w:pPr>
        <w:tabs>
          <w:tab w:val="left" w:pos="7200"/>
        </w:tabs>
        <w:ind w:right="-1080"/>
        <w:rPr>
          <w:sz w:val="22"/>
          <w:szCs w:val="22"/>
          <w:lang w:val="pt-BR"/>
        </w:rPr>
      </w:pPr>
      <w:bookmarkStart w:id="0" w:name="_top"/>
      <w:bookmarkEnd w:id="0"/>
      <w:r>
        <w:rPr>
          <w:sz w:val="22"/>
        </w:rPr>
        <w:tab/>
      </w:r>
      <w:r w:rsidRPr="00724EA0">
        <w:rPr>
          <w:sz w:val="22"/>
          <w:lang w:val="pt-BR"/>
        </w:rPr>
        <w:t>OEA/Ser.W</w:t>
      </w:r>
    </w:p>
    <w:p w14:paraId="68D1B0A4" w14:textId="77777777" w:rsidR="00722693" w:rsidRPr="00724EA0" w:rsidRDefault="00FA607C" w:rsidP="00545432">
      <w:pPr>
        <w:tabs>
          <w:tab w:val="left" w:pos="7200"/>
        </w:tabs>
        <w:ind w:right="-1080"/>
        <w:rPr>
          <w:sz w:val="22"/>
          <w:szCs w:val="22"/>
          <w:lang w:val="pt-BR"/>
        </w:rPr>
      </w:pPr>
      <w:r w:rsidRPr="00724EA0">
        <w:rPr>
          <w:sz w:val="22"/>
          <w:lang w:val="pt-BR"/>
        </w:rPr>
        <w:tab/>
        <w:t>CIDI/INF.403/21</w:t>
      </w:r>
    </w:p>
    <w:p w14:paraId="4F727552" w14:textId="77777777" w:rsidR="00921E9E" w:rsidRPr="00723EE9" w:rsidRDefault="00FA607C" w:rsidP="00545432">
      <w:pPr>
        <w:tabs>
          <w:tab w:val="left" w:pos="7200"/>
        </w:tabs>
        <w:ind w:right="-1080"/>
        <w:rPr>
          <w:sz w:val="22"/>
          <w:szCs w:val="22"/>
        </w:rPr>
      </w:pPr>
      <w:r w:rsidRPr="00724EA0">
        <w:rPr>
          <w:sz w:val="22"/>
          <w:lang w:val="pt-BR"/>
        </w:rPr>
        <w:tab/>
      </w:r>
      <w:r>
        <w:rPr>
          <w:sz w:val="22"/>
        </w:rPr>
        <w:t>28 enero 2021</w:t>
      </w:r>
    </w:p>
    <w:p w14:paraId="750B9A49" w14:textId="77777777" w:rsidR="00921E9E" w:rsidRPr="00723EE9" w:rsidRDefault="00FA607C" w:rsidP="00545432">
      <w:pPr>
        <w:pBdr>
          <w:bottom w:val="single" w:sz="12" w:space="1" w:color="auto"/>
        </w:pBdr>
        <w:tabs>
          <w:tab w:val="left" w:pos="7200"/>
        </w:tabs>
        <w:ind w:right="-389"/>
        <w:rPr>
          <w:sz w:val="22"/>
          <w:szCs w:val="22"/>
        </w:rPr>
      </w:pPr>
      <w:r>
        <w:rPr>
          <w:sz w:val="22"/>
        </w:rPr>
        <w:tab/>
        <w:t>Original: inglés</w:t>
      </w:r>
    </w:p>
    <w:p w14:paraId="592AD802" w14:textId="77777777" w:rsidR="00921E9E" w:rsidRPr="00723EE9" w:rsidRDefault="00921E9E" w:rsidP="00545432">
      <w:pPr>
        <w:pBdr>
          <w:bottom w:val="single" w:sz="12" w:space="1" w:color="auto"/>
        </w:pBdr>
        <w:tabs>
          <w:tab w:val="left" w:pos="7200"/>
        </w:tabs>
        <w:ind w:right="-389"/>
        <w:rPr>
          <w:sz w:val="22"/>
          <w:szCs w:val="22"/>
        </w:rPr>
      </w:pPr>
    </w:p>
    <w:p w14:paraId="5BAD975F" w14:textId="77777777" w:rsidR="00722693" w:rsidRPr="00723EE9" w:rsidRDefault="00722693" w:rsidP="00545432">
      <w:pPr>
        <w:tabs>
          <w:tab w:val="left" w:pos="7200"/>
        </w:tabs>
        <w:ind w:right="-1080"/>
        <w:rPr>
          <w:sz w:val="22"/>
          <w:szCs w:val="22"/>
        </w:rPr>
      </w:pPr>
    </w:p>
    <w:p w14:paraId="2D94FEC4" w14:textId="77777777" w:rsidR="00FB2A63" w:rsidRDefault="00FB2A63" w:rsidP="00545432">
      <w:pPr>
        <w:pStyle w:val="Heading1"/>
        <w:ind w:left="1018" w:right="962"/>
        <w:jc w:val="center"/>
        <w:rPr>
          <w:rFonts w:ascii="Times New Roman" w:hAnsi="Times New Roman"/>
          <w:szCs w:val="22"/>
        </w:rPr>
      </w:pPr>
    </w:p>
    <w:p w14:paraId="47FE6438" w14:textId="77777777" w:rsidR="004448C1" w:rsidRDefault="004448C1" w:rsidP="00545432">
      <w:pPr>
        <w:jc w:val="center"/>
        <w:rPr>
          <w:rFonts w:eastAsia="Calibri"/>
          <w:sz w:val="22"/>
          <w:szCs w:val="22"/>
        </w:rPr>
      </w:pPr>
    </w:p>
    <w:p w14:paraId="055788F8" w14:textId="77777777" w:rsidR="000F2C7A" w:rsidRDefault="000F2C7A" w:rsidP="00545432">
      <w:pPr>
        <w:jc w:val="center"/>
        <w:rPr>
          <w:rFonts w:eastAsia="Calibri"/>
          <w:sz w:val="22"/>
          <w:szCs w:val="22"/>
        </w:rPr>
      </w:pPr>
    </w:p>
    <w:p w14:paraId="0A2E56A8" w14:textId="77777777" w:rsidR="000F2C7A" w:rsidRDefault="000F2C7A" w:rsidP="00545432">
      <w:pPr>
        <w:jc w:val="center"/>
        <w:rPr>
          <w:rFonts w:eastAsia="Calibri"/>
          <w:sz w:val="22"/>
          <w:szCs w:val="22"/>
        </w:rPr>
      </w:pPr>
    </w:p>
    <w:p w14:paraId="2EBF263A" w14:textId="77777777" w:rsidR="000F2C7A" w:rsidRDefault="000F2C7A" w:rsidP="00545432">
      <w:pPr>
        <w:jc w:val="center"/>
        <w:rPr>
          <w:rFonts w:eastAsia="Calibri"/>
          <w:sz w:val="22"/>
          <w:szCs w:val="22"/>
        </w:rPr>
      </w:pPr>
    </w:p>
    <w:p w14:paraId="762A4593" w14:textId="77777777" w:rsidR="000F2C7A" w:rsidRDefault="000F2C7A" w:rsidP="00545432">
      <w:pPr>
        <w:jc w:val="center"/>
        <w:rPr>
          <w:rFonts w:eastAsia="Calibri"/>
          <w:sz w:val="22"/>
          <w:szCs w:val="22"/>
        </w:rPr>
      </w:pPr>
    </w:p>
    <w:p w14:paraId="4EBC15AF" w14:textId="77777777" w:rsidR="000F2C7A" w:rsidRDefault="000F2C7A" w:rsidP="00545432">
      <w:pPr>
        <w:jc w:val="center"/>
        <w:rPr>
          <w:rFonts w:eastAsia="Calibri"/>
          <w:sz w:val="22"/>
          <w:szCs w:val="22"/>
        </w:rPr>
      </w:pPr>
    </w:p>
    <w:p w14:paraId="2098A907" w14:textId="77777777" w:rsidR="000F2C7A" w:rsidRDefault="000F2C7A" w:rsidP="00545432">
      <w:pPr>
        <w:jc w:val="center"/>
        <w:rPr>
          <w:rFonts w:eastAsia="Calibri"/>
          <w:sz w:val="22"/>
          <w:szCs w:val="22"/>
        </w:rPr>
      </w:pPr>
    </w:p>
    <w:p w14:paraId="1B992BD7" w14:textId="77777777" w:rsidR="000F2C7A" w:rsidRDefault="000F2C7A" w:rsidP="00545432">
      <w:pPr>
        <w:jc w:val="center"/>
        <w:rPr>
          <w:rFonts w:eastAsia="Calibri"/>
          <w:sz w:val="22"/>
          <w:szCs w:val="22"/>
        </w:rPr>
      </w:pPr>
    </w:p>
    <w:p w14:paraId="5E3396B8" w14:textId="77777777" w:rsidR="000F2C7A" w:rsidRDefault="000F2C7A" w:rsidP="00545432">
      <w:pPr>
        <w:jc w:val="center"/>
        <w:rPr>
          <w:rFonts w:eastAsia="Calibri"/>
          <w:sz w:val="22"/>
          <w:szCs w:val="22"/>
        </w:rPr>
      </w:pPr>
    </w:p>
    <w:p w14:paraId="7C29F2D9" w14:textId="77777777" w:rsidR="000F2C7A" w:rsidRDefault="000F2C7A" w:rsidP="00545432">
      <w:pPr>
        <w:jc w:val="center"/>
        <w:rPr>
          <w:rFonts w:eastAsia="Calibri"/>
          <w:sz w:val="22"/>
          <w:szCs w:val="22"/>
        </w:rPr>
      </w:pPr>
    </w:p>
    <w:p w14:paraId="70565F26" w14:textId="77777777" w:rsidR="000F2C7A" w:rsidRDefault="000F2C7A" w:rsidP="00545432">
      <w:pPr>
        <w:jc w:val="center"/>
        <w:rPr>
          <w:rFonts w:eastAsia="Calibri"/>
          <w:sz w:val="22"/>
          <w:szCs w:val="22"/>
        </w:rPr>
      </w:pPr>
    </w:p>
    <w:p w14:paraId="3C8D196F" w14:textId="77777777" w:rsidR="000F2C7A" w:rsidRDefault="000F2C7A" w:rsidP="00545432">
      <w:pPr>
        <w:jc w:val="center"/>
        <w:rPr>
          <w:rFonts w:eastAsia="Calibri"/>
          <w:sz w:val="22"/>
          <w:szCs w:val="22"/>
        </w:rPr>
      </w:pPr>
    </w:p>
    <w:p w14:paraId="0C158F12" w14:textId="77777777" w:rsidR="000F2C7A" w:rsidRPr="000F2C7A" w:rsidRDefault="000F2C7A" w:rsidP="000F2C7A">
      <w:pPr>
        <w:tabs>
          <w:tab w:val="left" w:pos="7200"/>
        </w:tabs>
        <w:ind w:right="-1080"/>
        <w:rPr>
          <w:color w:val="000000"/>
          <w:sz w:val="22"/>
          <w:szCs w:val="22"/>
        </w:rPr>
      </w:pPr>
    </w:p>
    <w:p w14:paraId="321E4D8D" w14:textId="77777777" w:rsidR="000F2C7A" w:rsidRPr="000F2C7A" w:rsidRDefault="000F2C7A" w:rsidP="000F2C7A">
      <w:pPr>
        <w:tabs>
          <w:tab w:val="left" w:pos="7200"/>
        </w:tabs>
        <w:ind w:right="-1080"/>
        <w:rPr>
          <w:color w:val="000000"/>
          <w:sz w:val="22"/>
          <w:szCs w:val="22"/>
        </w:rPr>
      </w:pPr>
    </w:p>
    <w:p w14:paraId="4F91F3E9" w14:textId="385B43E1" w:rsidR="000F2C7A" w:rsidRPr="000F2C7A" w:rsidRDefault="000F2C7A" w:rsidP="000F2C7A">
      <w:pPr>
        <w:jc w:val="center"/>
        <w:rPr>
          <w:rFonts w:eastAsia="MS Mincho"/>
          <w:b/>
          <w:sz w:val="22"/>
          <w:szCs w:val="22"/>
        </w:rPr>
      </w:pPr>
      <w:r>
        <w:rPr>
          <w:b/>
          <w:sz w:val="22"/>
        </w:rPr>
        <w:t>PRESENTACIÓN DE LA SECRETARIA EJECUTIVA PARA EL DESARROLLO INTEGRAL, S</w:t>
      </w:r>
      <w:r w:rsidR="008F0F20">
        <w:rPr>
          <w:b/>
          <w:sz w:val="22"/>
        </w:rPr>
        <w:tab/>
        <w:t xml:space="preserve">EÑORA </w:t>
      </w:r>
      <w:r>
        <w:rPr>
          <w:b/>
          <w:sz w:val="22"/>
        </w:rPr>
        <w:t xml:space="preserve">KIM OSBORNE, EN LA QUE RESUME LOS ASPECTOS SOBRESALIENTES DEL BORRADOR DE INFORME ANUAL 2020 DEL SEDI AL CIDI </w:t>
      </w:r>
    </w:p>
    <w:p w14:paraId="2D471BBF" w14:textId="77777777" w:rsidR="000F2C7A" w:rsidRPr="000F2C7A" w:rsidRDefault="000F2C7A" w:rsidP="000F2C7A">
      <w:pPr>
        <w:jc w:val="center"/>
        <w:rPr>
          <w:rFonts w:eastAsia="MS Mincho"/>
          <w:b/>
          <w:sz w:val="22"/>
          <w:szCs w:val="22"/>
        </w:rPr>
      </w:pPr>
    </w:p>
    <w:p w14:paraId="1C0029A8" w14:textId="77777777" w:rsidR="000F2C7A" w:rsidRPr="000F2C7A" w:rsidRDefault="000F2C7A" w:rsidP="000F2C7A">
      <w:pPr>
        <w:jc w:val="center"/>
        <w:rPr>
          <w:rFonts w:eastAsia="MS Mincho"/>
          <w:sz w:val="22"/>
          <w:szCs w:val="22"/>
        </w:rPr>
      </w:pPr>
    </w:p>
    <w:p w14:paraId="0000430F" w14:textId="77777777" w:rsidR="00724EA0" w:rsidRDefault="000F2C7A" w:rsidP="000F2C7A">
      <w:pPr>
        <w:jc w:val="center"/>
        <w:rPr>
          <w:sz w:val="22"/>
        </w:rPr>
      </w:pPr>
      <w:r>
        <w:rPr>
          <w:sz w:val="22"/>
        </w:rPr>
        <w:t>(Presentación hecha en la sesión ordinaria del 26 de enero de 2021)</w:t>
      </w:r>
    </w:p>
    <w:p w14:paraId="55F3BDBF" w14:textId="77777777" w:rsidR="00724EA0" w:rsidRDefault="00724EA0" w:rsidP="000F2C7A">
      <w:pPr>
        <w:jc w:val="center"/>
        <w:rPr>
          <w:sz w:val="22"/>
        </w:rPr>
      </w:pPr>
    </w:p>
    <w:p w14:paraId="02C31B43" w14:textId="77777777" w:rsidR="00724EA0" w:rsidRDefault="00724EA0" w:rsidP="000F2C7A">
      <w:pPr>
        <w:jc w:val="center"/>
        <w:rPr>
          <w:sz w:val="22"/>
        </w:rPr>
      </w:pPr>
    </w:p>
    <w:p w14:paraId="53ACD107" w14:textId="77777777" w:rsidR="00724EA0" w:rsidRDefault="00724EA0" w:rsidP="000F2C7A">
      <w:pPr>
        <w:jc w:val="center"/>
        <w:rPr>
          <w:b/>
          <w:sz w:val="22"/>
        </w:rPr>
        <w:sectPr w:rsidR="00724EA0" w:rsidSect="00A870BA">
          <w:headerReference w:type="default" r:id="rId8"/>
          <w:headerReference w:type="first" r:id="rId9"/>
          <w:type w:val="continuous"/>
          <w:pgSz w:w="12240" w:h="15840" w:code="1"/>
          <w:pgMar w:top="2160" w:right="1570" w:bottom="1296" w:left="1670" w:header="1296" w:footer="432" w:gutter="0"/>
          <w:pgNumType w:fmt="numberInDash" w:start="1"/>
          <w:cols w:space="720"/>
          <w:titlePg/>
          <w:docGrid w:linePitch="272"/>
        </w:sectPr>
      </w:pPr>
    </w:p>
    <w:p w14:paraId="4C6D5106" w14:textId="7D1CBDB2" w:rsidR="000F2C7A" w:rsidRPr="000F2C7A" w:rsidRDefault="000F2C7A" w:rsidP="000F2C7A">
      <w:pPr>
        <w:jc w:val="center"/>
        <w:rPr>
          <w:rFonts w:eastAsia="MS Mincho"/>
          <w:b/>
          <w:sz w:val="22"/>
          <w:szCs w:val="22"/>
        </w:rPr>
      </w:pPr>
      <w:r>
        <w:rPr>
          <w:b/>
          <w:sz w:val="22"/>
        </w:rPr>
        <w:lastRenderedPageBreak/>
        <w:t>PRESENTACIÓN DE LA SECRETARIA EJECUTIVA PARA EL DESARROLLO INTEGRAL, S</w:t>
      </w:r>
      <w:r w:rsidR="008F0F20">
        <w:rPr>
          <w:b/>
          <w:sz w:val="22"/>
        </w:rPr>
        <w:t>EÑORA</w:t>
      </w:r>
      <w:bookmarkStart w:id="1" w:name="_GoBack"/>
      <w:bookmarkEnd w:id="1"/>
      <w:r>
        <w:rPr>
          <w:b/>
          <w:sz w:val="22"/>
        </w:rPr>
        <w:t xml:space="preserve"> KIM OSBORNE, EN LA QUE RESUME LOS ASPECTOS SOBRESALIENTES DEL BORRADOR DE INFORME ANUAL 2020 DEL SEDI AL CIDI</w:t>
      </w:r>
    </w:p>
    <w:p w14:paraId="1D875D80" w14:textId="77777777" w:rsidR="000F2C7A" w:rsidRPr="000F2C7A" w:rsidRDefault="000F2C7A" w:rsidP="00724EA0">
      <w:pPr>
        <w:rPr>
          <w:rFonts w:eastAsia="MS Mincho"/>
          <w:sz w:val="22"/>
          <w:szCs w:val="22"/>
        </w:rPr>
      </w:pPr>
    </w:p>
    <w:p w14:paraId="6D1AC8DF" w14:textId="77777777" w:rsidR="000F2C7A" w:rsidRPr="000F2C7A" w:rsidRDefault="000F2C7A" w:rsidP="000F2C7A">
      <w:pPr>
        <w:jc w:val="center"/>
        <w:rPr>
          <w:rFonts w:eastAsia="MS Mincho"/>
          <w:sz w:val="22"/>
          <w:szCs w:val="22"/>
        </w:rPr>
      </w:pPr>
      <w:r>
        <w:rPr>
          <w:sz w:val="22"/>
        </w:rPr>
        <w:t>(26 de enero de 2021)</w:t>
      </w:r>
    </w:p>
    <w:p w14:paraId="3798F6E4" w14:textId="77777777" w:rsidR="000F2C7A" w:rsidRPr="000F2C7A" w:rsidRDefault="000F2C7A" w:rsidP="00724EA0">
      <w:pPr>
        <w:rPr>
          <w:rFonts w:eastAsia="MS Mincho"/>
          <w:sz w:val="22"/>
          <w:szCs w:val="22"/>
        </w:rPr>
      </w:pPr>
    </w:p>
    <w:p w14:paraId="0244679E" w14:textId="77777777" w:rsidR="000F2C7A" w:rsidRPr="000F2C7A" w:rsidRDefault="000F2C7A" w:rsidP="00724EA0">
      <w:pPr>
        <w:rPr>
          <w:rFonts w:eastAsia="MS Mincho"/>
          <w:sz w:val="22"/>
          <w:szCs w:val="22"/>
        </w:rPr>
      </w:pPr>
    </w:p>
    <w:p w14:paraId="1547C343" w14:textId="0584D26B" w:rsidR="000F2C7A" w:rsidRPr="000F2C7A" w:rsidRDefault="000F2C7A" w:rsidP="000F2C7A">
      <w:pPr>
        <w:ind w:firstLine="720"/>
        <w:jc w:val="both"/>
        <w:outlineLvl w:val="0"/>
        <w:rPr>
          <w:rFonts w:eastAsia="MS Mincho"/>
          <w:sz w:val="22"/>
          <w:szCs w:val="22"/>
        </w:rPr>
      </w:pPr>
      <w:r>
        <w:rPr>
          <w:sz w:val="22"/>
        </w:rPr>
        <w:t xml:space="preserve">Señor Presidente, señores </w:t>
      </w:r>
      <w:r w:rsidR="00E73892">
        <w:rPr>
          <w:sz w:val="22"/>
        </w:rPr>
        <w:t>d</w:t>
      </w:r>
      <w:r>
        <w:rPr>
          <w:sz w:val="22"/>
        </w:rPr>
        <w:t xml:space="preserve">elegados: </w:t>
      </w:r>
    </w:p>
    <w:p w14:paraId="7D1A90EB" w14:textId="77777777" w:rsidR="000F2C7A" w:rsidRPr="000F2C7A" w:rsidRDefault="000F2C7A" w:rsidP="000F2C7A">
      <w:pPr>
        <w:jc w:val="both"/>
        <w:outlineLvl w:val="0"/>
        <w:rPr>
          <w:rFonts w:eastAsia="MS Mincho"/>
          <w:sz w:val="22"/>
          <w:szCs w:val="22"/>
        </w:rPr>
      </w:pPr>
    </w:p>
    <w:p w14:paraId="7F368552" w14:textId="4D6BB77C" w:rsidR="000F2C7A" w:rsidRPr="000F2C7A" w:rsidRDefault="000F2C7A" w:rsidP="000F2C7A">
      <w:pPr>
        <w:ind w:firstLine="720"/>
        <w:jc w:val="both"/>
        <w:outlineLvl w:val="0"/>
        <w:rPr>
          <w:rFonts w:eastAsia="MS Mincho"/>
          <w:sz w:val="22"/>
          <w:szCs w:val="22"/>
        </w:rPr>
      </w:pPr>
      <w:r>
        <w:rPr>
          <w:sz w:val="22"/>
        </w:rPr>
        <w:t xml:space="preserve">En nombre del diligente equipo de la Secretaría Ejecutiva para el Desarrollo Integral, me complace presentar a ustedes un resumen de los aspectos más sobresalientes contenidos en el borrador de informe anual que la SEDI presenta a este Consejo. </w:t>
      </w:r>
      <w:r w:rsidR="00E73892">
        <w:rPr>
          <w:sz w:val="22"/>
        </w:rPr>
        <w:t>E</w:t>
      </w:r>
      <w:r>
        <w:rPr>
          <w:sz w:val="22"/>
        </w:rPr>
        <w:t xml:space="preserve">ste informe abarca el período comprendido entre enero y diciembre de 2020.  </w:t>
      </w:r>
    </w:p>
    <w:p w14:paraId="69A5A807" w14:textId="77777777" w:rsidR="000F2C7A" w:rsidRPr="000F2C7A" w:rsidRDefault="000F2C7A" w:rsidP="000F2C7A">
      <w:pPr>
        <w:jc w:val="both"/>
        <w:outlineLvl w:val="0"/>
        <w:rPr>
          <w:rFonts w:eastAsia="MS Mincho"/>
          <w:sz w:val="22"/>
          <w:szCs w:val="22"/>
        </w:rPr>
      </w:pPr>
    </w:p>
    <w:p w14:paraId="132BFD85" w14:textId="77777777" w:rsidR="000F2C7A" w:rsidRPr="000F2C7A" w:rsidRDefault="000F2C7A" w:rsidP="000F2C7A">
      <w:pPr>
        <w:ind w:firstLine="720"/>
        <w:jc w:val="both"/>
        <w:rPr>
          <w:rFonts w:eastAsia="MS Mincho"/>
          <w:sz w:val="22"/>
          <w:szCs w:val="22"/>
        </w:rPr>
      </w:pPr>
      <w:r>
        <w:rPr>
          <w:sz w:val="22"/>
        </w:rPr>
        <w:t xml:space="preserve">En 2020 los Estados Miembros de la OEA se enfrentaron a desafíos sin precedentes. La crisis de salud pública generada por la pandemia de COVID-19 puso de manifiesto y amplificó debilidades estructurales que han derivado en turbulencias económicas, sociales y políticas que, a su vez, han hecho tambalear el avance hacia el logro de los Objetivos de Desarrollo Sostenible (ODS). La SEDI, en su papel de brazo de la Organización para el desarrollo y en su afán de poner en práctica el Plan Estratégico Integral de la OEA 2016, se ha abocado a reorientar los programas e iniciativas existentes a fin de satisfacer las necesidades emergentes de los Estados Miembros derivadas de los complejos desafíos que ha ocasionado la pandemia. Esta labor ha sido apoyada gracias al establecimiento y aprovechamiento de esquemas asociativos estratégicos que han permitido ampliar los recursos disponibles para responder a la crisis. </w:t>
      </w:r>
    </w:p>
    <w:p w14:paraId="19A99D27" w14:textId="77777777" w:rsidR="000F2C7A" w:rsidRPr="000F2C7A" w:rsidRDefault="000F2C7A" w:rsidP="000F2C7A">
      <w:pPr>
        <w:jc w:val="both"/>
        <w:rPr>
          <w:rFonts w:eastAsia="MS Mincho"/>
          <w:sz w:val="22"/>
          <w:szCs w:val="22"/>
        </w:rPr>
      </w:pPr>
    </w:p>
    <w:p w14:paraId="1AFE9FBC" w14:textId="77777777" w:rsidR="000F2C7A" w:rsidRPr="000F2C7A" w:rsidRDefault="000F2C7A" w:rsidP="000F2C7A">
      <w:pPr>
        <w:ind w:firstLine="720"/>
        <w:jc w:val="both"/>
        <w:rPr>
          <w:rFonts w:eastAsia="MS Mincho"/>
          <w:sz w:val="22"/>
          <w:szCs w:val="22"/>
        </w:rPr>
      </w:pPr>
      <w:r>
        <w:rPr>
          <w:sz w:val="22"/>
        </w:rPr>
        <w:t>En virtud de que el informe ya ha sido distribuido, tomaré tan solo unos minutos para mencionar algunos de los aspectos más destacados de cada área.</w:t>
      </w:r>
    </w:p>
    <w:p w14:paraId="3542BC79" w14:textId="77777777" w:rsidR="000F2C7A" w:rsidRPr="000F2C7A" w:rsidRDefault="000F2C7A" w:rsidP="000F2C7A">
      <w:pPr>
        <w:jc w:val="both"/>
        <w:rPr>
          <w:rFonts w:eastAsia="MS Mincho"/>
          <w:sz w:val="22"/>
          <w:szCs w:val="22"/>
        </w:rPr>
      </w:pPr>
    </w:p>
    <w:p w14:paraId="5C454B3E" w14:textId="77777777" w:rsidR="000F2C7A" w:rsidRPr="000F2C7A" w:rsidRDefault="000F2C7A" w:rsidP="000F2C7A">
      <w:pPr>
        <w:jc w:val="both"/>
        <w:rPr>
          <w:rFonts w:eastAsia="MS Mincho"/>
          <w:sz w:val="22"/>
          <w:szCs w:val="22"/>
        </w:rPr>
      </w:pPr>
      <w:r>
        <w:rPr>
          <w:b/>
          <w:sz w:val="22"/>
        </w:rPr>
        <w:t>LÍNEA ESTRATÉGICA 1: PROMOVER ECONOMÍAS INCLUYENTES Y COMPETITIVAS</w:t>
      </w:r>
    </w:p>
    <w:p w14:paraId="696468D4" w14:textId="77777777" w:rsidR="000F2C7A" w:rsidRPr="000F2C7A" w:rsidRDefault="000F2C7A" w:rsidP="000F2C7A">
      <w:pPr>
        <w:jc w:val="both"/>
        <w:rPr>
          <w:rFonts w:eastAsia="MS Mincho"/>
          <w:sz w:val="22"/>
          <w:szCs w:val="22"/>
        </w:rPr>
      </w:pPr>
    </w:p>
    <w:p w14:paraId="4C168F04" w14:textId="31D62EFC" w:rsidR="000F2C7A" w:rsidRPr="000F2C7A" w:rsidRDefault="000F2C7A" w:rsidP="000F2C7A">
      <w:pPr>
        <w:ind w:firstLine="720"/>
        <w:jc w:val="both"/>
        <w:rPr>
          <w:bCs/>
          <w:sz w:val="22"/>
          <w:szCs w:val="22"/>
        </w:rPr>
      </w:pPr>
      <w:r>
        <w:rPr>
          <w:sz w:val="22"/>
        </w:rPr>
        <w:t xml:space="preserve">Las pequeñas y medianas empresas de la región están entre las más afectadas por la pandemia. Ha sido necesario establecer nuevas alianzas con WhatsApp Business, E-bay y Facebook a fin de promover la participación de las pequeñas y medianas empresas en el comercio electrónico. Gracias a las iniciativas de Facebook y de WhatsApp y el programa de Centros de Desarrollo de Pequeñas Empresa del Caribe, las micro, pequeñas y medianas empresas </w:t>
      </w:r>
      <w:r w:rsidR="00E73892">
        <w:rPr>
          <w:sz w:val="22"/>
        </w:rPr>
        <w:t xml:space="preserve">(mipymes) </w:t>
      </w:r>
      <w:r>
        <w:rPr>
          <w:sz w:val="22"/>
        </w:rPr>
        <w:t xml:space="preserve">y las entidades responsables de la formulación de políticas gozan de oportunidades para el desarrollo de capacidades e instrumentos que les ayuden en sus tareas de respuesta, recuperación y creación de resiliencia.  </w:t>
      </w:r>
      <w:bookmarkStart w:id="2" w:name="_Hlk52885577"/>
      <w:r>
        <w:rPr>
          <w:sz w:val="22"/>
        </w:rPr>
        <w:t>En el marco del programa de Centros de Desarrollo de Pequeñas Empresas del Caribe fue posible que un total de 3960 empresarios recibieran capacitación sobre instrumentos y estrategias, que les han ayudado a afrontar los retos impuestos por la pandemia. Concretamente, nuestra apreciación del impacto económico del apoyo brindado a través de este programa nos permite señalar lo siguiente:</w:t>
      </w:r>
    </w:p>
    <w:p w14:paraId="18796BEA" w14:textId="77777777" w:rsidR="000F2C7A" w:rsidRPr="000F2C7A" w:rsidRDefault="000F2C7A" w:rsidP="000F2C7A">
      <w:pPr>
        <w:jc w:val="both"/>
        <w:rPr>
          <w:b/>
          <w:bCs/>
          <w:i/>
          <w:sz w:val="22"/>
          <w:szCs w:val="22"/>
        </w:rPr>
      </w:pPr>
    </w:p>
    <w:bookmarkEnd w:id="2"/>
    <w:p w14:paraId="052DB339" w14:textId="77777777" w:rsidR="000F2C7A" w:rsidRPr="000F2C7A" w:rsidRDefault="000F2C7A" w:rsidP="00724EA0">
      <w:pPr>
        <w:numPr>
          <w:ilvl w:val="0"/>
          <w:numId w:val="21"/>
        </w:numPr>
        <w:suppressAutoHyphens/>
        <w:ind w:left="1440" w:hanging="720"/>
        <w:jc w:val="both"/>
        <w:rPr>
          <w:sz w:val="22"/>
          <w:szCs w:val="22"/>
        </w:rPr>
      </w:pPr>
      <w:r>
        <w:rPr>
          <w:sz w:val="22"/>
        </w:rPr>
        <w:t xml:space="preserve">En 2020, se abrieron 977 nuevos negocios; se atendieron 5717 pequeños negocios; se atendieron 2220 mujeres empresarias/empresas de propiedad de mujeres; se crearon más de 684 puestos de trabajo y se brindó apoyo a 12.391 puestos de trabajo a través de las intervenciones del Centros de Desarrollo de Pequeñas Empresas del Caribe; se registraron US$67.257.990,76 en ingresos por ventas y US$7.112.695,22 en </w:t>
      </w:r>
      <w:r>
        <w:rPr>
          <w:sz w:val="22"/>
        </w:rPr>
        <w:lastRenderedPageBreak/>
        <w:t xml:space="preserve">ganancias; 96 negocios lograron expandirse y se logró inyectar capital por US$1.121.028,60 a través de préstamos en seis Estados Miembros del Caribe. </w:t>
      </w:r>
    </w:p>
    <w:p w14:paraId="4541428F" w14:textId="77777777" w:rsidR="000F2C7A" w:rsidRPr="000F2C7A" w:rsidRDefault="000F2C7A" w:rsidP="000F2C7A">
      <w:pPr>
        <w:jc w:val="both"/>
        <w:rPr>
          <w:sz w:val="22"/>
          <w:szCs w:val="22"/>
        </w:rPr>
      </w:pPr>
    </w:p>
    <w:p w14:paraId="73A35245" w14:textId="77777777" w:rsidR="000F2C7A" w:rsidRPr="000F2C7A" w:rsidRDefault="000F2C7A" w:rsidP="000F2C7A">
      <w:pPr>
        <w:ind w:firstLine="720"/>
        <w:jc w:val="both"/>
        <w:rPr>
          <w:rFonts w:eastAsia="MS Mincho"/>
          <w:sz w:val="22"/>
          <w:szCs w:val="22"/>
        </w:rPr>
      </w:pPr>
      <w:r>
        <w:rPr>
          <w:sz w:val="22"/>
        </w:rPr>
        <w:t xml:space="preserve">Se han publicado ocho ediciones especiales del boletín de la OEA dedicado a las mipymes, con las que se ha apoyado el intercambio de conocimientos sobre las medidas adoptadas por los Estados Miembros para mitigar el impacto económico de la pandemia en ese sector. El ecosistema de las mipymes en los Estados Miembros se ha seguido fortaleciendo gracias a otras iniciativas, tales como el Programa de Becas OEA-Mipymes Chile y el Centro de Información Mipyme. </w:t>
      </w:r>
    </w:p>
    <w:p w14:paraId="5B98179A" w14:textId="77777777" w:rsidR="000F2C7A" w:rsidRPr="000F2C7A" w:rsidRDefault="000F2C7A" w:rsidP="000F2C7A">
      <w:pPr>
        <w:jc w:val="both"/>
        <w:rPr>
          <w:rFonts w:eastAsia="MS Mincho"/>
          <w:sz w:val="22"/>
          <w:szCs w:val="22"/>
        </w:rPr>
      </w:pPr>
    </w:p>
    <w:p w14:paraId="74CE5691" w14:textId="77777777" w:rsidR="000F2C7A" w:rsidRPr="000F2C7A" w:rsidRDefault="000F2C7A" w:rsidP="000F2C7A">
      <w:pPr>
        <w:ind w:firstLine="720"/>
        <w:jc w:val="both"/>
        <w:rPr>
          <w:rFonts w:eastAsia="MS Mincho"/>
          <w:sz w:val="22"/>
          <w:szCs w:val="22"/>
        </w:rPr>
      </w:pPr>
      <w:r>
        <w:rPr>
          <w:sz w:val="22"/>
        </w:rPr>
        <w:t xml:space="preserve">En el área de la competitividad, la Red Interamericana de Competitividad (RIAC) compartió más de 240 iniciativas de 23 países a través del Acelerador del acceso a herramientas tecnológicas, soluciones sanitarias, iniciativas de apoyo empresarial y planes de respuesta económica y recuperación implementados por los Estados Miembros en respuesta a la pandemia de COVID-19. </w:t>
      </w:r>
    </w:p>
    <w:p w14:paraId="2ADC00E6" w14:textId="77777777" w:rsidR="000F2C7A" w:rsidRPr="000F2C7A" w:rsidRDefault="000F2C7A" w:rsidP="000F2C7A">
      <w:pPr>
        <w:jc w:val="both"/>
        <w:rPr>
          <w:rFonts w:eastAsia="MS Mincho"/>
          <w:sz w:val="22"/>
          <w:szCs w:val="22"/>
        </w:rPr>
      </w:pPr>
    </w:p>
    <w:p w14:paraId="551B33B9" w14:textId="00D5398A" w:rsidR="000F2C7A" w:rsidRPr="000F2C7A" w:rsidRDefault="000F2C7A" w:rsidP="000F2C7A">
      <w:pPr>
        <w:ind w:firstLine="720"/>
        <w:jc w:val="both"/>
        <w:rPr>
          <w:color w:val="000000"/>
          <w:sz w:val="22"/>
          <w:szCs w:val="22"/>
        </w:rPr>
      </w:pPr>
      <w:r>
        <w:rPr>
          <w:color w:val="000000"/>
          <w:sz w:val="22"/>
        </w:rPr>
        <w:t>Por otra parte, el Grupo de Expertos sobre Competitividad Subanacional (GTECS) puso en marcha el proyecto de certificación de buenas prácticas en permisos para la construcción en Colombia, El Salvador, Guatemala, Honduras y México en su Reunión Anual sobre Permisos, auspiciada por el Gobierno de México. En esa reunión se compartieron 20 buenas prácticas para la promoción de reformas regulatorias en materia de permisos de construcción con autoridades federales, estatales y municipales de los Estados Miembros</w:t>
      </w:r>
      <w:r w:rsidR="00E73892">
        <w:rPr>
          <w:color w:val="000000"/>
          <w:sz w:val="22"/>
        </w:rPr>
        <w:t>.</w:t>
      </w:r>
    </w:p>
    <w:p w14:paraId="0F9C1494" w14:textId="77777777" w:rsidR="000F2C7A" w:rsidRPr="000F2C7A" w:rsidRDefault="000F2C7A" w:rsidP="000F2C7A">
      <w:pPr>
        <w:jc w:val="both"/>
        <w:rPr>
          <w:color w:val="000000"/>
          <w:sz w:val="22"/>
          <w:szCs w:val="22"/>
          <w:shd w:val="clear" w:color="auto" w:fill="FFFFFF"/>
        </w:rPr>
      </w:pPr>
    </w:p>
    <w:p w14:paraId="71CE3978" w14:textId="77777777" w:rsidR="000F2C7A" w:rsidRPr="000F2C7A" w:rsidRDefault="000F2C7A" w:rsidP="000F2C7A">
      <w:pPr>
        <w:jc w:val="both"/>
        <w:rPr>
          <w:b/>
          <w:color w:val="000000"/>
          <w:sz w:val="22"/>
          <w:szCs w:val="22"/>
          <w:shd w:val="clear" w:color="auto" w:fill="FFFFFF"/>
        </w:rPr>
      </w:pPr>
      <w:r>
        <w:rPr>
          <w:b/>
          <w:color w:val="000000"/>
          <w:sz w:val="22"/>
          <w:shd w:val="clear" w:color="auto" w:fill="FFFFFF"/>
        </w:rPr>
        <w:t>Ciencia y Tecnología</w:t>
      </w:r>
    </w:p>
    <w:p w14:paraId="0F7FAA48" w14:textId="77777777" w:rsidR="000F2C7A" w:rsidRPr="000F2C7A" w:rsidRDefault="000F2C7A" w:rsidP="000F2C7A">
      <w:pPr>
        <w:jc w:val="both"/>
        <w:rPr>
          <w:color w:val="000000"/>
          <w:sz w:val="22"/>
          <w:szCs w:val="22"/>
          <w:shd w:val="clear" w:color="auto" w:fill="FFFFFF"/>
        </w:rPr>
      </w:pPr>
    </w:p>
    <w:p w14:paraId="2FB43F09" w14:textId="08399405" w:rsidR="000F2C7A" w:rsidRPr="000F2C7A" w:rsidRDefault="000F2C7A" w:rsidP="00724EA0">
      <w:pPr>
        <w:numPr>
          <w:ilvl w:val="0"/>
          <w:numId w:val="22"/>
        </w:numPr>
        <w:suppressAutoHyphens/>
        <w:ind w:left="1440" w:hanging="720"/>
        <w:contextualSpacing/>
        <w:jc w:val="both"/>
        <w:rPr>
          <w:color w:val="1F497D"/>
          <w:sz w:val="22"/>
          <w:szCs w:val="22"/>
        </w:rPr>
      </w:pPr>
      <w:r>
        <w:rPr>
          <w:sz w:val="22"/>
        </w:rPr>
        <w:t xml:space="preserve">En colaboración con el Gobierno de México y la Secretaría Técnica de la COMCyT, se organizó la segunda edición de Prospecta Américas, con el tema </w:t>
      </w:r>
      <w:r w:rsidR="00B41AAF">
        <w:rPr>
          <w:sz w:val="22"/>
        </w:rPr>
        <w:t>“</w:t>
      </w:r>
      <w:r>
        <w:rPr>
          <w:sz w:val="22"/>
        </w:rPr>
        <w:t>Prospectiva tecnológica en las Américas: retos de una nueva realidad</w:t>
      </w:r>
      <w:r w:rsidR="00B41AAF">
        <w:rPr>
          <w:sz w:val="22"/>
        </w:rPr>
        <w:t>”</w:t>
      </w:r>
      <w:r>
        <w:rPr>
          <w:sz w:val="22"/>
        </w:rPr>
        <w:t xml:space="preserve">, para incrementar las iniciativas sobre tecnologías emergentes en la región y liderar proyectos de colaboración en las áreas de prospectiva tecnológica y estudios futuros entre los sectores público y privado y los centros de investigación de los Estados Miembros de la OEA. </w:t>
      </w:r>
    </w:p>
    <w:p w14:paraId="30E2FC8F" w14:textId="214ED1B6" w:rsidR="000F2C7A" w:rsidRPr="000F2C7A" w:rsidRDefault="000F2C7A" w:rsidP="00724EA0">
      <w:pPr>
        <w:numPr>
          <w:ilvl w:val="1"/>
          <w:numId w:val="22"/>
        </w:numPr>
        <w:suppressAutoHyphens/>
        <w:ind w:left="2160" w:hanging="720"/>
        <w:contextualSpacing/>
        <w:jc w:val="both"/>
        <w:rPr>
          <w:rFonts w:eastAsia="Cambria"/>
          <w:color w:val="000000"/>
          <w:sz w:val="22"/>
          <w:szCs w:val="22"/>
        </w:rPr>
      </w:pPr>
      <w:r>
        <w:rPr>
          <w:color w:val="000000"/>
          <w:sz w:val="22"/>
        </w:rPr>
        <w:t xml:space="preserve">Se organizó el primer </w:t>
      </w:r>
      <w:r w:rsidR="00B41AAF">
        <w:rPr>
          <w:color w:val="000000"/>
          <w:sz w:val="22"/>
        </w:rPr>
        <w:t>“</w:t>
      </w:r>
      <w:r>
        <w:rPr>
          <w:color w:val="000000"/>
          <w:sz w:val="22"/>
        </w:rPr>
        <w:t>HUB de comercialización y transferencia tecnología para las Américas</w:t>
      </w:r>
      <w:r w:rsidR="00B41AAF">
        <w:rPr>
          <w:color w:val="000000"/>
          <w:sz w:val="22"/>
        </w:rPr>
        <w:t>”</w:t>
      </w:r>
      <w:r>
        <w:rPr>
          <w:color w:val="000000"/>
          <w:sz w:val="22"/>
        </w:rPr>
        <w:t xml:space="preserve">, en forma virtual, en el que se brindó apoyo a los empresarios e innovadores con la aceleración de las tecnologías </w:t>
      </w:r>
      <w:r w:rsidR="00B41AAF">
        <w:rPr>
          <w:color w:val="000000"/>
          <w:sz w:val="22"/>
        </w:rPr>
        <w:t>“</w:t>
      </w:r>
      <w:r>
        <w:rPr>
          <w:color w:val="000000"/>
          <w:sz w:val="22"/>
        </w:rPr>
        <w:t>de la idea al mercado</w:t>
      </w:r>
      <w:r w:rsidR="00B41AAF">
        <w:rPr>
          <w:color w:val="000000"/>
          <w:sz w:val="22"/>
        </w:rPr>
        <w:t>”</w:t>
      </w:r>
      <w:r>
        <w:rPr>
          <w:color w:val="000000"/>
          <w:sz w:val="22"/>
        </w:rPr>
        <w:t xml:space="preserve">, el desarrollo de empresas innovadoras y soluciones basadas en tecnología, para abordar problemas específicos de la comunidad. Durante el primer HUB de Emprendimiento e Innovación en el Caribe se ofreció capacitación a 35 empresarios de Dominica y a 45 líderes de transferencia de tecnología de universidades de Ecuador. </w:t>
      </w:r>
    </w:p>
    <w:p w14:paraId="0EFFCDF2" w14:textId="77777777" w:rsidR="000F2C7A" w:rsidRPr="000F2C7A" w:rsidRDefault="000F2C7A" w:rsidP="000F2C7A">
      <w:pPr>
        <w:jc w:val="both"/>
        <w:rPr>
          <w:color w:val="000000"/>
          <w:sz w:val="22"/>
          <w:szCs w:val="22"/>
        </w:rPr>
      </w:pPr>
    </w:p>
    <w:p w14:paraId="068C8825" w14:textId="77777777" w:rsidR="000F2C7A" w:rsidRPr="000F2C7A" w:rsidRDefault="000F2C7A" w:rsidP="000F2C7A">
      <w:pPr>
        <w:jc w:val="both"/>
        <w:rPr>
          <w:b/>
          <w:bCs/>
          <w:iCs/>
          <w:sz w:val="22"/>
          <w:szCs w:val="22"/>
        </w:rPr>
      </w:pPr>
      <w:r>
        <w:rPr>
          <w:b/>
          <w:sz w:val="22"/>
        </w:rPr>
        <w:t xml:space="preserve">Cultura y turismo </w:t>
      </w:r>
    </w:p>
    <w:p w14:paraId="584FB501" w14:textId="77777777" w:rsidR="000F2C7A" w:rsidRPr="000F2C7A" w:rsidRDefault="000F2C7A" w:rsidP="000F2C7A">
      <w:pPr>
        <w:contextualSpacing/>
        <w:jc w:val="both"/>
        <w:rPr>
          <w:rFonts w:eastAsia="Cambria"/>
          <w:i/>
          <w:sz w:val="22"/>
          <w:szCs w:val="22"/>
        </w:rPr>
      </w:pPr>
    </w:p>
    <w:p w14:paraId="04DFBEBC" w14:textId="77777777" w:rsidR="000F2C7A" w:rsidRPr="000F2C7A" w:rsidRDefault="000F2C7A" w:rsidP="000F2C7A">
      <w:pPr>
        <w:numPr>
          <w:ilvl w:val="0"/>
          <w:numId w:val="25"/>
        </w:numPr>
        <w:suppressAutoHyphens/>
        <w:ind w:left="1440" w:hanging="720"/>
        <w:jc w:val="both"/>
        <w:rPr>
          <w:sz w:val="22"/>
          <w:szCs w:val="22"/>
        </w:rPr>
      </w:pPr>
      <w:r>
        <w:rPr>
          <w:sz w:val="22"/>
        </w:rPr>
        <w:t xml:space="preserve">En colaboración con la Organización Convenio Andrés Bello, se elaboró una Guía Metodológica para la Implementación de las Cuentas Satélite de Cultura en la región de la CARICOM, a fin de apoyar la medición de la contribución de la cultura a la economía y la adopción de decisiones de política basadas en datos. </w:t>
      </w:r>
    </w:p>
    <w:p w14:paraId="16A4DDD5" w14:textId="77777777" w:rsidR="000F2C7A" w:rsidRPr="000F2C7A" w:rsidRDefault="000F2C7A" w:rsidP="000F2C7A">
      <w:pPr>
        <w:ind w:left="1440" w:hanging="720"/>
        <w:jc w:val="both"/>
        <w:rPr>
          <w:color w:val="000000"/>
          <w:sz w:val="22"/>
          <w:szCs w:val="22"/>
        </w:rPr>
      </w:pPr>
    </w:p>
    <w:p w14:paraId="4DDEFC4F" w14:textId="77777777" w:rsidR="000F2C7A" w:rsidRPr="000F2C7A" w:rsidRDefault="000F2C7A" w:rsidP="000F2C7A">
      <w:pPr>
        <w:numPr>
          <w:ilvl w:val="0"/>
          <w:numId w:val="25"/>
        </w:numPr>
        <w:suppressAutoHyphens/>
        <w:ind w:left="1440" w:hanging="720"/>
        <w:contextualSpacing/>
        <w:jc w:val="both"/>
        <w:rPr>
          <w:rFonts w:eastAsia="Cambria"/>
          <w:sz w:val="22"/>
          <w:szCs w:val="22"/>
        </w:rPr>
      </w:pPr>
      <w:r>
        <w:rPr>
          <w:sz w:val="22"/>
        </w:rPr>
        <w:t xml:space="preserve">De igual forma, en colaboración con la Oficina de Asuntos Indígenas de Estados Unidos y la Universidad George Washington, en octubre de 2020 se convocó el </w:t>
      </w:r>
      <w:r>
        <w:rPr>
          <w:sz w:val="22"/>
        </w:rPr>
        <w:lastRenderedPageBreak/>
        <w:t>Primer Foro de Turismo Indígena de las Américas, con el que se facilitó el diálogo entre los dirigentes comunitarios, empresariales y gubernamentales sobre los problemas del desarrollo que inciden en los pueblos indígenas, el papel del turismo en el desarrollo económico sostenible y los planes de los dirigentes indígenas para la realidad a la que habrán de enfrentarse cuando se haya superado la pandemia.</w:t>
      </w:r>
    </w:p>
    <w:p w14:paraId="7E824AEC" w14:textId="77777777" w:rsidR="000F2C7A" w:rsidRPr="000F2C7A" w:rsidRDefault="000F2C7A" w:rsidP="000F2C7A">
      <w:pPr>
        <w:suppressAutoHyphens/>
        <w:ind w:left="720"/>
        <w:contextualSpacing/>
        <w:rPr>
          <w:rFonts w:eastAsia="Cambria"/>
          <w:sz w:val="22"/>
          <w:szCs w:val="22"/>
        </w:rPr>
      </w:pPr>
    </w:p>
    <w:p w14:paraId="678132F9" w14:textId="77777777" w:rsidR="000F2C7A" w:rsidRPr="000F2C7A" w:rsidRDefault="000F2C7A" w:rsidP="000F2C7A">
      <w:pPr>
        <w:numPr>
          <w:ilvl w:val="0"/>
          <w:numId w:val="25"/>
        </w:numPr>
        <w:suppressAutoHyphens/>
        <w:ind w:left="1440" w:hanging="720"/>
        <w:contextualSpacing/>
        <w:jc w:val="both"/>
        <w:rPr>
          <w:rFonts w:eastAsia="Cambria"/>
          <w:sz w:val="22"/>
          <w:szCs w:val="22"/>
        </w:rPr>
      </w:pPr>
      <w:r>
        <w:rPr>
          <w:sz w:val="22"/>
        </w:rPr>
        <w:t>Se convocaron dos reuniones de la Comisión Interamericana de Turismo con la finalidad de tratar temas relacionados con las secuelas de la pandemia de COVID-19 y sus efectos en los sectores del turismo y la hotelería. Se crearon dos grupos; uno de ellos, presidido por Chile, se encargará de abordar el tema de la respuesta a la pandemia y los protocolos biosanitarios para viajes y turismo estandarizados para toda la región y el otro, presidido por Jamaica, se encargará de elaborar un plan de acción para la recuperación de las industrias de aviación y cruceros.</w:t>
      </w:r>
    </w:p>
    <w:p w14:paraId="628D6261" w14:textId="77777777" w:rsidR="000F2C7A" w:rsidRPr="000F2C7A" w:rsidRDefault="000F2C7A" w:rsidP="000F2C7A">
      <w:pPr>
        <w:jc w:val="both"/>
        <w:rPr>
          <w:color w:val="000000"/>
          <w:sz w:val="22"/>
          <w:szCs w:val="22"/>
        </w:rPr>
      </w:pPr>
    </w:p>
    <w:p w14:paraId="650420F7" w14:textId="77777777" w:rsidR="000F2C7A" w:rsidRPr="000F2C7A" w:rsidRDefault="000F2C7A" w:rsidP="000F2C7A">
      <w:pPr>
        <w:ind w:firstLine="720"/>
        <w:jc w:val="both"/>
        <w:rPr>
          <w:rFonts w:eastAsia="Calibri"/>
          <w:sz w:val="22"/>
          <w:szCs w:val="22"/>
        </w:rPr>
      </w:pPr>
      <w:r>
        <w:rPr>
          <w:sz w:val="22"/>
        </w:rPr>
        <w:t>Por su parte, la Comisión Interamericana de Puertos (CIP) ha seguido trabajando en ampliar el acceso por parte de los Estados Miembros a las oportunidades de capacitación para el desarrollo de recursos institucionales y humanos en áreas tales como seguridad y protección, digitalización y automatización, comercio, gestión del riesgo de desastres, dragado, puertos de cruceros, la relación puerto-ciudad y logística. Se otorgaron 401 becas a funcionarios de puertos de 29 Estados Miembros para que pudieran asistir a 12 cursos de certificación en línea; y se organizaron también 15 seminarios técnicos por Internet sobre buenas prácticas, a los que asistieron 3200 funcionarios de puertos de 27 Estados Miembros.</w:t>
      </w:r>
    </w:p>
    <w:p w14:paraId="6A719BFD" w14:textId="77777777" w:rsidR="000F2C7A" w:rsidRPr="000F2C7A" w:rsidRDefault="000F2C7A" w:rsidP="00724EA0">
      <w:pPr>
        <w:jc w:val="both"/>
        <w:rPr>
          <w:color w:val="000000"/>
          <w:sz w:val="22"/>
          <w:szCs w:val="22"/>
        </w:rPr>
      </w:pPr>
    </w:p>
    <w:p w14:paraId="237A2735" w14:textId="77777777" w:rsidR="000F2C7A" w:rsidRPr="000F2C7A" w:rsidRDefault="000F2C7A" w:rsidP="000F2C7A">
      <w:pPr>
        <w:ind w:firstLine="720"/>
        <w:contextualSpacing/>
        <w:jc w:val="both"/>
        <w:rPr>
          <w:rFonts w:eastAsia="Calibri"/>
          <w:sz w:val="22"/>
          <w:szCs w:val="22"/>
        </w:rPr>
      </w:pPr>
      <w:r>
        <w:rPr>
          <w:sz w:val="22"/>
        </w:rPr>
        <w:t>De igual forma, la CIP puso en marcha un proyecto ya aprobado sobre gestión del riesgo de desastres, dirigido a autoridades portuarias y marítimas del Caribe. El objetivo de este proyecto es reforzar la respuesta y recuperación de los puertos del Caribe, mediante el desarrollo de un modelo de plan de respuesta ante emergencias, entre otras cosas.</w:t>
      </w:r>
    </w:p>
    <w:p w14:paraId="203EDE1E" w14:textId="77777777" w:rsidR="000F2C7A" w:rsidRPr="000F2C7A" w:rsidRDefault="000F2C7A" w:rsidP="000F2C7A">
      <w:pPr>
        <w:jc w:val="both"/>
        <w:rPr>
          <w:rFonts w:eastAsia="MS Mincho"/>
          <w:sz w:val="22"/>
          <w:szCs w:val="22"/>
        </w:rPr>
      </w:pPr>
    </w:p>
    <w:p w14:paraId="26DBF1C7" w14:textId="77777777" w:rsidR="000F2C7A" w:rsidRPr="000F2C7A" w:rsidRDefault="000F2C7A" w:rsidP="000F2C7A">
      <w:pPr>
        <w:contextualSpacing/>
        <w:jc w:val="center"/>
        <w:rPr>
          <w:rFonts w:eastAsia="Cambria"/>
          <w:b/>
          <w:bCs/>
          <w:sz w:val="22"/>
          <w:szCs w:val="22"/>
        </w:rPr>
      </w:pPr>
      <w:r>
        <w:rPr>
          <w:b/>
          <w:sz w:val="22"/>
        </w:rPr>
        <w:t>LÍNEA ESTRATÉGICA 2: FORTALECER LA IMPLEMENTACIÓN DE LOS OBJETIVOS DE DESARROLLO SOSTENIBLE DE CONFORMIDAD CON EL PROGRAMA INTERAMERICANO PARA EL DESARROLLO SOSTENIBLE 2016-2021 (PIDS)</w:t>
      </w:r>
    </w:p>
    <w:p w14:paraId="5ED720B4" w14:textId="77777777" w:rsidR="000F2C7A" w:rsidRPr="000F2C7A" w:rsidRDefault="000F2C7A" w:rsidP="000F2C7A">
      <w:pPr>
        <w:jc w:val="both"/>
        <w:rPr>
          <w:rFonts w:eastAsia="MS Mincho"/>
          <w:sz w:val="22"/>
          <w:szCs w:val="22"/>
        </w:rPr>
      </w:pPr>
    </w:p>
    <w:p w14:paraId="7E0E892E" w14:textId="77777777" w:rsidR="000F2C7A" w:rsidRPr="000F2C7A" w:rsidRDefault="000F2C7A" w:rsidP="000F2C7A">
      <w:pPr>
        <w:ind w:firstLine="720"/>
        <w:jc w:val="both"/>
        <w:rPr>
          <w:rFonts w:eastAsia="MS Mincho"/>
          <w:sz w:val="22"/>
          <w:szCs w:val="22"/>
        </w:rPr>
      </w:pPr>
      <w:r>
        <w:rPr>
          <w:sz w:val="22"/>
        </w:rPr>
        <w:t>En el área de desarrollo sostenible, la SEDI ha movilizado nuevas fuentes de financiación para los proyectos de nuestras diversas iniciativas que encajan en el Programa de Gestión Integrada de Recursos Hídricos, entre las que se incluye el Caribbbean Revolving Fund for Wastewater Management in the Greater Caribbean (CREW), así como otras iniciativas para la cuenca del río Bravo, del río de la Plata y de la región del Trifinio. Y, precisamente en estas fechas, se está consiguiendo la financiación para el proyecto de la región del Pantanal.</w:t>
      </w:r>
    </w:p>
    <w:p w14:paraId="0EB1AA37" w14:textId="77777777" w:rsidR="000F2C7A" w:rsidRPr="000F2C7A" w:rsidRDefault="000F2C7A" w:rsidP="000F2C7A">
      <w:pPr>
        <w:jc w:val="both"/>
        <w:rPr>
          <w:rFonts w:eastAsia="MS Mincho"/>
          <w:sz w:val="22"/>
          <w:szCs w:val="22"/>
        </w:rPr>
      </w:pPr>
    </w:p>
    <w:p w14:paraId="50DBC73D" w14:textId="77777777" w:rsidR="000F2C7A" w:rsidRPr="000F2C7A" w:rsidRDefault="000F2C7A" w:rsidP="000F2C7A">
      <w:pPr>
        <w:ind w:firstLine="720"/>
        <w:jc w:val="both"/>
        <w:rPr>
          <w:rFonts w:eastAsia="MS Mincho"/>
          <w:sz w:val="22"/>
          <w:szCs w:val="22"/>
        </w:rPr>
      </w:pPr>
      <w:r>
        <w:rPr>
          <w:sz w:val="22"/>
        </w:rPr>
        <w:t>En el sector de energía, la SEDI facilitó el diálogo intrasectorial entre 29 ministros de energía y funcionarios de alto nivel, 15 ejecutivos del sector privado, tres instituciones financieras internacionales y dos organizaciones regionales sobre Resiliencia energética y oportunidades de inversión, en el marco de la IV Reunión Ministerial de la ECPA, celebrada en Montego Bay (Jamaica).</w:t>
      </w:r>
    </w:p>
    <w:p w14:paraId="1A773F09" w14:textId="77777777" w:rsidR="000F2C7A" w:rsidRPr="000F2C7A" w:rsidRDefault="000F2C7A" w:rsidP="00F665AD">
      <w:pPr>
        <w:jc w:val="both"/>
        <w:rPr>
          <w:rFonts w:eastAsia="MS Mincho"/>
          <w:sz w:val="22"/>
          <w:szCs w:val="22"/>
        </w:rPr>
      </w:pPr>
    </w:p>
    <w:p w14:paraId="6BBA07DF" w14:textId="77777777" w:rsidR="000F2C7A" w:rsidRPr="000F2C7A" w:rsidRDefault="000F2C7A" w:rsidP="000F2C7A">
      <w:pPr>
        <w:ind w:firstLine="720"/>
        <w:jc w:val="both"/>
        <w:rPr>
          <w:rFonts w:eastAsia="MS Mincho"/>
          <w:sz w:val="22"/>
          <w:szCs w:val="22"/>
        </w:rPr>
      </w:pPr>
      <w:r>
        <w:rPr>
          <w:sz w:val="22"/>
        </w:rPr>
        <w:t xml:space="preserve">A través de la ECPA se brindó asistencia técnica a los directores de energía de 30 Estados Miembros mediante cursos prácticos, misiones de intercambio y asesoramiento especializado </w:t>
      </w:r>
      <w:r>
        <w:rPr>
          <w:sz w:val="22"/>
        </w:rPr>
        <w:lastRenderedPageBreak/>
        <w:t>específico, con la finalidad de fomentar el uso de datos fiables, científicos y empíricos en la gestión de la energía, el desarrollo de la energía renovable y el control de la calidad del aire.</w:t>
      </w:r>
    </w:p>
    <w:p w14:paraId="5ACCDA6A" w14:textId="77777777" w:rsidR="000F2C7A" w:rsidRPr="000F2C7A" w:rsidRDefault="000F2C7A" w:rsidP="000F2C7A">
      <w:pPr>
        <w:jc w:val="both"/>
        <w:rPr>
          <w:rFonts w:eastAsia="MS Mincho"/>
          <w:sz w:val="22"/>
          <w:szCs w:val="22"/>
        </w:rPr>
      </w:pPr>
    </w:p>
    <w:p w14:paraId="7FE3FDA1" w14:textId="77777777" w:rsidR="000F2C7A" w:rsidRPr="000F2C7A" w:rsidRDefault="000F2C7A" w:rsidP="000F2C7A">
      <w:pPr>
        <w:jc w:val="center"/>
        <w:rPr>
          <w:rFonts w:eastAsia="MS Mincho"/>
          <w:b/>
          <w:bCs/>
          <w:sz w:val="22"/>
          <w:szCs w:val="22"/>
        </w:rPr>
      </w:pPr>
      <w:r>
        <w:rPr>
          <w:b/>
          <w:sz w:val="22"/>
        </w:rPr>
        <w:t>LÍNEA ESTRATÉGICA 3: PROMOVER LA EDUCACIÓN Y EL DESARROLLO HUMANO EN LAS AMÉRICAS</w:t>
      </w:r>
    </w:p>
    <w:p w14:paraId="6886039F" w14:textId="77777777" w:rsidR="000F2C7A" w:rsidRPr="000F2C7A" w:rsidRDefault="000F2C7A" w:rsidP="000F2C7A">
      <w:pPr>
        <w:jc w:val="both"/>
        <w:rPr>
          <w:rFonts w:eastAsia="MS Mincho"/>
          <w:sz w:val="22"/>
          <w:szCs w:val="22"/>
        </w:rPr>
      </w:pPr>
    </w:p>
    <w:p w14:paraId="7845C798" w14:textId="77777777" w:rsidR="000F2C7A" w:rsidRPr="000F2C7A" w:rsidRDefault="000F2C7A" w:rsidP="000F2C7A">
      <w:pPr>
        <w:jc w:val="both"/>
        <w:rPr>
          <w:rFonts w:eastAsia="MS Mincho"/>
          <w:b/>
          <w:sz w:val="22"/>
          <w:szCs w:val="22"/>
        </w:rPr>
      </w:pPr>
      <w:r>
        <w:rPr>
          <w:b/>
          <w:sz w:val="22"/>
        </w:rPr>
        <w:t>Educación</w:t>
      </w:r>
    </w:p>
    <w:p w14:paraId="28071472" w14:textId="77777777" w:rsidR="000F2C7A" w:rsidRPr="000F2C7A" w:rsidRDefault="000F2C7A" w:rsidP="000F2C7A">
      <w:pPr>
        <w:jc w:val="both"/>
        <w:rPr>
          <w:rFonts w:eastAsia="MS Mincho"/>
          <w:sz w:val="22"/>
          <w:szCs w:val="22"/>
        </w:rPr>
      </w:pPr>
    </w:p>
    <w:p w14:paraId="32A82791" w14:textId="77777777" w:rsidR="000F2C7A" w:rsidRPr="000F2C7A" w:rsidRDefault="000F2C7A" w:rsidP="000F2C7A">
      <w:pPr>
        <w:ind w:firstLine="720"/>
        <w:jc w:val="both"/>
        <w:rPr>
          <w:rFonts w:eastAsia="MS Mincho"/>
          <w:sz w:val="22"/>
          <w:szCs w:val="22"/>
        </w:rPr>
      </w:pPr>
      <w:r>
        <w:rPr>
          <w:sz w:val="22"/>
        </w:rPr>
        <w:t>Los programas e iniciativas de la SEDI en el marco de la Agenda Educativa Interamericana han ayudado también a los Estados Miembros a responder a lo que se considera la mayor perturbación en los sistemas educativos en la historia. En un esfuerzo por promover la continuidad educativa, se lanzó una página web en la que se comparten más de 15.000 recursos sobre programas educativos, cursos de formación gratuitos, videos y otras herramientas sobre temas prioritarios para los Estados Miembros, al igual que buenas prácticas adoptadas por los ministerios de educación de toda la región.</w:t>
      </w:r>
    </w:p>
    <w:p w14:paraId="7802AA75" w14:textId="77777777" w:rsidR="000F2C7A" w:rsidRPr="000F2C7A" w:rsidRDefault="000F2C7A" w:rsidP="000F2C7A">
      <w:pPr>
        <w:jc w:val="both"/>
        <w:rPr>
          <w:rFonts w:eastAsia="MS Mincho"/>
          <w:sz w:val="22"/>
          <w:szCs w:val="22"/>
        </w:rPr>
      </w:pPr>
    </w:p>
    <w:p w14:paraId="195240F8" w14:textId="50C148CF" w:rsidR="000F2C7A" w:rsidRPr="000F2C7A" w:rsidRDefault="000F2C7A" w:rsidP="000F2C7A">
      <w:pPr>
        <w:ind w:firstLine="360"/>
        <w:jc w:val="both"/>
        <w:rPr>
          <w:rFonts w:eastAsia="MS Mincho"/>
          <w:sz w:val="22"/>
          <w:szCs w:val="22"/>
        </w:rPr>
      </w:pPr>
      <w:r>
        <w:rPr>
          <w:sz w:val="22"/>
        </w:rPr>
        <w:t xml:space="preserve">La serie de seminarios web de la Red Interamericana de Educación Docente (RIED) </w:t>
      </w:r>
      <w:r w:rsidR="00B41AAF">
        <w:rPr>
          <w:sz w:val="22"/>
        </w:rPr>
        <w:t>“</w:t>
      </w:r>
      <w:r>
        <w:rPr>
          <w:sz w:val="22"/>
        </w:rPr>
        <w:t>COVID-19: La enseñanza de la ciencia, tecnología, ingeniería y matemáticas en la cuarentena</w:t>
      </w:r>
      <w:r w:rsidR="00B41AAF">
        <w:rPr>
          <w:sz w:val="22"/>
        </w:rPr>
        <w:t>”</w:t>
      </w:r>
      <w:r>
        <w:rPr>
          <w:sz w:val="22"/>
        </w:rPr>
        <w:t xml:space="preserve"> contribuyó a mejorar las capacidades de más de 117.000 educadores de 34 Estados Miembros para impartir una educación de calidad en estas áreas. </w:t>
      </w:r>
    </w:p>
    <w:p w14:paraId="03932451" w14:textId="77777777" w:rsidR="000F2C7A" w:rsidRPr="000F2C7A" w:rsidRDefault="000F2C7A" w:rsidP="000F2C7A">
      <w:pPr>
        <w:contextualSpacing/>
        <w:jc w:val="both"/>
        <w:rPr>
          <w:rFonts w:eastAsia="Cambria"/>
          <w:sz w:val="22"/>
          <w:szCs w:val="22"/>
        </w:rPr>
      </w:pPr>
    </w:p>
    <w:p w14:paraId="3EE4F012" w14:textId="77777777" w:rsidR="000F2C7A" w:rsidRPr="000F2C7A" w:rsidRDefault="000F2C7A" w:rsidP="000F2C7A">
      <w:pPr>
        <w:numPr>
          <w:ilvl w:val="0"/>
          <w:numId w:val="23"/>
        </w:numPr>
        <w:suppressAutoHyphens/>
        <w:ind w:left="1440" w:hanging="720"/>
        <w:contextualSpacing/>
        <w:jc w:val="both"/>
        <w:rPr>
          <w:rFonts w:eastAsia="Cambria"/>
          <w:sz w:val="22"/>
          <w:szCs w:val="22"/>
        </w:rPr>
      </w:pPr>
      <w:r>
        <w:rPr>
          <w:sz w:val="22"/>
        </w:rPr>
        <w:t xml:space="preserve">En el marco de la Comunidad Virtual Universidad de las Indias Occidentales-RIED de Ciencia, Tecnología, Lectura, Ingeniería, Arte y Matemáticas, se ofreció capacitación a 210 docentes antes y durante el servicio, en temas como la reducción de la brecha de género en las experiencias de la primera infancia y en la enseñanza a través de seminarios virtuales impartidos por docentes becarios de la RIED. </w:t>
      </w:r>
    </w:p>
    <w:p w14:paraId="6FDAC8AA" w14:textId="77777777" w:rsidR="000F2C7A" w:rsidRPr="000F2C7A" w:rsidRDefault="000F2C7A" w:rsidP="000F2C7A">
      <w:pPr>
        <w:jc w:val="both"/>
        <w:rPr>
          <w:rFonts w:eastAsia="MS Mincho"/>
          <w:sz w:val="22"/>
          <w:szCs w:val="22"/>
        </w:rPr>
      </w:pPr>
    </w:p>
    <w:p w14:paraId="375111B4" w14:textId="23E25BE8" w:rsidR="000F2C7A" w:rsidRPr="000F2C7A" w:rsidRDefault="000F2C7A" w:rsidP="000F2C7A">
      <w:pPr>
        <w:numPr>
          <w:ilvl w:val="0"/>
          <w:numId w:val="24"/>
        </w:numPr>
        <w:suppressAutoHyphens/>
        <w:ind w:left="1440" w:hanging="720"/>
        <w:contextualSpacing/>
        <w:jc w:val="both"/>
        <w:rPr>
          <w:sz w:val="22"/>
          <w:szCs w:val="22"/>
        </w:rPr>
      </w:pPr>
      <w:r>
        <w:rPr>
          <w:sz w:val="22"/>
        </w:rPr>
        <w:t>A través del Programa Educativo ProFuturo, se proporcionó equipo tecnológico, incluidas computadoras portátiles, tabletas, proyectores y enrutadores, a 36 escuelas primarias. También a través de este programa se ofreció contenido digital académico en materia de innovación e integración de las tecnologías de la información y la comunicación en la educación, y se brindó capacitación a 1212 docentes en las Bahamas y Santa Lucía.</w:t>
      </w:r>
    </w:p>
    <w:p w14:paraId="3C20E841" w14:textId="77777777" w:rsidR="000F2C7A" w:rsidRPr="000F2C7A" w:rsidRDefault="000F2C7A" w:rsidP="00F665AD">
      <w:pPr>
        <w:contextualSpacing/>
        <w:rPr>
          <w:sz w:val="22"/>
          <w:szCs w:val="22"/>
        </w:rPr>
      </w:pPr>
    </w:p>
    <w:p w14:paraId="557AD27D" w14:textId="77777777" w:rsidR="000F2C7A" w:rsidRPr="000F2C7A" w:rsidRDefault="000F2C7A" w:rsidP="000F2C7A">
      <w:pPr>
        <w:numPr>
          <w:ilvl w:val="0"/>
          <w:numId w:val="24"/>
        </w:numPr>
        <w:suppressAutoHyphens/>
        <w:ind w:left="1440" w:hanging="720"/>
        <w:contextualSpacing/>
        <w:jc w:val="both"/>
        <w:rPr>
          <w:sz w:val="22"/>
          <w:szCs w:val="22"/>
        </w:rPr>
      </w:pPr>
      <w:r>
        <w:t>Se amplió el Programa Educativo ProFuturo a todos los Estados Miembros, lo que permitió a más de 11.700 maestros de 26 Estados Miembros acceder a 40 programas de capacitación docente en línea para mejorar la capacidad de los maestros para impartir una educación de calidad en un entorno virtual y en el contexto de la pandemia de COVID-19.</w:t>
      </w:r>
      <w:bookmarkStart w:id="3" w:name="_Hlk61363377"/>
      <w:r>
        <w:rPr>
          <w:sz w:val="22"/>
        </w:rPr>
        <w:t xml:space="preserve"> </w:t>
      </w:r>
      <w:bookmarkEnd w:id="3"/>
      <w:r>
        <w:rPr>
          <w:sz w:val="22"/>
        </w:rPr>
        <w:t>Hacia finales de año, más de 3530 participantes habían completado al menos 10 horas de capacitación.</w:t>
      </w:r>
    </w:p>
    <w:p w14:paraId="63E9ED2F" w14:textId="77777777" w:rsidR="000F2C7A" w:rsidRPr="000F2C7A" w:rsidRDefault="000F2C7A" w:rsidP="000F2C7A">
      <w:pPr>
        <w:jc w:val="both"/>
        <w:rPr>
          <w:rFonts w:eastAsia="MS Mincho"/>
          <w:sz w:val="22"/>
          <w:szCs w:val="22"/>
        </w:rPr>
      </w:pPr>
    </w:p>
    <w:p w14:paraId="203D13DF" w14:textId="4CB549C7" w:rsidR="000F2C7A" w:rsidRPr="000F2C7A" w:rsidRDefault="000F2C7A" w:rsidP="000F2C7A">
      <w:pPr>
        <w:ind w:firstLine="720"/>
        <w:jc w:val="both"/>
        <w:rPr>
          <w:rFonts w:eastAsia="MS Mincho"/>
          <w:sz w:val="22"/>
          <w:szCs w:val="22"/>
        </w:rPr>
      </w:pPr>
      <w:r>
        <w:rPr>
          <w:sz w:val="22"/>
        </w:rPr>
        <w:t>En el marco del Programa de Becas y Capacitación de la OEA</w:t>
      </w:r>
      <w:r w:rsidR="00CE7977">
        <w:rPr>
          <w:sz w:val="22"/>
        </w:rPr>
        <w:t>,</w:t>
      </w:r>
      <w:r>
        <w:rPr>
          <w:sz w:val="22"/>
        </w:rPr>
        <w:t xml:space="preserve"> se concedió un total de 5983 becas para que estudiantes de bajos recursos pudieran tener acceso a programas de educación superior y de desarrollo profesional. Por otra parte, en el marco del Fondo Rowe</w:t>
      </w:r>
      <w:r w:rsidR="00CE7977">
        <w:rPr>
          <w:sz w:val="22"/>
        </w:rPr>
        <w:t>,</w:t>
      </w:r>
      <w:r>
        <w:rPr>
          <w:sz w:val="22"/>
        </w:rPr>
        <w:t xml:space="preserve"> se otorgaron 101 préstamos sin intereses a ciudadanos de 21 Estados Miembros, además de 63 becas de emergencia, por un total de US$126,000, para que estudiantes internacionales en Estados Unidos pudieran afrontar los problemas financieros que les había provocado a la pandemia.  Con la campaña de recaudación de </w:t>
      </w:r>
      <w:r>
        <w:rPr>
          <w:sz w:val="22"/>
        </w:rPr>
        <w:lastRenderedPageBreak/>
        <w:t>fondos, Give to Education, se busca apoyar la concesión de otras becas de emergencia en 2021. Exhortamos a todos los Estados Miembros y aliados a que contribuy</w:t>
      </w:r>
      <w:r w:rsidR="00CE7977">
        <w:rPr>
          <w:sz w:val="22"/>
        </w:rPr>
        <w:t>a</w:t>
      </w:r>
      <w:r>
        <w:rPr>
          <w:sz w:val="22"/>
        </w:rPr>
        <w:t>n a esta causa.</w:t>
      </w:r>
    </w:p>
    <w:p w14:paraId="623005C9" w14:textId="77777777" w:rsidR="000F2C7A" w:rsidRPr="000F2C7A" w:rsidRDefault="000F2C7A" w:rsidP="000F2C7A">
      <w:pPr>
        <w:jc w:val="both"/>
        <w:rPr>
          <w:rFonts w:eastAsia="MS Mincho"/>
          <w:sz w:val="22"/>
          <w:szCs w:val="22"/>
        </w:rPr>
      </w:pPr>
    </w:p>
    <w:p w14:paraId="675ADD90" w14:textId="77777777" w:rsidR="000F2C7A" w:rsidRPr="000F2C7A" w:rsidRDefault="000F2C7A" w:rsidP="000F2C7A">
      <w:pPr>
        <w:ind w:firstLine="720"/>
        <w:jc w:val="both"/>
        <w:rPr>
          <w:rFonts w:eastAsia="MS Mincho"/>
          <w:sz w:val="22"/>
          <w:szCs w:val="22"/>
        </w:rPr>
      </w:pPr>
      <w:r>
        <w:rPr>
          <w:sz w:val="22"/>
        </w:rPr>
        <w:t xml:space="preserve">En el marco del Programa de Becas OEA para la CARCIOM y con el apoyo de la Universidad de Desarrollo de Chile, se dio inicio a un nuevo programa de certificación en innovación y emprendimiento en el contexto del cambio climático. Un total de 28 empresarios caribeños completaron con éxito el programa con proyectos sobre soluciones al cambio climático en sus comunidades, con lo cual pudieron obtener el certificado D-LAB, reconocido en todo el mundo. </w:t>
      </w:r>
    </w:p>
    <w:p w14:paraId="23F2CC95" w14:textId="77777777" w:rsidR="000F2C7A" w:rsidRDefault="000F2C7A" w:rsidP="000F2C7A">
      <w:pPr>
        <w:jc w:val="both"/>
        <w:rPr>
          <w:rFonts w:eastAsia="MS Mincho"/>
          <w:sz w:val="22"/>
          <w:szCs w:val="22"/>
        </w:rPr>
      </w:pPr>
    </w:p>
    <w:p w14:paraId="13447C7F" w14:textId="77777777" w:rsidR="00F665AD" w:rsidRPr="000F2C7A" w:rsidRDefault="00F665AD" w:rsidP="000F2C7A">
      <w:pPr>
        <w:jc w:val="both"/>
        <w:rPr>
          <w:rFonts w:eastAsia="MS Mincho"/>
          <w:sz w:val="22"/>
          <w:szCs w:val="22"/>
        </w:rPr>
      </w:pPr>
    </w:p>
    <w:p w14:paraId="349F3FDB" w14:textId="77777777" w:rsidR="000F2C7A" w:rsidRPr="000F2C7A" w:rsidRDefault="000F2C7A" w:rsidP="000F2C7A">
      <w:pPr>
        <w:jc w:val="center"/>
        <w:rPr>
          <w:rFonts w:eastAsia="MS Mincho"/>
          <w:b/>
          <w:bCs/>
          <w:sz w:val="22"/>
          <w:szCs w:val="22"/>
        </w:rPr>
      </w:pPr>
      <w:r>
        <w:rPr>
          <w:b/>
          <w:sz w:val="22"/>
        </w:rPr>
        <w:t xml:space="preserve">LÍNEA ESTRATÉGICA 4: PROMOVER EL TRABAJO DECENTE, DIGNO Y PRODUCTIVO PARA TODOS </w:t>
      </w:r>
    </w:p>
    <w:p w14:paraId="2167E15B" w14:textId="77777777" w:rsidR="000F2C7A" w:rsidRPr="000F2C7A" w:rsidRDefault="000F2C7A" w:rsidP="000F2C7A">
      <w:pPr>
        <w:jc w:val="both"/>
        <w:rPr>
          <w:rFonts w:eastAsia="MS Mincho"/>
          <w:sz w:val="22"/>
          <w:szCs w:val="22"/>
        </w:rPr>
      </w:pPr>
    </w:p>
    <w:p w14:paraId="293D2212" w14:textId="692CFAF6" w:rsidR="000F2C7A" w:rsidRPr="000F2C7A" w:rsidRDefault="000F2C7A" w:rsidP="000F2C7A">
      <w:pPr>
        <w:ind w:firstLine="720"/>
        <w:jc w:val="both"/>
        <w:rPr>
          <w:rFonts w:eastAsia="MS Mincho"/>
          <w:sz w:val="22"/>
          <w:szCs w:val="22"/>
        </w:rPr>
      </w:pPr>
      <w:r>
        <w:rPr>
          <w:sz w:val="22"/>
        </w:rPr>
        <w:t xml:space="preserve">En el ámbito laboral, los programas e iniciativas de la SEDI se centraron en los retos y oportunidades de la Cuarta Revolución Industrial, con los que se vislumbra el futuro del empleo y </w:t>
      </w:r>
      <w:r w:rsidR="008E7FA3">
        <w:rPr>
          <w:sz w:val="22"/>
        </w:rPr>
        <w:t xml:space="preserve">se </w:t>
      </w:r>
      <w:r>
        <w:rPr>
          <w:sz w:val="22"/>
        </w:rPr>
        <w:t xml:space="preserve">aceleran los cambios en el mercado laboral. Tras el inicio de la pandemia, la SEDI se ha visto en la necesidad de ayudar a los Estados Miembros a hacer frente a las consecuencias de </w:t>
      </w:r>
      <w:r w:rsidR="008E7FA3">
        <w:rPr>
          <w:sz w:val="22"/>
        </w:rPr>
        <w:t>ésta</w:t>
      </w:r>
      <w:r>
        <w:rPr>
          <w:sz w:val="22"/>
        </w:rPr>
        <w:t xml:space="preserve"> en el ámbito laboral. En el sitio web de la RIAL se compilaron más de 400 medidas adoptadas por los Estados Miembros para proteger a los trabajadores, el empleo y los ingresos. En ese mismo sitio se encuentra el </w:t>
      </w:r>
      <w:r w:rsidR="00B41AAF">
        <w:rPr>
          <w:sz w:val="22"/>
        </w:rPr>
        <w:t>“</w:t>
      </w:r>
      <w:r>
        <w:rPr>
          <w:sz w:val="22"/>
        </w:rPr>
        <w:t>Depósito de guías y protocolos de desconfinamiento y retorno al trabajo</w:t>
      </w:r>
      <w:r w:rsidR="00B41AAF">
        <w:rPr>
          <w:sz w:val="22"/>
        </w:rPr>
        <w:t>”</w:t>
      </w:r>
      <w:r>
        <w:rPr>
          <w:sz w:val="22"/>
        </w:rPr>
        <w:t xml:space="preserve">, en el que los ministerios de trabajo de las Américas pueden encontrar información sobre las acciones que han tomado países, dentro y fuera de la región, para aligerar las medidas de confinamiento, el retorno al lugar de trabajo y garantizar la seguridad y la salud de los trabajadores.  En la reunión del Grupo de Trabajo de la CIMT, celebrada en septiembre de 2020, se abordó el tema del teletrabajo y la economía de plataformas, la perspectiva de género en la crisis, la ampliación de la cobertura de protección social, el refuerzo del diálogo social y el mantenimiento de la salud y seguridad ocupacionales.  </w:t>
      </w:r>
    </w:p>
    <w:p w14:paraId="2950E75B" w14:textId="77777777" w:rsidR="000F2C7A" w:rsidRDefault="000F2C7A" w:rsidP="000F2C7A">
      <w:pPr>
        <w:jc w:val="both"/>
        <w:rPr>
          <w:rFonts w:eastAsia="MS Mincho"/>
          <w:sz w:val="22"/>
          <w:szCs w:val="22"/>
        </w:rPr>
      </w:pPr>
    </w:p>
    <w:p w14:paraId="66638725" w14:textId="77777777" w:rsidR="00F665AD" w:rsidRPr="000F2C7A" w:rsidRDefault="00F665AD" w:rsidP="000F2C7A">
      <w:pPr>
        <w:jc w:val="both"/>
        <w:rPr>
          <w:rFonts w:eastAsia="MS Mincho"/>
          <w:sz w:val="22"/>
          <w:szCs w:val="22"/>
        </w:rPr>
      </w:pPr>
    </w:p>
    <w:p w14:paraId="1FC8473B" w14:textId="77777777" w:rsidR="000F2C7A" w:rsidRPr="000F2C7A" w:rsidRDefault="000F2C7A" w:rsidP="000F2C7A">
      <w:pPr>
        <w:jc w:val="center"/>
        <w:rPr>
          <w:b/>
          <w:bCs/>
          <w:sz w:val="22"/>
          <w:szCs w:val="22"/>
        </w:rPr>
      </w:pPr>
      <w:r>
        <w:rPr>
          <w:b/>
          <w:sz w:val="22"/>
        </w:rPr>
        <w:t xml:space="preserve">LÍNEA ESTRATÉGICA 5: FOMENTAR LA COOPERACIÓN PARA EL DESARROLLO Y LA CREACIÓN DE ALIANZAS </w:t>
      </w:r>
    </w:p>
    <w:p w14:paraId="71909621" w14:textId="77777777" w:rsidR="000F2C7A" w:rsidRPr="000F2C7A" w:rsidRDefault="000F2C7A" w:rsidP="000F2C7A">
      <w:pPr>
        <w:jc w:val="both"/>
        <w:rPr>
          <w:rFonts w:eastAsia="MS Mincho"/>
          <w:sz w:val="22"/>
          <w:szCs w:val="22"/>
        </w:rPr>
      </w:pPr>
    </w:p>
    <w:p w14:paraId="52DC5AAF" w14:textId="77777777" w:rsidR="000F2C7A" w:rsidRPr="000F2C7A" w:rsidRDefault="000F2C7A" w:rsidP="000F2C7A">
      <w:pPr>
        <w:ind w:firstLine="720"/>
        <w:jc w:val="both"/>
        <w:rPr>
          <w:rFonts w:eastAsia="MS Mincho"/>
          <w:sz w:val="22"/>
          <w:szCs w:val="22"/>
        </w:rPr>
      </w:pPr>
      <w:r>
        <w:rPr>
          <w:sz w:val="22"/>
        </w:rPr>
        <w:t>Debido a la pandemia de COVID-19, se vio interrumpida en toda la región la implementación de los 17 programas del Fondo de Cooperación para el Desarrollo, en tres áreas prioritarias de la Agenda Educativa Interamericana.  En virtud de que los Estados Miembros ya han puesto en marcha mecanismos de respuesta, el plazo para la implementación se ha ampliado hasta el 31 de diciembre de 2021. Los programas, que han beneficiado a más de 5000 educadores, estudiantes e instituciones y ciudadanos, han tenido también que ser adaptados con la finalidad de tomar en cuenta las condiciones locales prevalecientes y ajustarlos a las prioridades nacionales emergentes.</w:t>
      </w:r>
    </w:p>
    <w:p w14:paraId="6A8FDE96" w14:textId="77777777" w:rsidR="000F2C7A" w:rsidRPr="000F2C7A" w:rsidRDefault="000F2C7A" w:rsidP="000F2C7A">
      <w:pPr>
        <w:jc w:val="both"/>
        <w:rPr>
          <w:rFonts w:eastAsia="MS Mincho"/>
          <w:sz w:val="22"/>
          <w:szCs w:val="22"/>
        </w:rPr>
      </w:pPr>
    </w:p>
    <w:p w14:paraId="3DF6CA5D" w14:textId="4568D6BF" w:rsidR="000F2C7A" w:rsidRPr="000F2C7A" w:rsidRDefault="000F2C7A" w:rsidP="00F665AD">
      <w:pPr>
        <w:ind w:firstLine="720"/>
        <w:jc w:val="both"/>
        <w:rPr>
          <w:rFonts w:eastAsia="MS Mincho"/>
          <w:sz w:val="22"/>
          <w:szCs w:val="22"/>
        </w:rPr>
      </w:pPr>
      <w:r>
        <w:rPr>
          <w:sz w:val="22"/>
        </w:rPr>
        <w:t xml:space="preserve">La Red Interamericana de Cooperación (CooperaNet) —plataforma en línea de la SEDI para la cooperación para el desarrollo— ha brindado un espacio consolidado para la optimización de alianzas, la creación de redes, el aprovechamiento de la asistencia para el desarrollo y la satisfacción de la necesidad de una cooperación técnica más orientada a la demanda en las Américas. En 2020 se publicaron en la plataforma Cooperation Exchange 226 ofertas de cooperación y ocho solicitudes de cooperación. Esta plataforma también ha permitido la interacción y el intercambio de conocimientos y experiencias entre las autoridades de cooperación en la respuesta a la pandemia. Asimismo, se ha aprovechado esta plataforma para hacer una </w:t>
      </w:r>
      <w:r w:rsidR="00B41AAF">
        <w:rPr>
          <w:sz w:val="22"/>
        </w:rPr>
        <w:t>“</w:t>
      </w:r>
      <w:r>
        <w:rPr>
          <w:sz w:val="22"/>
        </w:rPr>
        <w:t>Convocatoria abierta de ofertas y necesidades de COVID-19</w:t>
      </w:r>
      <w:r w:rsidR="00B41AAF">
        <w:rPr>
          <w:sz w:val="22"/>
        </w:rPr>
        <w:t>”</w:t>
      </w:r>
      <w:r>
        <w:rPr>
          <w:sz w:val="22"/>
        </w:rPr>
        <w:t>. Invito a los Estados Miembros a que utilicen esta herramienta.</w:t>
      </w:r>
    </w:p>
    <w:p w14:paraId="3FBE2ACD" w14:textId="77777777" w:rsidR="000F2C7A" w:rsidRPr="000F2C7A" w:rsidRDefault="000F2C7A" w:rsidP="000F2C7A">
      <w:pPr>
        <w:ind w:firstLine="720"/>
        <w:jc w:val="both"/>
        <w:rPr>
          <w:rFonts w:eastAsia="MS Mincho"/>
          <w:sz w:val="22"/>
          <w:szCs w:val="22"/>
        </w:rPr>
      </w:pPr>
      <w:r>
        <w:rPr>
          <w:sz w:val="22"/>
        </w:rPr>
        <w:lastRenderedPageBreak/>
        <w:t>Señor Presidente:</w:t>
      </w:r>
    </w:p>
    <w:p w14:paraId="7D7CCC37" w14:textId="77777777" w:rsidR="000F2C7A" w:rsidRPr="000F2C7A" w:rsidRDefault="000F2C7A" w:rsidP="000F2C7A">
      <w:pPr>
        <w:jc w:val="both"/>
        <w:rPr>
          <w:rFonts w:eastAsia="MS Mincho"/>
          <w:sz w:val="22"/>
          <w:szCs w:val="22"/>
        </w:rPr>
      </w:pPr>
    </w:p>
    <w:p w14:paraId="37B360B4" w14:textId="61972B0C" w:rsidR="000F2C7A" w:rsidRPr="000F2C7A" w:rsidRDefault="000F2C7A" w:rsidP="000F2C7A">
      <w:pPr>
        <w:ind w:firstLine="720"/>
        <w:jc w:val="both"/>
        <w:rPr>
          <w:rFonts w:eastAsia="MS Mincho"/>
          <w:sz w:val="22"/>
          <w:szCs w:val="22"/>
        </w:rPr>
      </w:pPr>
      <w:r>
        <w:rPr>
          <w:sz w:val="22"/>
        </w:rPr>
        <w:t>En este crucial momento, la agenda de desarrollo de la OEA requiere nuestra plena y decidida atención.  La respuesta de los Estados Miembros a la pandemia ha sido audaz, pero serán necesarias más acciones cuando salgamos de las medidas de contención y confinamiento. Como l</w:t>
      </w:r>
      <w:r w:rsidR="00CB7947">
        <w:rPr>
          <w:sz w:val="22"/>
        </w:rPr>
        <w:t>o</w:t>
      </w:r>
      <w:r>
        <w:rPr>
          <w:sz w:val="22"/>
        </w:rPr>
        <w:t xml:space="preserve"> decía atinadamente el Presidente John F. Kennedy, </w:t>
      </w:r>
      <w:r w:rsidR="00B41AAF">
        <w:rPr>
          <w:sz w:val="22"/>
        </w:rPr>
        <w:t>“</w:t>
      </w:r>
      <w:r>
        <w:rPr>
          <w:sz w:val="22"/>
        </w:rPr>
        <w:t>en momentos de crisis es necesario ser conscientes del peligro, pero reconocer las oportunidades</w:t>
      </w:r>
      <w:r w:rsidR="00B41AAF">
        <w:rPr>
          <w:sz w:val="22"/>
        </w:rPr>
        <w:t>”</w:t>
      </w:r>
      <w:r>
        <w:rPr>
          <w:sz w:val="22"/>
        </w:rPr>
        <w:t xml:space="preserve">. </w:t>
      </w:r>
    </w:p>
    <w:p w14:paraId="7791A3A4" w14:textId="77777777" w:rsidR="000F2C7A" w:rsidRPr="000F2C7A" w:rsidRDefault="000F2C7A" w:rsidP="00F665AD">
      <w:pPr>
        <w:jc w:val="both"/>
        <w:rPr>
          <w:rFonts w:eastAsia="MS Mincho"/>
          <w:sz w:val="22"/>
          <w:szCs w:val="22"/>
        </w:rPr>
      </w:pPr>
    </w:p>
    <w:p w14:paraId="293FCB02" w14:textId="77777777" w:rsidR="000F2C7A" w:rsidRPr="000F2C7A" w:rsidRDefault="000F2C7A" w:rsidP="000F2C7A">
      <w:pPr>
        <w:ind w:firstLine="720"/>
        <w:jc w:val="both"/>
        <w:rPr>
          <w:rFonts w:eastAsia="MS Mincho"/>
          <w:sz w:val="22"/>
          <w:szCs w:val="22"/>
        </w:rPr>
      </w:pPr>
      <w:r>
        <w:rPr>
          <w:sz w:val="22"/>
        </w:rPr>
        <w:t>La superación de esta crisis será determinada por nuestra capacidad para afrontar los retos y oportunidades que nos presenta.</w:t>
      </w:r>
    </w:p>
    <w:p w14:paraId="0F5BCC18" w14:textId="77777777" w:rsidR="000F2C7A" w:rsidRPr="000F2C7A" w:rsidRDefault="000F2C7A" w:rsidP="00F665AD">
      <w:pPr>
        <w:jc w:val="both"/>
        <w:rPr>
          <w:rFonts w:eastAsia="MS Mincho"/>
          <w:sz w:val="22"/>
          <w:szCs w:val="22"/>
        </w:rPr>
      </w:pPr>
    </w:p>
    <w:p w14:paraId="4FB16951" w14:textId="77777777" w:rsidR="000F2C7A" w:rsidRPr="000F2C7A" w:rsidRDefault="000F2C7A" w:rsidP="000F2C7A">
      <w:pPr>
        <w:ind w:firstLine="720"/>
        <w:jc w:val="both"/>
        <w:rPr>
          <w:rFonts w:eastAsia="MS Mincho"/>
          <w:sz w:val="22"/>
          <w:szCs w:val="22"/>
        </w:rPr>
      </w:pPr>
      <w:r>
        <w:rPr>
          <w:sz w:val="22"/>
        </w:rPr>
        <w:t>En los diálogos de políticas que se llevan a cabo en este Consejo, estamos llamados a redefinir el pacto social a fin de asegurar que nuestros ciudadanos cuenten con el apoyo de una fuerte red de seguridad social, mejores sistemas de atención de la salud, finanzas públicas más sólidas e incluyentes y estrategias de desarrollo también incluyentes. Debemos también diseñar e innovar soluciones que nos permitan atender ese llamamiento con programas e iniciativas sólidas.</w:t>
      </w:r>
    </w:p>
    <w:p w14:paraId="642235E5" w14:textId="77777777" w:rsidR="000F2C7A" w:rsidRPr="000F2C7A" w:rsidRDefault="000F2C7A" w:rsidP="000F2C7A">
      <w:pPr>
        <w:jc w:val="both"/>
        <w:rPr>
          <w:rFonts w:eastAsia="MS Mincho"/>
          <w:sz w:val="22"/>
          <w:szCs w:val="22"/>
        </w:rPr>
      </w:pPr>
    </w:p>
    <w:p w14:paraId="0F7A7A7F" w14:textId="77777777" w:rsidR="000F2C7A" w:rsidRPr="000F2C7A" w:rsidRDefault="000F2C7A" w:rsidP="000F2C7A">
      <w:pPr>
        <w:ind w:firstLine="720"/>
        <w:jc w:val="both"/>
        <w:rPr>
          <w:rFonts w:eastAsia="MS Mincho"/>
          <w:sz w:val="22"/>
          <w:szCs w:val="22"/>
        </w:rPr>
      </w:pPr>
      <w:r>
        <w:rPr>
          <w:sz w:val="22"/>
        </w:rPr>
        <w:t>Estoy segura de que los distinguidos Estados Miembros son conscientes de que este no es trabajo de un solo país o institución, sino que es la causa que nos ha de unir a todos. Las alianzas y esquemas asociativos que unen a todos los actores, como lo hemos visto, nos fortalecen y nos permiten también ser más que la suma de todas las partes.</w:t>
      </w:r>
    </w:p>
    <w:p w14:paraId="68BA079E" w14:textId="77777777" w:rsidR="000F2C7A" w:rsidRPr="000F2C7A" w:rsidRDefault="000F2C7A" w:rsidP="000F2C7A">
      <w:pPr>
        <w:jc w:val="both"/>
        <w:rPr>
          <w:rFonts w:eastAsia="MS Mincho"/>
          <w:sz w:val="22"/>
          <w:szCs w:val="22"/>
        </w:rPr>
      </w:pPr>
    </w:p>
    <w:p w14:paraId="43C31C0E" w14:textId="749A0B39" w:rsidR="000F2C7A" w:rsidRPr="000F2C7A" w:rsidRDefault="000F2C7A" w:rsidP="000F2C7A">
      <w:pPr>
        <w:ind w:firstLine="720"/>
        <w:jc w:val="both"/>
        <w:rPr>
          <w:rFonts w:eastAsia="MS Mincho"/>
          <w:sz w:val="22"/>
          <w:szCs w:val="22"/>
        </w:rPr>
      </w:pPr>
      <w:r>
        <w:rPr>
          <w:sz w:val="22"/>
        </w:rPr>
        <w:t>La clave para seguir adelante en este camino será la reordenación de prioridades en el pilar del desarrollo, que se refleje en términos reales en financiación sostenible y adecuada del trabajo de esta Organización en el ámbito del desarrollo. Solo la determinación de los Estados Miembros y la dedicación del personal de esta Secretaría contribuirán a que se mantenga la relevancia de esta Organización y se satisfagan las necesidades actuales y emergentes de los ciudadanos de las Américas. Estoy segur</w:t>
      </w:r>
      <w:r w:rsidR="00CB7947">
        <w:rPr>
          <w:sz w:val="22"/>
        </w:rPr>
        <w:t>o</w:t>
      </w:r>
      <w:r>
        <w:rPr>
          <w:sz w:val="22"/>
        </w:rPr>
        <w:t xml:space="preserve"> de que estamos a la altura de esta tarea.</w:t>
      </w:r>
    </w:p>
    <w:p w14:paraId="2F180EE4" w14:textId="77777777" w:rsidR="000F2C7A" w:rsidRPr="000F2C7A" w:rsidRDefault="000F2C7A" w:rsidP="000F2C7A">
      <w:pPr>
        <w:jc w:val="both"/>
        <w:rPr>
          <w:rFonts w:eastAsia="MS Mincho"/>
          <w:sz w:val="22"/>
          <w:szCs w:val="22"/>
        </w:rPr>
      </w:pPr>
    </w:p>
    <w:p w14:paraId="49001772" w14:textId="2FF94DEE" w:rsidR="000F2C7A" w:rsidRPr="000F2C7A" w:rsidRDefault="000F2C7A" w:rsidP="000F2C7A">
      <w:pPr>
        <w:ind w:firstLine="720"/>
        <w:jc w:val="both"/>
        <w:rPr>
          <w:rFonts w:eastAsia="MS Mincho"/>
          <w:sz w:val="22"/>
          <w:szCs w:val="22"/>
        </w:rPr>
      </w:pPr>
      <w:r>
        <w:rPr>
          <w:sz w:val="22"/>
        </w:rPr>
        <w:t xml:space="preserve">Para concluir, quisiera aprovechar la oportunidad para expresar mi más sincero agradecimiento a los Estados Miembros que han ofrecido sede para reuniones o que han presidido comisiones interamericanas, así como las comisiones del CIDI y órganos subsidiarios, por haber compartido experiencias y buenas prácticas y apoyado con recursos monetarios los programas y proyectos de la SEDI. Los esfuerzos y el compromiso de todos los Estados Miembros y del personal de la SEDI nos han permitido mantenernos firmes a pesar de la rápida evolución de la situación; y nos mantendrán firmes en nuestro camino hacia la </w:t>
      </w:r>
      <w:r w:rsidR="00B41AAF">
        <w:rPr>
          <w:sz w:val="22"/>
        </w:rPr>
        <w:t>“</w:t>
      </w:r>
      <w:r>
        <w:rPr>
          <w:sz w:val="22"/>
        </w:rPr>
        <w:t>nueva normalidad</w:t>
      </w:r>
      <w:r w:rsidR="00B41AAF">
        <w:rPr>
          <w:sz w:val="22"/>
        </w:rPr>
        <w:t>”</w:t>
      </w:r>
      <w:r>
        <w:rPr>
          <w:sz w:val="22"/>
        </w:rPr>
        <w:t>. Nuestro objetivo sigue siendo el seguir trabajando, codo con codo con ustedes, para alcanzar la inclusividad y sostenibilidad de las Américas.</w:t>
      </w:r>
    </w:p>
    <w:p w14:paraId="2390495B" w14:textId="77777777" w:rsidR="000F2C7A" w:rsidRPr="000F2C7A" w:rsidRDefault="000F2C7A" w:rsidP="00F665AD">
      <w:pPr>
        <w:jc w:val="both"/>
        <w:rPr>
          <w:rFonts w:eastAsia="MS Mincho"/>
          <w:sz w:val="22"/>
          <w:szCs w:val="22"/>
        </w:rPr>
      </w:pPr>
    </w:p>
    <w:p w14:paraId="715AF2D6" w14:textId="77777777" w:rsidR="000F2C7A" w:rsidRPr="000F2C7A" w:rsidRDefault="000F2C7A" w:rsidP="000F2C7A">
      <w:pPr>
        <w:ind w:firstLine="720"/>
        <w:jc w:val="both"/>
        <w:rPr>
          <w:rFonts w:eastAsia="MS Mincho"/>
          <w:sz w:val="22"/>
          <w:szCs w:val="22"/>
        </w:rPr>
      </w:pPr>
      <w:r>
        <w:rPr>
          <w:sz w:val="22"/>
        </w:rPr>
        <w:t xml:space="preserve">Señor Presidente, debemos mantener el impulso. </w:t>
      </w:r>
    </w:p>
    <w:p w14:paraId="4922E039" w14:textId="77777777" w:rsidR="000F2C7A" w:rsidRPr="000F2C7A" w:rsidRDefault="000F2C7A" w:rsidP="000F2C7A">
      <w:pPr>
        <w:jc w:val="both"/>
        <w:rPr>
          <w:rFonts w:eastAsia="MS Mincho"/>
          <w:sz w:val="22"/>
          <w:szCs w:val="22"/>
        </w:rPr>
      </w:pPr>
    </w:p>
    <w:p w14:paraId="5A00B483" w14:textId="77777777" w:rsidR="000F2C7A" w:rsidRPr="000F2C7A" w:rsidRDefault="000F2C7A" w:rsidP="000F2C7A">
      <w:pPr>
        <w:ind w:firstLine="720"/>
        <w:jc w:val="both"/>
        <w:rPr>
          <w:rFonts w:eastAsia="MS Mincho"/>
          <w:sz w:val="22"/>
          <w:szCs w:val="22"/>
        </w:rPr>
      </w:pPr>
      <w:r>
        <w:rPr>
          <w:sz w:val="22"/>
        </w:rPr>
        <w:t>Gracias.</w:t>
      </w:r>
    </w:p>
    <w:p w14:paraId="6819DC34" w14:textId="77777777" w:rsidR="000F2C7A" w:rsidRDefault="000F2C7A" w:rsidP="00F665AD">
      <w:pPr>
        <w:rPr>
          <w:rFonts w:eastAsia="Calibri"/>
          <w:sz w:val="22"/>
          <w:szCs w:val="22"/>
        </w:rPr>
      </w:pPr>
    </w:p>
    <w:p w14:paraId="4321B632" w14:textId="332ABE0F" w:rsidR="000A4CC6" w:rsidRDefault="00F665AD" w:rsidP="00F665AD">
      <w:pPr>
        <w:jc w:val="both"/>
        <w:rPr>
          <w:sz w:val="22"/>
          <w:szCs w:val="22"/>
        </w:rPr>
      </w:pPr>
      <w:r>
        <w:rPr>
          <w:noProof/>
          <w:sz w:val="22"/>
          <w:szCs w:val="22"/>
          <w:lang w:val="en-US"/>
        </w:rPr>
        <mc:AlternateContent>
          <mc:Choice Requires="wps">
            <w:drawing>
              <wp:anchor distT="0" distB="0" distL="114300" distR="114300" simplePos="0" relativeHeight="251659264" behindDoc="0" locked="1" layoutInCell="1" allowOverlap="1" wp14:anchorId="09CA12A1" wp14:editId="4D8CDD78">
                <wp:simplePos x="0" y="0"/>
                <wp:positionH relativeFrom="column">
                  <wp:posOffset>-91440</wp:posOffset>
                </wp:positionH>
                <wp:positionV relativeFrom="page">
                  <wp:posOffset>9144000</wp:posOffset>
                </wp:positionV>
                <wp:extent cx="3384550" cy="2286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455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0F0072C1" w14:textId="55479C26" w:rsidR="00F665AD" w:rsidRPr="00F665AD" w:rsidRDefault="00F665AD">
                            <w:pPr>
                              <w:rPr>
                                <w:sz w:val="18"/>
                              </w:rPr>
                            </w:pPr>
                            <w:r>
                              <w:rPr>
                                <w:sz w:val="18"/>
                              </w:rPr>
                              <w:fldChar w:fldCharType="begin"/>
                            </w:r>
                            <w:r>
                              <w:rPr>
                                <w:sz w:val="18"/>
                              </w:rPr>
                              <w:instrText xml:space="preserve"> FILENAME  \* MERGEFORMAT </w:instrText>
                            </w:r>
                            <w:r>
                              <w:rPr>
                                <w:sz w:val="18"/>
                              </w:rPr>
                              <w:fldChar w:fldCharType="separate"/>
                            </w:r>
                            <w:r>
                              <w:rPr>
                                <w:noProof/>
                                <w:sz w:val="18"/>
                              </w:rPr>
                              <w:t>CIDRP03074S04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CA12A1" id="_x0000_t202" coordsize="21600,21600" o:spt="202" path="m,l,21600r21600,l21600,xe">
                <v:stroke joinstyle="miter"/>
                <v:path gradientshapeok="t" o:connecttype="rect"/>
              </v:shapetype>
              <v:shape id="Text Box 9" o:spid="_x0000_s1026" type="#_x0000_t202" style="position:absolute;left:0;text-align:left;margin-left:-7.2pt;margin-top:10in;width:266.5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07ZzwIAABMGAAAOAAAAZHJzL2Uyb0RvYy54bWysVF1P2zAUfZ+0/2D5faQtLYOIFHUwpkkV&#10;oMHEs+vYTYRje7bbpvv1O3bSD7E9jGkvybXv8b333K/Lq7ZRZC2cr40u6PBkQInQ3JS1Xhb0+9Pt&#10;h3NKfGC6ZMpoUdCt8PRq+v7d5cbmYmQqo0rhCIxon29sQasQbJ5lnleiYf7EWKGhlMY1LODollnp&#10;2AbWG5WNBoOzbGNcaZ3hwnvc3nRKOk32pRQ83EvpRSCqoIgtpK9L30X8ZtNLli8ds1XN+zDYP0TR&#10;sFrD6d7UDQuMrFz9m6mm5s54I8MJN01mpKy5SBzAZjh4xeaxYlYkLkiOt/s0+f9nlt+tHxypy4Je&#10;UKJZgxI9iTaQT6YlFzE7G+tzgB4tYKHFNaqcmHo7N/zFA5IdYboHHuiYjVa6Jv7Bk+AhCrDdJz16&#10;4bg8PT0fTyZQcehGo/OzQapKdnhtnQ9fhGlIFArqUNQUAVvPfYj+Wb6DRGfa3NZKpcIqTTZgNhlN&#10;YJ6hvaRiAWJjQdjrJSVMLdG3PLhk8ehptHjDfEXWDK3jjarLrlmcWekyWa8EKz/rkoStRdo0+ptG&#10;d40oKVECZqOUkIHV6m+QYKJ05CBS6/b0Ynq7jCYpbJWIGKW/CYnSpcTGizQ04lq5LmbGudBhGCNI&#10;doGOKInkvOVhjz9E9ZbHHY+dZ6PD/nFTa9Ml/VXY5csuZNnh+wbzHe+YgtAuWrCK4sKUW3SmM91k&#10;e8tva1Ruznx4YA6jjMbCegr3+EhlUB7TS5RUxv38033EY8KgRT2xGlD+HyvmUF31VWP2Lobjcdwl&#10;6TCefBzh4I41i2ONXjXXBi00xCK0PIkRH9ROlM40z9his+gVKqY5fBcUjdqJ16FbWNiCXMxmCYTt&#10;YVmY60fLdwMZO/apfWbO9oMSMGJ3ZrdEWP5qXjpsrKs2s1Uwsk7DdMhqn3hsntRB/ZaMq+34nFCH&#10;XT79BQAA//8DAFBLAwQUAAYACAAAACEA95LPEeAAAAANAQAADwAAAGRycy9kb3ducmV2LnhtbEyP&#10;zU7DMBCE70h9B2srcWudoBCqEKdCSBUIcSH0AdzYxFHitRU7P/D0bE9w3JlPszPlcbUDm/UYOocC&#10;0n0CTGPjVIetgPPnaXcAFqJEJQeHWsC3DnCsNjelLJRb8EPPdWwZhWAopAAToy84D43RVoa98xrJ&#10;+3KjlZHOseVqlAuF24HfJUnOreyQPhjp9bPRTV9PVsBpenm18w+f/FvdLGh8P53feyFut+vTI7Co&#10;1/gHw7U+VYeKOl3chCqwQcAuzTJCyciyhFYRcp8ecmCXq/SQJ8Crkv9fUf0CAAD//wMAUEsBAi0A&#10;FAAGAAgAAAAhALaDOJL+AAAA4QEAABMAAAAAAAAAAAAAAAAAAAAAAFtDb250ZW50X1R5cGVzXS54&#10;bWxQSwECLQAUAAYACAAAACEAOP0h/9YAAACUAQAACwAAAAAAAAAAAAAAAAAvAQAAX3JlbHMvLnJl&#10;bHNQSwECLQAUAAYACAAAACEAXKNO2c8CAAATBgAADgAAAAAAAAAAAAAAAAAuAgAAZHJzL2Uyb0Rv&#10;Yy54bWxQSwECLQAUAAYACAAAACEA95LPEeAAAAANAQAADwAAAAAAAAAAAAAAAAApBQAAZHJzL2Rv&#10;d25yZXYueG1sUEsFBgAAAAAEAAQA8wAAADYGAAAAAA==&#10;" filled="f" stroked="f">
                <v:stroke joinstyle="round"/>
                <v:path arrowok="t"/>
                <v:textbox>
                  <w:txbxContent>
                    <w:p w14:paraId="0F0072C1" w14:textId="55479C26" w:rsidR="00F665AD" w:rsidRPr="00F665AD" w:rsidRDefault="00F665AD">
                      <w:pPr>
                        <w:rPr>
                          <w:sz w:val="18"/>
                        </w:rPr>
                      </w:pPr>
                      <w:r>
                        <w:rPr>
                          <w:sz w:val="18"/>
                        </w:rPr>
                        <w:fldChar w:fldCharType="begin"/>
                      </w:r>
                      <w:r>
                        <w:rPr>
                          <w:sz w:val="18"/>
                        </w:rPr>
                        <w:instrText xml:space="preserve"> FILENAME  \* MERGEFORMAT </w:instrText>
                      </w:r>
                      <w:r>
                        <w:rPr>
                          <w:sz w:val="18"/>
                        </w:rPr>
                        <w:fldChar w:fldCharType="separate"/>
                      </w:r>
                      <w:r>
                        <w:rPr>
                          <w:noProof/>
                          <w:sz w:val="18"/>
                        </w:rPr>
                        <w:t>CIDRP03074S04</w:t>
                      </w:r>
                      <w:r>
                        <w:rPr>
                          <w:sz w:val="18"/>
                        </w:rPr>
                        <w:fldChar w:fldCharType="end"/>
                      </w:r>
                    </w:p>
                  </w:txbxContent>
                </v:textbox>
                <w10:wrap anchory="page"/>
                <w10:anchorlock/>
              </v:shape>
            </w:pict>
          </mc:Fallback>
        </mc:AlternateContent>
      </w:r>
    </w:p>
    <w:sectPr w:rsidR="000A4CC6" w:rsidSect="00724EA0">
      <w:headerReference w:type="first" r:id="rId10"/>
      <w:type w:val="oddPage"/>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77CDD" w14:textId="77777777" w:rsidR="00D9071A" w:rsidRDefault="00D9071A">
      <w:r>
        <w:separator/>
      </w:r>
    </w:p>
  </w:endnote>
  <w:endnote w:type="continuationSeparator" w:id="0">
    <w:p w14:paraId="791BDA3C" w14:textId="77777777" w:rsidR="00D9071A" w:rsidRDefault="00D9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D0D33" w14:textId="77777777" w:rsidR="00D9071A" w:rsidRDefault="00D9071A">
      <w:r>
        <w:separator/>
      </w:r>
    </w:p>
  </w:footnote>
  <w:footnote w:type="continuationSeparator" w:id="0">
    <w:p w14:paraId="209E8DC2" w14:textId="77777777" w:rsidR="00D9071A" w:rsidRDefault="00D90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9A7D0" w14:textId="5164A7BD" w:rsidR="0073480E" w:rsidRPr="009C75F5" w:rsidRDefault="00FA607C">
    <w:pPr>
      <w:pStyle w:val="Header"/>
      <w:jc w:val="center"/>
      <w:rPr>
        <w:sz w:val="22"/>
        <w:szCs w:val="22"/>
      </w:rPr>
    </w:pPr>
    <w:r w:rsidRPr="009C75F5">
      <w:rPr>
        <w:sz w:val="22"/>
      </w:rPr>
      <w:fldChar w:fldCharType="begin"/>
    </w:r>
    <w:r w:rsidRPr="009C75F5">
      <w:rPr>
        <w:sz w:val="22"/>
      </w:rPr>
      <w:instrText xml:space="preserve"> PAGE   \* MERGEFORMAT </w:instrText>
    </w:r>
    <w:r w:rsidRPr="009C75F5">
      <w:rPr>
        <w:sz w:val="22"/>
      </w:rPr>
      <w:fldChar w:fldCharType="separate"/>
    </w:r>
    <w:r w:rsidR="008F0F20">
      <w:rPr>
        <w:noProof/>
        <w:sz w:val="22"/>
      </w:rPr>
      <w:t>- 2 -</w:t>
    </w:r>
    <w:r w:rsidRPr="009C75F5">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6BADD" w14:textId="77777777" w:rsidR="0073480E" w:rsidRDefault="00FB2A63">
    <w:pPr>
      <w:pStyle w:val="Header"/>
    </w:pPr>
    <w:r>
      <w:rPr>
        <w:noProof/>
        <w:lang w:val="en-US"/>
      </w:rPr>
      <mc:AlternateContent>
        <mc:Choice Requires="wps">
          <w:drawing>
            <wp:anchor distT="0" distB="0" distL="114300" distR="114300" simplePos="0" relativeHeight="251658752" behindDoc="0" locked="0" layoutInCell="1" allowOverlap="1" wp14:anchorId="1ED17D95" wp14:editId="65CB806A">
              <wp:simplePos x="0" y="0"/>
              <wp:positionH relativeFrom="column">
                <wp:posOffset>430057</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E45506" w14:textId="77777777"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ORGANIZACIÓN DE LOS ESTADOS AMERICANOS </w:t>
                          </w:r>
                        </w:p>
                        <w:p w14:paraId="0A9E8141" w14:textId="77777777" w:rsidR="00921E9E" w:rsidRPr="00133A15" w:rsidRDefault="00FA607C" w:rsidP="00921E9E">
                          <w:pPr>
                            <w:pStyle w:val="Header"/>
                            <w:tabs>
                              <w:tab w:val="left" w:pos="900"/>
                            </w:tabs>
                            <w:spacing w:line="0" w:lineRule="atLeast"/>
                            <w:jc w:val="center"/>
                            <w:rPr>
                              <w:rFonts w:ascii="Garamond" w:hAnsi="Garamond"/>
                              <w:b/>
                              <w:szCs w:val="22"/>
                            </w:rPr>
                          </w:pPr>
                          <w:r>
                            <w:rPr>
                              <w:rFonts w:ascii="Garamond" w:hAnsi="Garamond"/>
                              <w:b/>
                            </w:rPr>
                            <w:t xml:space="preserve">Consejo Interamericano para el Desarrollo Integral </w:t>
                          </w:r>
                        </w:p>
                        <w:p w14:paraId="7DD14552" w14:textId="77777777" w:rsidR="00921E9E" w:rsidRPr="00EA7DE7" w:rsidRDefault="00FA607C" w:rsidP="00921E9E">
                          <w:pPr>
                            <w:pStyle w:val="Header"/>
                            <w:tabs>
                              <w:tab w:val="left" w:pos="900"/>
                            </w:tabs>
                            <w:spacing w:line="0" w:lineRule="atLeast"/>
                            <w:jc w:val="center"/>
                            <w:rPr>
                              <w:b/>
                              <w:szCs w:val="22"/>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17D95" id="_x0000_t202" coordsize="21600,21600" o:spt="202" path="m,l,21600r21600,l21600,xe">
              <v:stroke joinstyle="miter"/>
              <v:path gradientshapeok="t" o:connecttype="rect"/>
            </v:shapetype>
            <v:shape id="Text Box 1" o:spid="_x0000_s1027" type="#_x0000_t202" style="position:absolute;margin-left:33.85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GThAIAAA8FAAAOAAAAZHJzL2Uyb0RvYy54bWysVNuO2yAQfa/Uf0C8Z30p2djWOqu9NFWl&#10;7UXa7QcQwDGqDRRI7G3Vf++Ak2y2F6mq6gcMzHCYmXOGi8ux79BOWCe1qnF2lmIkFNNcqk2NPz2s&#10;ZgVGzlPFaaeVqPGjcPhy+fLFxWAqketWd1xYBCDKVYOpceu9qZLEsVb01J1pIxQYG2176mFpNwm3&#10;dAD0vkvyND1PBm25sZoJ52D3djLiZcRvGsH8h6ZxwqOuxhCbj6ON4zqMyfKCVhtLTSvZPgz6D1H0&#10;VCq49Ah1Sz1FWyt/geols9rpxp8x3Se6aSQTMQfIJkt/yua+pUbEXKA4zhzL5P4fLHu/+2iR5DXO&#10;MVK0B4oexOjRtR5RFqozGFeB070BNz/CNrAcM3XmTrPPDil901K1EVfW6qEVlEN08WRycnTCcQFk&#10;PbzTHK6hW68j0NjYPpQOioEAHVh6PDITQmGwSRZ5UZA5RgxsBXmVF5G6hFaH08Y6/0boHoVJjS0w&#10;H9Hp7s55yANcDy7hMqc7yVey6+LCbtY3nUU7CipZxS+kDkeeuXUqOCsdjk3maQeChDuCLYQbWf9W&#10;ZjlJr/NytjovFjOyIvNZuUiLWZqV1+V5Skpyu/oeAsxI1UrOhbqTShwUmJG/Y3jfC5N2ogbRUONy&#10;ns8niv6YZBq/3yXZSw8N2cke6nx0olUg9rXikDatPJXdNE+ehx9LBjU4/GNVogwC85MG/LgeASVo&#10;Y635IwjCauALWIdXBCattl8xGqAja+y+bKkVGHVvFYiqzAgJLRwXZL7IYWFPLetTC1UMoGrsMZqm&#10;N35q+62xctPCTZOMlb4CITYyauQpKkghLKDrYjL7FyK09ek6ej29Y8sfAAAA//8DAFBLAwQUAAYA&#10;CAAAACEA3eqf3N8AAAAJAQAADwAAAGRycy9kb3ducmV2LnhtbEyPQW7CMBBF95V6B2sqdVOBA4U4&#10;hDiordSqWygHmCRDEhGPo9iQcPu6q7IczdP/72e7yXTiSoNrLWtYzCMQxKWtWq41HH8+ZwkI55Er&#10;7CyThhs52OWPDxmmlR15T9eDr0UIYZeihsb7PpXSlQ0ZdHPbE4ffyQ4GfTiHWlYDjiHcdHIZRbE0&#10;2HJoaLCnj4bK8+FiNJy+x5f1Ziy+/FHtV/E7tqqwN62fn6a3LQhPk/+H4U8/qEMenAp74cqJTkOs&#10;VCA1zNQmbApAsliuQBQa1q8JyDyT9wvyXwAAAP//AwBQSwECLQAUAAYACAAAACEAtoM4kv4AAADh&#10;AQAAEwAAAAAAAAAAAAAAAAAAAAAAW0NvbnRlbnRfVHlwZXNdLnhtbFBLAQItABQABgAIAAAAIQA4&#10;/SH/1gAAAJQBAAALAAAAAAAAAAAAAAAAAC8BAABfcmVscy8ucmVsc1BLAQItABQABgAIAAAAIQCO&#10;hFGThAIAAA8FAAAOAAAAAAAAAAAAAAAAAC4CAABkcnMvZTJvRG9jLnhtbFBLAQItABQABgAIAAAA&#10;IQDd6p/c3wAAAAkBAAAPAAAAAAAAAAAAAAAAAN4EAABkcnMvZG93bnJldi54bWxQSwUGAAAAAAQA&#10;BADzAAAA6gUAAAAA&#10;" stroked="f">
              <v:textbox>
                <w:txbxContent>
                  <w:p w14:paraId="18E45506" w14:textId="77777777"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ORGANIZACIÓN DE LOS ESTADOS AMERICANOS </w:t>
                    </w:r>
                  </w:p>
                  <w:p w14:paraId="0A9E8141" w14:textId="77777777" w:rsidR="00921E9E" w:rsidRPr="00133A15" w:rsidRDefault="00FA607C" w:rsidP="00921E9E">
                    <w:pPr>
                      <w:pStyle w:val="Header"/>
                      <w:tabs>
                        <w:tab w:val="left" w:pos="900"/>
                      </w:tabs>
                      <w:spacing w:line="0" w:lineRule="atLeast"/>
                      <w:jc w:val="center"/>
                      <w:rPr>
                        <w:rFonts w:ascii="Garamond" w:hAnsi="Garamond"/>
                        <w:b/>
                        <w:szCs w:val="22"/>
                      </w:rPr>
                    </w:pPr>
                    <w:r>
                      <w:rPr>
                        <w:rFonts w:ascii="Garamond" w:hAnsi="Garamond"/>
                        <w:b/>
                      </w:rPr>
                      <w:t xml:space="preserve">Consejo Interamericano para el Desarrollo Integral </w:t>
                    </w:r>
                  </w:p>
                  <w:p w14:paraId="7DD14552" w14:textId="77777777" w:rsidR="00921E9E" w:rsidRPr="00EA7DE7" w:rsidRDefault="00FA607C" w:rsidP="00921E9E">
                    <w:pPr>
                      <w:pStyle w:val="Header"/>
                      <w:tabs>
                        <w:tab w:val="left" w:pos="900"/>
                      </w:tabs>
                      <w:spacing w:line="0" w:lineRule="atLeast"/>
                      <w:jc w:val="center"/>
                      <w:rPr>
                        <w:b/>
                        <w:szCs w:val="22"/>
                      </w:rPr>
                    </w:pPr>
                    <w:r>
                      <w:rPr>
                        <w:rFonts w:ascii="Garamond" w:hAnsi="Garamond"/>
                        <w:b/>
                      </w:rPr>
                      <w:t>(CIDI)</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14:anchorId="4B0A4C32" wp14:editId="6519E8B0">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CC72CC" w14:textId="77777777" w:rsidR="0073480E" w:rsidRDefault="00FB2A63" w:rsidP="00AB7175">
                          <w:pPr>
                            <w:ind w:right="-130"/>
                          </w:pPr>
                          <w:r>
                            <w:rPr>
                              <w:rFonts w:ascii="News Gothic MT" w:hAnsi="News Gothic MT"/>
                              <w:noProof/>
                              <w:color w:val="000000"/>
                              <w:lang w:val="en-US"/>
                            </w:rPr>
                            <w:drawing>
                              <wp:inline distT="0" distB="0" distL="0" distR="0" wp14:anchorId="64ABE072" wp14:editId="30CE5DF1">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A4C32"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14:paraId="75CC72CC" w14:textId="77777777" w:rsidR="0073480E" w:rsidRDefault="00FB2A63" w:rsidP="00AB7175">
                    <w:pPr>
                      <w:ind w:right="-130"/>
                    </w:pPr>
                    <w:r>
                      <w:rPr>
                        <w:rFonts w:ascii="News Gothic MT" w:hAnsi="News Gothic MT"/>
                        <w:noProof/>
                        <w:color w:val="000000"/>
                        <w:lang w:val="en-US"/>
                      </w:rPr>
                      <w:drawing>
                        <wp:inline distT="0" distB="0" distL="0" distR="0" wp14:anchorId="64ABE072" wp14:editId="30CE5DF1">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6704" behindDoc="0" locked="0" layoutInCell="1" allowOverlap="1" wp14:anchorId="2E008F91" wp14:editId="6690692B">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AB7E0F" w14:textId="77777777" w:rsidR="001B0828" w:rsidRDefault="001B082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F3D6" w14:textId="207A8744" w:rsidR="00724EA0" w:rsidRDefault="00724EA0">
    <w:pPr>
      <w:pStyle w:val="Header"/>
    </w:pPr>
  </w:p>
  <w:p w14:paraId="7E174BD4" w14:textId="77777777" w:rsidR="00724EA0" w:rsidRDefault="00724EA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923AB"/>
    <w:multiLevelType w:val="hybridMultilevel"/>
    <w:tmpl w:val="41EC8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11570"/>
    <w:multiLevelType w:val="hybridMultilevel"/>
    <w:tmpl w:val="16BEEAE6"/>
    <w:lvl w:ilvl="0" w:tplc="548A894A">
      <w:start w:val="1"/>
      <w:numFmt w:val="bullet"/>
      <w:lvlText w:val=""/>
      <w:lvlJc w:val="left"/>
      <w:pPr>
        <w:ind w:left="1080" w:hanging="360"/>
      </w:pPr>
      <w:rPr>
        <w:rFonts w:ascii="Symbol" w:hAnsi="Symbol" w:hint="default"/>
      </w:rPr>
    </w:lvl>
    <w:lvl w:ilvl="1" w:tplc="865258D2" w:tentative="1">
      <w:start w:val="1"/>
      <w:numFmt w:val="bullet"/>
      <w:lvlText w:val="o"/>
      <w:lvlJc w:val="left"/>
      <w:pPr>
        <w:ind w:left="1800" w:hanging="360"/>
      </w:pPr>
      <w:rPr>
        <w:rFonts w:ascii="Courier New" w:hAnsi="Courier New" w:cs="Courier New" w:hint="default"/>
      </w:rPr>
    </w:lvl>
    <w:lvl w:ilvl="2" w:tplc="DE12DC94" w:tentative="1">
      <w:start w:val="1"/>
      <w:numFmt w:val="bullet"/>
      <w:lvlText w:val=""/>
      <w:lvlJc w:val="left"/>
      <w:pPr>
        <w:ind w:left="2520" w:hanging="360"/>
      </w:pPr>
      <w:rPr>
        <w:rFonts w:ascii="Wingdings" w:hAnsi="Wingdings" w:hint="default"/>
      </w:rPr>
    </w:lvl>
    <w:lvl w:ilvl="3" w:tplc="B4D03D92" w:tentative="1">
      <w:start w:val="1"/>
      <w:numFmt w:val="bullet"/>
      <w:lvlText w:val=""/>
      <w:lvlJc w:val="left"/>
      <w:pPr>
        <w:ind w:left="3240" w:hanging="360"/>
      </w:pPr>
      <w:rPr>
        <w:rFonts w:ascii="Symbol" w:hAnsi="Symbol" w:hint="default"/>
      </w:rPr>
    </w:lvl>
    <w:lvl w:ilvl="4" w:tplc="6CA8DB60" w:tentative="1">
      <w:start w:val="1"/>
      <w:numFmt w:val="bullet"/>
      <w:lvlText w:val="o"/>
      <w:lvlJc w:val="left"/>
      <w:pPr>
        <w:ind w:left="3960" w:hanging="360"/>
      </w:pPr>
      <w:rPr>
        <w:rFonts w:ascii="Courier New" w:hAnsi="Courier New" w:cs="Courier New" w:hint="default"/>
      </w:rPr>
    </w:lvl>
    <w:lvl w:ilvl="5" w:tplc="6DE217DE" w:tentative="1">
      <w:start w:val="1"/>
      <w:numFmt w:val="bullet"/>
      <w:lvlText w:val=""/>
      <w:lvlJc w:val="left"/>
      <w:pPr>
        <w:ind w:left="4680" w:hanging="360"/>
      </w:pPr>
      <w:rPr>
        <w:rFonts w:ascii="Wingdings" w:hAnsi="Wingdings" w:hint="default"/>
      </w:rPr>
    </w:lvl>
    <w:lvl w:ilvl="6" w:tplc="DFF0995A" w:tentative="1">
      <w:start w:val="1"/>
      <w:numFmt w:val="bullet"/>
      <w:lvlText w:val=""/>
      <w:lvlJc w:val="left"/>
      <w:pPr>
        <w:ind w:left="5400" w:hanging="360"/>
      </w:pPr>
      <w:rPr>
        <w:rFonts w:ascii="Symbol" w:hAnsi="Symbol" w:hint="default"/>
      </w:rPr>
    </w:lvl>
    <w:lvl w:ilvl="7" w:tplc="A20C3484" w:tentative="1">
      <w:start w:val="1"/>
      <w:numFmt w:val="bullet"/>
      <w:lvlText w:val="o"/>
      <w:lvlJc w:val="left"/>
      <w:pPr>
        <w:ind w:left="6120" w:hanging="360"/>
      </w:pPr>
      <w:rPr>
        <w:rFonts w:ascii="Courier New" w:hAnsi="Courier New" w:cs="Courier New" w:hint="default"/>
      </w:rPr>
    </w:lvl>
    <w:lvl w:ilvl="8" w:tplc="3CE4668E" w:tentative="1">
      <w:start w:val="1"/>
      <w:numFmt w:val="bullet"/>
      <w:lvlText w:val=""/>
      <w:lvlJc w:val="left"/>
      <w:pPr>
        <w:ind w:left="6840" w:hanging="360"/>
      </w:pPr>
      <w:rPr>
        <w:rFonts w:ascii="Wingdings" w:hAnsi="Wingdings" w:hint="default"/>
      </w:rPr>
    </w:lvl>
  </w:abstractNum>
  <w:abstractNum w:abstractNumId="3" w15:restartNumberingAfterBreak="0">
    <w:nsid w:val="0E6437FA"/>
    <w:multiLevelType w:val="hybridMultilevel"/>
    <w:tmpl w:val="5190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8700D"/>
    <w:multiLevelType w:val="hybridMultilevel"/>
    <w:tmpl w:val="BFA47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06845"/>
    <w:multiLevelType w:val="hybridMultilevel"/>
    <w:tmpl w:val="5704B636"/>
    <w:lvl w:ilvl="0" w:tplc="67D00E78">
      <w:start w:val="1"/>
      <w:numFmt w:val="decimal"/>
      <w:lvlText w:val="%1."/>
      <w:lvlJc w:val="left"/>
      <w:pPr>
        <w:ind w:left="360" w:hanging="360"/>
      </w:pPr>
      <w:rPr>
        <w:b/>
      </w:rPr>
    </w:lvl>
    <w:lvl w:ilvl="1" w:tplc="B044CC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B946C0"/>
    <w:multiLevelType w:val="hybridMultilevel"/>
    <w:tmpl w:val="2312D3E0"/>
    <w:lvl w:ilvl="0" w:tplc="7B04EDA8">
      <w:start w:val="1"/>
      <w:numFmt w:val="decimal"/>
      <w:lvlText w:val="%1."/>
      <w:lvlJc w:val="left"/>
      <w:pPr>
        <w:ind w:left="720" w:hanging="360"/>
      </w:pPr>
    </w:lvl>
    <w:lvl w:ilvl="1" w:tplc="F0B87E1A">
      <w:start w:val="1"/>
      <w:numFmt w:val="lowerLetter"/>
      <w:lvlText w:val="%2."/>
      <w:lvlJc w:val="left"/>
      <w:pPr>
        <w:ind w:left="1440" w:hanging="360"/>
      </w:pPr>
    </w:lvl>
    <w:lvl w:ilvl="2" w:tplc="21F4144C">
      <w:start w:val="1"/>
      <w:numFmt w:val="lowerRoman"/>
      <w:lvlText w:val="%3."/>
      <w:lvlJc w:val="right"/>
      <w:pPr>
        <w:ind w:left="2160" w:hanging="180"/>
      </w:pPr>
    </w:lvl>
    <w:lvl w:ilvl="3" w:tplc="263A0B00">
      <w:start w:val="1"/>
      <w:numFmt w:val="decimal"/>
      <w:lvlText w:val="%4."/>
      <w:lvlJc w:val="left"/>
      <w:pPr>
        <w:ind w:left="2880" w:hanging="360"/>
      </w:pPr>
    </w:lvl>
    <w:lvl w:ilvl="4" w:tplc="8152958E">
      <w:start w:val="1"/>
      <w:numFmt w:val="lowerLetter"/>
      <w:lvlText w:val="%5."/>
      <w:lvlJc w:val="left"/>
      <w:pPr>
        <w:ind w:left="3600" w:hanging="360"/>
      </w:pPr>
    </w:lvl>
    <w:lvl w:ilvl="5" w:tplc="00B8D392">
      <w:start w:val="1"/>
      <w:numFmt w:val="lowerRoman"/>
      <w:lvlText w:val="%6."/>
      <w:lvlJc w:val="right"/>
      <w:pPr>
        <w:ind w:left="4320" w:hanging="180"/>
      </w:pPr>
    </w:lvl>
    <w:lvl w:ilvl="6" w:tplc="1158BA62">
      <w:start w:val="1"/>
      <w:numFmt w:val="decimal"/>
      <w:lvlText w:val="%7."/>
      <w:lvlJc w:val="left"/>
      <w:pPr>
        <w:ind w:left="5040" w:hanging="360"/>
      </w:pPr>
    </w:lvl>
    <w:lvl w:ilvl="7" w:tplc="D292BFE6">
      <w:start w:val="1"/>
      <w:numFmt w:val="lowerLetter"/>
      <w:lvlText w:val="%8."/>
      <w:lvlJc w:val="left"/>
      <w:pPr>
        <w:ind w:left="5760" w:hanging="360"/>
      </w:pPr>
    </w:lvl>
    <w:lvl w:ilvl="8" w:tplc="7E54ECA2">
      <w:start w:val="1"/>
      <w:numFmt w:val="lowerRoman"/>
      <w:lvlText w:val="%9."/>
      <w:lvlJc w:val="right"/>
      <w:pPr>
        <w:ind w:left="6480" w:hanging="180"/>
      </w:pPr>
    </w:lvl>
  </w:abstractNum>
  <w:abstractNum w:abstractNumId="7"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98478C"/>
    <w:multiLevelType w:val="hybridMultilevel"/>
    <w:tmpl w:val="4A5C0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7B774E"/>
    <w:multiLevelType w:val="hybridMultilevel"/>
    <w:tmpl w:val="3196C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BC3554"/>
    <w:multiLevelType w:val="hybridMultilevel"/>
    <w:tmpl w:val="1A64F3C8"/>
    <w:lvl w:ilvl="0" w:tplc="830619B6">
      <w:start w:val="1"/>
      <w:numFmt w:val="bullet"/>
      <w:lvlText w:val=""/>
      <w:lvlJc w:val="left"/>
      <w:pPr>
        <w:ind w:left="720" w:hanging="360"/>
      </w:pPr>
      <w:rPr>
        <w:rFonts w:ascii="Symbol" w:hAnsi="Symbol" w:hint="default"/>
      </w:rPr>
    </w:lvl>
    <w:lvl w:ilvl="1" w:tplc="BE9CDB74" w:tentative="1">
      <w:start w:val="1"/>
      <w:numFmt w:val="bullet"/>
      <w:lvlText w:val="o"/>
      <w:lvlJc w:val="left"/>
      <w:pPr>
        <w:ind w:left="1440" w:hanging="360"/>
      </w:pPr>
      <w:rPr>
        <w:rFonts w:ascii="Courier New" w:hAnsi="Courier New" w:cs="Courier New" w:hint="default"/>
      </w:rPr>
    </w:lvl>
    <w:lvl w:ilvl="2" w:tplc="9DC4DA9C" w:tentative="1">
      <w:start w:val="1"/>
      <w:numFmt w:val="bullet"/>
      <w:lvlText w:val=""/>
      <w:lvlJc w:val="left"/>
      <w:pPr>
        <w:ind w:left="2160" w:hanging="360"/>
      </w:pPr>
      <w:rPr>
        <w:rFonts w:ascii="Wingdings" w:hAnsi="Wingdings" w:hint="default"/>
      </w:rPr>
    </w:lvl>
    <w:lvl w:ilvl="3" w:tplc="2D08E0A8" w:tentative="1">
      <w:start w:val="1"/>
      <w:numFmt w:val="bullet"/>
      <w:lvlText w:val=""/>
      <w:lvlJc w:val="left"/>
      <w:pPr>
        <w:ind w:left="2880" w:hanging="360"/>
      </w:pPr>
      <w:rPr>
        <w:rFonts w:ascii="Symbol" w:hAnsi="Symbol" w:hint="default"/>
      </w:rPr>
    </w:lvl>
    <w:lvl w:ilvl="4" w:tplc="5122FBCC" w:tentative="1">
      <w:start w:val="1"/>
      <w:numFmt w:val="bullet"/>
      <w:lvlText w:val="o"/>
      <w:lvlJc w:val="left"/>
      <w:pPr>
        <w:ind w:left="3600" w:hanging="360"/>
      </w:pPr>
      <w:rPr>
        <w:rFonts w:ascii="Courier New" w:hAnsi="Courier New" w:cs="Courier New" w:hint="default"/>
      </w:rPr>
    </w:lvl>
    <w:lvl w:ilvl="5" w:tplc="71F64AFA" w:tentative="1">
      <w:start w:val="1"/>
      <w:numFmt w:val="bullet"/>
      <w:lvlText w:val=""/>
      <w:lvlJc w:val="left"/>
      <w:pPr>
        <w:ind w:left="4320" w:hanging="360"/>
      </w:pPr>
      <w:rPr>
        <w:rFonts w:ascii="Wingdings" w:hAnsi="Wingdings" w:hint="default"/>
      </w:rPr>
    </w:lvl>
    <w:lvl w:ilvl="6" w:tplc="B0F66008" w:tentative="1">
      <w:start w:val="1"/>
      <w:numFmt w:val="bullet"/>
      <w:lvlText w:val=""/>
      <w:lvlJc w:val="left"/>
      <w:pPr>
        <w:ind w:left="5040" w:hanging="360"/>
      </w:pPr>
      <w:rPr>
        <w:rFonts w:ascii="Symbol" w:hAnsi="Symbol" w:hint="default"/>
      </w:rPr>
    </w:lvl>
    <w:lvl w:ilvl="7" w:tplc="6EE6106E" w:tentative="1">
      <w:start w:val="1"/>
      <w:numFmt w:val="bullet"/>
      <w:lvlText w:val="o"/>
      <w:lvlJc w:val="left"/>
      <w:pPr>
        <w:ind w:left="5760" w:hanging="360"/>
      </w:pPr>
      <w:rPr>
        <w:rFonts w:ascii="Courier New" w:hAnsi="Courier New" w:cs="Courier New" w:hint="default"/>
      </w:rPr>
    </w:lvl>
    <w:lvl w:ilvl="8" w:tplc="CBFCFF00" w:tentative="1">
      <w:start w:val="1"/>
      <w:numFmt w:val="bullet"/>
      <w:lvlText w:val=""/>
      <w:lvlJc w:val="left"/>
      <w:pPr>
        <w:ind w:left="6480" w:hanging="360"/>
      </w:pPr>
      <w:rPr>
        <w:rFonts w:ascii="Wingdings" w:hAnsi="Wingdings" w:hint="default"/>
      </w:rPr>
    </w:lvl>
  </w:abstractNum>
  <w:abstractNum w:abstractNumId="14" w15:restartNumberingAfterBreak="0">
    <w:nsid w:val="623728F7"/>
    <w:multiLevelType w:val="hybridMultilevel"/>
    <w:tmpl w:val="69485FA2"/>
    <w:lvl w:ilvl="0" w:tplc="822A058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79280F"/>
    <w:multiLevelType w:val="hybridMultilevel"/>
    <w:tmpl w:val="5994E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E1B7A"/>
    <w:multiLevelType w:val="hybridMultilevel"/>
    <w:tmpl w:val="BB38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6F0374"/>
    <w:multiLevelType w:val="hybridMultilevel"/>
    <w:tmpl w:val="F362763A"/>
    <w:lvl w:ilvl="0" w:tplc="BAC21C16">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6B2606"/>
    <w:multiLevelType w:val="hybridMultilevel"/>
    <w:tmpl w:val="FB56C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B57D26"/>
    <w:multiLevelType w:val="hybridMultilevel"/>
    <w:tmpl w:val="DC5E8800"/>
    <w:lvl w:ilvl="0" w:tplc="EF7058B2">
      <w:start w:val="1"/>
      <w:numFmt w:val="bullet"/>
      <w:lvlText w:val=""/>
      <w:lvlJc w:val="left"/>
      <w:pPr>
        <w:ind w:left="720" w:hanging="360"/>
      </w:pPr>
      <w:rPr>
        <w:rFonts w:ascii="Symbol" w:hAnsi="Symbol" w:hint="default"/>
      </w:rPr>
    </w:lvl>
    <w:lvl w:ilvl="1" w:tplc="32A8ABBA" w:tentative="1">
      <w:start w:val="1"/>
      <w:numFmt w:val="bullet"/>
      <w:lvlText w:val="o"/>
      <w:lvlJc w:val="left"/>
      <w:pPr>
        <w:ind w:left="1440" w:hanging="360"/>
      </w:pPr>
      <w:rPr>
        <w:rFonts w:ascii="Courier New" w:hAnsi="Courier New" w:cs="Courier New" w:hint="default"/>
      </w:rPr>
    </w:lvl>
    <w:lvl w:ilvl="2" w:tplc="92D2FB4C" w:tentative="1">
      <w:start w:val="1"/>
      <w:numFmt w:val="bullet"/>
      <w:lvlText w:val=""/>
      <w:lvlJc w:val="left"/>
      <w:pPr>
        <w:ind w:left="2160" w:hanging="360"/>
      </w:pPr>
      <w:rPr>
        <w:rFonts w:ascii="Wingdings" w:hAnsi="Wingdings" w:hint="default"/>
      </w:rPr>
    </w:lvl>
    <w:lvl w:ilvl="3" w:tplc="4662790E" w:tentative="1">
      <w:start w:val="1"/>
      <w:numFmt w:val="bullet"/>
      <w:lvlText w:val=""/>
      <w:lvlJc w:val="left"/>
      <w:pPr>
        <w:ind w:left="2880" w:hanging="360"/>
      </w:pPr>
      <w:rPr>
        <w:rFonts w:ascii="Symbol" w:hAnsi="Symbol" w:hint="default"/>
      </w:rPr>
    </w:lvl>
    <w:lvl w:ilvl="4" w:tplc="76FC3682" w:tentative="1">
      <w:start w:val="1"/>
      <w:numFmt w:val="bullet"/>
      <w:lvlText w:val="o"/>
      <w:lvlJc w:val="left"/>
      <w:pPr>
        <w:ind w:left="3600" w:hanging="360"/>
      </w:pPr>
      <w:rPr>
        <w:rFonts w:ascii="Courier New" w:hAnsi="Courier New" w:cs="Courier New" w:hint="default"/>
      </w:rPr>
    </w:lvl>
    <w:lvl w:ilvl="5" w:tplc="707E2E08" w:tentative="1">
      <w:start w:val="1"/>
      <w:numFmt w:val="bullet"/>
      <w:lvlText w:val=""/>
      <w:lvlJc w:val="left"/>
      <w:pPr>
        <w:ind w:left="4320" w:hanging="360"/>
      </w:pPr>
      <w:rPr>
        <w:rFonts w:ascii="Wingdings" w:hAnsi="Wingdings" w:hint="default"/>
      </w:rPr>
    </w:lvl>
    <w:lvl w:ilvl="6" w:tplc="4C3E54AA" w:tentative="1">
      <w:start w:val="1"/>
      <w:numFmt w:val="bullet"/>
      <w:lvlText w:val=""/>
      <w:lvlJc w:val="left"/>
      <w:pPr>
        <w:ind w:left="5040" w:hanging="360"/>
      </w:pPr>
      <w:rPr>
        <w:rFonts w:ascii="Symbol" w:hAnsi="Symbol" w:hint="default"/>
      </w:rPr>
    </w:lvl>
    <w:lvl w:ilvl="7" w:tplc="6AA823B6" w:tentative="1">
      <w:start w:val="1"/>
      <w:numFmt w:val="bullet"/>
      <w:lvlText w:val="o"/>
      <w:lvlJc w:val="left"/>
      <w:pPr>
        <w:ind w:left="5760" w:hanging="360"/>
      </w:pPr>
      <w:rPr>
        <w:rFonts w:ascii="Courier New" w:hAnsi="Courier New" w:cs="Courier New" w:hint="default"/>
      </w:rPr>
    </w:lvl>
    <w:lvl w:ilvl="8" w:tplc="68D65782" w:tentative="1">
      <w:start w:val="1"/>
      <w:numFmt w:val="bullet"/>
      <w:lvlText w:val=""/>
      <w:lvlJc w:val="left"/>
      <w:pPr>
        <w:ind w:left="6480" w:hanging="360"/>
      </w:pPr>
      <w:rPr>
        <w:rFonts w:ascii="Wingdings" w:hAnsi="Wingdings" w:hint="default"/>
      </w:rPr>
    </w:lvl>
  </w:abstractNum>
  <w:abstractNum w:abstractNumId="20"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1D61F2"/>
    <w:multiLevelType w:val="hybridMultilevel"/>
    <w:tmpl w:val="935CC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2"/>
  </w:num>
  <w:num w:numId="4">
    <w:abstractNumId w:val="19"/>
  </w:num>
  <w:num w:numId="5">
    <w:abstractNumId w:val="7"/>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num>
  <w:num w:numId="10">
    <w:abstractNumId w:val="10"/>
  </w:num>
  <w:num w:numId="11">
    <w:abstractNumId w:val="11"/>
  </w:num>
  <w:num w:numId="12">
    <w:abstractNumId w:val="20"/>
  </w:num>
  <w:num w:numId="13">
    <w:abstractNumId w:val="5"/>
  </w:num>
  <w:num w:numId="14">
    <w:abstractNumId w:val="16"/>
  </w:num>
  <w:num w:numId="15">
    <w:abstractNumId w:val="9"/>
  </w:num>
  <w:num w:numId="16">
    <w:abstractNumId w:val="4"/>
  </w:num>
  <w:num w:numId="17">
    <w:abstractNumId w:val="21"/>
  </w:num>
  <w:num w:numId="18">
    <w:abstractNumId w:val="1"/>
  </w:num>
  <w:num w:numId="19">
    <w:abstractNumId w:val="14"/>
  </w:num>
  <w:num w:numId="20">
    <w:abstractNumId w:val="17"/>
  </w:num>
  <w:num w:numId="21">
    <w:abstractNumId w:val="3"/>
  </w:num>
  <w:num w:numId="22">
    <w:abstractNumId w:val="15"/>
  </w:num>
  <w:num w:numId="23">
    <w:abstractNumId w:val="12"/>
  </w:num>
  <w:num w:numId="24">
    <w:abstractNumId w:val="1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3737D5B-8688-4836-905C-7B9ECD5EB404}"/>
    <w:docVar w:name="dgnword-eventsink" w:val="100576536"/>
  </w:docVars>
  <w:rsids>
    <w:rsidRoot w:val="007F2774"/>
    <w:rsid w:val="00011272"/>
    <w:rsid w:val="000129E8"/>
    <w:rsid w:val="000205EC"/>
    <w:rsid w:val="000427B5"/>
    <w:rsid w:val="00050886"/>
    <w:rsid w:val="00061861"/>
    <w:rsid w:val="00064A6B"/>
    <w:rsid w:val="00064DCC"/>
    <w:rsid w:val="000661F4"/>
    <w:rsid w:val="00070537"/>
    <w:rsid w:val="0007278C"/>
    <w:rsid w:val="000736AA"/>
    <w:rsid w:val="00073CCC"/>
    <w:rsid w:val="00074325"/>
    <w:rsid w:val="00074E66"/>
    <w:rsid w:val="000969F9"/>
    <w:rsid w:val="00097899"/>
    <w:rsid w:val="000A4CC6"/>
    <w:rsid w:val="000A72E3"/>
    <w:rsid w:val="000B1FCF"/>
    <w:rsid w:val="000B43F5"/>
    <w:rsid w:val="000B6478"/>
    <w:rsid w:val="000C3438"/>
    <w:rsid w:val="000C344F"/>
    <w:rsid w:val="000D4368"/>
    <w:rsid w:val="000D540D"/>
    <w:rsid w:val="000D6070"/>
    <w:rsid w:val="000E313E"/>
    <w:rsid w:val="000E439E"/>
    <w:rsid w:val="000E6C8E"/>
    <w:rsid w:val="000F0E46"/>
    <w:rsid w:val="000F2C7A"/>
    <w:rsid w:val="00100FE1"/>
    <w:rsid w:val="00103CE3"/>
    <w:rsid w:val="001069A4"/>
    <w:rsid w:val="00106D57"/>
    <w:rsid w:val="00124219"/>
    <w:rsid w:val="001259E2"/>
    <w:rsid w:val="0012611C"/>
    <w:rsid w:val="0013037E"/>
    <w:rsid w:val="00133A15"/>
    <w:rsid w:val="001405C9"/>
    <w:rsid w:val="00142D34"/>
    <w:rsid w:val="00146F44"/>
    <w:rsid w:val="00146FB1"/>
    <w:rsid w:val="00150AE4"/>
    <w:rsid w:val="00152D2E"/>
    <w:rsid w:val="00153DD8"/>
    <w:rsid w:val="0016660D"/>
    <w:rsid w:val="00166C73"/>
    <w:rsid w:val="00171B89"/>
    <w:rsid w:val="00180746"/>
    <w:rsid w:val="00183C2C"/>
    <w:rsid w:val="001842C2"/>
    <w:rsid w:val="00187D59"/>
    <w:rsid w:val="001B0828"/>
    <w:rsid w:val="001B0AB0"/>
    <w:rsid w:val="001C6DC5"/>
    <w:rsid w:val="001D0221"/>
    <w:rsid w:val="001D738C"/>
    <w:rsid w:val="001E3150"/>
    <w:rsid w:val="001E3C78"/>
    <w:rsid w:val="001F2739"/>
    <w:rsid w:val="0020227F"/>
    <w:rsid w:val="002024FE"/>
    <w:rsid w:val="00203839"/>
    <w:rsid w:val="0020460C"/>
    <w:rsid w:val="002050F0"/>
    <w:rsid w:val="00222AFE"/>
    <w:rsid w:val="00224C3F"/>
    <w:rsid w:val="00225597"/>
    <w:rsid w:val="00234996"/>
    <w:rsid w:val="00235CB9"/>
    <w:rsid w:val="00241E6E"/>
    <w:rsid w:val="00264202"/>
    <w:rsid w:val="0026449A"/>
    <w:rsid w:val="002678ED"/>
    <w:rsid w:val="00267E1B"/>
    <w:rsid w:val="0027412E"/>
    <w:rsid w:val="00277682"/>
    <w:rsid w:val="002822E7"/>
    <w:rsid w:val="0028278B"/>
    <w:rsid w:val="00282ED9"/>
    <w:rsid w:val="0028696A"/>
    <w:rsid w:val="00286D8C"/>
    <w:rsid w:val="002A03E9"/>
    <w:rsid w:val="002A1985"/>
    <w:rsid w:val="002A1CB2"/>
    <w:rsid w:val="002A3CB5"/>
    <w:rsid w:val="002A63EC"/>
    <w:rsid w:val="002B2DE0"/>
    <w:rsid w:val="002C6B0D"/>
    <w:rsid w:val="002D412D"/>
    <w:rsid w:val="002E2CC7"/>
    <w:rsid w:val="002E609F"/>
    <w:rsid w:val="002F0A27"/>
    <w:rsid w:val="002F0AF9"/>
    <w:rsid w:val="002F25F2"/>
    <w:rsid w:val="002F5352"/>
    <w:rsid w:val="00305E93"/>
    <w:rsid w:val="0031130C"/>
    <w:rsid w:val="003116AC"/>
    <w:rsid w:val="0032713A"/>
    <w:rsid w:val="003302CF"/>
    <w:rsid w:val="00335ABE"/>
    <w:rsid w:val="003366D5"/>
    <w:rsid w:val="00345C27"/>
    <w:rsid w:val="00345DCF"/>
    <w:rsid w:val="00350910"/>
    <w:rsid w:val="003529F3"/>
    <w:rsid w:val="00352BB7"/>
    <w:rsid w:val="00353D7A"/>
    <w:rsid w:val="00357684"/>
    <w:rsid w:val="00362D68"/>
    <w:rsid w:val="0037599C"/>
    <w:rsid w:val="003775B4"/>
    <w:rsid w:val="003805E5"/>
    <w:rsid w:val="003836D2"/>
    <w:rsid w:val="00390A70"/>
    <w:rsid w:val="00390D0F"/>
    <w:rsid w:val="003923A6"/>
    <w:rsid w:val="003945DC"/>
    <w:rsid w:val="003A5B70"/>
    <w:rsid w:val="003B0B19"/>
    <w:rsid w:val="003B3FB7"/>
    <w:rsid w:val="003B40C4"/>
    <w:rsid w:val="003C332F"/>
    <w:rsid w:val="003C448A"/>
    <w:rsid w:val="003D0721"/>
    <w:rsid w:val="003D13AD"/>
    <w:rsid w:val="003D4305"/>
    <w:rsid w:val="003E687F"/>
    <w:rsid w:val="003F023D"/>
    <w:rsid w:val="003F4FA0"/>
    <w:rsid w:val="003F6FF7"/>
    <w:rsid w:val="00404891"/>
    <w:rsid w:val="00413FE5"/>
    <w:rsid w:val="00414A9D"/>
    <w:rsid w:val="00415C84"/>
    <w:rsid w:val="00421AA1"/>
    <w:rsid w:val="004279F5"/>
    <w:rsid w:val="004448C1"/>
    <w:rsid w:val="00457B19"/>
    <w:rsid w:val="00461F49"/>
    <w:rsid w:val="0046301C"/>
    <w:rsid w:val="00463A6B"/>
    <w:rsid w:val="0046512F"/>
    <w:rsid w:val="00467A8F"/>
    <w:rsid w:val="00476255"/>
    <w:rsid w:val="00486329"/>
    <w:rsid w:val="00490731"/>
    <w:rsid w:val="00493B12"/>
    <w:rsid w:val="00496643"/>
    <w:rsid w:val="00496BBC"/>
    <w:rsid w:val="004A1D26"/>
    <w:rsid w:val="004A6065"/>
    <w:rsid w:val="004A7C48"/>
    <w:rsid w:val="004B2B39"/>
    <w:rsid w:val="004B387B"/>
    <w:rsid w:val="004B5C41"/>
    <w:rsid w:val="004D2279"/>
    <w:rsid w:val="004D44C9"/>
    <w:rsid w:val="004F0EF3"/>
    <w:rsid w:val="004F4571"/>
    <w:rsid w:val="004F6805"/>
    <w:rsid w:val="0050011F"/>
    <w:rsid w:val="00502854"/>
    <w:rsid w:val="0050667F"/>
    <w:rsid w:val="005112C3"/>
    <w:rsid w:val="00513B4E"/>
    <w:rsid w:val="00514EDB"/>
    <w:rsid w:val="005336D0"/>
    <w:rsid w:val="0053678B"/>
    <w:rsid w:val="00540938"/>
    <w:rsid w:val="00545432"/>
    <w:rsid w:val="005462E3"/>
    <w:rsid w:val="0055186F"/>
    <w:rsid w:val="00564C90"/>
    <w:rsid w:val="00564FA3"/>
    <w:rsid w:val="005679D8"/>
    <w:rsid w:val="00575576"/>
    <w:rsid w:val="00577517"/>
    <w:rsid w:val="0058420A"/>
    <w:rsid w:val="0058459D"/>
    <w:rsid w:val="00594069"/>
    <w:rsid w:val="005A5372"/>
    <w:rsid w:val="005B5F61"/>
    <w:rsid w:val="005B7D03"/>
    <w:rsid w:val="005C20AF"/>
    <w:rsid w:val="005D1365"/>
    <w:rsid w:val="005D44CE"/>
    <w:rsid w:val="005D74F2"/>
    <w:rsid w:val="005E085B"/>
    <w:rsid w:val="005F1964"/>
    <w:rsid w:val="005F29C1"/>
    <w:rsid w:val="005F78BB"/>
    <w:rsid w:val="00602980"/>
    <w:rsid w:val="006123C5"/>
    <w:rsid w:val="00612E0C"/>
    <w:rsid w:val="00622F41"/>
    <w:rsid w:val="00634E7B"/>
    <w:rsid w:val="006374D0"/>
    <w:rsid w:val="00642E66"/>
    <w:rsid w:val="0064648A"/>
    <w:rsid w:val="00655B90"/>
    <w:rsid w:val="00663D49"/>
    <w:rsid w:val="00666B25"/>
    <w:rsid w:val="00670E8A"/>
    <w:rsid w:val="006711F3"/>
    <w:rsid w:val="00675F54"/>
    <w:rsid w:val="00680EA5"/>
    <w:rsid w:val="006839FF"/>
    <w:rsid w:val="00685580"/>
    <w:rsid w:val="00686FEA"/>
    <w:rsid w:val="00691B9D"/>
    <w:rsid w:val="006A1A6B"/>
    <w:rsid w:val="006A483E"/>
    <w:rsid w:val="006A545B"/>
    <w:rsid w:val="006A6025"/>
    <w:rsid w:val="006A67F9"/>
    <w:rsid w:val="006B21AD"/>
    <w:rsid w:val="006B3BA2"/>
    <w:rsid w:val="006B710A"/>
    <w:rsid w:val="006C6F0E"/>
    <w:rsid w:val="006D11BB"/>
    <w:rsid w:val="006D7239"/>
    <w:rsid w:val="006F0712"/>
    <w:rsid w:val="006F4488"/>
    <w:rsid w:val="00721843"/>
    <w:rsid w:val="00722693"/>
    <w:rsid w:val="00723DE2"/>
    <w:rsid w:val="00723EE9"/>
    <w:rsid w:val="00724EA0"/>
    <w:rsid w:val="0072562F"/>
    <w:rsid w:val="00730E0A"/>
    <w:rsid w:val="00731A03"/>
    <w:rsid w:val="007325A6"/>
    <w:rsid w:val="0073480E"/>
    <w:rsid w:val="00743DD7"/>
    <w:rsid w:val="007443E9"/>
    <w:rsid w:val="00756232"/>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5C3E"/>
    <w:rsid w:val="007D764E"/>
    <w:rsid w:val="007E4931"/>
    <w:rsid w:val="007E4BB3"/>
    <w:rsid w:val="007E57B0"/>
    <w:rsid w:val="007E6D06"/>
    <w:rsid w:val="007F13AB"/>
    <w:rsid w:val="007F22EF"/>
    <w:rsid w:val="007F2774"/>
    <w:rsid w:val="007F764A"/>
    <w:rsid w:val="00801C23"/>
    <w:rsid w:val="008023AC"/>
    <w:rsid w:val="008026FE"/>
    <w:rsid w:val="00815A1F"/>
    <w:rsid w:val="00820F66"/>
    <w:rsid w:val="00821E7C"/>
    <w:rsid w:val="00827358"/>
    <w:rsid w:val="00836CCC"/>
    <w:rsid w:val="0084046A"/>
    <w:rsid w:val="00860083"/>
    <w:rsid w:val="00860DE1"/>
    <w:rsid w:val="00861777"/>
    <w:rsid w:val="00865686"/>
    <w:rsid w:val="00865B5C"/>
    <w:rsid w:val="00870AC5"/>
    <w:rsid w:val="008814B8"/>
    <w:rsid w:val="008819DA"/>
    <w:rsid w:val="00887A65"/>
    <w:rsid w:val="00887DA5"/>
    <w:rsid w:val="0089063B"/>
    <w:rsid w:val="00890C34"/>
    <w:rsid w:val="008917B9"/>
    <w:rsid w:val="00896014"/>
    <w:rsid w:val="008A2F14"/>
    <w:rsid w:val="008B4134"/>
    <w:rsid w:val="008B4457"/>
    <w:rsid w:val="008B5AF8"/>
    <w:rsid w:val="008C254E"/>
    <w:rsid w:val="008D2C52"/>
    <w:rsid w:val="008D57AD"/>
    <w:rsid w:val="008E7FA3"/>
    <w:rsid w:val="008F0F20"/>
    <w:rsid w:val="008F747C"/>
    <w:rsid w:val="0090209F"/>
    <w:rsid w:val="009054CB"/>
    <w:rsid w:val="00910645"/>
    <w:rsid w:val="00920867"/>
    <w:rsid w:val="00920F2A"/>
    <w:rsid w:val="00921B83"/>
    <w:rsid w:val="00921E9E"/>
    <w:rsid w:val="00922D98"/>
    <w:rsid w:val="00924BA1"/>
    <w:rsid w:val="009304AE"/>
    <w:rsid w:val="00934888"/>
    <w:rsid w:val="0093527F"/>
    <w:rsid w:val="00937312"/>
    <w:rsid w:val="00942059"/>
    <w:rsid w:val="00942174"/>
    <w:rsid w:val="00943F3F"/>
    <w:rsid w:val="00945D81"/>
    <w:rsid w:val="009571C8"/>
    <w:rsid w:val="0096142F"/>
    <w:rsid w:val="00962EF0"/>
    <w:rsid w:val="00965A6D"/>
    <w:rsid w:val="0097131C"/>
    <w:rsid w:val="00986E8C"/>
    <w:rsid w:val="009979A7"/>
    <w:rsid w:val="009A194A"/>
    <w:rsid w:val="009B2AE9"/>
    <w:rsid w:val="009B2F59"/>
    <w:rsid w:val="009B307F"/>
    <w:rsid w:val="009C3EA4"/>
    <w:rsid w:val="009C6F26"/>
    <w:rsid w:val="009C75F5"/>
    <w:rsid w:val="009C7AAB"/>
    <w:rsid w:val="009E628C"/>
    <w:rsid w:val="009F0791"/>
    <w:rsid w:val="00A06676"/>
    <w:rsid w:val="00A06AF5"/>
    <w:rsid w:val="00A06FE9"/>
    <w:rsid w:val="00A115F5"/>
    <w:rsid w:val="00A12EA0"/>
    <w:rsid w:val="00A13E2C"/>
    <w:rsid w:val="00A232CD"/>
    <w:rsid w:val="00A256AB"/>
    <w:rsid w:val="00A323C5"/>
    <w:rsid w:val="00A34777"/>
    <w:rsid w:val="00A36552"/>
    <w:rsid w:val="00A50ACE"/>
    <w:rsid w:val="00A5263A"/>
    <w:rsid w:val="00A52CAE"/>
    <w:rsid w:val="00A61635"/>
    <w:rsid w:val="00A65508"/>
    <w:rsid w:val="00A67CD8"/>
    <w:rsid w:val="00A74B2B"/>
    <w:rsid w:val="00A840AC"/>
    <w:rsid w:val="00A851C2"/>
    <w:rsid w:val="00A86D6C"/>
    <w:rsid w:val="00A870BA"/>
    <w:rsid w:val="00A9203C"/>
    <w:rsid w:val="00A946F7"/>
    <w:rsid w:val="00A96D30"/>
    <w:rsid w:val="00A97B79"/>
    <w:rsid w:val="00AA2AE0"/>
    <w:rsid w:val="00AA7CBB"/>
    <w:rsid w:val="00AB7175"/>
    <w:rsid w:val="00AC3A0C"/>
    <w:rsid w:val="00AC4232"/>
    <w:rsid w:val="00AC7FA2"/>
    <w:rsid w:val="00AD4B7D"/>
    <w:rsid w:val="00AD6394"/>
    <w:rsid w:val="00AE13AF"/>
    <w:rsid w:val="00AF06BC"/>
    <w:rsid w:val="00AF0C03"/>
    <w:rsid w:val="00B16016"/>
    <w:rsid w:val="00B234AF"/>
    <w:rsid w:val="00B27F1B"/>
    <w:rsid w:val="00B41AAF"/>
    <w:rsid w:val="00B43107"/>
    <w:rsid w:val="00B439EC"/>
    <w:rsid w:val="00B47109"/>
    <w:rsid w:val="00B50945"/>
    <w:rsid w:val="00B5122D"/>
    <w:rsid w:val="00B53242"/>
    <w:rsid w:val="00B5382C"/>
    <w:rsid w:val="00B5781C"/>
    <w:rsid w:val="00B624CF"/>
    <w:rsid w:val="00B63B4B"/>
    <w:rsid w:val="00B63E0D"/>
    <w:rsid w:val="00B6694A"/>
    <w:rsid w:val="00B847B7"/>
    <w:rsid w:val="00B90CD0"/>
    <w:rsid w:val="00B930C9"/>
    <w:rsid w:val="00B94C7D"/>
    <w:rsid w:val="00B97D8D"/>
    <w:rsid w:val="00BA3604"/>
    <w:rsid w:val="00BB0341"/>
    <w:rsid w:val="00BB0755"/>
    <w:rsid w:val="00BB4A78"/>
    <w:rsid w:val="00BB7135"/>
    <w:rsid w:val="00BC5445"/>
    <w:rsid w:val="00BC7B0E"/>
    <w:rsid w:val="00BD2433"/>
    <w:rsid w:val="00BD4B3F"/>
    <w:rsid w:val="00BD6CF4"/>
    <w:rsid w:val="00BE0DFE"/>
    <w:rsid w:val="00BE3015"/>
    <w:rsid w:val="00BF1293"/>
    <w:rsid w:val="00C02DB7"/>
    <w:rsid w:val="00C02DEE"/>
    <w:rsid w:val="00C05556"/>
    <w:rsid w:val="00C11323"/>
    <w:rsid w:val="00C223D4"/>
    <w:rsid w:val="00C36E74"/>
    <w:rsid w:val="00C41591"/>
    <w:rsid w:val="00C45F98"/>
    <w:rsid w:val="00C46BCF"/>
    <w:rsid w:val="00C51DDA"/>
    <w:rsid w:val="00C52216"/>
    <w:rsid w:val="00C607E3"/>
    <w:rsid w:val="00C61825"/>
    <w:rsid w:val="00C6456D"/>
    <w:rsid w:val="00C81A83"/>
    <w:rsid w:val="00C83711"/>
    <w:rsid w:val="00C8384A"/>
    <w:rsid w:val="00C878A5"/>
    <w:rsid w:val="00C90BA2"/>
    <w:rsid w:val="00C92818"/>
    <w:rsid w:val="00C962B2"/>
    <w:rsid w:val="00CA12D4"/>
    <w:rsid w:val="00CA2349"/>
    <w:rsid w:val="00CB0A35"/>
    <w:rsid w:val="00CB2F2F"/>
    <w:rsid w:val="00CB7947"/>
    <w:rsid w:val="00CC49AE"/>
    <w:rsid w:val="00CC550E"/>
    <w:rsid w:val="00CC7FAC"/>
    <w:rsid w:val="00CD3A0E"/>
    <w:rsid w:val="00CD3B89"/>
    <w:rsid w:val="00CD472D"/>
    <w:rsid w:val="00CE52EB"/>
    <w:rsid w:val="00CE7977"/>
    <w:rsid w:val="00CF4554"/>
    <w:rsid w:val="00CF4D95"/>
    <w:rsid w:val="00CF629A"/>
    <w:rsid w:val="00CF6933"/>
    <w:rsid w:val="00CF6FDB"/>
    <w:rsid w:val="00D02797"/>
    <w:rsid w:val="00D07BD9"/>
    <w:rsid w:val="00D108CD"/>
    <w:rsid w:val="00D12A50"/>
    <w:rsid w:val="00D307BF"/>
    <w:rsid w:val="00D31989"/>
    <w:rsid w:val="00D324C0"/>
    <w:rsid w:val="00D32A6A"/>
    <w:rsid w:val="00D57730"/>
    <w:rsid w:val="00D643E9"/>
    <w:rsid w:val="00D64EA6"/>
    <w:rsid w:val="00D6769E"/>
    <w:rsid w:val="00D676CC"/>
    <w:rsid w:val="00D80335"/>
    <w:rsid w:val="00D8755F"/>
    <w:rsid w:val="00D9071A"/>
    <w:rsid w:val="00DA67FE"/>
    <w:rsid w:val="00DB360D"/>
    <w:rsid w:val="00DB36EA"/>
    <w:rsid w:val="00DB3B6E"/>
    <w:rsid w:val="00DB5D3D"/>
    <w:rsid w:val="00DC24A9"/>
    <w:rsid w:val="00DC4BF4"/>
    <w:rsid w:val="00DC520A"/>
    <w:rsid w:val="00DD0139"/>
    <w:rsid w:val="00DD0DD6"/>
    <w:rsid w:val="00DE2DA4"/>
    <w:rsid w:val="00DF12CD"/>
    <w:rsid w:val="00E0149A"/>
    <w:rsid w:val="00E0378E"/>
    <w:rsid w:val="00E0439B"/>
    <w:rsid w:val="00E0528B"/>
    <w:rsid w:val="00E06590"/>
    <w:rsid w:val="00E072BE"/>
    <w:rsid w:val="00E16177"/>
    <w:rsid w:val="00E209E8"/>
    <w:rsid w:val="00E23168"/>
    <w:rsid w:val="00E3284A"/>
    <w:rsid w:val="00E40079"/>
    <w:rsid w:val="00E423A7"/>
    <w:rsid w:val="00E50C47"/>
    <w:rsid w:val="00E51CC2"/>
    <w:rsid w:val="00E55047"/>
    <w:rsid w:val="00E55B8A"/>
    <w:rsid w:val="00E61585"/>
    <w:rsid w:val="00E73892"/>
    <w:rsid w:val="00E83BE7"/>
    <w:rsid w:val="00E90F30"/>
    <w:rsid w:val="00E946CB"/>
    <w:rsid w:val="00EA188D"/>
    <w:rsid w:val="00EA7DE7"/>
    <w:rsid w:val="00EB09BC"/>
    <w:rsid w:val="00EB69E3"/>
    <w:rsid w:val="00EB7237"/>
    <w:rsid w:val="00EB7C4A"/>
    <w:rsid w:val="00EC00D8"/>
    <w:rsid w:val="00EC5E91"/>
    <w:rsid w:val="00EC7711"/>
    <w:rsid w:val="00ED2AF4"/>
    <w:rsid w:val="00ED2DE0"/>
    <w:rsid w:val="00ED7C6A"/>
    <w:rsid w:val="00EE29AE"/>
    <w:rsid w:val="00EE51B7"/>
    <w:rsid w:val="00EE7A49"/>
    <w:rsid w:val="00EE7D67"/>
    <w:rsid w:val="00EF5709"/>
    <w:rsid w:val="00F013AE"/>
    <w:rsid w:val="00F0248D"/>
    <w:rsid w:val="00F0479A"/>
    <w:rsid w:val="00F103CE"/>
    <w:rsid w:val="00F213D6"/>
    <w:rsid w:val="00F256C7"/>
    <w:rsid w:val="00F31B9A"/>
    <w:rsid w:val="00F4735E"/>
    <w:rsid w:val="00F5197F"/>
    <w:rsid w:val="00F524DB"/>
    <w:rsid w:val="00F530B2"/>
    <w:rsid w:val="00F53223"/>
    <w:rsid w:val="00F663E8"/>
    <w:rsid w:val="00F665AD"/>
    <w:rsid w:val="00F71307"/>
    <w:rsid w:val="00F76DC9"/>
    <w:rsid w:val="00F773E4"/>
    <w:rsid w:val="00F8041D"/>
    <w:rsid w:val="00F8105E"/>
    <w:rsid w:val="00F87541"/>
    <w:rsid w:val="00F91F7C"/>
    <w:rsid w:val="00FA607C"/>
    <w:rsid w:val="00FA61C9"/>
    <w:rsid w:val="00FA6A04"/>
    <w:rsid w:val="00FB0853"/>
    <w:rsid w:val="00FB2A63"/>
    <w:rsid w:val="00FB6445"/>
    <w:rsid w:val="00FB7991"/>
    <w:rsid w:val="00FC16EC"/>
    <w:rsid w:val="00FC73C7"/>
    <w:rsid w:val="00FD02D9"/>
    <w:rsid w:val="00FD4F65"/>
    <w:rsid w:val="00FE356F"/>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BBD67B"/>
  <w15:docId w15:val="{4EBFA10C-E52C-461C-9592-E6E139971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s-E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s-E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D712B-A741-4D6F-A2D0-C21FBFF52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84</TotalTime>
  <Pages>7</Pages>
  <Words>2883</Words>
  <Characters>16438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Organization of American</Company>
  <LinksUpToDate>false</LinksUpToDate>
  <CharactersWithSpaces>19283</CharactersWithSpaces>
  <SharedDoc>false</SharedDoc>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Diaz - Avalos,  Estela</cp:lastModifiedBy>
  <cp:revision>3</cp:revision>
  <cp:lastPrinted>2018-08-24T16:52:00Z</cp:lastPrinted>
  <dcterms:created xsi:type="dcterms:W3CDTF">2021-01-28T20:02:00Z</dcterms:created>
  <dcterms:modified xsi:type="dcterms:W3CDTF">2021-03-16T20:18:00Z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