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93" w:rsidRPr="00E85219" w:rsidRDefault="00FA607C" w:rsidP="0069766D">
      <w:pPr>
        <w:tabs>
          <w:tab w:val="left" w:pos="7200"/>
        </w:tabs>
        <w:ind w:right="-1080"/>
        <w:rPr>
          <w:sz w:val="22"/>
          <w:szCs w:val="22"/>
          <w:lang w:val="pt-BR"/>
        </w:rPr>
      </w:pPr>
      <w:bookmarkStart w:id="0" w:name="_top"/>
      <w:bookmarkEnd w:id="0"/>
      <w:r w:rsidRPr="00053B20">
        <w:rPr>
          <w:sz w:val="22"/>
          <w:szCs w:val="22"/>
          <w:lang w:val="fr-CA"/>
        </w:rPr>
        <w:tab/>
      </w:r>
      <w:r w:rsidRPr="00E85219">
        <w:rPr>
          <w:sz w:val="22"/>
          <w:szCs w:val="22"/>
          <w:lang w:val="pt-BR"/>
        </w:rPr>
        <w:t>OEA/Ser.W</w:t>
      </w:r>
    </w:p>
    <w:p w:rsidR="00722693" w:rsidRPr="00E85219" w:rsidRDefault="00FA607C" w:rsidP="0069766D">
      <w:pPr>
        <w:tabs>
          <w:tab w:val="left" w:pos="7200"/>
        </w:tabs>
        <w:ind w:right="-1080"/>
        <w:rPr>
          <w:sz w:val="22"/>
          <w:szCs w:val="22"/>
          <w:lang w:val="pt-BR"/>
        </w:rPr>
      </w:pPr>
      <w:r w:rsidRPr="00E85219">
        <w:rPr>
          <w:sz w:val="22"/>
          <w:szCs w:val="22"/>
          <w:lang w:val="pt-BR"/>
        </w:rPr>
        <w:tab/>
        <w:t>CIDI/INF.</w:t>
      </w:r>
      <w:r w:rsidR="0069766D" w:rsidRPr="00E85219">
        <w:rPr>
          <w:sz w:val="22"/>
          <w:szCs w:val="22"/>
          <w:lang w:val="pt-BR"/>
        </w:rPr>
        <w:t>404</w:t>
      </w:r>
      <w:r w:rsidRPr="00E85219">
        <w:rPr>
          <w:sz w:val="22"/>
          <w:szCs w:val="22"/>
          <w:lang w:val="pt-BR"/>
        </w:rPr>
        <w:t>/</w:t>
      </w:r>
      <w:r w:rsidR="000B6478" w:rsidRPr="00E85219">
        <w:rPr>
          <w:sz w:val="22"/>
          <w:szCs w:val="22"/>
          <w:lang w:val="pt-BR"/>
        </w:rPr>
        <w:t>2</w:t>
      </w:r>
      <w:r w:rsidR="0069766D" w:rsidRPr="00E85219">
        <w:rPr>
          <w:sz w:val="22"/>
          <w:szCs w:val="22"/>
          <w:lang w:val="pt-BR"/>
        </w:rPr>
        <w:t>1</w:t>
      </w:r>
    </w:p>
    <w:p w:rsidR="00921E9E" w:rsidRPr="00053B20" w:rsidRDefault="00FA607C" w:rsidP="0069766D">
      <w:pPr>
        <w:tabs>
          <w:tab w:val="left" w:pos="7200"/>
        </w:tabs>
        <w:ind w:right="-1080"/>
        <w:rPr>
          <w:sz w:val="22"/>
          <w:szCs w:val="22"/>
          <w:lang w:val="fr-CA"/>
        </w:rPr>
      </w:pPr>
      <w:r w:rsidRPr="00E85219">
        <w:rPr>
          <w:sz w:val="22"/>
          <w:szCs w:val="22"/>
          <w:lang w:val="pt-BR"/>
        </w:rPr>
        <w:tab/>
      </w:r>
      <w:r w:rsidR="0069766D" w:rsidRPr="00053B20">
        <w:rPr>
          <w:sz w:val="22"/>
          <w:szCs w:val="22"/>
          <w:lang w:val="fr-CA"/>
        </w:rPr>
        <w:t xml:space="preserve">4 </w:t>
      </w:r>
      <w:r w:rsidR="00053B20">
        <w:rPr>
          <w:sz w:val="22"/>
          <w:szCs w:val="22"/>
          <w:lang w:val="fr-CA"/>
        </w:rPr>
        <w:t>février</w:t>
      </w:r>
      <w:r w:rsidR="004A7C48" w:rsidRPr="00053B20">
        <w:rPr>
          <w:sz w:val="22"/>
          <w:szCs w:val="22"/>
          <w:lang w:val="fr-CA"/>
        </w:rPr>
        <w:t xml:space="preserve"> 20</w:t>
      </w:r>
      <w:r w:rsidR="000B6478" w:rsidRPr="00053B20">
        <w:rPr>
          <w:sz w:val="22"/>
          <w:szCs w:val="22"/>
          <w:lang w:val="fr-CA"/>
        </w:rPr>
        <w:t>2</w:t>
      </w:r>
      <w:r w:rsidR="0069766D" w:rsidRPr="00053B20">
        <w:rPr>
          <w:sz w:val="22"/>
          <w:szCs w:val="22"/>
          <w:lang w:val="fr-CA"/>
        </w:rPr>
        <w:t>1</w:t>
      </w:r>
    </w:p>
    <w:p w:rsidR="00921E9E" w:rsidRPr="00053B20" w:rsidRDefault="00FA607C" w:rsidP="0069766D">
      <w:pPr>
        <w:pBdr>
          <w:bottom w:val="single" w:sz="12" w:space="1" w:color="auto"/>
        </w:pBdr>
        <w:tabs>
          <w:tab w:val="left" w:pos="7200"/>
        </w:tabs>
        <w:ind w:right="-389"/>
        <w:rPr>
          <w:sz w:val="22"/>
          <w:szCs w:val="22"/>
          <w:lang w:val="fr-CA"/>
        </w:rPr>
      </w:pPr>
      <w:r w:rsidRPr="00053B20">
        <w:rPr>
          <w:sz w:val="22"/>
          <w:szCs w:val="22"/>
          <w:lang w:val="fr-CA"/>
        </w:rPr>
        <w:tab/>
        <w:t>Original:</w:t>
      </w:r>
      <w:r w:rsidR="00053B20">
        <w:rPr>
          <w:sz w:val="22"/>
          <w:szCs w:val="22"/>
          <w:lang w:val="fr-CA"/>
        </w:rPr>
        <w:t xml:space="preserve"> anglais</w:t>
      </w:r>
    </w:p>
    <w:p w:rsidR="00921E9E" w:rsidRPr="00053B20" w:rsidRDefault="00921E9E" w:rsidP="0069766D">
      <w:pPr>
        <w:pBdr>
          <w:bottom w:val="single" w:sz="12" w:space="1" w:color="auto"/>
        </w:pBdr>
        <w:tabs>
          <w:tab w:val="left" w:pos="7200"/>
        </w:tabs>
        <w:ind w:right="-389"/>
        <w:rPr>
          <w:sz w:val="22"/>
          <w:szCs w:val="22"/>
          <w:lang w:val="fr-CA"/>
        </w:rPr>
      </w:pPr>
    </w:p>
    <w:p w:rsidR="00722693" w:rsidRPr="00053B20" w:rsidRDefault="00722693" w:rsidP="0069766D">
      <w:pPr>
        <w:tabs>
          <w:tab w:val="left" w:pos="7200"/>
        </w:tabs>
        <w:ind w:right="-1080"/>
        <w:rPr>
          <w:sz w:val="22"/>
          <w:szCs w:val="22"/>
          <w:lang w:val="fr-CA"/>
        </w:rPr>
      </w:pPr>
    </w:p>
    <w:p w:rsidR="00AB7175" w:rsidRPr="00053B20" w:rsidRDefault="00AB7175" w:rsidP="0069766D">
      <w:pPr>
        <w:jc w:val="both"/>
        <w:outlineLvl w:val="0"/>
        <w:rPr>
          <w:sz w:val="22"/>
          <w:szCs w:val="22"/>
          <w:lang w:val="fr-CA"/>
        </w:rPr>
      </w:pPr>
    </w:p>
    <w:p w:rsidR="00723DE2" w:rsidRPr="00053B20" w:rsidRDefault="00723DE2" w:rsidP="0069766D">
      <w:pPr>
        <w:rPr>
          <w:rFonts w:eastAsia="Calibri"/>
          <w:sz w:val="22"/>
          <w:szCs w:val="22"/>
          <w:lang w:val="fr-CA"/>
        </w:rPr>
      </w:pPr>
    </w:p>
    <w:p w:rsidR="0069766D" w:rsidRPr="00053B20" w:rsidRDefault="00053B20" w:rsidP="0069766D">
      <w:pPr>
        <w:jc w:val="center"/>
        <w:rPr>
          <w:rFonts w:eastAsia="Calibri"/>
          <w:sz w:val="22"/>
          <w:szCs w:val="22"/>
          <w:lang w:val="fr-CA"/>
        </w:rPr>
      </w:pPr>
      <w:r>
        <w:rPr>
          <w:rFonts w:eastAsia="Calibri"/>
          <w:sz w:val="22"/>
          <w:szCs w:val="22"/>
          <w:lang w:val="fr-CA"/>
        </w:rPr>
        <w:t>NOTE CONCEPTUELLE</w:t>
      </w:r>
      <w:r w:rsidR="0069766D" w:rsidRPr="00053B20">
        <w:rPr>
          <w:rFonts w:eastAsia="Calibri"/>
          <w:sz w:val="22"/>
          <w:szCs w:val="22"/>
          <w:lang w:val="fr-CA"/>
        </w:rPr>
        <w:t xml:space="preserve"> </w:t>
      </w:r>
    </w:p>
    <w:p w:rsidR="0069766D" w:rsidRPr="00053B20" w:rsidRDefault="0069766D" w:rsidP="0069766D">
      <w:pPr>
        <w:jc w:val="center"/>
        <w:rPr>
          <w:rFonts w:eastAsia="Calibri"/>
          <w:sz w:val="22"/>
          <w:szCs w:val="22"/>
          <w:lang w:val="fr-CA"/>
        </w:rPr>
      </w:pPr>
    </w:p>
    <w:p w:rsidR="0069766D" w:rsidRPr="00053B20" w:rsidRDefault="00053B20" w:rsidP="0069766D">
      <w:pPr>
        <w:jc w:val="center"/>
        <w:rPr>
          <w:rFonts w:eastAsia="Calibri"/>
          <w:caps/>
          <w:sz w:val="22"/>
          <w:szCs w:val="22"/>
          <w:lang w:val="fr-CA"/>
        </w:rPr>
      </w:pPr>
      <w:r>
        <w:rPr>
          <w:caps/>
          <w:sz w:val="22"/>
          <w:szCs w:val="22"/>
          <w:lang w:val="fr-CA"/>
        </w:rPr>
        <w:t>RÉUNION ORDINAIRE DU</w:t>
      </w:r>
      <w:r w:rsidR="0069766D" w:rsidRPr="00053B20">
        <w:rPr>
          <w:caps/>
          <w:sz w:val="22"/>
          <w:szCs w:val="22"/>
          <w:lang w:val="fr-CA"/>
        </w:rPr>
        <w:t xml:space="preserve"> </w:t>
      </w:r>
    </w:p>
    <w:p w:rsidR="0069766D" w:rsidRPr="00053B20" w:rsidRDefault="00053B20" w:rsidP="0069766D">
      <w:pPr>
        <w:jc w:val="center"/>
        <w:rPr>
          <w:rFonts w:eastAsia="Calibri"/>
          <w:caps/>
          <w:sz w:val="22"/>
          <w:szCs w:val="22"/>
          <w:lang w:val="fr-CA"/>
        </w:rPr>
      </w:pPr>
      <w:r>
        <w:rPr>
          <w:caps/>
          <w:sz w:val="22"/>
          <w:szCs w:val="22"/>
          <w:lang w:val="fr-CA"/>
        </w:rPr>
        <w:t>CONSEIL INTERAMÉRICAIN POUR LE DÉVELOPPEMENT INTÉGRÉ</w:t>
      </w:r>
      <w:r w:rsidR="0069766D" w:rsidRPr="00053B20">
        <w:rPr>
          <w:caps/>
          <w:sz w:val="22"/>
          <w:szCs w:val="22"/>
          <w:lang w:val="fr-CA"/>
        </w:rPr>
        <w:t xml:space="preserve"> (CIDI) </w:t>
      </w:r>
    </w:p>
    <w:p w:rsidR="0069766D" w:rsidRPr="00053B20" w:rsidRDefault="0069766D" w:rsidP="0069766D">
      <w:pPr>
        <w:jc w:val="center"/>
        <w:rPr>
          <w:caps/>
          <w:sz w:val="22"/>
          <w:szCs w:val="22"/>
          <w:lang w:val="fr-CA"/>
        </w:rPr>
      </w:pPr>
      <w:r w:rsidRPr="00053B20">
        <w:rPr>
          <w:caps/>
          <w:sz w:val="22"/>
          <w:szCs w:val="22"/>
          <w:lang w:val="fr-CA"/>
        </w:rPr>
        <w:t xml:space="preserve">23 </w:t>
      </w:r>
      <w:r w:rsidR="00053B20">
        <w:rPr>
          <w:caps/>
          <w:sz w:val="22"/>
          <w:szCs w:val="22"/>
          <w:lang w:val="fr-CA"/>
        </w:rPr>
        <w:t>FÉVRIER</w:t>
      </w:r>
      <w:r w:rsidRPr="00053B20">
        <w:rPr>
          <w:caps/>
          <w:sz w:val="22"/>
          <w:szCs w:val="22"/>
          <w:lang w:val="fr-CA"/>
        </w:rPr>
        <w:t xml:space="preserve"> 2021</w:t>
      </w:r>
    </w:p>
    <w:p w:rsidR="0069766D" w:rsidRPr="00053B20" w:rsidRDefault="0069766D" w:rsidP="0069766D">
      <w:pPr>
        <w:jc w:val="center"/>
        <w:rPr>
          <w:caps/>
          <w:sz w:val="22"/>
          <w:szCs w:val="22"/>
          <w:lang w:val="fr-CA"/>
        </w:rPr>
      </w:pPr>
    </w:p>
    <w:p w:rsidR="0069766D" w:rsidRPr="00053B20" w:rsidRDefault="00053B20" w:rsidP="0069766D">
      <w:pPr>
        <w:jc w:val="center"/>
        <w:rPr>
          <w:b/>
          <w:sz w:val="22"/>
          <w:szCs w:val="22"/>
          <w:lang w:val="fr-CA"/>
        </w:rPr>
      </w:pPr>
      <w:r>
        <w:rPr>
          <w:b/>
          <w:sz w:val="22"/>
          <w:szCs w:val="22"/>
          <w:lang w:val="fr-CA"/>
        </w:rPr>
        <w:t>THÈ</w:t>
      </w:r>
      <w:r w:rsidR="0069766D" w:rsidRPr="00053B20">
        <w:rPr>
          <w:b/>
          <w:sz w:val="22"/>
          <w:szCs w:val="22"/>
          <w:lang w:val="fr-CA"/>
        </w:rPr>
        <w:t>ME</w:t>
      </w:r>
      <w:r>
        <w:rPr>
          <w:b/>
          <w:sz w:val="22"/>
          <w:szCs w:val="22"/>
          <w:lang w:val="fr-CA"/>
        </w:rPr>
        <w:t> </w:t>
      </w:r>
      <w:r w:rsidR="0069766D" w:rsidRPr="00053B20">
        <w:rPr>
          <w:b/>
          <w:sz w:val="22"/>
          <w:szCs w:val="22"/>
          <w:lang w:val="fr-CA"/>
        </w:rPr>
        <w:t xml:space="preserve">: </w:t>
      </w:r>
      <w:r>
        <w:rPr>
          <w:b/>
          <w:sz w:val="22"/>
          <w:szCs w:val="22"/>
          <w:lang w:val="fr-CA"/>
        </w:rPr>
        <w:t xml:space="preserve">FINANCEMENT DU </w:t>
      </w:r>
      <w:r w:rsidR="0069766D" w:rsidRPr="00053B20">
        <w:rPr>
          <w:b/>
          <w:sz w:val="22"/>
          <w:szCs w:val="22"/>
          <w:lang w:val="fr-CA"/>
        </w:rPr>
        <w:t>CLIMAT</w:t>
      </w:r>
      <w:r>
        <w:rPr>
          <w:b/>
          <w:sz w:val="22"/>
          <w:szCs w:val="22"/>
          <w:lang w:val="fr-CA"/>
        </w:rPr>
        <w:t> </w:t>
      </w:r>
      <w:r w:rsidR="0069766D" w:rsidRPr="00053B20">
        <w:rPr>
          <w:b/>
          <w:sz w:val="22"/>
          <w:szCs w:val="22"/>
          <w:lang w:val="fr-CA"/>
        </w:rPr>
        <w:t xml:space="preserve">: </w:t>
      </w:r>
      <w:r>
        <w:rPr>
          <w:b/>
          <w:sz w:val="22"/>
          <w:szCs w:val="22"/>
          <w:lang w:val="fr-CA"/>
        </w:rPr>
        <w:t>LE FONDS VERT POUR LE CLIMAT, LES CATASTROPHES NATURELLES ET LA RÉSILIENCE</w:t>
      </w:r>
    </w:p>
    <w:p w:rsidR="0069766D" w:rsidRPr="00053B20" w:rsidRDefault="0069766D" w:rsidP="00E85219">
      <w:pPr>
        <w:rPr>
          <w:sz w:val="22"/>
          <w:szCs w:val="22"/>
          <w:lang w:val="fr-CA"/>
        </w:rPr>
      </w:pPr>
    </w:p>
    <w:p w:rsidR="0069766D" w:rsidRPr="00053B20" w:rsidRDefault="0069766D" w:rsidP="0069766D">
      <w:pPr>
        <w:tabs>
          <w:tab w:val="left" w:pos="720"/>
          <w:tab w:val="left" w:pos="1440"/>
          <w:tab w:val="left" w:pos="2160"/>
        </w:tabs>
        <w:jc w:val="both"/>
        <w:rPr>
          <w:sz w:val="22"/>
          <w:szCs w:val="22"/>
          <w:lang w:val="fr-CA"/>
        </w:rPr>
      </w:pPr>
    </w:p>
    <w:p w:rsidR="0069766D" w:rsidRPr="00053B20" w:rsidRDefault="00053B20" w:rsidP="0069766D">
      <w:pPr>
        <w:numPr>
          <w:ilvl w:val="0"/>
          <w:numId w:val="19"/>
        </w:numPr>
        <w:tabs>
          <w:tab w:val="left" w:pos="720"/>
          <w:tab w:val="left" w:pos="1440"/>
          <w:tab w:val="left" w:pos="2160"/>
        </w:tabs>
        <w:ind w:left="0" w:firstLine="0"/>
        <w:rPr>
          <w:b/>
          <w:sz w:val="22"/>
          <w:szCs w:val="22"/>
          <w:lang w:val="fr-CA"/>
        </w:rPr>
      </w:pPr>
      <w:r>
        <w:rPr>
          <w:b/>
          <w:sz w:val="22"/>
          <w:szCs w:val="22"/>
          <w:lang w:val="fr-CA"/>
        </w:rPr>
        <w:t>Renseignements généraux</w:t>
      </w:r>
      <w:r w:rsidR="0069766D" w:rsidRPr="00053B20">
        <w:rPr>
          <w:b/>
          <w:sz w:val="22"/>
          <w:szCs w:val="22"/>
          <w:lang w:val="fr-CA"/>
        </w:rPr>
        <w:t xml:space="preserve">/Justification </w:t>
      </w:r>
    </w:p>
    <w:p w:rsidR="0069766D" w:rsidRPr="00053B20" w:rsidRDefault="0069766D" w:rsidP="0069766D">
      <w:pPr>
        <w:tabs>
          <w:tab w:val="left" w:pos="720"/>
          <w:tab w:val="left" w:pos="1440"/>
          <w:tab w:val="left" w:pos="2160"/>
        </w:tabs>
        <w:rPr>
          <w:b/>
          <w:sz w:val="22"/>
          <w:szCs w:val="22"/>
          <w:lang w:val="fr-CA"/>
        </w:rPr>
      </w:pPr>
    </w:p>
    <w:p w:rsidR="0069766D" w:rsidRPr="00053B20" w:rsidRDefault="0069766D" w:rsidP="0069766D">
      <w:pPr>
        <w:tabs>
          <w:tab w:val="left" w:pos="720"/>
          <w:tab w:val="left" w:pos="1440"/>
          <w:tab w:val="left" w:pos="2160"/>
        </w:tabs>
        <w:jc w:val="both"/>
        <w:rPr>
          <w:sz w:val="22"/>
          <w:szCs w:val="22"/>
          <w:lang w:val="fr-CA"/>
        </w:rPr>
      </w:pPr>
      <w:r w:rsidRPr="00053B20">
        <w:rPr>
          <w:sz w:val="22"/>
          <w:szCs w:val="22"/>
          <w:lang w:val="fr-CA"/>
        </w:rPr>
        <w:tab/>
      </w:r>
      <w:r w:rsidR="00803F78">
        <w:rPr>
          <w:sz w:val="22"/>
          <w:szCs w:val="22"/>
          <w:lang w:val="fr-CA"/>
        </w:rPr>
        <w:t xml:space="preserve">Les risques composés peuvent potentiellement saper les progrès réalisés en matière de développement. Un choc, par exemple un phénomène </w:t>
      </w:r>
      <w:r w:rsidR="00157613">
        <w:rPr>
          <w:sz w:val="22"/>
          <w:szCs w:val="22"/>
          <w:lang w:val="fr-CA"/>
        </w:rPr>
        <w:t xml:space="preserve">entraînant des conditions </w:t>
      </w:r>
      <w:r w:rsidR="00803F78">
        <w:rPr>
          <w:sz w:val="22"/>
          <w:szCs w:val="22"/>
          <w:lang w:val="fr-CA"/>
        </w:rPr>
        <w:t>météorologique</w:t>
      </w:r>
      <w:r w:rsidR="00157613">
        <w:rPr>
          <w:sz w:val="22"/>
          <w:szCs w:val="22"/>
          <w:lang w:val="fr-CA"/>
        </w:rPr>
        <w:t>s extrêmes ou une épidémie, peut à lui seul aggraver grandement d’autres facteurs de stress et même déclencher une succession de chocs dont l’incidence sur la vie des personnes, leurs moyens de subsistance et finalement le développement des pays. Le changement climatique et la pandémie de COVID-19</w:t>
      </w:r>
      <w:r w:rsidR="00F11BDD">
        <w:rPr>
          <w:sz w:val="22"/>
          <w:szCs w:val="22"/>
          <w:lang w:val="fr-CA"/>
        </w:rPr>
        <w:t xml:space="preserve"> sont d’excellents exemples de risques composés.</w:t>
      </w:r>
      <w:r w:rsidR="00803F78">
        <w:rPr>
          <w:sz w:val="22"/>
          <w:szCs w:val="22"/>
          <w:lang w:val="fr-CA"/>
        </w:rPr>
        <w:t xml:space="preserve"> </w:t>
      </w:r>
    </w:p>
    <w:p w:rsidR="0069766D" w:rsidRPr="00053B20" w:rsidRDefault="0069766D" w:rsidP="0069766D">
      <w:pPr>
        <w:tabs>
          <w:tab w:val="left" w:pos="720"/>
          <w:tab w:val="left" w:pos="1440"/>
          <w:tab w:val="left" w:pos="2160"/>
        </w:tabs>
        <w:jc w:val="both"/>
        <w:rPr>
          <w:sz w:val="22"/>
          <w:szCs w:val="22"/>
          <w:lang w:val="fr-CA"/>
        </w:rPr>
      </w:pPr>
    </w:p>
    <w:p w:rsidR="0069766D" w:rsidRPr="00053B20" w:rsidRDefault="0069766D" w:rsidP="0069766D">
      <w:pPr>
        <w:tabs>
          <w:tab w:val="left" w:pos="720"/>
          <w:tab w:val="left" w:pos="1440"/>
          <w:tab w:val="left" w:pos="2160"/>
        </w:tabs>
        <w:jc w:val="both"/>
        <w:rPr>
          <w:sz w:val="22"/>
          <w:szCs w:val="22"/>
          <w:lang w:val="fr-CA"/>
        </w:rPr>
      </w:pPr>
      <w:r w:rsidRPr="00053B20">
        <w:rPr>
          <w:sz w:val="22"/>
          <w:szCs w:val="22"/>
          <w:lang w:val="fr-CA"/>
        </w:rPr>
        <w:tab/>
      </w:r>
      <w:r w:rsidR="00F11BDD">
        <w:rPr>
          <w:sz w:val="22"/>
          <w:szCs w:val="22"/>
          <w:lang w:val="fr-CA"/>
        </w:rPr>
        <w:t>La Commission économique pour l’Amérique latine et les Caraïbes (CEPALC) est d’avis que la pandémie entraînera la contraction du produit intérieur brut (PIB) la plus importante de l’histoire</w:t>
      </w:r>
      <w:r w:rsidR="00CB1075">
        <w:rPr>
          <w:sz w:val="22"/>
          <w:szCs w:val="22"/>
          <w:lang w:val="fr-CA"/>
        </w:rPr>
        <w:t xml:space="preserve"> dans la région, laquelle amènera une réduction de la capacité des Amériques </w:t>
      </w:r>
      <w:r w:rsidR="00E04F26">
        <w:rPr>
          <w:sz w:val="22"/>
          <w:szCs w:val="22"/>
          <w:lang w:val="fr-CA"/>
        </w:rPr>
        <w:t>de conserver les moyens de subsistance de la population et d’investir dans des secteurs fondamentaux comme l’eau, l’énergie, la santé, l’éducation et le développement</w:t>
      </w:r>
      <w:r w:rsidRPr="00053B20">
        <w:rPr>
          <w:rStyle w:val="FootnoteReference"/>
          <w:sz w:val="22"/>
          <w:szCs w:val="22"/>
          <w:u w:val="single"/>
          <w:lang w:val="fr-CA"/>
        </w:rPr>
        <w:footnoteReference w:id="1"/>
      </w:r>
      <w:r w:rsidRPr="00053B20">
        <w:rPr>
          <w:sz w:val="22"/>
          <w:szCs w:val="22"/>
          <w:vertAlign w:val="superscript"/>
          <w:lang w:val="fr-CA"/>
        </w:rPr>
        <w:t>/</w:t>
      </w:r>
      <w:r w:rsidRPr="00053B20">
        <w:rPr>
          <w:sz w:val="22"/>
          <w:szCs w:val="22"/>
          <w:lang w:val="fr-CA"/>
        </w:rPr>
        <w:t xml:space="preserve">. </w:t>
      </w:r>
      <w:r w:rsidR="00E04F26">
        <w:rPr>
          <w:sz w:val="22"/>
          <w:szCs w:val="22"/>
          <w:lang w:val="fr-CA"/>
        </w:rPr>
        <w:t xml:space="preserve">Par exemple, la Société financière internationale (SFI) de la Banque mondiale estime que le secteur de l’eau et de l’assainissement dans les pays en développement </w:t>
      </w:r>
      <w:r w:rsidR="005D4CFB">
        <w:rPr>
          <w:sz w:val="22"/>
          <w:szCs w:val="22"/>
          <w:lang w:val="fr-CA"/>
        </w:rPr>
        <w:t>devra accroître ses investissements d’au moins 8% par rapport aux 114 milliards USD</w:t>
      </w:r>
      <w:r w:rsidR="00A07480">
        <w:rPr>
          <w:sz w:val="22"/>
          <w:szCs w:val="22"/>
          <w:lang w:val="fr-CA"/>
        </w:rPr>
        <w:t xml:space="preserve"> nécessaires pour atteindre l’objectif de développement durable 6 </w:t>
      </w:r>
      <w:r w:rsidRPr="00053B20">
        <w:rPr>
          <w:sz w:val="22"/>
          <w:szCs w:val="22"/>
          <w:lang w:val="fr-CA"/>
        </w:rPr>
        <w:t>“</w:t>
      </w:r>
      <w:r w:rsidR="00A07480">
        <w:rPr>
          <w:sz w:val="22"/>
          <w:szCs w:val="22"/>
          <w:lang w:val="fr-CA"/>
        </w:rPr>
        <w:t>Eau propre et assainissement : Garantir l’accès de tous à l’eau et à l’assainissement et assurer une gestion durable des ressources en eau” d’ici</w:t>
      </w:r>
      <w:r w:rsidRPr="00053B20">
        <w:rPr>
          <w:sz w:val="22"/>
          <w:szCs w:val="22"/>
          <w:lang w:val="fr-CA"/>
        </w:rPr>
        <w:t xml:space="preserve"> 2030.</w:t>
      </w:r>
      <w:r w:rsidRPr="00053B20">
        <w:rPr>
          <w:rStyle w:val="FootnoteReference"/>
          <w:sz w:val="22"/>
          <w:szCs w:val="22"/>
          <w:u w:val="single"/>
          <w:lang w:val="fr-CA"/>
        </w:rPr>
        <w:footnoteReference w:id="2"/>
      </w:r>
      <w:r w:rsidRPr="00053B20">
        <w:rPr>
          <w:sz w:val="22"/>
          <w:szCs w:val="22"/>
          <w:vertAlign w:val="superscript"/>
          <w:lang w:val="fr-CA"/>
        </w:rPr>
        <w:t>/</w:t>
      </w:r>
    </w:p>
    <w:p w:rsidR="0069766D" w:rsidRPr="00053B20" w:rsidRDefault="0069766D" w:rsidP="0069766D">
      <w:pPr>
        <w:tabs>
          <w:tab w:val="left" w:pos="720"/>
          <w:tab w:val="left" w:pos="1440"/>
          <w:tab w:val="left" w:pos="2160"/>
        </w:tabs>
        <w:jc w:val="both"/>
        <w:rPr>
          <w:sz w:val="22"/>
          <w:szCs w:val="22"/>
          <w:lang w:val="fr-CA"/>
        </w:rPr>
      </w:pPr>
    </w:p>
    <w:p w:rsidR="0069766D" w:rsidRPr="00053B20" w:rsidRDefault="0069766D" w:rsidP="0069766D">
      <w:pPr>
        <w:tabs>
          <w:tab w:val="left" w:pos="720"/>
          <w:tab w:val="left" w:pos="1440"/>
          <w:tab w:val="left" w:pos="2160"/>
        </w:tabs>
        <w:jc w:val="both"/>
        <w:rPr>
          <w:sz w:val="22"/>
          <w:szCs w:val="22"/>
          <w:lang w:val="fr-CA"/>
        </w:rPr>
      </w:pPr>
      <w:r w:rsidRPr="00053B20">
        <w:rPr>
          <w:sz w:val="22"/>
          <w:szCs w:val="22"/>
          <w:lang w:val="fr-CA"/>
        </w:rPr>
        <w:tab/>
      </w:r>
      <w:r w:rsidR="00A07480">
        <w:rPr>
          <w:sz w:val="22"/>
          <w:szCs w:val="22"/>
          <w:lang w:val="fr-CA"/>
        </w:rPr>
        <w:t xml:space="preserve">La pandémie de COVID-19 met à rude épreuve la capacité des États membres de gérer les risques. Les gouvernements font appel à des mesures d’urgence pour faire face à une crise sanitaire sans précédent à un moment où ils sont déjà confrontés </w:t>
      </w:r>
      <w:r w:rsidR="00B54357">
        <w:rPr>
          <w:sz w:val="22"/>
          <w:szCs w:val="22"/>
          <w:lang w:val="fr-CA"/>
        </w:rPr>
        <w:t xml:space="preserve">à des phénomènes météorologiques extrêmes et à des dangers climatiques. Des interventions telles que le confinement, les mesures de distanciation sociale </w:t>
      </w:r>
      <w:r w:rsidR="00A128A8">
        <w:rPr>
          <w:sz w:val="22"/>
          <w:szCs w:val="22"/>
          <w:lang w:val="fr-CA"/>
        </w:rPr>
        <w:t>et les plans de relance économique mis en place pour renforcer la résilience de la société. Cependant, l’important déclin économique qui a eu lieu en 2020</w:t>
      </w:r>
      <w:r w:rsidR="007000B2">
        <w:rPr>
          <w:sz w:val="22"/>
          <w:szCs w:val="22"/>
          <w:lang w:val="fr-CA"/>
        </w:rPr>
        <w:t xml:space="preserve">, attribué en partie à ces interventions, a exacerbé encore plus les effets de risques multiples, qui se produisent les uns après les autres ou même simultanément. En outre, les disparités socioéconomiques mettent des groupes </w:t>
      </w:r>
      <w:r w:rsidR="007000B2">
        <w:rPr>
          <w:sz w:val="22"/>
          <w:szCs w:val="22"/>
          <w:lang w:val="fr-CA"/>
        </w:rPr>
        <w:lastRenderedPageBreak/>
        <w:t xml:space="preserve">sociaux spécifiques à un risque plus élevé et une récupération plus difficile. L’incidence de la pandémie se fera sentir pendant longtemps, forçant les gouvernements à mettre en œuvre des politiques visant </w:t>
      </w:r>
      <w:r w:rsidR="00F86699">
        <w:rPr>
          <w:sz w:val="22"/>
          <w:szCs w:val="22"/>
          <w:lang w:val="fr-CA"/>
        </w:rPr>
        <w:t>la crise sanitaire causée par la COVID-19 elle-même, de même que les intersections entre celle-ci et d’autres crises régionales ou mondiales.</w:t>
      </w:r>
      <w:r w:rsidR="00A07480">
        <w:rPr>
          <w:sz w:val="22"/>
          <w:szCs w:val="22"/>
          <w:lang w:val="fr-CA"/>
        </w:rPr>
        <w:t xml:space="preserve"> </w:t>
      </w:r>
    </w:p>
    <w:p w:rsidR="0069766D" w:rsidRPr="00053B20" w:rsidRDefault="0069766D" w:rsidP="0069766D">
      <w:pPr>
        <w:tabs>
          <w:tab w:val="left" w:pos="720"/>
          <w:tab w:val="left" w:pos="1440"/>
          <w:tab w:val="left" w:pos="2160"/>
        </w:tabs>
        <w:jc w:val="both"/>
        <w:rPr>
          <w:sz w:val="22"/>
          <w:szCs w:val="22"/>
          <w:lang w:val="fr-CA"/>
        </w:rPr>
      </w:pPr>
    </w:p>
    <w:p w:rsidR="0069766D" w:rsidRPr="00053B20" w:rsidRDefault="0069766D" w:rsidP="0069766D">
      <w:pPr>
        <w:tabs>
          <w:tab w:val="left" w:pos="720"/>
          <w:tab w:val="left" w:pos="1440"/>
          <w:tab w:val="left" w:pos="2160"/>
        </w:tabs>
        <w:jc w:val="both"/>
        <w:rPr>
          <w:sz w:val="22"/>
          <w:szCs w:val="22"/>
          <w:lang w:val="fr-CA"/>
        </w:rPr>
      </w:pPr>
      <w:r w:rsidRPr="00053B20">
        <w:rPr>
          <w:sz w:val="22"/>
          <w:szCs w:val="22"/>
          <w:lang w:val="fr-CA"/>
        </w:rPr>
        <w:tab/>
      </w:r>
      <w:r w:rsidR="00F86699">
        <w:rPr>
          <w:sz w:val="22"/>
          <w:szCs w:val="22"/>
          <w:lang w:val="fr-CA"/>
        </w:rPr>
        <w:t xml:space="preserve">Le changement climatique </w:t>
      </w:r>
      <w:r w:rsidR="00443D18">
        <w:rPr>
          <w:sz w:val="22"/>
          <w:szCs w:val="22"/>
          <w:lang w:val="fr-CA"/>
        </w:rPr>
        <w:t xml:space="preserve">est l’une des nombreuses variables </w:t>
      </w:r>
      <w:r w:rsidR="00823D8E">
        <w:rPr>
          <w:sz w:val="22"/>
          <w:szCs w:val="22"/>
          <w:lang w:val="fr-CA"/>
        </w:rPr>
        <w:t xml:space="preserve">les plus importantes dont il faut tenir compte pour évaluer la propagation de maladies infectieuses comme la malaria ou la dengue. Par exemple, les tendances en matière de température et de pluies ont un effet sur le moment et l’endroit </w:t>
      </w:r>
      <w:r w:rsidR="00EB00D1">
        <w:rPr>
          <w:sz w:val="22"/>
          <w:szCs w:val="22"/>
          <w:lang w:val="fr-CA"/>
        </w:rPr>
        <w:t xml:space="preserve">où des pathogènes peuvent apparaître. </w:t>
      </w:r>
      <w:r w:rsidR="004D45F3">
        <w:rPr>
          <w:sz w:val="22"/>
          <w:szCs w:val="22"/>
          <w:lang w:val="fr-CA"/>
        </w:rPr>
        <w:t xml:space="preserve">Limiter le réchauffement planétaire à 1,5 degré peut contribuer à réduire le risque de propagation de maladies infectieuses. La pollution de l’air a également une incidence sur la propagation de pathogènes. Par exemple, </w:t>
      </w:r>
      <w:r w:rsidR="00A94347">
        <w:rPr>
          <w:sz w:val="22"/>
          <w:szCs w:val="22"/>
          <w:lang w:val="fr-CA"/>
        </w:rPr>
        <w:t>des études ont indiqué qu’</w:t>
      </w:r>
      <w:r w:rsidR="004D45F3">
        <w:rPr>
          <w:sz w:val="22"/>
          <w:szCs w:val="22"/>
          <w:lang w:val="fr-CA"/>
        </w:rPr>
        <w:t>une particule très petite de pollution de l’air connue sous le nom de</w:t>
      </w:r>
      <w:r w:rsidRPr="00053B20">
        <w:rPr>
          <w:sz w:val="22"/>
          <w:szCs w:val="22"/>
          <w:lang w:val="fr-CA"/>
        </w:rPr>
        <w:t xml:space="preserve"> PM 2.5,</w:t>
      </w:r>
      <w:r w:rsidR="004D45F3">
        <w:rPr>
          <w:sz w:val="22"/>
          <w:szCs w:val="22"/>
          <w:lang w:val="fr-CA"/>
        </w:rPr>
        <w:t xml:space="preserve"> résultant principalement de la</w:t>
      </w:r>
      <w:r w:rsidR="00A94347">
        <w:rPr>
          <w:sz w:val="22"/>
          <w:szCs w:val="22"/>
          <w:lang w:val="fr-CA"/>
        </w:rPr>
        <w:t xml:space="preserve"> combustion de carburants fossiles, était liée à un nombre plus élevé de décès dus à la COVID-19 chez les personnes demeurant dans des régions polluées</w:t>
      </w:r>
      <w:r w:rsidRPr="00053B20">
        <w:rPr>
          <w:sz w:val="22"/>
          <w:szCs w:val="22"/>
          <w:lang w:val="fr-CA"/>
        </w:rPr>
        <w:t>.</w:t>
      </w:r>
      <w:r w:rsidRPr="00053B20">
        <w:rPr>
          <w:rStyle w:val="FootnoteReference"/>
          <w:sz w:val="22"/>
          <w:szCs w:val="22"/>
          <w:u w:val="single"/>
          <w:lang w:val="fr-CA"/>
        </w:rPr>
        <w:footnoteReference w:id="3"/>
      </w:r>
      <w:r w:rsidRPr="00053B20">
        <w:rPr>
          <w:sz w:val="22"/>
          <w:szCs w:val="22"/>
          <w:vertAlign w:val="superscript"/>
          <w:lang w:val="fr-CA"/>
        </w:rPr>
        <w:t>/</w:t>
      </w:r>
    </w:p>
    <w:p w:rsidR="0069766D" w:rsidRPr="00053B20" w:rsidRDefault="0069766D" w:rsidP="0069766D">
      <w:pPr>
        <w:tabs>
          <w:tab w:val="left" w:pos="720"/>
          <w:tab w:val="left" w:pos="1440"/>
          <w:tab w:val="left" w:pos="2160"/>
        </w:tabs>
        <w:jc w:val="both"/>
        <w:rPr>
          <w:sz w:val="22"/>
          <w:szCs w:val="22"/>
          <w:lang w:val="fr-CA"/>
        </w:rPr>
      </w:pPr>
    </w:p>
    <w:p w:rsidR="0069766D" w:rsidRPr="00053B20" w:rsidRDefault="0069766D" w:rsidP="0069766D">
      <w:pPr>
        <w:tabs>
          <w:tab w:val="left" w:pos="720"/>
          <w:tab w:val="left" w:pos="1440"/>
          <w:tab w:val="left" w:pos="2160"/>
        </w:tabs>
        <w:jc w:val="both"/>
        <w:rPr>
          <w:sz w:val="22"/>
          <w:szCs w:val="22"/>
          <w:lang w:val="fr-CA"/>
        </w:rPr>
      </w:pPr>
      <w:r w:rsidRPr="00053B20">
        <w:rPr>
          <w:sz w:val="22"/>
          <w:szCs w:val="22"/>
          <w:lang w:val="fr-CA"/>
        </w:rPr>
        <w:tab/>
      </w:r>
      <w:r w:rsidR="0070176C">
        <w:rPr>
          <w:sz w:val="22"/>
          <w:szCs w:val="22"/>
          <w:lang w:val="fr-CA"/>
        </w:rPr>
        <w:t xml:space="preserve">Par ailleurs, certaines communautés sont désavantagées de façon disproportionnée en ce qui concerne tant l’incidence de la COVID-19 que celle du changement climatique. Par exemple, après que deux ouragans de catégorie 4 –Eta </w:t>
      </w:r>
      <w:r w:rsidR="006E6B26">
        <w:rPr>
          <w:sz w:val="22"/>
          <w:szCs w:val="22"/>
          <w:lang w:val="fr-CA"/>
        </w:rPr>
        <w:t>et Iota</w:t>
      </w:r>
      <w:r w:rsidR="0070176C">
        <w:rPr>
          <w:sz w:val="22"/>
          <w:szCs w:val="22"/>
          <w:lang w:val="fr-CA"/>
        </w:rPr>
        <w:t xml:space="preserve">– aient ravagé l’Amérique centrale en novembre dernier, les groupes sociaux les plus vulnérables ont vécu des glissements de terrain, des inondations près des cours d’eau, ils ont vu leurs récoltes détruites, leurs troupeaux emportés par le courant et leurs écoles inondées. Les pauvres vivant dans des zones rurales </w:t>
      </w:r>
      <w:r w:rsidR="00A73EA4">
        <w:rPr>
          <w:sz w:val="22"/>
          <w:szCs w:val="22"/>
          <w:lang w:val="fr-CA"/>
        </w:rPr>
        <w:t xml:space="preserve">sont ceux qui ont le plus souffert </w:t>
      </w:r>
      <w:r w:rsidR="002C442A">
        <w:rPr>
          <w:sz w:val="22"/>
          <w:szCs w:val="22"/>
          <w:lang w:val="fr-CA"/>
        </w:rPr>
        <w:t xml:space="preserve">des effets des deux ouragans qui sont arrivés coup sur coup. La protection de ces communautés rurales a demandé l’évacuation de la population et l’installation d’abris. Cette approche, bien que très logique, entre en conflit avec la distanciation sociale et le confinement, ces deux mesures </w:t>
      </w:r>
      <w:r w:rsidR="006E6B26">
        <w:rPr>
          <w:sz w:val="22"/>
          <w:szCs w:val="22"/>
          <w:lang w:val="fr-CA"/>
        </w:rPr>
        <w:t>ayant été mises en place dans la plupart des États membres pour ralentir la propagation rapide de la COVID-19.</w:t>
      </w:r>
      <w:r w:rsidR="0070176C">
        <w:rPr>
          <w:sz w:val="22"/>
          <w:szCs w:val="22"/>
          <w:lang w:val="fr-CA"/>
        </w:rPr>
        <w:t xml:space="preserve"> </w:t>
      </w:r>
    </w:p>
    <w:p w:rsidR="0069766D" w:rsidRPr="00053B20" w:rsidRDefault="0069766D" w:rsidP="0069766D">
      <w:pPr>
        <w:tabs>
          <w:tab w:val="left" w:pos="720"/>
          <w:tab w:val="left" w:pos="1440"/>
          <w:tab w:val="left" w:pos="2160"/>
        </w:tabs>
        <w:jc w:val="both"/>
        <w:rPr>
          <w:sz w:val="22"/>
          <w:szCs w:val="22"/>
          <w:lang w:val="fr-CA"/>
        </w:rPr>
      </w:pPr>
    </w:p>
    <w:p w:rsidR="0069766D" w:rsidRPr="00053B20" w:rsidRDefault="0069766D" w:rsidP="0069766D">
      <w:pPr>
        <w:tabs>
          <w:tab w:val="left" w:pos="720"/>
          <w:tab w:val="left" w:pos="1440"/>
          <w:tab w:val="left" w:pos="2160"/>
        </w:tabs>
        <w:jc w:val="both"/>
        <w:rPr>
          <w:sz w:val="22"/>
          <w:szCs w:val="22"/>
          <w:lang w:val="fr-CA"/>
        </w:rPr>
      </w:pPr>
      <w:r w:rsidRPr="00053B20">
        <w:rPr>
          <w:sz w:val="22"/>
          <w:szCs w:val="22"/>
          <w:lang w:val="fr-CA"/>
        </w:rPr>
        <w:tab/>
      </w:r>
      <w:r w:rsidR="006E6B26">
        <w:rPr>
          <w:sz w:val="22"/>
          <w:szCs w:val="22"/>
          <w:lang w:val="fr-CA"/>
        </w:rPr>
        <w:t xml:space="preserve">En tant que risques composés, le changement climatique et la pandémie de COVID-19 peuvent réduire la capacité des États membres à répondre à des menaces plus importantes. Qui plus est, </w:t>
      </w:r>
      <w:r w:rsidR="005946CB">
        <w:rPr>
          <w:sz w:val="22"/>
          <w:szCs w:val="22"/>
          <w:lang w:val="fr-CA"/>
        </w:rPr>
        <w:t xml:space="preserve">le fait que des chocs supplémentaires se produisent pendant la pandémie pourrait entraver le processus de reprise et enraciner encore plus les vulnérabilités. Par conséquent, pour aborder efficacement les effets complexes de risques composés, des approches multidisciplinaires sont nécessaires pour </w:t>
      </w:r>
      <w:r w:rsidR="008C6E83">
        <w:rPr>
          <w:sz w:val="22"/>
          <w:szCs w:val="22"/>
          <w:lang w:val="fr-CA"/>
        </w:rPr>
        <w:t xml:space="preserve">en comprendre les causes, les incidences et les interactions potentielles. </w:t>
      </w:r>
      <w:r w:rsidR="005946CB">
        <w:rPr>
          <w:sz w:val="22"/>
          <w:szCs w:val="22"/>
          <w:lang w:val="fr-CA"/>
        </w:rPr>
        <w:t xml:space="preserve"> </w:t>
      </w:r>
      <w:r w:rsidR="006E6B26">
        <w:rPr>
          <w:sz w:val="22"/>
          <w:szCs w:val="22"/>
          <w:lang w:val="fr-CA"/>
        </w:rPr>
        <w:t xml:space="preserve"> </w:t>
      </w:r>
    </w:p>
    <w:p w:rsidR="0069766D" w:rsidRPr="00053B20" w:rsidRDefault="0069766D" w:rsidP="0069766D">
      <w:pPr>
        <w:tabs>
          <w:tab w:val="left" w:pos="720"/>
          <w:tab w:val="left" w:pos="1440"/>
          <w:tab w:val="left" w:pos="2160"/>
        </w:tabs>
        <w:jc w:val="both"/>
        <w:rPr>
          <w:sz w:val="22"/>
          <w:szCs w:val="22"/>
          <w:lang w:val="fr-CA"/>
        </w:rPr>
      </w:pPr>
    </w:p>
    <w:p w:rsidR="0069766D" w:rsidRPr="00053B20" w:rsidRDefault="0069766D" w:rsidP="0069766D">
      <w:pPr>
        <w:tabs>
          <w:tab w:val="left" w:pos="720"/>
          <w:tab w:val="left" w:pos="1440"/>
          <w:tab w:val="left" w:pos="2160"/>
        </w:tabs>
        <w:jc w:val="both"/>
        <w:rPr>
          <w:sz w:val="22"/>
          <w:szCs w:val="22"/>
          <w:lang w:val="fr-CA"/>
        </w:rPr>
      </w:pPr>
      <w:r w:rsidRPr="00053B20">
        <w:rPr>
          <w:sz w:val="22"/>
          <w:szCs w:val="22"/>
          <w:lang w:val="fr-CA"/>
        </w:rPr>
        <w:tab/>
      </w:r>
      <w:r w:rsidR="008C6E83">
        <w:rPr>
          <w:sz w:val="22"/>
          <w:szCs w:val="22"/>
          <w:lang w:val="fr-CA"/>
        </w:rPr>
        <w:t>Les risques composés tels le changement climatique, les pandémies et les phénomènes atmosphériques extrêmes mettent en évidence la fragilité et la vulnérabilité de l’infrastructure, des services et des secteurs qui en dépendent, de même que le fonctionnement du gouvernement, les opérations commerciales et les processus de développement socioéconomique. Les maisons, les bureaux, les usines, les routes, les systèmes d’eau potable et d’assainissement</w:t>
      </w:r>
      <w:r w:rsidR="00722461">
        <w:rPr>
          <w:sz w:val="22"/>
          <w:szCs w:val="22"/>
          <w:lang w:val="fr-CA"/>
        </w:rPr>
        <w:t xml:space="preserve"> et les réseaux de production, de transmission et de distribution d’énergie fournissent des services essentiels et sont vulnérables à une multitude de risques et de menaces</w:t>
      </w:r>
      <w:r w:rsidRPr="00053B20">
        <w:rPr>
          <w:sz w:val="22"/>
          <w:szCs w:val="22"/>
          <w:lang w:val="fr-CA"/>
        </w:rPr>
        <w:t>.</w:t>
      </w:r>
      <w:r w:rsidR="00722461">
        <w:rPr>
          <w:sz w:val="22"/>
          <w:szCs w:val="22"/>
          <w:lang w:val="fr-CA"/>
        </w:rPr>
        <w:t xml:space="preserve"> Toute cette infrastructure constitue une proportion importante de l’investissement à long terme en matière de développement dans la plupart des pays, et elle est traditionnellement conçue, construite et entretenue par plusieurs équipes travaillant dans des disciplines différentes.</w:t>
      </w:r>
      <w:r w:rsidRPr="00053B20">
        <w:rPr>
          <w:sz w:val="22"/>
          <w:szCs w:val="22"/>
          <w:lang w:val="fr-CA"/>
        </w:rPr>
        <w:t xml:space="preserve"> </w:t>
      </w:r>
      <w:r w:rsidR="00722461">
        <w:rPr>
          <w:sz w:val="22"/>
          <w:szCs w:val="22"/>
          <w:lang w:val="fr-CA"/>
        </w:rPr>
        <w:t>Ensemble, ces</w:t>
      </w:r>
      <w:r w:rsidRPr="00053B20">
        <w:rPr>
          <w:sz w:val="22"/>
          <w:szCs w:val="22"/>
          <w:lang w:val="fr-CA"/>
        </w:rPr>
        <w:t xml:space="preserve"> disciplines</w:t>
      </w:r>
      <w:r w:rsidR="00722461">
        <w:rPr>
          <w:sz w:val="22"/>
          <w:szCs w:val="22"/>
          <w:lang w:val="fr-CA"/>
        </w:rPr>
        <w:t xml:space="preserve"> devraient jouer un rôle proactif pour assurer que l’infrastructure soit conçue et développée de façon telle que les risques composés soient réduits ou même éliminés</w:t>
      </w:r>
      <w:r w:rsidRPr="00053B20">
        <w:rPr>
          <w:sz w:val="22"/>
          <w:szCs w:val="22"/>
          <w:lang w:val="fr-CA"/>
        </w:rPr>
        <w:t>.</w:t>
      </w:r>
    </w:p>
    <w:p w:rsidR="0069766D" w:rsidRPr="00053B20" w:rsidRDefault="0069766D" w:rsidP="0069766D">
      <w:pPr>
        <w:tabs>
          <w:tab w:val="left" w:pos="720"/>
          <w:tab w:val="left" w:pos="1440"/>
          <w:tab w:val="left" w:pos="2160"/>
        </w:tabs>
        <w:jc w:val="both"/>
        <w:rPr>
          <w:sz w:val="22"/>
          <w:szCs w:val="22"/>
          <w:lang w:val="fr-CA"/>
        </w:rPr>
      </w:pPr>
    </w:p>
    <w:p w:rsidR="0069766D" w:rsidRPr="00053B20" w:rsidRDefault="008C6E83" w:rsidP="0069766D">
      <w:pPr>
        <w:numPr>
          <w:ilvl w:val="0"/>
          <w:numId w:val="19"/>
        </w:numPr>
        <w:tabs>
          <w:tab w:val="left" w:pos="720"/>
          <w:tab w:val="left" w:pos="1440"/>
          <w:tab w:val="left" w:pos="2160"/>
        </w:tabs>
        <w:ind w:left="0" w:firstLine="0"/>
        <w:jc w:val="both"/>
        <w:rPr>
          <w:b/>
          <w:sz w:val="22"/>
          <w:szCs w:val="22"/>
          <w:lang w:val="fr-CA"/>
        </w:rPr>
      </w:pPr>
      <w:r>
        <w:rPr>
          <w:b/>
          <w:sz w:val="22"/>
          <w:szCs w:val="22"/>
          <w:lang w:val="fr-CA"/>
        </w:rPr>
        <w:t>But de la réunion</w:t>
      </w:r>
    </w:p>
    <w:p w:rsidR="0069766D" w:rsidRPr="00053B20" w:rsidRDefault="0069766D" w:rsidP="0069766D">
      <w:pPr>
        <w:tabs>
          <w:tab w:val="left" w:pos="720"/>
          <w:tab w:val="left" w:pos="1440"/>
          <w:tab w:val="left" w:pos="2160"/>
        </w:tabs>
        <w:jc w:val="both"/>
        <w:rPr>
          <w:sz w:val="22"/>
          <w:szCs w:val="22"/>
          <w:lang w:val="fr-CA"/>
        </w:rPr>
      </w:pPr>
    </w:p>
    <w:p w:rsidR="0069766D" w:rsidRPr="00053B20" w:rsidRDefault="0069766D" w:rsidP="0069766D">
      <w:pPr>
        <w:tabs>
          <w:tab w:val="left" w:pos="720"/>
          <w:tab w:val="left" w:pos="1440"/>
          <w:tab w:val="left" w:pos="2160"/>
        </w:tabs>
        <w:jc w:val="both"/>
        <w:rPr>
          <w:sz w:val="22"/>
          <w:szCs w:val="22"/>
          <w:lang w:val="fr-CA"/>
        </w:rPr>
      </w:pPr>
      <w:r w:rsidRPr="00053B20">
        <w:rPr>
          <w:sz w:val="22"/>
          <w:szCs w:val="22"/>
          <w:lang w:val="fr-CA"/>
        </w:rPr>
        <w:tab/>
      </w:r>
      <w:r w:rsidR="001D6481">
        <w:rPr>
          <w:sz w:val="22"/>
          <w:szCs w:val="22"/>
          <w:lang w:val="fr-CA"/>
        </w:rPr>
        <w:t>La réunion a pour but de faire ce qui suit </w:t>
      </w:r>
      <w:r w:rsidRPr="00053B20">
        <w:rPr>
          <w:sz w:val="22"/>
          <w:szCs w:val="22"/>
          <w:lang w:val="fr-CA"/>
        </w:rPr>
        <w:t>:</w:t>
      </w:r>
    </w:p>
    <w:p w:rsidR="0069766D" w:rsidRPr="00053B20" w:rsidRDefault="0069766D" w:rsidP="0069766D">
      <w:pPr>
        <w:tabs>
          <w:tab w:val="left" w:pos="720"/>
          <w:tab w:val="left" w:pos="1440"/>
          <w:tab w:val="left" w:pos="2160"/>
        </w:tabs>
        <w:jc w:val="both"/>
        <w:rPr>
          <w:sz w:val="22"/>
          <w:szCs w:val="22"/>
          <w:lang w:val="fr-CA"/>
        </w:rPr>
      </w:pPr>
    </w:p>
    <w:p w:rsidR="0069766D" w:rsidRPr="00053B20" w:rsidRDefault="001D6481" w:rsidP="0069766D">
      <w:pPr>
        <w:pStyle w:val="ListParagraph0"/>
        <w:numPr>
          <w:ilvl w:val="0"/>
          <w:numId w:val="20"/>
        </w:numPr>
        <w:tabs>
          <w:tab w:val="left" w:pos="720"/>
          <w:tab w:val="left" w:pos="1440"/>
          <w:tab w:val="left" w:pos="2160"/>
        </w:tabs>
        <w:ind w:left="1440" w:hanging="720"/>
        <w:contextualSpacing/>
        <w:jc w:val="both"/>
        <w:rPr>
          <w:sz w:val="22"/>
          <w:szCs w:val="22"/>
          <w:lang w:val="fr-CA"/>
        </w:rPr>
      </w:pPr>
      <w:r>
        <w:rPr>
          <w:sz w:val="22"/>
          <w:szCs w:val="22"/>
          <w:lang w:val="fr-CA"/>
        </w:rPr>
        <w:t>Faire le point sur les mécanismes financiers et les institutions financières à la portée des États membres de l’OEA pour aborder les défis que posent le changement climatique et d’autres risques</w:t>
      </w:r>
      <w:r w:rsidR="0069766D" w:rsidRPr="00053B20">
        <w:rPr>
          <w:sz w:val="22"/>
          <w:szCs w:val="22"/>
          <w:lang w:val="fr-CA"/>
        </w:rPr>
        <w:t>;</w:t>
      </w:r>
    </w:p>
    <w:p w:rsidR="0069766D" w:rsidRPr="00053B20" w:rsidRDefault="001D6481" w:rsidP="0069766D">
      <w:pPr>
        <w:pStyle w:val="ListParagraph0"/>
        <w:numPr>
          <w:ilvl w:val="0"/>
          <w:numId w:val="20"/>
        </w:numPr>
        <w:tabs>
          <w:tab w:val="left" w:pos="720"/>
          <w:tab w:val="left" w:pos="1440"/>
          <w:tab w:val="left" w:pos="2160"/>
        </w:tabs>
        <w:ind w:left="1440" w:hanging="720"/>
        <w:contextualSpacing/>
        <w:jc w:val="both"/>
        <w:rPr>
          <w:sz w:val="22"/>
          <w:szCs w:val="22"/>
          <w:lang w:val="fr-CA"/>
        </w:rPr>
      </w:pPr>
      <w:r>
        <w:rPr>
          <w:sz w:val="22"/>
          <w:szCs w:val="22"/>
          <w:lang w:val="fr-CA"/>
        </w:rPr>
        <w:t xml:space="preserve">Ébaucher une feuille de route pour avoir accès à du financement pour le changement climatique et pour la construction de capacités relatives à la conception, la formulation et la mise en œuvre de projets par des organismes </w:t>
      </w:r>
      <w:r w:rsidR="00D52970">
        <w:rPr>
          <w:sz w:val="22"/>
          <w:szCs w:val="22"/>
          <w:lang w:val="fr-CA"/>
        </w:rPr>
        <w:t>d’exécution des États membres;</w:t>
      </w:r>
      <w:r>
        <w:rPr>
          <w:sz w:val="22"/>
          <w:szCs w:val="22"/>
          <w:lang w:val="fr-CA"/>
        </w:rPr>
        <w:t xml:space="preserve"> </w:t>
      </w:r>
    </w:p>
    <w:p w:rsidR="0069766D" w:rsidRDefault="0069766D" w:rsidP="00F45C09">
      <w:pPr>
        <w:pStyle w:val="ListParagraph0"/>
        <w:numPr>
          <w:ilvl w:val="0"/>
          <w:numId w:val="20"/>
        </w:numPr>
        <w:tabs>
          <w:tab w:val="left" w:pos="720"/>
          <w:tab w:val="left" w:pos="1440"/>
          <w:tab w:val="left" w:pos="2160"/>
        </w:tabs>
        <w:ind w:left="1440" w:hanging="720"/>
        <w:contextualSpacing/>
        <w:jc w:val="both"/>
        <w:rPr>
          <w:sz w:val="22"/>
          <w:szCs w:val="22"/>
          <w:lang w:val="fr-CA"/>
        </w:rPr>
      </w:pPr>
      <w:r w:rsidRPr="00D52970">
        <w:rPr>
          <w:sz w:val="22"/>
          <w:szCs w:val="22"/>
          <w:lang w:val="fr-CA"/>
        </w:rPr>
        <w:t>D</w:t>
      </w:r>
      <w:r w:rsidR="00D52970" w:rsidRPr="00D52970">
        <w:rPr>
          <w:sz w:val="22"/>
          <w:szCs w:val="22"/>
          <w:lang w:val="fr-CA"/>
        </w:rPr>
        <w:t xml:space="preserve">éfinir le rôle du SEDI pour appuyer les efforts déployés par les États membres pour avoir accès à du financement vert.  </w:t>
      </w:r>
    </w:p>
    <w:p w:rsidR="00D52970" w:rsidRPr="00E85219" w:rsidRDefault="00D52970" w:rsidP="00E85219">
      <w:pPr>
        <w:tabs>
          <w:tab w:val="left" w:pos="720"/>
          <w:tab w:val="left" w:pos="1440"/>
          <w:tab w:val="left" w:pos="2160"/>
        </w:tabs>
        <w:contextualSpacing/>
        <w:jc w:val="both"/>
        <w:rPr>
          <w:sz w:val="22"/>
          <w:szCs w:val="22"/>
          <w:lang w:val="fr-CA"/>
        </w:rPr>
      </w:pPr>
    </w:p>
    <w:p w:rsidR="0069766D" w:rsidRPr="00053B20" w:rsidRDefault="00D52970" w:rsidP="0069766D">
      <w:pPr>
        <w:numPr>
          <w:ilvl w:val="0"/>
          <w:numId w:val="19"/>
        </w:numPr>
        <w:tabs>
          <w:tab w:val="left" w:pos="720"/>
          <w:tab w:val="left" w:pos="1440"/>
          <w:tab w:val="left" w:pos="2160"/>
        </w:tabs>
        <w:ind w:left="0" w:firstLine="0"/>
        <w:jc w:val="both"/>
        <w:rPr>
          <w:b/>
          <w:sz w:val="22"/>
          <w:szCs w:val="22"/>
          <w:lang w:val="fr-CA"/>
        </w:rPr>
      </w:pPr>
      <w:r>
        <w:rPr>
          <w:b/>
          <w:sz w:val="22"/>
          <w:szCs w:val="22"/>
          <w:lang w:val="fr-CA"/>
        </w:rPr>
        <w:t>Pertinence pour le</w:t>
      </w:r>
      <w:r w:rsidR="0069766D" w:rsidRPr="00053B20">
        <w:rPr>
          <w:b/>
          <w:sz w:val="22"/>
          <w:szCs w:val="22"/>
          <w:lang w:val="fr-CA"/>
        </w:rPr>
        <w:t xml:space="preserve"> SEDI </w:t>
      </w:r>
    </w:p>
    <w:p w:rsidR="0069766D" w:rsidRPr="00053B20" w:rsidRDefault="0069766D" w:rsidP="0069766D">
      <w:pPr>
        <w:tabs>
          <w:tab w:val="left" w:pos="720"/>
          <w:tab w:val="left" w:pos="1440"/>
          <w:tab w:val="left" w:pos="2160"/>
        </w:tabs>
        <w:jc w:val="both"/>
        <w:rPr>
          <w:sz w:val="22"/>
          <w:szCs w:val="22"/>
          <w:lang w:val="fr-CA"/>
        </w:rPr>
      </w:pPr>
    </w:p>
    <w:p w:rsidR="0069766D" w:rsidRPr="00053B20" w:rsidRDefault="0069766D" w:rsidP="0069766D">
      <w:pPr>
        <w:tabs>
          <w:tab w:val="left" w:pos="720"/>
          <w:tab w:val="left" w:pos="1440"/>
          <w:tab w:val="left" w:pos="2160"/>
        </w:tabs>
        <w:jc w:val="both"/>
        <w:rPr>
          <w:sz w:val="22"/>
          <w:szCs w:val="22"/>
          <w:lang w:val="fr-CA"/>
        </w:rPr>
      </w:pPr>
      <w:r w:rsidRPr="00053B20">
        <w:rPr>
          <w:sz w:val="22"/>
          <w:szCs w:val="22"/>
          <w:lang w:val="fr-CA"/>
        </w:rPr>
        <w:tab/>
      </w:r>
      <w:r w:rsidR="00D52970">
        <w:rPr>
          <w:sz w:val="22"/>
          <w:szCs w:val="22"/>
          <w:lang w:val="fr-CA"/>
        </w:rPr>
        <w:t>Renforcement de la mise en œuvre des objectifs de développement durable en accord avec le Programme interaméricain de développement durable</w:t>
      </w:r>
      <w:r w:rsidRPr="00053B20">
        <w:rPr>
          <w:sz w:val="22"/>
          <w:szCs w:val="22"/>
          <w:lang w:val="fr-CA"/>
        </w:rPr>
        <w:t xml:space="preserve"> (PIDS) 2016-2021.</w:t>
      </w:r>
    </w:p>
    <w:p w:rsidR="0069766D" w:rsidRPr="00053B20" w:rsidRDefault="0069766D" w:rsidP="0069766D">
      <w:pPr>
        <w:tabs>
          <w:tab w:val="left" w:pos="720"/>
          <w:tab w:val="left" w:pos="1440"/>
          <w:tab w:val="left" w:pos="2160"/>
        </w:tabs>
        <w:jc w:val="both"/>
        <w:rPr>
          <w:sz w:val="22"/>
          <w:szCs w:val="22"/>
          <w:lang w:val="fr-CA"/>
        </w:rPr>
      </w:pPr>
    </w:p>
    <w:p w:rsidR="0069766D" w:rsidRPr="00053B20" w:rsidRDefault="0069766D" w:rsidP="0069766D">
      <w:pPr>
        <w:tabs>
          <w:tab w:val="left" w:pos="720"/>
          <w:tab w:val="left" w:pos="1440"/>
          <w:tab w:val="left" w:pos="2160"/>
        </w:tabs>
        <w:jc w:val="both"/>
        <w:rPr>
          <w:sz w:val="22"/>
          <w:szCs w:val="22"/>
          <w:lang w:val="fr-CA"/>
        </w:rPr>
      </w:pPr>
      <w:r w:rsidRPr="00053B20">
        <w:rPr>
          <w:sz w:val="22"/>
          <w:szCs w:val="22"/>
          <w:lang w:val="fr-CA"/>
        </w:rPr>
        <w:tab/>
      </w:r>
      <w:r w:rsidR="00D52970">
        <w:rPr>
          <w:sz w:val="22"/>
          <w:szCs w:val="22"/>
          <w:lang w:val="fr-CA"/>
        </w:rPr>
        <w:t xml:space="preserve">Amélioration des capacités des États membres dans les domaines de l’énergie durable, de la gestion durable des écosystèmes, de la gestion des risques de catastrophe et de la gestion des ressources hydriques. </w:t>
      </w:r>
    </w:p>
    <w:p w:rsidR="0069766D" w:rsidRPr="00053B20" w:rsidRDefault="0069766D" w:rsidP="0069766D">
      <w:pPr>
        <w:tabs>
          <w:tab w:val="left" w:pos="720"/>
          <w:tab w:val="left" w:pos="1440"/>
          <w:tab w:val="left" w:pos="2160"/>
        </w:tabs>
        <w:jc w:val="both"/>
        <w:rPr>
          <w:sz w:val="22"/>
          <w:szCs w:val="22"/>
          <w:lang w:val="fr-CA"/>
        </w:rPr>
      </w:pPr>
    </w:p>
    <w:p w:rsidR="0069766D" w:rsidRPr="00053B20" w:rsidRDefault="0069766D" w:rsidP="0069766D">
      <w:pPr>
        <w:keepNext/>
        <w:keepLines/>
        <w:numPr>
          <w:ilvl w:val="0"/>
          <w:numId w:val="19"/>
        </w:numPr>
        <w:tabs>
          <w:tab w:val="left" w:pos="720"/>
          <w:tab w:val="left" w:pos="1440"/>
          <w:tab w:val="left" w:pos="2160"/>
        </w:tabs>
        <w:ind w:left="0" w:firstLine="0"/>
        <w:jc w:val="both"/>
        <w:rPr>
          <w:b/>
          <w:sz w:val="22"/>
          <w:szCs w:val="22"/>
          <w:lang w:val="fr-CA"/>
        </w:rPr>
      </w:pPr>
      <w:r w:rsidRPr="00053B20">
        <w:rPr>
          <w:b/>
          <w:sz w:val="22"/>
          <w:szCs w:val="22"/>
          <w:lang w:val="fr-CA"/>
        </w:rPr>
        <w:t>Structure</w:t>
      </w:r>
      <w:r w:rsidR="00D52970">
        <w:rPr>
          <w:b/>
          <w:sz w:val="22"/>
          <w:szCs w:val="22"/>
          <w:lang w:val="fr-CA"/>
        </w:rPr>
        <w:t xml:space="preserve"> de la réunion</w:t>
      </w:r>
      <w:r w:rsidRPr="00053B20">
        <w:rPr>
          <w:b/>
          <w:sz w:val="22"/>
          <w:szCs w:val="22"/>
          <w:lang w:val="fr-CA"/>
        </w:rPr>
        <w:t xml:space="preserve"> </w:t>
      </w:r>
    </w:p>
    <w:p w:rsidR="0069766D" w:rsidRPr="00053B20" w:rsidRDefault="0069766D" w:rsidP="0069766D">
      <w:pPr>
        <w:keepNext/>
        <w:keepLines/>
        <w:tabs>
          <w:tab w:val="left" w:pos="720"/>
          <w:tab w:val="left" w:pos="1440"/>
          <w:tab w:val="left" w:pos="2160"/>
        </w:tabs>
        <w:jc w:val="both"/>
        <w:rPr>
          <w:sz w:val="22"/>
          <w:szCs w:val="22"/>
          <w:lang w:val="fr-CA"/>
        </w:rPr>
      </w:pPr>
    </w:p>
    <w:p w:rsidR="0069766D" w:rsidRPr="00053B20" w:rsidRDefault="0069766D" w:rsidP="0069766D">
      <w:pPr>
        <w:keepNext/>
        <w:keepLines/>
        <w:tabs>
          <w:tab w:val="left" w:pos="720"/>
          <w:tab w:val="left" w:pos="1440"/>
          <w:tab w:val="left" w:pos="2160"/>
        </w:tabs>
        <w:jc w:val="both"/>
        <w:rPr>
          <w:sz w:val="22"/>
          <w:szCs w:val="22"/>
          <w:lang w:val="fr-CA"/>
        </w:rPr>
      </w:pPr>
      <w:r w:rsidRPr="00053B20">
        <w:rPr>
          <w:sz w:val="22"/>
          <w:szCs w:val="22"/>
          <w:lang w:val="fr-CA"/>
        </w:rPr>
        <w:tab/>
      </w:r>
      <w:r w:rsidR="00D52970">
        <w:rPr>
          <w:sz w:val="22"/>
          <w:szCs w:val="22"/>
          <w:lang w:val="fr-CA"/>
        </w:rPr>
        <w:t>Panélistes invités </w:t>
      </w:r>
      <w:r w:rsidRPr="00053B20">
        <w:rPr>
          <w:sz w:val="22"/>
          <w:szCs w:val="22"/>
          <w:lang w:val="fr-CA"/>
        </w:rPr>
        <w:t>:</w:t>
      </w:r>
    </w:p>
    <w:p w:rsidR="0069766D" w:rsidRPr="00053B20" w:rsidRDefault="0069766D" w:rsidP="0069766D">
      <w:pPr>
        <w:keepNext/>
        <w:keepLines/>
        <w:tabs>
          <w:tab w:val="left" w:pos="720"/>
          <w:tab w:val="left" w:pos="1440"/>
          <w:tab w:val="left" w:pos="2160"/>
        </w:tabs>
        <w:jc w:val="both"/>
        <w:rPr>
          <w:sz w:val="22"/>
          <w:szCs w:val="22"/>
          <w:lang w:val="fr-CA"/>
        </w:rPr>
      </w:pPr>
    </w:p>
    <w:p w:rsidR="0069766D" w:rsidRPr="00053B20" w:rsidRDefault="00217088" w:rsidP="0069766D">
      <w:pPr>
        <w:keepLines/>
        <w:tabs>
          <w:tab w:val="left" w:pos="720"/>
          <w:tab w:val="left" w:pos="1440"/>
          <w:tab w:val="left" w:pos="2160"/>
        </w:tabs>
        <w:ind w:firstLine="720"/>
        <w:jc w:val="both"/>
        <w:rPr>
          <w:sz w:val="22"/>
          <w:szCs w:val="22"/>
          <w:lang w:val="fr-CA"/>
        </w:rPr>
      </w:pPr>
      <w:r>
        <w:rPr>
          <w:sz w:val="22"/>
          <w:szCs w:val="22"/>
          <w:lang w:val="fr-CA"/>
        </w:rPr>
        <w:t xml:space="preserve">Le </w:t>
      </w:r>
      <w:r w:rsidR="0069766D" w:rsidRPr="00053B20">
        <w:rPr>
          <w:sz w:val="22"/>
          <w:szCs w:val="22"/>
          <w:lang w:val="fr-CA"/>
        </w:rPr>
        <w:t>Global Environment Facility (GEF)</w:t>
      </w:r>
    </w:p>
    <w:p w:rsidR="0069766D" w:rsidRPr="00053B20" w:rsidRDefault="0069766D" w:rsidP="00E85219">
      <w:pPr>
        <w:tabs>
          <w:tab w:val="left" w:pos="720"/>
          <w:tab w:val="left" w:pos="1440"/>
          <w:tab w:val="left" w:pos="2160"/>
        </w:tabs>
        <w:jc w:val="both"/>
        <w:rPr>
          <w:sz w:val="22"/>
          <w:szCs w:val="22"/>
          <w:lang w:val="fr-CA"/>
        </w:rPr>
      </w:pPr>
    </w:p>
    <w:p w:rsidR="0069766D" w:rsidRPr="00053B20" w:rsidRDefault="00217088" w:rsidP="0069766D">
      <w:pPr>
        <w:tabs>
          <w:tab w:val="left" w:pos="720"/>
          <w:tab w:val="left" w:pos="1440"/>
          <w:tab w:val="left" w:pos="2160"/>
        </w:tabs>
        <w:ind w:firstLine="720"/>
        <w:jc w:val="both"/>
        <w:rPr>
          <w:sz w:val="22"/>
          <w:szCs w:val="22"/>
          <w:lang w:val="fr-CA"/>
        </w:rPr>
      </w:pPr>
      <w:r>
        <w:rPr>
          <w:sz w:val="22"/>
          <w:szCs w:val="22"/>
          <w:lang w:val="fr-CA"/>
        </w:rPr>
        <w:t>Le Fonds vert pour le climat</w:t>
      </w:r>
      <w:r w:rsidR="0069766D" w:rsidRPr="00053B20">
        <w:rPr>
          <w:sz w:val="22"/>
          <w:szCs w:val="22"/>
          <w:lang w:val="fr-CA"/>
        </w:rPr>
        <w:t xml:space="preserve"> (GCF)</w:t>
      </w:r>
    </w:p>
    <w:p w:rsidR="0069766D" w:rsidRPr="00053B20" w:rsidRDefault="0069766D" w:rsidP="00E85219">
      <w:pPr>
        <w:tabs>
          <w:tab w:val="left" w:pos="720"/>
          <w:tab w:val="left" w:pos="1440"/>
          <w:tab w:val="left" w:pos="2160"/>
        </w:tabs>
        <w:jc w:val="both"/>
        <w:rPr>
          <w:sz w:val="22"/>
          <w:szCs w:val="22"/>
          <w:lang w:val="fr-CA"/>
        </w:rPr>
      </w:pPr>
      <w:bookmarkStart w:id="1" w:name="_GoBack"/>
      <w:bookmarkEnd w:id="1"/>
    </w:p>
    <w:p w:rsidR="0069766D" w:rsidRPr="00053B20" w:rsidRDefault="00217088" w:rsidP="0069766D">
      <w:pPr>
        <w:tabs>
          <w:tab w:val="left" w:pos="720"/>
          <w:tab w:val="left" w:pos="1440"/>
          <w:tab w:val="left" w:pos="2160"/>
        </w:tabs>
        <w:ind w:firstLine="720"/>
        <w:jc w:val="both"/>
        <w:rPr>
          <w:bCs/>
          <w:sz w:val="22"/>
          <w:szCs w:val="22"/>
          <w:lang w:val="fr-CA"/>
        </w:rPr>
      </w:pPr>
      <w:r>
        <w:rPr>
          <w:bCs/>
          <w:sz w:val="22"/>
          <w:szCs w:val="22"/>
          <w:lang w:val="fr-CA"/>
        </w:rPr>
        <w:t>Les États-Unis</w:t>
      </w:r>
    </w:p>
    <w:p w:rsidR="0069766D" w:rsidRPr="00053B20" w:rsidRDefault="0069766D" w:rsidP="0069766D">
      <w:pPr>
        <w:tabs>
          <w:tab w:val="left" w:pos="720"/>
          <w:tab w:val="left" w:pos="1440"/>
          <w:tab w:val="left" w:pos="2160"/>
        </w:tabs>
        <w:jc w:val="both"/>
        <w:rPr>
          <w:sz w:val="22"/>
          <w:szCs w:val="22"/>
          <w:lang w:val="fr-CA"/>
        </w:rPr>
      </w:pPr>
    </w:p>
    <w:p w:rsidR="0069766D" w:rsidRPr="00053B20" w:rsidRDefault="00217088" w:rsidP="0069766D">
      <w:pPr>
        <w:numPr>
          <w:ilvl w:val="0"/>
          <w:numId w:val="19"/>
        </w:numPr>
        <w:tabs>
          <w:tab w:val="left" w:pos="720"/>
          <w:tab w:val="left" w:pos="1440"/>
          <w:tab w:val="left" w:pos="2160"/>
        </w:tabs>
        <w:ind w:left="0" w:firstLine="0"/>
        <w:jc w:val="both"/>
        <w:rPr>
          <w:b/>
          <w:sz w:val="22"/>
          <w:szCs w:val="22"/>
          <w:lang w:val="fr-CA"/>
        </w:rPr>
      </w:pPr>
      <w:r>
        <w:rPr>
          <w:b/>
          <w:sz w:val="22"/>
          <w:szCs w:val="22"/>
          <w:lang w:val="fr-CA"/>
        </w:rPr>
        <w:t>Résultats de la réunion</w:t>
      </w:r>
      <w:r w:rsidR="0069766D" w:rsidRPr="00053B20">
        <w:rPr>
          <w:b/>
          <w:sz w:val="22"/>
          <w:szCs w:val="22"/>
          <w:lang w:val="fr-CA"/>
        </w:rPr>
        <w:t xml:space="preserve"> </w:t>
      </w:r>
    </w:p>
    <w:p w:rsidR="0069766D" w:rsidRPr="00053B20" w:rsidRDefault="0069766D" w:rsidP="0069766D">
      <w:pPr>
        <w:tabs>
          <w:tab w:val="left" w:pos="720"/>
          <w:tab w:val="left" w:pos="1440"/>
          <w:tab w:val="left" w:pos="2160"/>
        </w:tabs>
        <w:jc w:val="both"/>
        <w:rPr>
          <w:sz w:val="22"/>
          <w:szCs w:val="22"/>
          <w:lang w:val="fr-CA"/>
        </w:rPr>
      </w:pPr>
    </w:p>
    <w:p w:rsidR="0069766D" w:rsidRPr="00053B20" w:rsidRDefault="0069766D" w:rsidP="0069766D">
      <w:pPr>
        <w:tabs>
          <w:tab w:val="left" w:pos="720"/>
          <w:tab w:val="left" w:pos="1440"/>
          <w:tab w:val="left" w:pos="2160"/>
        </w:tabs>
        <w:jc w:val="both"/>
        <w:rPr>
          <w:sz w:val="22"/>
          <w:szCs w:val="22"/>
          <w:lang w:val="fr-CA"/>
        </w:rPr>
      </w:pPr>
      <w:r w:rsidRPr="00053B20">
        <w:rPr>
          <w:sz w:val="22"/>
          <w:szCs w:val="22"/>
          <w:lang w:val="fr-CA"/>
        </w:rPr>
        <w:tab/>
      </w:r>
      <w:r w:rsidR="00217088">
        <w:rPr>
          <w:sz w:val="22"/>
          <w:szCs w:val="22"/>
          <w:lang w:val="fr-CA"/>
        </w:rPr>
        <w:t>Un plan continental de financement pour le climat qui tire parti de la valeur ajoutée de l’OEA, tout en appuyant les efforts consentis par les institutions financières internationales, les banques de développement et de la coopération internationale pour le développement</w:t>
      </w:r>
      <w:r w:rsidRPr="00053B20">
        <w:rPr>
          <w:sz w:val="22"/>
          <w:szCs w:val="22"/>
          <w:lang w:val="fr-CA"/>
        </w:rPr>
        <w:t>.</w:t>
      </w:r>
    </w:p>
    <w:p w:rsidR="0069766D" w:rsidRPr="00053B20" w:rsidRDefault="0069766D" w:rsidP="0069766D">
      <w:pPr>
        <w:tabs>
          <w:tab w:val="left" w:pos="720"/>
          <w:tab w:val="left" w:pos="1440"/>
          <w:tab w:val="left" w:pos="2160"/>
        </w:tabs>
        <w:jc w:val="both"/>
        <w:rPr>
          <w:sz w:val="22"/>
          <w:szCs w:val="22"/>
          <w:lang w:val="fr-CA"/>
        </w:rPr>
      </w:pPr>
    </w:p>
    <w:p w:rsidR="0069766D" w:rsidRPr="00053B20" w:rsidRDefault="0069766D" w:rsidP="0069766D">
      <w:pPr>
        <w:tabs>
          <w:tab w:val="left" w:pos="720"/>
          <w:tab w:val="left" w:pos="1440"/>
          <w:tab w:val="left" w:pos="2160"/>
        </w:tabs>
        <w:jc w:val="both"/>
        <w:rPr>
          <w:sz w:val="22"/>
          <w:szCs w:val="22"/>
          <w:lang w:val="fr-CA"/>
        </w:rPr>
      </w:pPr>
    </w:p>
    <w:p w:rsidR="00FB2A63" w:rsidRPr="00053B20" w:rsidRDefault="00E85219" w:rsidP="0069766D">
      <w:pPr>
        <w:jc w:val="center"/>
        <w:rPr>
          <w:sz w:val="22"/>
          <w:szCs w:val="22"/>
          <w:lang w:val="fr-CA"/>
        </w:rPr>
      </w:pPr>
      <w:r>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4134" cy="230736"/>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134" cy="230736"/>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E85219" w:rsidRPr="00E85219" w:rsidRDefault="00E85219">
                            <w:pPr>
                              <w:rPr>
                                <w:sz w:val="18"/>
                              </w:rPr>
                            </w:pPr>
                            <w:r>
                              <w:rPr>
                                <w:sz w:val="18"/>
                              </w:rPr>
                              <w:fldChar w:fldCharType="begin"/>
                            </w:r>
                            <w:r>
                              <w:rPr>
                                <w:sz w:val="18"/>
                              </w:rPr>
                              <w:instrText xml:space="preserve"> FILENAME  \* MERGEFORMAT </w:instrText>
                            </w:r>
                            <w:r>
                              <w:rPr>
                                <w:sz w:val="18"/>
                              </w:rPr>
                              <w:fldChar w:fldCharType="separate"/>
                            </w:r>
                            <w:r>
                              <w:rPr>
                                <w:noProof/>
                                <w:sz w:val="18"/>
                              </w:rPr>
                              <w:t>CIDRP03080F04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2pt;margin-top:10in;width:266.45pt;height:18.1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" filled="f" stroked="f">
                <v:stroke joinstyle="round"/>
                <v:path arrowok="t"/>
                <v:textbox>
                  <w:txbxContent>
                    <w:p w:rsidR="00E85219" w:rsidRPr="00E85219" w:rsidRDefault="00E85219">
                      <w:pPr>
                        <w:rPr>
                          <w:sz w:val="18"/>
                        </w:rPr>
                      </w:pPr>
                      <w:r>
                        <w:rPr>
                          <w:sz w:val="18"/>
                        </w:rPr>
                        <w:fldChar w:fldCharType="begin"/>
                      </w:r>
                      <w:r>
                        <w:rPr>
                          <w:sz w:val="18"/>
                        </w:rPr>
                        <w:instrText xml:space="preserve"> FILENAME  \* MERGEFORMAT </w:instrText>
                      </w:r>
                      <w:r>
                        <w:rPr>
                          <w:sz w:val="18"/>
                        </w:rPr>
                        <w:fldChar w:fldCharType="separate"/>
                      </w:r>
                      <w:r>
                        <w:rPr>
                          <w:noProof/>
                          <w:sz w:val="18"/>
                        </w:rPr>
                        <w:t>CIDRP03080F04</w:t>
                      </w:r>
                      <w:r>
                        <w:rPr>
                          <w:sz w:val="18"/>
                        </w:rPr>
                        <w:fldChar w:fldCharType="end"/>
                      </w:r>
                    </w:p>
                  </w:txbxContent>
                </v:textbox>
                <w10:wrap anchory="page"/>
                <w10:anchorlock/>
              </v:shape>
            </w:pict>
          </mc:Fallback>
        </mc:AlternateContent>
      </w:r>
    </w:p>
    <w:sectPr w:rsidR="00FB2A63" w:rsidRPr="00053B20" w:rsidSect="00A870BA">
      <w:headerReference w:type="default" r:id="rId9"/>
      <w:headerReference w:type="first" r:id="rId10"/>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59D" w:rsidRDefault="0058459D">
      <w:r>
        <w:separator/>
      </w:r>
    </w:p>
  </w:endnote>
  <w:endnote w:type="continuationSeparator" w:id="0">
    <w:p w:rsidR="0058459D" w:rsidRDefault="0058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59D" w:rsidRDefault="0058459D">
      <w:r>
        <w:separator/>
      </w:r>
    </w:p>
  </w:footnote>
  <w:footnote w:type="continuationSeparator" w:id="0">
    <w:p w:rsidR="0058459D" w:rsidRDefault="0058459D">
      <w:r>
        <w:continuationSeparator/>
      </w:r>
    </w:p>
  </w:footnote>
  <w:footnote w:id="1">
    <w:p w:rsidR="0069766D" w:rsidRPr="00E85219" w:rsidRDefault="0069766D" w:rsidP="0069766D">
      <w:pPr>
        <w:pStyle w:val="FootnoteText"/>
        <w:ind w:left="1080" w:hanging="360"/>
      </w:pPr>
      <w:r w:rsidRPr="00722461">
        <w:rPr>
          <w:rStyle w:val="FootnoteReference"/>
          <w:vertAlign w:val="baseline"/>
          <w:lang w:val="fr-CA"/>
        </w:rPr>
        <w:footnoteRef/>
      </w:r>
      <w:r w:rsidRPr="00E85219">
        <w:t>.</w:t>
      </w:r>
      <w:r w:rsidRPr="00E85219">
        <w:tab/>
        <w:t xml:space="preserve"> </w:t>
      </w:r>
      <w:hyperlink r:id="rId1" w:history="1">
        <w:r w:rsidRPr="00E85219">
          <w:rPr>
            <w:rStyle w:val="Hyperlink"/>
          </w:rPr>
          <w:t>Latin America and the Caribbean: Growth Projections for 2020, ECLAC 2020.</w:t>
        </w:r>
      </w:hyperlink>
    </w:p>
  </w:footnote>
  <w:footnote w:id="2">
    <w:p w:rsidR="0069766D" w:rsidRPr="00E85219" w:rsidRDefault="0069766D" w:rsidP="0069766D">
      <w:pPr>
        <w:pStyle w:val="FootnoteText"/>
        <w:ind w:left="1080" w:hanging="360"/>
      </w:pPr>
      <w:r w:rsidRPr="00722461">
        <w:rPr>
          <w:rStyle w:val="FootnoteReference"/>
          <w:vertAlign w:val="baseline"/>
          <w:lang w:val="fr-CA"/>
        </w:rPr>
        <w:footnoteRef/>
      </w:r>
      <w:r w:rsidRPr="00E85219">
        <w:t>.</w:t>
      </w:r>
      <w:r w:rsidRPr="00E85219">
        <w:tab/>
        <w:t xml:space="preserve"> </w:t>
      </w:r>
      <w:hyperlink r:id="rId2" w:history="1">
        <w:r w:rsidRPr="00E85219">
          <w:rPr>
            <w:rStyle w:val="Hyperlink"/>
          </w:rPr>
          <w:t>The Impact of COVID-19 on the Water and Sanitation Sector, IFC 2020</w:t>
        </w:r>
      </w:hyperlink>
      <w:r w:rsidRPr="00E85219">
        <w:t xml:space="preserve">. </w:t>
      </w:r>
    </w:p>
  </w:footnote>
  <w:footnote w:id="3">
    <w:p w:rsidR="0069766D" w:rsidRPr="00722461" w:rsidRDefault="0069766D" w:rsidP="0069766D">
      <w:pPr>
        <w:pStyle w:val="FootnoteText"/>
        <w:ind w:left="1080" w:hanging="360"/>
        <w:rPr>
          <w:lang w:val="fr-CA"/>
        </w:rPr>
      </w:pPr>
      <w:r w:rsidRPr="00722461">
        <w:rPr>
          <w:rStyle w:val="FootnoteReference"/>
          <w:vertAlign w:val="baseline"/>
          <w:lang w:val="fr-CA"/>
        </w:rPr>
        <w:footnoteRef/>
      </w:r>
      <w:r w:rsidRPr="00E85219">
        <w:t>.</w:t>
      </w:r>
      <w:r w:rsidRPr="00E85219">
        <w:tab/>
      </w:r>
      <w:hyperlink r:id="rId3" w:history="1">
        <w:r w:rsidRPr="00E85219">
          <w:rPr>
            <w:rStyle w:val="Hyperlink"/>
          </w:rPr>
          <w:t>Air pollution and COVID-19 mortality in the United States: Strengths and limitations of an ecological regression analysis.</w:t>
        </w:r>
      </w:hyperlink>
      <w:r w:rsidRPr="00E85219">
        <w:t xml:space="preserve"> </w:t>
      </w:r>
      <w:r w:rsidR="00722461" w:rsidRPr="00722461">
        <w:rPr>
          <w:lang w:val="fr-CA"/>
        </w:rPr>
        <w:t xml:space="preserve">(La pollution de l’air et la </w:t>
      </w:r>
      <w:r w:rsidR="00722461">
        <w:rPr>
          <w:lang w:val="fr-CA"/>
        </w:rPr>
        <w:t xml:space="preserve">mortalité due à la COVID-19 aux États-Unis : </w:t>
      </w:r>
      <w:r w:rsidR="001D6481">
        <w:rPr>
          <w:lang w:val="fr-CA"/>
        </w:rPr>
        <w:t>Forces et limites d’une analyse de régression écologique).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0E" w:rsidRPr="009C75F5" w:rsidRDefault="00FA607C">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E85219">
      <w:rPr>
        <w:noProof/>
        <w:sz w:val="22"/>
        <w:szCs w:val="22"/>
      </w:rPr>
      <w:t>- 3 -</w:t>
    </w:r>
    <w:r w:rsidRPr="009C75F5">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0E" w:rsidRDefault="00FB2A63">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E9E" w:rsidRPr="00053B20" w:rsidRDefault="00FA607C" w:rsidP="00921E9E">
                          <w:pPr>
                            <w:pStyle w:val="Header"/>
                            <w:tabs>
                              <w:tab w:val="left" w:pos="900"/>
                            </w:tabs>
                            <w:spacing w:line="0" w:lineRule="atLeast"/>
                            <w:jc w:val="center"/>
                            <w:rPr>
                              <w:rFonts w:ascii="Garamond" w:hAnsi="Garamond"/>
                              <w:b/>
                              <w:sz w:val="28"/>
                              <w:lang w:val="fr-CA"/>
                            </w:rPr>
                          </w:pPr>
                          <w:r w:rsidRPr="00053B20">
                            <w:rPr>
                              <w:rFonts w:ascii="Garamond" w:hAnsi="Garamond"/>
                              <w:b/>
                              <w:sz w:val="28"/>
                              <w:lang w:val="fr-CA"/>
                            </w:rPr>
                            <w:t>ORGANI</w:t>
                          </w:r>
                          <w:r w:rsidR="00053B20">
                            <w:rPr>
                              <w:rFonts w:ascii="Garamond" w:hAnsi="Garamond"/>
                              <w:b/>
                              <w:sz w:val="28"/>
                              <w:lang w:val="fr-CA"/>
                            </w:rPr>
                            <w:t>S</w:t>
                          </w:r>
                          <w:r w:rsidRPr="00053B20">
                            <w:rPr>
                              <w:rFonts w:ascii="Garamond" w:hAnsi="Garamond"/>
                              <w:b/>
                              <w:sz w:val="28"/>
                              <w:lang w:val="fr-CA"/>
                            </w:rPr>
                            <w:t xml:space="preserve">ATION </w:t>
                          </w:r>
                          <w:r w:rsidR="00053B20">
                            <w:rPr>
                              <w:rFonts w:ascii="Garamond" w:hAnsi="Garamond"/>
                              <w:b/>
                              <w:sz w:val="28"/>
                              <w:lang w:val="fr-CA"/>
                            </w:rPr>
                            <w:t>DES ÉTATS AMÉRICAINS</w:t>
                          </w:r>
                          <w:r w:rsidRPr="00053B20">
                            <w:rPr>
                              <w:rFonts w:ascii="Garamond" w:hAnsi="Garamond"/>
                              <w:b/>
                              <w:sz w:val="28"/>
                              <w:lang w:val="fr-CA"/>
                            </w:rPr>
                            <w:t xml:space="preserve"> </w:t>
                          </w:r>
                        </w:p>
                        <w:p w:rsidR="00921E9E" w:rsidRPr="00053B20" w:rsidRDefault="00053B20" w:rsidP="00921E9E">
                          <w:pPr>
                            <w:pStyle w:val="Header"/>
                            <w:tabs>
                              <w:tab w:val="left" w:pos="900"/>
                            </w:tabs>
                            <w:spacing w:line="0" w:lineRule="atLeast"/>
                            <w:jc w:val="center"/>
                            <w:rPr>
                              <w:rFonts w:ascii="Garamond" w:hAnsi="Garamond"/>
                              <w:b/>
                              <w:szCs w:val="22"/>
                              <w:lang w:val="fr-CA"/>
                            </w:rPr>
                          </w:pPr>
                          <w:r>
                            <w:rPr>
                              <w:rFonts w:ascii="Garamond" w:hAnsi="Garamond"/>
                              <w:b/>
                              <w:szCs w:val="22"/>
                              <w:lang w:val="fr-CA"/>
                            </w:rPr>
                            <w:t>Conseil interaméricain pour le développement intégré</w:t>
                          </w:r>
                          <w:r w:rsidR="00FA607C" w:rsidRPr="00053B20">
                            <w:rPr>
                              <w:rFonts w:ascii="Garamond" w:hAnsi="Garamond"/>
                              <w:b/>
                              <w:szCs w:val="22"/>
                              <w:lang w:val="fr-CA"/>
                            </w:rPr>
                            <w:t xml:space="preserve"> </w:t>
                          </w:r>
                        </w:p>
                        <w:p w:rsidR="00921E9E" w:rsidRPr="00053B20" w:rsidRDefault="00FA607C" w:rsidP="00921E9E">
                          <w:pPr>
                            <w:pStyle w:val="Header"/>
                            <w:tabs>
                              <w:tab w:val="left" w:pos="900"/>
                            </w:tabs>
                            <w:spacing w:line="0" w:lineRule="atLeast"/>
                            <w:jc w:val="center"/>
                            <w:rPr>
                              <w:b/>
                              <w:szCs w:val="22"/>
                              <w:lang w:val="fr-CA"/>
                            </w:rPr>
                          </w:pPr>
                          <w:r w:rsidRPr="00053B20">
                            <w:rPr>
                              <w:rFonts w:ascii="Garamond" w:hAnsi="Garamond"/>
                              <w:b/>
                              <w:szCs w:val="22"/>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" stroked="f">
              <v:textbox>
                <w:txbxContent>
                  <w:p w:rsidR="00921E9E" w:rsidRPr="00053B20" w:rsidRDefault="00FA607C" w:rsidP="00921E9E">
                    <w:pPr>
                      <w:pStyle w:val="Header"/>
                      <w:tabs>
                        <w:tab w:val="left" w:pos="900"/>
                      </w:tabs>
                      <w:spacing w:line="0" w:lineRule="atLeast"/>
                      <w:jc w:val="center"/>
                      <w:rPr>
                        <w:rFonts w:ascii="Garamond" w:hAnsi="Garamond"/>
                        <w:b/>
                        <w:sz w:val="28"/>
                        <w:lang w:val="fr-CA"/>
                      </w:rPr>
                    </w:pPr>
                    <w:r w:rsidRPr="00053B20">
                      <w:rPr>
                        <w:rFonts w:ascii="Garamond" w:hAnsi="Garamond"/>
                        <w:b/>
                        <w:sz w:val="28"/>
                        <w:lang w:val="fr-CA"/>
                      </w:rPr>
                      <w:t>ORGANI</w:t>
                    </w:r>
                    <w:r w:rsidR="00053B20">
                      <w:rPr>
                        <w:rFonts w:ascii="Garamond" w:hAnsi="Garamond"/>
                        <w:b/>
                        <w:sz w:val="28"/>
                        <w:lang w:val="fr-CA"/>
                      </w:rPr>
                      <w:t>S</w:t>
                    </w:r>
                    <w:r w:rsidRPr="00053B20">
                      <w:rPr>
                        <w:rFonts w:ascii="Garamond" w:hAnsi="Garamond"/>
                        <w:b/>
                        <w:sz w:val="28"/>
                        <w:lang w:val="fr-CA"/>
                      </w:rPr>
                      <w:t xml:space="preserve">ATION </w:t>
                    </w:r>
                    <w:r w:rsidR="00053B20">
                      <w:rPr>
                        <w:rFonts w:ascii="Garamond" w:hAnsi="Garamond"/>
                        <w:b/>
                        <w:sz w:val="28"/>
                        <w:lang w:val="fr-CA"/>
                      </w:rPr>
                      <w:t>DES ÉTATS AMÉRICAINS</w:t>
                    </w:r>
                    <w:r w:rsidRPr="00053B20">
                      <w:rPr>
                        <w:rFonts w:ascii="Garamond" w:hAnsi="Garamond"/>
                        <w:b/>
                        <w:sz w:val="28"/>
                        <w:lang w:val="fr-CA"/>
                      </w:rPr>
                      <w:t xml:space="preserve"> </w:t>
                    </w:r>
                  </w:p>
                  <w:p w:rsidR="00921E9E" w:rsidRPr="00053B20" w:rsidRDefault="00053B20" w:rsidP="00921E9E">
                    <w:pPr>
                      <w:pStyle w:val="Header"/>
                      <w:tabs>
                        <w:tab w:val="left" w:pos="900"/>
                      </w:tabs>
                      <w:spacing w:line="0" w:lineRule="atLeast"/>
                      <w:jc w:val="center"/>
                      <w:rPr>
                        <w:rFonts w:ascii="Garamond" w:hAnsi="Garamond"/>
                        <w:b/>
                        <w:szCs w:val="22"/>
                        <w:lang w:val="fr-CA"/>
                      </w:rPr>
                    </w:pPr>
                    <w:r>
                      <w:rPr>
                        <w:rFonts w:ascii="Garamond" w:hAnsi="Garamond"/>
                        <w:b/>
                        <w:szCs w:val="22"/>
                        <w:lang w:val="fr-CA"/>
                      </w:rPr>
                      <w:t>Conseil interaméricain pour le développement intégré</w:t>
                    </w:r>
                    <w:r w:rsidR="00FA607C" w:rsidRPr="00053B20">
                      <w:rPr>
                        <w:rFonts w:ascii="Garamond" w:hAnsi="Garamond"/>
                        <w:b/>
                        <w:szCs w:val="22"/>
                        <w:lang w:val="fr-CA"/>
                      </w:rPr>
                      <w:t xml:space="preserve"> </w:t>
                    </w:r>
                  </w:p>
                  <w:p w:rsidR="00921E9E" w:rsidRPr="00053B20" w:rsidRDefault="00FA607C" w:rsidP="00921E9E">
                    <w:pPr>
                      <w:pStyle w:val="Header"/>
                      <w:tabs>
                        <w:tab w:val="left" w:pos="900"/>
                      </w:tabs>
                      <w:spacing w:line="0" w:lineRule="atLeast"/>
                      <w:jc w:val="center"/>
                      <w:rPr>
                        <w:b/>
                        <w:szCs w:val="22"/>
                        <w:lang w:val="fr-CA"/>
                      </w:rPr>
                    </w:pPr>
                    <w:r w:rsidRPr="00053B20">
                      <w:rPr>
                        <w:rFonts w:ascii="Garamond" w:hAnsi="Garamond"/>
                        <w:b/>
                        <w:szCs w:val="22"/>
                        <w:lang w:val="fr-CA"/>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FB2A63" w:rsidP="00AB7175">
                          <w:pPr>
                            <w:ind w:right="-130"/>
                          </w:pPr>
                          <w:r>
                            <w:rPr>
                              <w:rFonts w:ascii="News Gothic MT" w:hAnsi="News Gothic MT"/>
                              <w:noProof/>
                              <w:color w:val="000000"/>
                            </w:rPr>
                            <w:drawing>
                              <wp:inline distT="0" distB="0" distL="0" distR="0">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73480E" w:rsidRDefault="00FB2A63" w:rsidP="00AB7175">
                    <w:pPr>
                      <w:ind w:right="-130"/>
                    </w:pPr>
                    <w:r>
                      <w:rPr>
                        <w:rFonts w:ascii="News Gothic MT" w:hAnsi="News Gothic MT"/>
                        <w:noProof/>
                        <w:color w:val="000000"/>
                      </w:rPr>
                      <w:drawing>
                        <wp:inline distT="0" distB="0" distL="0" distR="0">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28" w:rsidRDefault="001B082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923AB"/>
    <w:multiLevelType w:val="hybridMultilevel"/>
    <w:tmpl w:val="41EC86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11570"/>
    <w:multiLevelType w:val="hybridMultilevel"/>
    <w:tmpl w:val="16BEEAE6"/>
    <w:lvl w:ilvl="0" w:tplc="548A894A">
      <w:start w:val="1"/>
      <w:numFmt w:val="bullet"/>
      <w:lvlText w:val=""/>
      <w:lvlJc w:val="left"/>
      <w:pPr>
        <w:ind w:left="1080" w:hanging="360"/>
      </w:pPr>
      <w:rPr>
        <w:rFonts w:ascii="Symbol" w:hAnsi="Symbol" w:hint="default"/>
      </w:rPr>
    </w:lvl>
    <w:lvl w:ilvl="1" w:tplc="865258D2" w:tentative="1">
      <w:start w:val="1"/>
      <w:numFmt w:val="bullet"/>
      <w:lvlText w:val="o"/>
      <w:lvlJc w:val="left"/>
      <w:pPr>
        <w:ind w:left="1800" w:hanging="360"/>
      </w:pPr>
      <w:rPr>
        <w:rFonts w:ascii="Courier New" w:hAnsi="Courier New" w:cs="Courier New" w:hint="default"/>
      </w:rPr>
    </w:lvl>
    <w:lvl w:ilvl="2" w:tplc="DE12DC94" w:tentative="1">
      <w:start w:val="1"/>
      <w:numFmt w:val="bullet"/>
      <w:lvlText w:val=""/>
      <w:lvlJc w:val="left"/>
      <w:pPr>
        <w:ind w:left="2520" w:hanging="360"/>
      </w:pPr>
      <w:rPr>
        <w:rFonts w:ascii="Wingdings" w:hAnsi="Wingdings" w:hint="default"/>
      </w:rPr>
    </w:lvl>
    <w:lvl w:ilvl="3" w:tplc="B4D03D92" w:tentative="1">
      <w:start w:val="1"/>
      <w:numFmt w:val="bullet"/>
      <w:lvlText w:val=""/>
      <w:lvlJc w:val="left"/>
      <w:pPr>
        <w:ind w:left="3240" w:hanging="360"/>
      </w:pPr>
      <w:rPr>
        <w:rFonts w:ascii="Symbol" w:hAnsi="Symbol" w:hint="default"/>
      </w:rPr>
    </w:lvl>
    <w:lvl w:ilvl="4" w:tplc="6CA8DB60" w:tentative="1">
      <w:start w:val="1"/>
      <w:numFmt w:val="bullet"/>
      <w:lvlText w:val="o"/>
      <w:lvlJc w:val="left"/>
      <w:pPr>
        <w:ind w:left="3960" w:hanging="360"/>
      </w:pPr>
      <w:rPr>
        <w:rFonts w:ascii="Courier New" w:hAnsi="Courier New" w:cs="Courier New" w:hint="default"/>
      </w:rPr>
    </w:lvl>
    <w:lvl w:ilvl="5" w:tplc="6DE217DE" w:tentative="1">
      <w:start w:val="1"/>
      <w:numFmt w:val="bullet"/>
      <w:lvlText w:val=""/>
      <w:lvlJc w:val="left"/>
      <w:pPr>
        <w:ind w:left="4680" w:hanging="360"/>
      </w:pPr>
      <w:rPr>
        <w:rFonts w:ascii="Wingdings" w:hAnsi="Wingdings" w:hint="default"/>
      </w:rPr>
    </w:lvl>
    <w:lvl w:ilvl="6" w:tplc="DFF0995A" w:tentative="1">
      <w:start w:val="1"/>
      <w:numFmt w:val="bullet"/>
      <w:lvlText w:val=""/>
      <w:lvlJc w:val="left"/>
      <w:pPr>
        <w:ind w:left="5400" w:hanging="360"/>
      </w:pPr>
      <w:rPr>
        <w:rFonts w:ascii="Symbol" w:hAnsi="Symbol" w:hint="default"/>
      </w:rPr>
    </w:lvl>
    <w:lvl w:ilvl="7" w:tplc="A20C3484" w:tentative="1">
      <w:start w:val="1"/>
      <w:numFmt w:val="bullet"/>
      <w:lvlText w:val="o"/>
      <w:lvlJc w:val="left"/>
      <w:pPr>
        <w:ind w:left="6120" w:hanging="360"/>
      </w:pPr>
      <w:rPr>
        <w:rFonts w:ascii="Courier New" w:hAnsi="Courier New" w:cs="Courier New" w:hint="default"/>
      </w:rPr>
    </w:lvl>
    <w:lvl w:ilvl="8" w:tplc="3CE4668E" w:tentative="1">
      <w:start w:val="1"/>
      <w:numFmt w:val="bullet"/>
      <w:lvlText w:val=""/>
      <w:lvlJc w:val="left"/>
      <w:pPr>
        <w:ind w:left="6840" w:hanging="360"/>
      </w:pPr>
      <w:rPr>
        <w:rFonts w:ascii="Wingdings" w:hAnsi="Wingdings" w:hint="default"/>
      </w:rPr>
    </w:lvl>
  </w:abstractNum>
  <w:abstractNum w:abstractNumId="3">
    <w:nsid w:val="10C8700D"/>
    <w:multiLevelType w:val="hybridMultilevel"/>
    <w:tmpl w:val="BFA47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06845"/>
    <w:multiLevelType w:val="hybridMultilevel"/>
    <w:tmpl w:val="5704B636"/>
    <w:lvl w:ilvl="0" w:tplc="67D00E78">
      <w:start w:val="1"/>
      <w:numFmt w:val="decimal"/>
      <w:lvlText w:val="%1."/>
      <w:lvlJc w:val="left"/>
      <w:pPr>
        <w:ind w:left="360" w:hanging="360"/>
      </w:pPr>
      <w:rPr>
        <w:b/>
      </w:rPr>
    </w:lvl>
    <w:lvl w:ilvl="1" w:tplc="B044CC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A04D2D"/>
    <w:multiLevelType w:val="hybridMultilevel"/>
    <w:tmpl w:val="6046B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B946C0"/>
    <w:multiLevelType w:val="hybridMultilevel"/>
    <w:tmpl w:val="2312D3E0"/>
    <w:lvl w:ilvl="0" w:tplc="7B04EDA8">
      <w:start w:val="1"/>
      <w:numFmt w:val="decimal"/>
      <w:lvlText w:val="%1."/>
      <w:lvlJc w:val="left"/>
      <w:pPr>
        <w:ind w:left="720" w:hanging="360"/>
      </w:pPr>
    </w:lvl>
    <w:lvl w:ilvl="1" w:tplc="F0B87E1A">
      <w:start w:val="1"/>
      <w:numFmt w:val="lowerLetter"/>
      <w:lvlText w:val="%2."/>
      <w:lvlJc w:val="left"/>
      <w:pPr>
        <w:ind w:left="1440" w:hanging="360"/>
      </w:pPr>
    </w:lvl>
    <w:lvl w:ilvl="2" w:tplc="21F4144C">
      <w:start w:val="1"/>
      <w:numFmt w:val="lowerRoman"/>
      <w:lvlText w:val="%3."/>
      <w:lvlJc w:val="right"/>
      <w:pPr>
        <w:ind w:left="2160" w:hanging="180"/>
      </w:pPr>
    </w:lvl>
    <w:lvl w:ilvl="3" w:tplc="263A0B00">
      <w:start w:val="1"/>
      <w:numFmt w:val="decimal"/>
      <w:lvlText w:val="%4."/>
      <w:lvlJc w:val="left"/>
      <w:pPr>
        <w:ind w:left="2880" w:hanging="360"/>
      </w:pPr>
    </w:lvl>
    <w:lvl w:ilvl="4" w:tplc="8152958E">
      <w:start w:val="1"/>
      <w:numFmt w:val="lowerLetter"/>
      <w:lvlText w:val="%5."/>
      <w:lvlJc w:val="left"/>
      <w:pPr>
        <w:ind w:left="3600" w:hanging="360"/>
      </w:pPr>
    </w:lvl>
    <w:lvl w:ilvl="5" w:tplc="00B8D392">
      <w:start w:val="1"/>
      <w:numFmt w:val="lowerRoman"/>
      <w:lvlText w:val="%6."/>
      <w:lvlJc w:val="right"/>
      <w:pPr>
        <w:ind w:left="4320" w:hanging="180"/>
      </w:pPr>
    </w:lvl>
    <w:lvl w:ilvl="6" w:tplc="1158BA62">
      <w:start w:val="1"/>
      <w:numFmt w:val="decimal"/>
      <w:lvlText w:val="%7."/>
      <w:lvlJc w:val="left"/>
      <w:pPr>
        <w:ind w:left="5040" w:hanging="360"/>
      </w:pPr>
    </w:lvl>
    <w:lvl w:ilvl="7" w:tplc="D292BFE6">
      <w:start w:val="1"/>
      <w:numFmt w:val="lowerLetter"/>
      <w:lvlText w:val="%8."/>
      <w:lvlJc w:val="left"/>
      <w:pPr>
        <w:ind w:left="5760" w:hanging="360"/>
      </w:pPr>
    </w:lvl>
    <w:lvl w:ilvl="8" w:tplc="7E54ECA2">
      <w:start w:val="1"/>
      <w:numFmt w:val="lowerRoman"/>
      <w:lvlText w:val="%9."/>
      <w:lvlJc w:val="right"/>
      <w:pPr>
        <w:ind w:left="6480" w:hanging="180"/>
      </w:pPr>
    </w:lvl>
  </w:abstractNum>
  <w:abstractNum w:abstractNumId="7">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1BC3554"/>
    <w:multiLevelType w:val="hybridMultilevel"/>
    <w:tmpl w:val="1A64F3C8"/>
    <w:lvl w:ilvl="0" w:tplc="830619B6">
      <w:start w:val="1"/>
      <w:numFmt w:val="bullet"/>
      <w:lvlText w:val=""/>
      <w:lvlJc w:val="left"/>
      <w:pPr>
        <w:ind w:left="720" w:hanging="360"/>
      </w:pPr>
      <w:rPr>
        <w:rFonts w:ascii="Symbol" w:hAnsi="Symbol" w:hint="default"/>
      </w:rPr>
    </w:lvl>
    <w:lvl w:ilvl="1" w:tplc="BE9CDB74" w:tentative="1">
      <w:start w:val="1"/>
      <w:numFmt w:val="bullet"/>
      <w:lvlText w:val="o"/>
      <w:lvlJc w:val="left"/>
      <w:pPr>
        <w:ind w:left="1440" w:hanging="360"/>
      </w:pPr>
      <w:rPr>
        <w:rFonts w:ascii="Courier New" w:hAnsi="Courier New" w:cs="Courier New" w:hint="default"/>
      </w:rPr>
    </w:lvl>
    <w:lvl w:ilvl="2" w:tplc="9DC4DA9C" w:tentative="1">
      <w:start w:val="1"/>
      <w:numFmt w:val="bullet"/>
      <w:lvlText w:val=""/>
      <w:lvlJc w:val="left"/>
      <w:pPr>
        <w:ind w:left="2160" w:hanging="360"/>
      </w:pPr>
      <w:rPr>
        <w:rFonts w:ascii="Wingdings" w:hAnsi="Wingdings" w:hint="default"/>
      </w:rPr>
    </w:lvl>
    <w:lvl w:ilvl="3" w:tplc="2D08E0A8" w:tentative="1">
      <w:start w:val="1"/>
      <w:numFmt w:val="bullet"/>
      <w:lvlText w:val=""/>
      <w:lvlJc w:val="left"/>
      <w:pPr>
        <w:ind w:left="2880" w:hanging="360"/>
      </w:pPr>
      <w:rPr>
        <w:rFonts w:ascii="Symbol" w:hAnsi="Symbol" w:hint="default"/>
      </w:rPr>
    </w:lvl>
    <w:lvl w:ilvl="4" w:tplc="5122FBCC" w:tentative="1">
      <w:start w:val="1"/>
      <w:numFmt w:val="bullet"/>
      <w:lvlText w:val="o"/>
      <w:lvlJc w:val="left"/>
      <w:pPr>
        <w:ind w:left="3600" w:hanging="360"/>
      </w:pPr>
      <w:rPr>
        <w:rFonts w:ascii="Courier New" w:hAnsi="Courier New" w:cs="Courier New" w:hint="default"/>
      </w:rPr>
    </w:lvl>
    <w:lvl w:ilvl="5" w:tplc="71F64AFA" w:tentative="1">
      <w:start w:val="1"/>
      <w:numFmt w:val="bullet"/>
      <w:lvlText w:val=""/>
      <w:lvlJc w:val="left"/>
      <w:pPr>
        <w:ind w:left="4320" w:hanging="360"/>
      </w:pPr>
      <w:rPr>
        <w:rFonts w:ascii="Wingdings" w:hAnsi="Wingdings" w:hint="default"/>
      </w:rPr>
    </w:lvl>
    <w:lvl w:ilvl="6" w:tplc="B0F66008" w:tentative="1">
      <w:start w:val="1"/>
      <w:numFmt w:val="bullet"/>
      <w:lvlText w:val=""/>
      <w:lvlJc w:val="left"/>
      <w:pPr>
        <w:ind w:left="5040" w:hanging="360"/>
      </w:pPr>
      <w:rPr>
        <w:rFonts w:ascii="Symbol" w:hAnsi="Symbol" w:hint="default"/>
      </w:rPr>
    </w:lvl>
    <w:lvl w:ilvl="7" w:tplc="6EE6106E" w:tentative="1">
      <w:start w:val="1"/>
      <w:numFmt w:val="bullet"/>
      <w:lvlText w:val="o"/>
      <w:lvlJc w:val="left"/>
      <w:pPr>
        <w:ind w:left="5760" w:hanging="360"/>
      </w:pPr>
      <w:rPr>
        <w:rFonts w:ascii="Courier New" w:hAnsi="Courier New" w:cs="Courier New" w:hint="default"/>
      </w:rPr>
    </w:lvl>
    <w:lvl w:ilvl="8" w:tplc="CBFCFF00" w:tentative="1">
      <w:start w:val="1"/>
      <w:numFmt w:val="bullet"/>
      <w:lvlText w:val=""/>
      <w:lvlJc w:val="left"/>
      <w:pPr>
        <w:ind w:left="6480" w:hanging="360"/>
      </w:pPr>
      <w:rPr>
        <w:rFonts w:ascii="Wingdings" w:hAnsi="Wingdings" w:hint="default"/>
      </w:rPr>
    </w:lvl>
  </w:abstractNum>
  <w:abstractNum w:abstractNumId="12">
    <w:nsid w:val="6C1E1B7A"/>
    <w:multiLevelType w:val="hybridMultilevel"/>
    <w:tmpl w:val="BB38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B57D26"/>
    <w:multiLevelType w:val="hybridMultilevel"/>
    <w:tmpl w:val="DC5E8800"/>
    <w:lvl w:ilvl="0" w:tplc="EF7058B2">
      <w:start w:val="1"/>
      <w:numFmt w:val="bullet"/>
      <w:lvlText w:val=""/>
      <w:lvlJc w:val="left"/>
      <w:pPr>
        <w:ind w:left="720" w:hanging="360"/>
      </w:pPr>
      <w:rPr>
        <w:rFonts w:ascii="Symbol" w:hAnsi="Symbol" w:hint="default"/>
      </w:rPr>
    </w:lvl>
    <w:lvl w:ilvl="1" w:tplc="32A8ABBA" w:tentative="1">
      <w:start w:val="1"/>
      <w:numFmt w:val="bullet"/>
      <w:lvlText w:val="o"/>
      <w:lvlJc w:val="left"/>
      <w:pPr>
        <w:ind w:left="1440" w:hanging="360"/>
      </w:pPr>
      <w:rPr>
        <w:rFonts w:ascii="Courier New" w:hAnsi="Courier New" w:cs="Courier New" w:hint="default"/>
      </w:rPr>
    </w:lvl>
    <w:lvl w:ilvl="2" w:tplc="92D2FB4C" w:tentative="1">
      <w:start w:val="1"/>
      <w:numFmt w:val="bullet"/>
      <w:lvlText w:val=""/>
      <w:lvlJc w:val="left"/>
      <w:pPr>
        <w:ind w:left="2160" w:hanging="360"/>
      </w:pPr>
      <w:rPr>
        <w:rFonts w:ascii="Wingdings" w:hAnsi="Wingdings" w:hint="default"/>
      </w:rPr>
    </w:lvl>
    <w:lvl w:ilvl="3" w:tplc="4662790E" w:tentative="1">
      <w:start w:val="1"/>
      <w:numFmt w:val="bullet"/>
      <w:lvlText w:val=""/>
      <w:lvlJc w:val="left"/>
      <w:pPr>
        <w:ind w:left="2880" w:hanging="360"/>
      </w:pPr>
      <w:rPr>
        <w:rFonts w:ascii="Symbol" w:hAnsi="Symbol" w:hint="default"/>
      </w:rPr>
    </w:lvl>
    <w:lvl w:ilvl="4" w:tplc="76FC3682" w:tentative="1">
      <w:start w:val="1"/>
      <w:numFmt w:val="bullet"/>
      <w:lvlText w:val="o"/>
      <w:lvlJc w:val="left"/>
      <w:pPr>
        <w:ind w:left="3600" w:hanging="360"/>
      </w:pPr>
      <w:rPr>
        <w:rFonts w:ascii="Courier New" w:hAnsi="Courier New" w:cs="Courier New" w:hint="default"/>
      </w:rPr>
    </w:lvl>
    <w:lvl w:ilvl="5" w:tplc="707E2E08" w:tentative="1">
      <w:start w:val="1"/>
      <w:numFmt w:val="bullet"/>
      <w:lvlText w:val=""/>
      <w:lvlJc w:val="left"/>
      <w:pPr>
        <w:ind w:left="4320" w:hanging="360"/>
      </w:pPr>
      <w:rPr>
        <w:rFonts w:ascii="Wingdings" w:hAnsi="Wingdings" w:hint="default"/>
      </w:rPr>
    </w:lvl>
    <w:lvl w:ilvl="6" w:tplc="4C3E54AA" w:tentative="1">
      <w:start w:val="1"/>
      <w:numFmt w:val="bullet"/>
      <w:lvlText w:val=""/>
      <w:lvlJc w:val="left"/>
      <w:pPr>
        <w:ind w:left="5040" w:hanging="360"/>
      </w:pPr>
      <w:rPr>
        <w:rFonts w:ascii="Symbol" w:hAnsi="Symbol" w:hint="default"/>
      </w:rPr>
    </w:lvl>
    <w:lvl w:ilvl="7" w:tplc="6AA823B6" w:tentative="1">
      <w:start w:val="1"/>
      <w:numFmt w:val="bullet"/>
      <w:lvlText w:val="o"/>
      <w:lvlJc w:val="left"/>
      <w:pPr>
        <w:ind w:left="5760" w:hanging="360"/>
      </w:pPr>
      <w:rPr>
        <w:rFonts w:ascii="Courier New" w:hAnsi="Courier New" w:cs="Courier New" w:hint="default"/>
      </w:rPr>
    </w:lvl>
    <w:lvl w:ilvl="8" w:tplc="68D65782" w:tentative="1">
      <w:start w:val="1"/>
      <w:numFmt w:val="bullet"/>
      <w:lvlText w:val=""/>
      <w:lvlJc w:val="left"/>
      <w:pPr>
        <w:ind w:left="6480" w:hanging="360"/>
      </w:pPr>
      <w:rPr>
        <w:rFonts w:ascii="Wingdings" w:hAnsi="Wingdings" w:hint="default"/>
      </w:rPr>
    </w:lvl>
  </w:abstractNum>
  <w:abstractNum w:abstractNumId="14">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F1D61F2"/>
    <w:multiLevelType w:val="hybridMultilevel"/>
    <w:tmpl w:val="935CC8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2"/>
  </w:num>
  <w:num w:numId="4">
    <w:abstractNumId w:val="13"/>
  </w:num>
  <w:num w:numId="5">
    <w:abstractNumId w:val="7"/>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9"/>
  </w:num>
  <w:num w:numId="11">
    <w:abstractNumId w:val="10"/>
  </w:num>
  <w:num w:numId="12">
    <w:abstractNumId w:val="14"/>
  </w:num>
  <w:num w:numId="13">
    <w:abstractNumId w:val="4"/>
  </w:num>
  <w:num w:numId="14">
    <w:abstractNumId w:val="12"/>
  </w:num>
  <w:num w:numId="15">
    <w:abstractNumId w:val="8"/>
  </w:num>
  <w:num w:numId="16">
    <w:abstractNumId w:val="3"/>
  </w:num>
  <w:num w:numId="17">
    <w:abstractNumId w:val="15"/>
  </w:num>
  <w:num w:numId="18">
    <w:abstractNumId w:val="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737D5B-8688-4836-905C-7B9ECD5EB404}"/>
    <w:docVar w:name="dgnword-eventsink" w:val="100576536"/>
  </w:docVars>
  <w:rsids>
    <w:rsidRoot w:val="007F2774"/>
    <w:rsid w:val="00011272"/>
    <w:rsid w:val="000129E8"/>
    <w:rsid w:val="000205EC"/>
    <w:rsid w:val="000427B5"/>
    <w:rsid w:val="00050886"/>
    <w:rsid w:val="00053B20"/>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100FE1"/>
    <w:rsid w:val="001069A4"/>
    <w:rsid w:val="00106D57"/>
    <w:rsid w:val="00124219"/>
    <w:rsid w:val="001259E2"/>
    <w:rsid w:val="0012611C"/>
    <w:rsid w:val="0013037E"/>
    <w:rsid w:val="00133A15"/>
    <w:rsid w:val="001405C9"/>
    <w:rsid w:val="00142D34"/>
    <w:rsid w:val="00146FB1"/>
    <w:rsid w:val="00150AE4"/>
    <w:rsid w:val="00152D2E"/>
    <w:rsid w:val="00153DD8"/>
    <w:rsid w:val="00157613"/>
    <w:rsid w:val="0016660D"/>
    <w:rsid w:val="00166C73"/>
    <w:rsid w:val="00171B89"/>
    <w:rsid w:val="00180746"/>
    <w:rsid w:val="00183C2C"/>
    <w:rsid w:val="001842C2"/>
    <w:rsid w:val="00187D59"/>
    <w:rsid w:val="001B0828"/>
    <w:rsid w:val="001B0AB0"/>
    <w:rsid w:val="001C6DC5"/>
    <w:rsid w:val="001D0221"/>
    <w:rsid w:val="001D6481"/>
    <w:rsid w:val="001D738C"/>
    <w:rsid w:val="001E3150"/>
    <w:rsid w:val="001E3C78"/>
    <w:rsid w:val="001F2739"/>
    <w:rsid w:val="0020227F"/>
    <w:rsid w:val="002024FE"/>
    <w:rsid w:val="00203839"/>
    <w:rsid w:val="0020460C"/>
    <w:rsid w:val="002050F0"/>
    <w:rsid w:val="00217088"/>
    <w:rsid w:val="00222AFE"/>
    <w:rsid w:val="00224C3F"/>
    <w:rsid w:val="00225597"/>
    <w:rsid w:val="00234996"/>
    <w:rsid w:val="00235CB9"/>
    <w:rsid w:val="00264202"/>
    <w:rsid w:val="0026449A"/>
    <w:rsid w:val="002678ED"/>
    <w:rsid w:val="00267E1B"/>
    <w:rsid w:val="0027412E"/>
    <w:rsid w:val="00277682"/>
    <w:rsid w:val="002822E7"/>
    <w:rsid w:val="0028278B"/>
    <w:rsid w:val="00282ED9"/>
    <w:rsid w:val="0028696A"/>
    <w:rsid w:val="00286D8C"/>
    <w:rsid w:val="002A03E9"/>
    <w:rsid w:val="002A1985"/>
    <w:rsid w:val="002A1CB2"/>
    <w:rsid w:val="002A3CB5"/>
    <w:rsid w:val="002A63EC"/>
    <w:rsid w:val="002B2DE0"/>
    <w:rsid w:val="002C442A"/>
    <w:rsid w:val="002C6B0D"/>
    <w:rsid w:val="002D412D"/>
    <w:rsid w:val="002E2CC7"/>
    <w:rsid w:val="002E609F"/>
    <w:rsid w:val="002F0A27"/>
    <w:rsid w:val="002F0AF9"/>
    <w:rsid w:val="002F25F2"/>
    <w:rsid w:val="002F5352"/>
    <w:rsid w:val="00305E93"/>
    <w:rsid w:val="0031130C"/>
    <w:rsid w:val="003116AC"/>
    <w:rsid w:val="0032713A"/>
    <w:rsid w:val="003302CF"/>
    <w:rsid w:val="00335ABE"/>
    <w:rsid w:val="003366D5"/>
    <w:rsid w:val="00345C27"/>
    <w:rsid w:val="00345DCF"/>
    <w:rsid w:val="00350910"/>
    <w:rsid w:val="003529F3"/>
    <w:rsid w:val="00352BB7"/>
    <w:rsid w:val="00353D7A"/>
    <w:rsid w:val="00357684"/>
    <w:rsid w:val="00362D68"/>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4FA0"/>
    <w:rsid w:val="003F6FF7"/>
    <w:rsid w:val="00413FE5"/>
    <w:rsid w:val="00414A9D"/>
    <w:rsid w:val="00415C84"/>
    <w:rsid w:val="00421AA1"/>
    <w:rsid w:val="004279F5"/>
    <w:rsid w:val="00443D18"/>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D2279"/>
    <w:rsid w:val="004D44C9"/>
    <w:rsid w:val="004D45F3"/>
    <w:rsid w:val="004F0EF3"/>
    <w:rsid w:val="004F4571"/>
    <w:rsid w:val="004F6805"/>
    <w:rsid w:val="0050011F"/>
    <w:rsid w:val="00502854"/>
    <w:rsid w:val="0050667F"/>
    <w:rsid w:val="005112C3"/>
    <w:rsid w:val="00513B4E"/>
    <w:rsid w:val="00514EDB"/>
    <w:rsid w:val="005336D0"/>
    <w:rsid w:val="0053678B"/>
    <w:rsid w:val="00540938"/>
    <w:rsid w:val="005462E3"/>
    <w:rsid w:val="0055186F"/>
    <w:rsid w:val="00564C90"/>
    <w:rsid w:val="00564FA3"/>
    <w:rsid w:val="005679D8"/>
    <w:rsid w:val="00575576"/>
    <w:rsid w:val="00577517"/>
    <w:rsid w:val="0058420A"/>
    <w:rsid w:val="0058459D"/>
    <w:rsid w:val="00594069"/>
    <w:rsid w:val="005946CB"/>
    <w:rsid w:val="005A5372"/>
    <w:rsid w:val="005B5F61"/>
    <w:rsid w:val="005B7D03"/>
    <w:rsid w:val="005C20AF"/>
    <w:rsid w:val="005D1365"/>
    <w:rsid w:val="005D44CE"/>
    <w:rsid w:val="005D4CFB"/>
    <w:rsid w:val="005D74F2"/>
    <w:rsid w:val="005E085B"/>
    <w:rsid w:val="005F1964"/>
    <w:rsid w:val="005F29C1"/>
    <w:rsid w:val="005F78BB"/>
    <w:rsid w:val="00602980"/>
    <w:rsid w:val="006123C5"/>
    <w:rsid w:val="00612E0C"/>
    <w:rsid w:val="00622F41"/>
    <w:rsid w:val="00634E7B"/>
    <w:rsid w:val="006374D0"/>
    <w:rsid w:val="00642E66"/>
    <w:rsid w:val="0064648A"/>
    <w:rsid w:val="00655B90"/>
    <w:rsid w:val="00663D49"/>
    <w:rsid w:val="00666B25"/>
    <w:rsid w:val="00670E8A"/>
    <w:rsid w:val="006711F3"/>
    <w:rsid w:val="00675F54"/>
    <w:rsid w:val="00680EA5"/>
    <w:rsid w:val="006839FF"/>
    <w:rsid w:val="00685580"/>
    <w:rsid w:val="00686FEA"/>
    <w:rsid w:val="00691B9D"/>
    <w:rsid w:val="0069766D"/>
    <w:rsid w:val="006A1A6B"/>
    <w:rsid w:val="006A483E"/>
    <w:rsid w:val="006A545B"/>
    <w:rsid w:val="006A6025"/>
    <w:rsid w:val="006A67F9"/>
    <w:rsid w:val="006B21AD"/>
    <w:rsid w:val="006B3BA2"/>
    <w:rsid w:val="006B710A"/>
    <w:rsid w:val="006C6F0E"/>
    <w:rsid w:val="006D11BB"/>
    <w:rsid w:val="006D7239"/>
    <w:rsid w:val="006E6B26"/>
    <w:rsid w:val="006F0712"/>
    <w:rsid w:val="006F4488"/>
    <w:rsid w:val="007000B2"/>
    <w:rsid w:val="0070176C"/>
    <w:rsid w:val="00721843"/>
    <w:rsid w:val="00722461"/>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4A66"/>
    <w:rsid w:val="00794BF4"/>
    <w:rsid w:val="00796149"/>
    <w:rsid w:val="007A307C"/>
    <w:rsid w:val="007B08BF"/>
    <w:rsid w:val="007B2DE5"/>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6D06"/>
    <w:rsid w:val="007F13AB"/>
    <w:rsid w:val="007F22EF"/>
    <w:rsid w:val="007F2774"/>
    <w:rsid w:val="007F764A"/>
    <w:rsid w:val="00801C23"/>
    <w:rsid w:val="008023AC"/>
    <w:rsid w:val="008026FE"/>
    <w:rsid w:val="00803F78"/>
    <w:rsid w:val="00815A1F"/>
    <w:rsid w:val="00820F66"/>
    <w:rsid w:val="00821E7C"/>
    <w:rsid w:val="00823D8E"/>
    <w:rsid w:val="00827358"/>
    <w:rsid w:val="00836CCC"/>
    <w:rsid w:val="0084046A"/>
    <w:rsid w:val="00860083"/>
    <w:rsid w:val="00860DE1"/>
    <w:rsid w:val="00865686"/>
    <w:rsid w:val="00865B5C"/>
    <w:rsid w:val="00870AC5"/>
    <w:rsid w:val="008814B8"/>
    <w:rsid w:val="008819DA"/>
    <w:rsid w:val="00887A65"/>
    <w:rsid w:val="00887DA5"/>
    <w:rsid w:val="0089063B"/>
    <w:rsid w:val="00890C34"/>
    <w:rsid w:val="008917B9"/>
    <w:rsid w:val="00896014"/>
    <w:rsid w:val="008A2F14"/>
    <w:rsid w:val="008B4134"/>
    <w:rsid w:val="008B4457"/>
    <w:rsid w:val="008B5AF8"/>
    <w:rsid w:val="008C254E"/>
    <w:rsid w:val="008C6E83"/>
    <w:rsid w:val="008D2C52"/>
    <w:rsid w:val="008D57AD"/>
    <w:rsid w:val="008F747C"/>
    <w:rsid w:val="0090209F"/>
    <w:rsid w:val="009054CB"/>
    <w:rsid w:val="00910645"/>
    <w:rsid w:val="00920867"/>
    <w:rsid w:val="00920F2A"/>
    <w:rsid w:val="00921B83"/>
    <w:rsid w:val="00921E9E"/>
    <w:rsid w:val="00922D98"/>
    <w:rsid w:val="00924BA1"/>
    <w:rsid w:val="009304AE"/>
    <w:rsid w:val="00934888"/>
    <w:rsid w:val="0093527F"/>
    <w:rsid w:val="00942059"/>
    <w:rsid w:val="00942174"/>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E628C"/>
    <w:rsid w:val="009F0791"/>
    <w:rsid w:val="00A06676"/>
    <w:rsid w:val="00A06AF5"/>
    <w:rsid w:val="00A06FE9"/>
    <w:rsid w:val="00A07480"/>
    <w:rsid w:val="00A115F5"/>
    <w:rsid w:val="00A128A8"/>
    <w:rsid w:val="00A12EA0"/>
    <w:rsid w:val="00A13E2C"/>
    <w:rsid w:val="00A232CD"/>
    <w:rsid w:val="00A256AB"/>
    <w:rsid w:val="00A323C5"/>
    <w:rsid w:val="00A34777"/>
    <w:rsid w:val="00A36552"/>
    <w:rsid w:val="00A5263A"/>
    <w:rsid w:val="00A52CAE"/>
    <w:rsid w:val="00A61635"/>
    <w:rsid w:val="00A65508"/>
    <w:rsid w:val="00A67CD8"/>
    <w:rsid w:val="00A73EA4"/>
    <w:rsid w:val="00A74B2B"/>
    <w:rsid w:val="00A840AC"/>
    <w:rsid w:val="00A851C2"/>
    <w:rsid w:val="00A86D6C"/>
    <w:rsid w:val="00A870BA"/>
    <w:rsid w:val="00A9203C"/>
    <w:rsid w:val="00A94347"/>
    <w:rsid w:val="00A946F7"/>
    <w:rsid w:val="00A96D30"/>
    <w:rsid w:val="00A97B79"/>
    <w:rsid w:val="00AA2AE0"/>
    <w:rsid w:val="00AA7CBB"/>
    <w:rsid w:val="00AB7175"/>
    <w:rsid w:val="00AC3A0C"/>
    <w:rsid w:val="00AC4232"/>
    <w:rsid w:val="00AC7FA2"/>
    <w:rsid w:val="00AD4B7D"/>
    <w:rsid w:val="00AD6394"/>
    <w:rsid w:val="00AE13AF"/>
    <w:rsid w:val="00AF06BC"/>
    <w:rsid w:val="00AF0C03"/>
    <w:rsid w:val="00B16016"/>
    <w:rsid w:val="00B234AF"/>
    <w:rsid w:val="00B27F1B"/>
    <w:rsid w:val="00B43107"/>
    <w:rsid w:val="00B439EC"/>
    <w:rsid w:val="00B47109"/>
    <w:rsid w:val="00B50945"/>
    <w:rsid w:val="00B5122D"/>
    <w:rsid w:val="00B53242"/>
    <w:rsid w:val="00B5382C"/>
    <w:rsid w:val="00B54357"/>
    <w:rsid w:val="00B5781C"/>
    <w:rsid w:val="00B624CF"/>
    <w:rsid w:val="00B63B4B"/>
    <w:rsid w:val="00B6694A"/>
    <w:rsid w:val="00B847B7"/>
    <w:rsid w:val="00B90CD0"/>
    <w:rsid w:val="00B930C9"/>
    <w:rsid w:val="00B94C7D"/>
    <w:rsid w:val="00B97D8D"/>
    <w:rsid w:val="00BA3604"/>
    <w:rsid w:val="00BB0341"/>
    <w:rsid w:val="00BB0755"/>
    <w:rsid w:val="00BB4A78"/>
    <w:rsid w:val="00BB7135"/>
    <w:rsid w:val="00BC5445"/>
    <w:rsid w:val="00BC7B0E"/>
    <w:rsid w:val="00BD2433"/>
    <w:rsid w:val="00BD4B3F"/>
    <w:rsid w:val="00BD6CF4"/>
    <w:rsid w:val="00BE0DFE"/>
    <w:rsid w:val="00BE3015"/>
    <w:rsid w:val="00BF1293"/>
    <w:rsid w:val="00C02DB7"/>
    <w:rsid w:val="00C02DEE"/>
    <w:rsid w:val="00C05556"/>
    <w:rsid w:val="00C11323"/>
    <w:rsid w:val="00C223D4"/>
    <w:rsid w:val="00C41591"/>
    <w:rsid w:val="00C45F98"/>
    <w:rsid w:val="00C46BCF"/>
    <w:rsid w:val="00C51DDA"/>
    <w:rsid w:val="00C52216"/>
    <w:rsid w:val="00C607E3"/>
    <w:rsid w:val="00C61825"/>
    <w:rsid w:val="00C6456D"/>
    <w:rsid w:val="00C81A83"/>
    <w:rsid w:val="00C83711"/>
    <w:rsid w:val="00C8384A"/>
    <w:rsid w:val="00C878A5"/>
    <w:rsid w:val="00C90BA2"/>
    <w:rsid w:val="00C92818"/>
    <w:rsid w:val="00C962B2"/>
    <w:rsid w:val="00CA12D4"/>
    <w:rsid w:val="00CA2349"/>
    <w:rsid w:val="00CB0A35"/>
    <w:rsid w:val="00CB1075"/>
    <w:rsid w:val="00CB2F2F"/>
    <w:rsid w:val="00CC49AE"/>
    <w:rsid w:val="00CC550E"/>
    <w:rsid w:val="00CC7FAC"/>
    <w:rsid w:val="00CD3A0E"/>
    <w:rsid w:val="00CD3B89"/>
    <w:rsid w:val="00CD472D"/>
    <w:rsid w:val="00CE52EB"/>
    <w:rsid w:val="00CF4554"/>
    <w:rsid w:val="00CF4D95"/>
    <w:rsid w:val="00CF629A"/>
    <w:rsid w:val="00CF6933"/>
    <w:rsid w:val="00CF6FDB"/>
    <w:rsid w:val="00D02797"/>
    <w:rsid w:val="00D07BD9"/>
    <w:rsid w:val="00D108CD"/>
    <w:rsid w:val="00D12A50"/>
    <w:rsid w:val="00D307BF"/>
    <w:rsid w:val="00D31989"/>
    <w:rsid w:val="00D324C0"/>
    <w:rsid w:val="00D32A6A"/>
    <w:rsid w:val="00D52970"/>
    <w:rsid w:val="00D57730"/>
    <w:rsid w:val="00D643E9"/>
    <w:rsid w:val="00D64EA6"/>
    <w:rsid w:val="00D6769E"/>
    <w:rsid w:val="00D676CC"/>
    <w:rsid w:val="00D80335"/>
    <w:rsid w:val="00D8755F"/>
    <w:rsid w:val="00DA67FE"/>
    <w:rsid w:val="00DB360D"/>
    <w:rsid w:val="00DB36EA"/>
    <w:rsid w:val="00DB3B6E"/>
    <w:rsid w:val="00DB5D3D"/>
    <w:rsid w:val="00DC24A9"/>
    <w:rsid w:val="00DC4BF4"/>
    <w:rsid w:val="00DC520A"/>
    <w:rsid w:val="00DD0139"/>
    <w:rsid w:val="00DD0DD6"/>
    <w:rsid w:val="00DE2DA4"/>
    <w:rsid w:val="00DF12CD"/>
    <w:rsid w:val="00E0149A"/>
    <w:rsid w:val="00E0378E"/>
    <w:rsid w:val="00E0439B"/>
    <w:rsid w:val="00E04F26"/>
    <w:rsid w:val="00E0528B"/>
    <w:rsid w:val="00E06590"/>
    <w:rsid w:val="00E072BE"/>
    <w:rsid w:val="00E16177"/>
    <w:rsid w:val="00E209E8"/>
    <w:rsid w:val="00E23168"/>
    <w:rsid w:val="00E3284A"/>
    <w:rsid w:val="00E40079"/>
    <w:rsid w:val="00E423A7"/>
    <w:rsid w:val="00E50C47"/>
    <w:rsid w:val="00E51CC2"/>
    <w:rsid w:val="00E55047"/>
    <w:rsid w:val="00E55B8A"/>
    <w:rsid w:val="00E61585"/>
    <w:rsid w:val="00E83BE7"/>
    <w:rsid w:val="00E85219"/>
    <w:rsid w:val="00E90F30"/>
    <w:rsid w:val="00E946CB"/>
    <w:rsid w:val="00EA188D"/>
    <w:rsid w:val="00EA7DE7"/>
    <w:rsid w:val="00EB00D1"/>
    <w:rsid w:val="00EB09BC"/>
    <w:rsid w:val="00EB69E3"/>
    <w:rsid w:val="00EB7237"/>
    <w:rsid w:val="00EB7C4A"/>
    <w:rsid w:val="00EC00D8"/>
    <w:rsid w:val="00EC5E91"/>
    <w:rsid w:val="00EC7711"/>
    <w:rsid w:val="00ED2AF4"/>
    <w:rsid w:val="00ED2DE0"/>
    <w:rsid w:val="00ED7C6A"/>
    <w:rsid w:val="00EE29AE"/>
    <w:rsid w:val="00EE51B7"/>
    <w:rsid w:val="00EE7A49"/>
    <w:rsid w:val="00EE7D67"/>
    <w:rsid w:val="00EF5709"/>
    <w:rsid w:val="00F013AE"/>
    <w:rsid w:val="00F0248D"/>
    <w:rsid w:val="00F0479A"/>
    <w:rsid w:val="00F103CE"/>
    <w:rsid w:val="00F11BDD"/>
    <w:rsid w:val="00F213D6"/>
    <w:rsid w:val="00F256C7"/>
    <w:rsid w:val="00F31B9A"/>
    <w:rsid w:val="00F4735E"/>
    <w:rsid w:val="00F5197F"/>
    <w:rsid w:val="00F524DB"/>
    <w:rsid w:val="00F530B2"/>
    <w:rsid w:val="00F53223"/>
    <w:rsid w:val="00F663E8"/>
    <w:rsid w:val="00F71307"/>
    <w:rsid w:val="00F76DC9"/>
    <w:rsid w:val="00F773E4"/>
    <w:rsid w:val="00F8041D"/>
    <w:rsid w:val="00F8105E"/>
    <w:rsid w:val="00F86699"/>
    <w:rsid w:val="00F87541"/>
    <w:rsid w:val="00F91F7C"/>
    <w:rsid w:val="00FA607C"/>
    <w:rsid w:val="00FA61C9"/>
    <w:rsid w:val="00FA6A04"/>
    <w:rsid w:val="00FB0853"/>
    <w:rsid w:val="00FB2A63"/>
    <w:rsid w:val="00FB6445"/>
    <w:rsid w:val="00FC16EC"/>
    <w:rsid w:val="00FC73C7"/>
    <w:rsid w:val="00FD02D9"/>
    <w:rsid w:val="00FD4F65"/>
    <w:rsid w:val="00FE356F"/>
    <w:rsid w:val="00FE404F"/>
    <w:rsid w:val="00FE7AA0"/>
    <w:rsid w:val="00FE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dvances.sciencemag.org/content/6/45/eabd4049" TargetMode="External"/><Relationship Id="rId2" Type="http://schemas.openxmlformats.org/officeDocument/2006/relationships/hyperlink" Target="https://www.ifc.org/wps/wcm/connect/industry_ext_content/ifc_external_corporate_site/infrastructure/resources/the+impact+of+covid-19+on+water+and+sanitation" TargetMode="External"/><Relationship Id="rId1" Type="http://schemas.openxmlformats.org/officeDocument/2006/relationships/hyperlink" Target="https://www.cepal.org/sites/default/files/pr/files/table_press_gdp_projections-2020-eng.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BAF22-0CF4-458C-8AD3-F542CA64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1487</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7858</CharactersWithSpaces>
  <SharedDoc>false</SharedDoc>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creator>DCT</dc:creator>
  <cp:lastModifiedBy>Santos, Ada</cp:lastModifiedBy>
  <cp:revision>8</cp:revision>
  <cp:lastPrinted>2018-08-24T16:52:00Z</cp:lastPrinted>
  <dcterms:created xsi:type="dcterms:W3CDTF">2021-02-04T16:40:00Z</dcterms:created>
  <dcterms:modified xsi:type="dcterms:W3CDTF">2021-02-12T14:39:00Z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