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B3D8" w14:textId="77777777" w:rsidR="006E39AF" w:rsidRPr="006B225E" w:rsidRDefault="006E39AF" w:rsidP="006E39AF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6B225E">
        <w:rPr>
          <w:sz w:val="22"/>
        </w:rPr>
        <w:tab/>
        <w:t>OEA/Ser.W</w:t>
      </w:r>
    </w:p>
    <w:p w14:paraId="5BB32E26" w14:textId="77777777" w:rsidR="006E39AF" w:rsidRPr="006B225E" w:rsidRDefault="006E39AF" w:rsidP="006E39AF">
      <w:pPr>
        <w:tabs>
          <w:tab w:val="left" w:pos="7200"/>
        </w:tabs>
        <w:ind w:right="-1080"/>
        <w:rPr>
          <w:sz w:val="22"/>
          <w:szCs w:val="22"/>
        </w:rPr>
      </w:pPr>
      <w:r w:rsidRPr="006B225E">
        <w:rPr>
          <w:sz w:val="22"/>
        </w:rPr>
        <w:tab/>
        <w:t>CIDI/INF.404/21</w:t>
      </w:r>
    </w:p>
    <w:p w14:paraId="03FE48FE" w14:textId="77777777" w:rsidR="006E39AF" w:rsidRPr="006B225E" w:rsidRDefault="006E39AF" w:rsidP="006E39AF">
      <w:pPr>
        <w:tabs>
          <w:tab w:val="left" w:pos="7200"/>
        </w:tabs>
        <w:ind w:right="-1080"/>
        <w:rPr>
          <w:sz w:val="22"/>
          <w:szCs w:val="22"/>
        </w:rPr>
      </w:pPr>
      <w:r w:rsidRPr="006B225E">
        <w:rPr>
          <w:sz w:val="22"/>
        </w:rPr>
        <w:tab/>
        <w:t>4 fevereiro 2021</w:t>
      </w:r>
    </w:p>
    <w:p w14:paraId="4D42DBF0" w14:textId="77777777" w:rsidR="006E39AF" w:rsidRPr="006B225E" w:rsidRDefault="006E39AF" w:rsidP="006E39A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6B225E">
        <w:rPr>
          <w:sz w:val="22"/>
        </w:rPr>
        <w:tab/>
        <w:t>Original: inglês</w:t>
      </w:r>
    </w:p>
    <w:p w14:paraId="18FC71B6" w14:textId="77777777" w:rsidR="006E39AF" w:rsidRPr="006B225E" w:rsidRDefault="006E39AF" w:rsidP="0066584D">
      <w:pPr>
        <w:pBdr>
          <w:bottom w:val="single" w:sz="12" w:space="1" w:color="auto"/>
        </w:pBdr>
        <w:ind w:right="-389"/>
        <w:rPr>
          <w:sz w:val="22"/>
          <w:szCs w:val="22"/>
        </w:rPr>
      </w:pPr>
    </w:p>
    <w:p w14:paraId="27A31FB2" w14:textId="77777777" w:rsidR="006E39AF" w:rsidRPr="006B225E" w:rsidRDefault="006E39AF" w:rsidP="0066584D">
      <w:pPr>
        <w:ind w:right="-1080"/>
        <w:rPr>
          <w:sz w:val="22"/>
          <w:szCs w:val="22"/>
        </w:rPr>
      </w:pPr>
    </w:p>
    <w:p w14:paraId="3803BB91" w14:textId="77777777" w:rsidR="006E39AF" w:rsidRPr="006B225E" w:rsidRDefault="006E39AF" w:rsidP="0066584D">
      <w:pPr>
        <w:jc w:val="both"/>
        <w:outlineLvl w:val="0"/>
        <w:rPr>
          <w:sz w:val="22"/>
          <w:szCs w:val="22"/>
        </w:rPr>
      </w:pPr>
    </w:p>
    <w:p w14:paraId="59A8107F" w14:textId="77777777" w:rsidR="006E39AF" w:rsidRPr="006B225E" w:rsidRDefault="006E39AF" w:rsidP="0066584D">
      <w:pPr>
        <w:jc w:val="center"/>
        <w:rPr>
          <w:rFonts w:eastAsia="Calibri"/>
          <w:sz w:val="22"/>
          <w:szCs w:val="22"/>
        </w:rPr>
      </w:pPr>
      <w:r w:rsidRPr="006B225E">
        <w:rPr>
          <w:sz w:val="22"/>
        </w:rPr>
        <w:t xml:space="preserve">NOTA CONCEITUAL </w:t>
      </w:r>
    </w:p>
    <w:p w14:paraId="1F8DAD69" w14:textId="77777777" w:rsidR="006E39AF" w:rsidRPr="006B225E" w:rsidRDefault="006E39AF" w:rsidP="0013640C">
      <w:pPr>
        <w:jc w:val="both"/>
        <w:rPr>
          <w:rFonts w:eastAsia="Calibri"/>
          <w:sz w:val="22"/>
          <w:szCs w:val="22"/>
        </w:rPr>
      </w:pPr>
    </w:p>
    <w:p w14:paraId="19425463" w14:textId="77777777" w:rsidR="006E39AF" w:rsidRPr="006B225E" w:rsidRDefault="006E39AF" w:rsidP="0066584D">
      <w:pPr>
        <w:jc w:val="center"/>
        <w:rPr>
          <w:rFonts w:eastAsia="Calibri"/>
          <w:caps/>
          <w:sz w:val="22"/>
          <w:szCs w:val="22"/>
        </w:rPr>
      </w:pPr>
      <w:r w:rsidRPr="006B225E">
        <w:rPr>
          <w:caps/>
          <w:sz w:val="22"/>
        </w:rPr>
        <w:t xml:space="preserve">Reunião ordinária do </w:t>
      </w:r>
    </w:p>
    <w:p w14:paraId="20AC1922" w14:textId="77777777" w:rsidR="006E39AF" w:rsidRPr="006B225E" w:rsidRDefault="006E39AF" w:rsidP="0066584D">
      <w:pPr>
        <w:jc w:val="center"/>
        <w:rPr>
          <w:rFonts w:eastAsia="Calibri"/>
          <w:caps/>
          <w:sz w:val="22"/>
          <w:szCs w:val="22"/>
        </w:rPr>
      </w:pPr>
      <w:r w:rsidRPr="006B225E">
        <w:rPr>
          <w:caps/>
          <w:sz w:val="22"/>
        </w:rPr>
        <w:t xml:space="preserve">Conselho Interamericano de Desenvolvimento Integral (CIDI) </w:t>
      </w:r>
    </w:p>
    <w:p w14:paraId="054CE58D" w14:textId="77777777" w:rsidR="006E39AF" w:rsidRPr="006B225E" w:rsidRDefault="006E39AF" w:rsidP="0066584D">
      <w:pPr>
        <w:jc w:val="center"/>
        <w:rPr>
          <w:caps/>
          <w:sz w:val="22"/>
          <w:szCs w:val="22"/>
        </w:rPr>
      </w:pPr>
      <w:r w:rsidRPr="006B225E">
        <w:rPr>
          <w:caps/>
          <w:sz w:val="22"/>
        </w:rPr>
        <w:t>23 fevereiro 2021</w:t>
      </w:r>
    </w:p>
    <w:p w14:paraId="720F0E8A" w14:textId="77777777" w:rsidR="006E39AF" w:rsidRPr="006B225E" w:rsidRDefault="006E39AF" w:rsidP="0013640C">
      <w:pPr>
        <w:jc w:val="both"/>
        <w:rPr>
          <w:caps/>
          <w:sz w:val="22"/>
          <w:szCs w:val="22"/>
        </w:rPr>
      </w:pPr>
    </w:p>
    <w:p w14:paraId="46ADA670" w14:textId="77777777" w:rsidR="006E39AF" w:rsidRPr="006B225E" w:rsidRDefault="006E39AF" w:rsidP="0013640C">
      <w:pPr>
        <w:jc w:val="both"/>
        <w:rPr>
          <w:rFonts w:eastAsia="Calibri"/>
          <w:sz w:val="22"/>
          <w:szCs w:val="22"/>
        </w:rPr>
      </w:pPr>
    </w:p>
    <w:p w14:paraId="68A22805" w14:textId="77777777" w:rsidR="006E39AF" w:rsidRPr="006B225E" w:rsidRDefault="006E39AF" w:rsidP="0066584D">
      <w:pPr>
        <w:jc w:val="center"/>
        <w:rPr>
          <w:b/>
          <w:sz w:val="22"/>
          <w:szCs w:val="22"/>
        </w:rPr>
      </w:pPr>
      <w:r w:rsidRPr="006B225E">
        <w:rPr>
          <w:b/>
          <w:sz w:val="22"/>
        </w:rPr>
        <w:t>TEMA: FINANCIAMENTO CLIMÁTICO: O FUNDO VERDE PARA O CLIMA, DESASTRES NATURAIS E RESILIÊNCIA</w:t>
      </w:r>
    </w:p>
    <w:p w14:paraId="2FE64061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2F4086AE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597B98F3" w14:textId="77777777" w:rsidR="006E39AF" w:rsidRPr="006B225E" w:rsidRDefault="006E39AF" w:rsidP="0066584D">
      <w:pPr>
        <w:numPr>
          <w:ilvl w:val="0"/>
          <w:numId w:val="19"/>
        </w:numPr>
        <w:ind w:left="0" w:firstLine="0"/>
        <w:rPr>
          <w:b/>
          <w:sz w:val="22"/>
          <w:szCs w:val="22"/>
        </w:rPr>
      </w:pPr>
      <w:r w:rsidRPr="006B225E">
        <w:rPr>
          <w:b/>
          <w:sz w:val="22"/>
        </w:rPr>
        <w:t xml:space="preserve">Antecedentes/Justificativa </w:t>
      </w:r>
    </w:p>
    <w:p w14:paraId="75A79703" w14:textId="77777777" w:rsidR="006E39AF" w:rsidRPr="0066584D" w:rsidRDefault="006E39AF" w:rsidP="0066584D">
      <w:pPr>
        <w:rPr>
          <w:bCs/>
          <w:sz w:val="22"/>
          <w:szCs w:val="22"/>
        </w:rPr>
      </w:pPr>
    </w:p>
    <w:p w14:paraId="39594E25" w14:textId="0E731C96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Os riscos compostos têm o potencial de </w:t>
      </w:r>
      <w:r w:rsidR="00EE131F">
        <w:rPr>
          <w:sz w:val="22"/>
        </w:rPr>
        <w:t>solapar</w:t>
      </w:r>
      <w:r w:rsidRPr="006B225E">
        <w:rPr>
          <w:sz w:val="22"/>
        </w:rPr>
        <w:t xml:space="preserve"> os </w:t>
      </w:r>
      <w:r w:rsidR="00EE131F">
        <w:rPr>
          <w:sz w:val="22"/>
        </w:rPr>
        <w:t>benefícios</w:t>
      </w:r>
      <w:r w:rsidRPr="006B225E">
        <w:rPr>
          <w:sz w:val="22"/>
        </w:rPr>
        <w:t xml:space="preserve"> de desenvolvimento. Um choque, como um fenômeno climático extremo ou um surto de doença, pode</w:t>
      </w:r>
      <w:r w:rsidR="00EE131F">
        <w:rPr>
          <w:sz w:val="22"/>
        </w:rPr>
        <w:t xml:space="preserve">, </w:t>
      </w:r>
      <w:r w:rsidRPr="006B225E">
        <w:rPr>
          <w:sz w:val="22"/>
        </w:rPr>
        <w:t>por si só</w:t>
      </w:r>
      <w:r w:rsidR="00EE131F">
        <w:rPr>
          <w:sz w:val="22"/>
        </w:rPr>
        <w:t xml:space="preserve">, </w:t>
      </w:r>
      <w:r w:rsidRPr="006B225E">
        <w:rPr>
          <w:sz w:val="22"/>
        </w:rPr>
        <w:t>ampliar outros fatores de estresse e</w:t>
      </w:r>
      <w:r w:rsidR="00EE131F">
        <w:rPr>
          <w:sz w:val="22"/>
        </w:rPr>
        <w:t xml:space="preserve">, </w:t>
      </w:r>
      <w:r w:rsidRPr="006B225E">
        <w:rPr>
          <w:sz w:val="22"/>
        </w:rPr>
        <w:t>até mesmo</w:t>
      </w:r>
      <w:r w:rsidR="00EE131F">
        <w:rPr>
          <w:sz w:val="22"/>
        </w:rPr>
        <w:t xml:space="preserve">, </w:t>
      </w:r>
      <w:r w:rsidRPr="006B225E">
        <w:rPr>
          <w:sz w:val="22"/>
        </w:rPr>
        <w:t xml:space="preserve">desencadear uma sucessão de </w:t>
      </w:r>
      <w:r w:rsidR="00EE131F">
        <w:rPr>
          <w:sz w:val="22"/>
        </w:rPr>
        <w:t>eventos</w:t>
      </w:r>
      <w:r w:rsidRPr="006B225E">
        <w:rPr>
          <w:sz w:val="22"/>
        </w:rPr>
        <w:t xml:space="preserve"> que acarret</w:t>
      </w:r>
      <w:r w:rsidR="00EE131F">
        <w:rPr>
          <w:sz w:val="22"/>
        </w:rPr>
        <w:t>e</w:t>
      </w:r>
      <w:r w:rsidRPr="006B225E">
        <w:rPr>
          <w:sz w:val="22"/>
        </w:rPr>
        <w:t xml:space="preserve">m impactos maiores sobre </w:t>
      </w:r>
      <w:r w:rsidR="00EE131F">
        <w:rPr>
          <w:sz w:val="22"/>
        </w:rPr>
        <w:t xml:space="preserve">as </w:t>
      </w:r>
      <w:r w:rsidRPr="006B225E">
        <w:rPr>
          <w:sz w:val="22"/>
        </w:rPr>
        <w:t xml:space="preserve">vidas, </w:t>
      </w:r>
      <w:r w:rsidR="00EE131F">
        <w:rPr>
          <w:sz w:val="22"/>
        </w:rPr>
        <w:t xml:space="preserve">os </w:t>
      </w:r>
      <w:r w:rsidRPr="006B225E">
        <w:rPr>
          <w:sz w:val="22"/>
        </w:rPr>
        <w:t xml:space="preserve">meios de subsistência e, </w:t>
      </w:r>
      <w:r w:rsidR="00EE131F">
        <w:rPr>
          <w:sz w:val="22"/>
        </w:rPr>
        <w:t>em última instância</w:t>
      </w:r>
      <w:r w:rsidRPr="006B225E">
        <w:rPr>
          <w:sz w:val="22"/>
        </w:rPr>
        <w:t xml:space="preserve">, os </w:t>
      </w:r>
      <w:r w:rsidR="00EE131F">
        <w:rPr>
          <w:sz w:val="22"/>
        </w:rPr>
        <w:t>resultados</w:t>
      </w:r>
      <w:r w:rsidRPr="006B225E">
        <w:rPr>
          <w:sz w:val="22"/>
        </w:rPr>
        <w:t xml:space="preserve"> do desenvolvimento. A mudança do clima e a pandemia de covid-19 são exemplos típicos de riscos compostos.</w:t>
      </w:r>
    </w:p>
    <w:p w14:paraId="3217A541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502B70D9" w14:textId="484806C0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>A Comissão Econômica para a América Latina e o Caribe (CEPAL) estima que a pandemia levará à maior contração do Produto Interno Bruto (PIB) regional da história, o que, subsequentemente, representa contrações na capacidade das Américas de sustentar meios de subsistência,</w:t>
      </w:r>
      <w:r w:rsidR="004574DD">
        <w:rPr>
          <w:sz w:val="22"/>
        </w:rPr>
        <w:t xml:space="preserve"> </w:t>
      </w:r>
      <w:r w:rsidRPr="006B225E">
        <w:rPr>
          <w:sz w:val="22"/>
        </w:rPr>
        <w:t>bem como sua capacidade de investir em setores críticos como água, energia, saúde, educação e desenvolvimento</w:t>
      </w:r>
      <w:r w:rsidRPr="006B225E">
        <w:rPr>
          <w:rStyle w:val="FootnoteReference"/>
          <w:sz w:val="22"/>
          <w:szCs w:val="22"/>
          <w:lang w:val="pt-BR"/>
        </w:rPr>
        <w:footnoteReference w:id="1"/>
      </w:r>
      <w:r w:rsidRPr="006B225E">
        <w:rPr>
          <w:sz w:val="22"/>
          <w:vertAlign w:val="superscript"/>
        </w:rPr>
        <w:t>/</w:t>
      </w:r>
      <w:r w:rsidRPr="006B225E">
        <w:rPr>
          <w:sz w:val="22"/>
        </w:rPr>
        <w:t xml:space="preserve">. A Corporação Financeira Internacional (IFC) do Banco Mundial, por exemplo, estima que, nos países em desenvolvimento, o setor de água e saneamento </w:t>
      </w:r>
      <w:r w:rsidR="004574DD">
        <w:rPr>
          <w:sz w:val="22"/>
        </w:rPr>
        <w:t xml:space="preserve">precisará </w:t>
      </w:r>
      <w:r w:rsidRPr="006B225E">
        <w:rPr>
          <w:sz w:val="22"/>
        </w:rPr>
        <w:t>aumentar seus investimentos em pelo menos 8% sobre os US$ 114 bilhões iniciais, necessários para cumprir o Objetivo de Desenvolvimento Sustentável Nº 6, “Água e Saneamento para Todos”, até 2030.</w:t>
      </w:r>
      <w:r w:rsidRPr="006B225E">
        <w:rPr>
          <w:rStyle w:val="FootnoteReference"/>
          <w:sz w:val="22"/>
          <w:szCs w:val="22"/>
          <w:lang w:val="pt-BR"/>
        </w:rPr>
        <w:footnoteReference w:id="2"/>
      </w:r>
      <w:r w:rsidRPr="006B225E">
        <w:rPr>
          <w:sz w:val="22"/>
          <w:vertAlign w:val="superscript"/>
        </w:rPr>
        <w:t>/</w:t>
      </w:r>
    </w:p>
    <w:p w14:paraId="2D95248D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4DA80864" w14:textId="02C7DD74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>A pandemia de covid-19 sobrecarrega</w:t>
      </w:r>
      <w:r w:rsidR="004574DD">
        <w:rPr>
          <w:sz w:val="22"/>
        </w:rPr>
        <w:t xml:space="preserve"> </w:t>
      </w:r>
      <w:r w:rsidRPr="006B225E">
        <w:rPr>
          <w:sz w:val="22"/>
        </w:rPr>
        <w:t xml:space="preserve">a capacidade dos Estados membros de gerenciar riscos. Os governos </w:t>
      </w:r>
      <w:r w:rsidR="004574DD">
        <w:rPr>
          <w:sz w:val="22"/>
        </w:rPr>
        <w:t>vêm</w:t>
      </w:r>
      <w:r w:rsidRPr="006B225E">
        <w:rPr>
          <w:sz w:val="22"/>
        </w:rPr>
        <w:t xml:space="preserve"> implantando medidas de emergência para enfrentar uma crise sanitária sem precedentes, em um momento em que já se deparam com fenômenos meteorológicos extremos e riscos climáticos cada vez mais frequentes e intensos. Intervenções como confinamentos, medidas de distanciamento social e pacotes de estímulo econômico foram implantadas para fortalecer a resiliência da sociedade.  Entretanto, o forte declínio econômico </w:t>
      </w:r>
      <w:r w:rsidR="004574DD">
        <w:rPr>
          <w:sz w:val="22"/>
        </w:rPr>
        <w:t xml:space="preserve">de </w:t>
      </w:r>
      <w:r w:rsidRPr="006B225E">
        <w:rPr>
          <w:sz w:val="22"/>
        </w:rPr>
        <w:t xml:space="preserve">2020, atribuído em parte a essas intervenções, exacerbou ainda mais os efeitos de riscos múltiplos, que estão ocorrendo um após o outro ou mesmo simultaneamente. Além disso, as disparidades socioeconômicas </w:t>
      </w:r>
      <w:r w:rsidR="004574DD">
        <w:rPr>
          <w:sz w:val="22"/>
        </w:rPr>
        <w:t>colocam</w:t>
      </w:r>
      <w:r w:rsidRPr="006B225E">
        <w:rPr>
          <w:sz w:val="22"/>
        </w:rPr>
        <w:t xml:space="preserve"> grupos sociais específicos em maior risco e compromete</w:t>
      </w:r>
      <w:r w:rsidR="004574DD">
        <w:rPr>
          <w:sz w:val="22"/>
        </w:rPr>
        <w:t xml:space="preserve">m </w:t>
      </w:r>
      <w:r w:rsidRPr="006B225E">
        <w:rPr>
          <w:sz w:val="22"/>
        </w:rPr>
        <w:t xml:space="preserve">a recuperação. O impacto da pandemia perdurará por muito tempo, </w:t>
      </w:r>
      <w:r w:rsidR="00FE0B03">
        <w:rPr>
          <w:sz w:val="22"/>
        </w:rPr>
        <w:t>o que obrigará os</w:t>
      </w:r>
      <w:r w:rsidRPr="006B225E">
        <w:rPr>
          <w:sz w:val="22"/>
        </w:rPr>
        <w:t xml:space="preserve"> governos a decretar políticas para enfrentar a própria crise da covid-19, bem como suas interseções com outras crises regionais ou globais.</w:t>
      </w:r>
    </w:p>
    <w:p w14:paraId="4256D5FF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185C602C" w14:textId="096F8DFC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A mudança </w:t>
      </w:r>
      <w:r w:rsidR="008C705D">
        <w:rPr>
          <w:sz w:val="22"/>
        </w:rPr>
        <w:t>do clima</w:t>
      </w:r>
      <w:r w:rsidRPr="006B225E">
        <w:rPr>
          <w:sz w:val="22"/>
        </w:rPr>
        <w:t xml:space="preserve"> é uma das </w:t>
      </w:r>
      <w:r w:rsidR="008C705D">
        <w:rPr>
          <w:sz w:val="22"/>
        </w:rPr>
        <w:t>principais</w:t>
      </w:r>
      <w:r w:rsidRPr="006B225E">
        <w:rPr>
          <w:sz w:val="22"/>
        </w:rPr>
        <w:t xml:space="preserve"> variáveis a serem consideradas </w:t>
      </w:r>
      <w:r w:rsidR="008C705D">
        <w:rPr>
          <w:sz w:val="22"/>
        </w:rPr>
        <w:t>quando da</w:t>
      </w:r>
      <w:r w:rsidRPr="006B225E">
        <w:rPr>
          <w:sz w:val="22"/>
        </w:rPr>
        <w:t xml:space="preserve"> avaliação da propagação de doenças infecciosas, como a malária ou a dengue. Por exemplo, os padrões de temperatura e pluviosidade têm um efeito sobre quando e onde os patógenos podem aparecer. Limitar o aquecimento global a 1,5 grau pode contribuir para reduzir o risco de propagação de doenças infecciosas. A poluição do ar também afeta a propagação de patógenos. Por exemplo, demonstrou-se o vínculo entre a poluição do ar por partículas finas conhecida como PM 2,5, causada principalmente pela combustão de combustíveis fósseis, e taxas mais altas de mortes por covid-19 entre as pessoas que vivem em áreas poluídas.</w:t>
      </w:r>
      <w:r w:rsidRPr="006B225E">
        <w:rPr>
          <w:rStyle w:val="FootnoteReference"/>
          <w:sz w:val="22"/>
          <w:szCs w:val="22"/>
          <w:lang w:val="pt-BR"/>
        </w:rPr>
        <w:footnoteReference w:id="3"/>
      </w:r>
      <w:r w:rsidRPr="006B225E">
        <w:rPr>
          <w:sz w:val="22"/>
          <w:vertAlign w:val="superscript"/>
        </w:rPr>
        <w:t>/</w:t>
      </w:r>
    </w:p>
    <w:p w14:paraId="2AE224DE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40AD2AEC" w14:textId="6175ED32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Por outro lado, certas comunidades estão em desvantagem desproporcional em relação aos impactos tanto da covid-19 quanto da mudança do clima. Por exemplo, após dois furacões de categoria 4 — Eta e Iota — atingirem a América Central em novembro passado, os grupos sociais mais vulneráveis sofreram com deslizamentos de terra, transbordamento de rios, destruição de plantações, rebanhos de gado arrastados pela água e inundação de escolas. </w:t>
      </w:r>
      <w:r w:rsidR="00266583">
        <w:rPr>
          <w:sz w:val="22"/>
        </w:rPr>
        <w:t>A população pobre</w:t>
      </w:r>
      <w:r w:rsidRPr="006B225E">
        <w:rPr>
          <w:sz w:val="22"/>
        </w:rPr>
        <w:t xml:space="preserve"> das áreas rurais </w:t>
      </w:r>
      <w:r w:rsidR="00266583">
        <w:rPr>
          <w:sz w:val="22"/>
        </w:rPr>
        <w:t>foi a mais a</w:t>
      </w:r>
      <w:r w:rsidRPr="006B225E">
        <w:rPr>
          <w:sz w:val="22"/>
        </w:rPr>
        <w:t>tingid</w:t>
      </w:r>
      <w:r w:rsidR="00266583">
        <w:rPr>
          <w:sz w:val="22"/>
        </w:rPr>
        <w:t xml:space="preserve">a </w:t>
      </w:r>
      <w:r w:rsidRPr="006B225E">
        <w:rPr>
          <w:sz w:val="22"/>
        </w:rPr>
        <w:t>pela sucessão dos dois furacões. A proteção dessas comunidades rurais envolveu a evacuação e o abrigo. Essa abordagem, por mais sensata que seja, entra em conflito com o distanciamento físico e o abrigo sem sair do local</w:t>
      </w:r>
      <w:r w:rsidR="001A5E46">
        <w:rPr>
          <w:sz w:val="22"/>
        </w:rPr>
        <w:t xml:space="preserve"> original </w:t>
      </w:r>
      <w:r w:rsidRPr="006B225E">
        <w:rPr>
          <w:sz w:val="22"/>
        </w:rPr>
        <w:sym w:font="Symbol" w:char="F0BE"/>
      </w:r>
      <w:r w:rsidR="001A5E46">
        <w:rPr>
          <w:sz w:val="22"/>
        </w:rPr>
        <w:t xml:space="preserve"> </w:t>
      </w:r>
      <w:r w:rsidRPr="006B225E">
        <w:rPr>
          <w:sz w:val="22"/>
        </w:rPr>
        <w:t xml:space="preserve">protocolos decretados na maioria dos Estados membros </w:t>
      </w:r>
      <w:r w:rsidR="001A5E46">
        <w:rPr>
          <w:sz w:val="22"/>
        </w:rPr>
        <w:t>a fim de</w:t>
      </w:r>
      <w:r w:rsidRPr="006B225E">
        <w:rPr>
          <w:sz w:val="22"/>
        </w:rPr>
        <w:t xml:space="preserve"> diminuir a propagação da covid-19.</w:t>
      </w:r>
    </w:p>
    <w:p w14:paraId="4E546425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1692B310" w14:textId="0A308B42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Por serem riscos compostos, a mudança do clima e a pandemia de covid-19 podem reduzir a capacidade dos Estados membros de responder a ameaças mais amplas. Além disso, a ocorrência de </w:t>
      </w:r>
      <w:r w:rsidR="00BF04A1">
        <w:rPr>
          <w:sz w:val="22"/>
        </w:rPr>
        <w:t xml:space="preserve">outros </w:t>
      </w:r>
      <w:r w:rsidRPr="006B225E">
        <w:rPr>
          <w:sz w:val="22"/>
        </w:rPr>
        <w:t>choques durante a pandemia poderia dificultar o processo de recuperação e aprofundar ainda mais as vulnerabilidades existentes. Por esse motivo, a abordagem eficaz dos efeitos complexos dos riscos compostos requer um enfoque multidisciplinar para compreender seus propulsores, seus impactos potenciais e suas interações.</w:t>
      </w:r>
    </w:p>
    <w:p w14:paraId="14EC3B91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45B5D97B" w14:textId="299949B6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Os riscos compostos, tais como a mudança do clima, as pandemias e os fenômenos climáticos extremos ressaltam a fragilidade e vulnerabilidade da infraestrutura, dos serviços e dos setores que dela dependem, bem como do funcionamento do governo, das operações comerciais e dos processos de desenvolvimento socioeconômico. As </w:t>
      </w:r>
      <w:r w:rsidR="00BF04A1">
        <w:rPr>
          <w:sz w:val="22"/>
        </w:rPr>
        <w:t>moradias</w:t>
      </w:r>
      <w:r w:rsidRPr="006B225E">
        <w:rPr>
          <w:sz w:val="22"/>
        </w:rPr>
        <w:t xml:space="preserve">, os escritórios, as fábricas, as estradas, os sistemas de água e saneamento, e as redes de geração, transmissão e distribuição de energia fornecem serviços críticos e são vulneráveis a uma miríade de riscos e ameaças. Toda essa infraestrutura representa uma proporção importante do investimento </w:t>
      </w:r>
      <w:r w:rsidR="00A31B72">
        <w:rPr>
          <w:sz w:val="22"/>
        </w:rPr>
        <w:t>no</w:t>
      </w:r>
      <w:r w:rsidRPr="006B225E">
        <w:rPr>
          <w:sz w:val="22"/>
        </w:rPr>
        <w:t xml:space="preserve"> desenvolvimento a longo prazo </w:t>
      </w:r>
      <w:r w:rsidR="0046382E">
        <w:rPr>
          <w:sz w:val="22"/>
        </w:rPr>
        <w:t xml:space="preserve">por parte </w:t>
      </w:r>
      <w:r w:rsidRPr="006B225E">
        <w:rPr>
          <w:sz w:val="22"/>
        </w:rPr>
        <w:t>da maioria dos países e é tradicionalmente projetada, construída e mantida por múltiplas equipes disciplinares. Essas disciplinas combinadas deveriam desempenhar um papel proativo para garantir que a infraestrutura seja projetada e desenvolvida de tal maneira que os riscos compostos sejam reduzidos ou mesmo erradicados.</w:t>
      </w:r>
    </w:p>
    <w:p w14:paraId="6C65192D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7D83B6D9" w14:textId="77777777" w:rsidR="006E39AF" w:rsidRPr="006B225E" w:rsidRDefault="006E39AF" w:rsidP="0066584D">
      <w:pPr>
        <w:numPr>
          <w:ilvl w:val="0"/>
          <w:numId w:val="19"/>
        </w:numPr>
        <w:ind w:left="0" w:firstLine="0"/>
        <w:jc w:val="both"/>
        <w:rPr>
          <w:b/>
          <w:sz w:val="22"/>
          <w:szCs w:val="22"/>
        </w:rPr>
      </w:pPr>
      <w:r w:rsidRPr="006B225E">
        <w:rPr>
          <w:b/>
          <w:sz w:val="22"/>
        </w:rPr>
        <w:t>Objetivo da sessão</w:t>
      </w:r>
    </w:p>
    <w:p w14:paraId="410AAB6D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515F5388" w14:textId="77777777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>O objetivo da sessão é o seguinte:</w:t>
      </w:r>
    </w:p>
    <w:p w14:paraId="51146791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16D5F361" w14:textId="77777777" w:rsidR="006E39AF" w:rsidRPr="006B225E" w:rsidRDefault="006E39AF" w:rsidP="0066584D">
      <w:pPr>
        <w:pStyle w:val="ListParagraph0"/>
        <w:numPr>
          <w:ilvl w:val="0"/>
          <w:numId w:val="20"/>
        </w:numPr>
        <w:ind w:left="1440" w:hanging="720"/>
        <w:contextualSpacing/>
        <w:jc w:val="both"/>
        <w:rPr>
          <w:sz w:val="22"/>
          <w:szCs w:val="22"/>
        </w:rPr>
      </w:pPr>
      <w:r w:rsidRPr="006B225E">
        <w:rPr>
          <w:sz w:val="22"/>
        </w:rPr>
        <w:t>Fazer um balanço dos mecanismos e instrumentos financeiros disponíveis aos Estados membros da OEA para enfrentar os desafios apresentados pela mudança do clima e outros riscos;</w:t>
      </w:r>
    </w:p>
    <w:p w14:paraId="28E69194" w14:textId="77777777" w:rsidR="006E39AF" w:rsidRPr="006B225E" w:rsidRDefault="006E39AF" w:rsidP="0066584D">
      <w:pPr>
        <w:pStyle w:val="ListParagraph0"/>
        <w:numPr>
          <w:ilvl w:val="0"/>
          <w:numId w:val="20"/>
        </w:numPr>
        <w:ind w:left="1440" w:hanging="720"/>
        <w:contextualSpacing/>
        <w:jc w:val="both"/>
        <w:rPr>
          <w:sz w:val="22"/>
          <w:szCs w:val="22"/>
        </w:rPr>
      </w:pPr>
      <w:r w:rsidRPr="006B225E">
        <w:rPr>
          <w:sz w:val="22"/>
        </w:rPr>
        <w:lastRenderedPageBreak/>
        <w:t>Traçar um roteiro de acesso ao financiamento climático e de capacitação para a criação, formulação e implementação de projetos por parte dos órgãos executores dos Estados membros; e</w:t>
      </w:r>
    </w:p>
    <w:p w14:paraId="306B9D3A" w14:textId="77777777" w:rsidR="006E39AF" w:rsidRPr="006B225E" w:rsidRDefault="006E39AF" w:rsidP="0066584D">
      <w:pPr>
        <w:pStyle w:val="ListParagraph0"/>
        <w:numPr>
          <w:ilvl w:val="0"/>
          <w:numId w:val="20"/>
        </w:numPr>
        <w:ind w:left="1440" w:hanging="720"/>
        <w:contextualSpacing/>
        <w:jc w:val="both"/>
        <w:rPr>
          <w:sz w:val="22"/>
          <w:szCs w:val="22"/>
        </w:rPr>
      </w:pPr>
      <w:r w:rsidRPr="006B225E">
        <w:rPr>
          <w:sz w:val="22"/>
        </w:rPr>
        <w:t>Definir o papel da SEDI no apoio aos esforços envidados pelos Estados membros para obter acesso ao financiamento verde.</w:t>
      </w:r>
    </w:p>
    <w:p w14:paraId="2B7B9855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3F8FBBB0" w14:textId="77777777" w:rsidR="006E39AF" w:rsidRPr="006B225E" w:rsidRDefault="006E39AF" w:rsidP="0066584D">
      <w:pPr>
        <w:numPr>
          <w:ilvl w:val="0"/>
          <w:numId w:val="19"/>
        </w:numPr>
        <w:ind w:left="0" w:firstLine="0"/>
        <w:jc w:val="both"/>
        <w:rPr>
          <w:b/>
          <w:sz w:val="22"/>
          <w:szCs w:val="22"/>
        </w:rPr>
      </w:pPr>
      <w:r w:rsidRPr="006B225E">
        <w:rPr>
          <w:b/>
          <w:sz w:val="22"/>
        </w:rPr>
        <w:t xml:space="preserve">Relevância para a SEDI </w:t>
      </w:r>
    </w:p>
    <w:p w14:paraId="08201B5E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52C6A31D" w14:textId="4BD4247C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>Fortalec</w:t>
      </w:r>
      <w:r w:rsidR="00C054DB">
        <w:rPr>
          <w:sz w:val="22"/>
        </w:rPr>
        <w:t xml:space="preserve">er </w:t>
      </w:r>
      <w:r w:rsidRPr="006B225E">
        <w:rPr>
          <w:sz w:val="22"/>
        </w:rPr>
        <w:t>a implementação dos objetivos de desenvolvimento sustentável, em conformidade com o Programa Interamericano de Desenvolvimento Sustentável (PIDS) 2016-2021.</w:t>
      </w:r>
    </w:p>
    <w:p w14:paraId="296C71B1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40526B31" w14:textId="4DFE1570" w:rsidR="006E39AF" w:rsidRPr="006B225E" w:rsidRDefault="006E39AF" w:rsidP="00AE470F">
      <w:pPr>
        <w:jc w:val="both"/>
        <w:rPr>
          <w:sz w:val="22"/>
          <w:szCs w:val="22"/>
        </w:rPr>
      </w:pPr>
      <w:r w:rsidRPr="006B225E">
        <w:rPr>
          <w:sz w:val="22"/>
        </w:rPr>
        <w:tab/>
        <w:t>Aperfeiçoa</w:t>
      </w:r>
      <w:r w:rsidR="00C054DB">
        <w:rPr>
          <w:sz w:val="22"/>
        </w:rPr>
        <w:t xml:space="preserve">r </w:t>
      </w:r>
      <w:r w:rsidRPr="006B225E">
        <w:rPr>
          <w:sz w:val="22"/>
        </w:rPr>
        <w:t>as capacidades dos Estados membros nas áreas de energia sustentável, gestão sustentável de ecossistemas, gestão do risco de desastres e gestão dos recursos hídricos.</w:t>
      </w:r>
    </w:p>
    <w:p w14:paraId="34E7131D" w14:textId="77777777" w:rsidR="006E39AF" w:rsidRPr="006B225E" w:rsidRDefault="006E39AF" w:rsidP="00AE470F">
      <w:pPr>
        <w:jc w:val="both"/>
        <w:rPr>
          <w:sz w:val="22"/>
          <w:szCs w:val="22"/>
        </w:rPr>
      </w:pPr>
    </w:p>
    <w:p w14:paraId="1FD510FC" w14:textId="77777777" w:rsidR="006E39AF" w:rsidRPr="006B225E" w:rsidRDefault="006E39AF" w:rsidP="00AE470F">
      <w:pPr>
        <w:numPr>
          <w:ilvl w:val="0"/>
          <w:numId w:val="19"/>
        </w:numPr>
        <w:ind w:left="0" w:firstLine="0"/>
        <w:jc w:val="both"/>
        <w:rPr>
          <w:b/>
          <w:sz w:val="22"/>
          <w:szCs w:val="22"/>
        </w:rPr>
      </w:pPr>
      <w:r w:rsidRPr="006B225E">
        <w:rPr>
          <w:b/>
          <w:sz w:val="22"/>
        </w:rPr>
        <w:t xml:space="preserve">Estrutura da sessão </w:t>
      </w:r>
    </w:p>
    <w:p w14:paraId="4BF95808" w14:textId="77777777" w:rsidR="006E39AF" w:rsidRPr="006B225E" w:rsidRDefault="006E39AF" w:rsidP="00AE470F">
      <w:pPr>
        <w:jc w:val="both"/>
        <w:rPr>
          <w:sz w:val="22"/>
          <w:szCs w:val="22"/>
        </w:rPr>
      </w:pPr>
    </w:p>
    <w:p w14:paraId="37B3057F" w14:textId="77777777" w:rsidR="006E39AF" w:rsidRPr="006B225E" w:rsidRDefault="006E39AF" w:rsidP="00AE470F">
      <w:pPr>
        <w:jc w:val="both"/>
        <w:rPr>
          <w:sz w:val="22"/>
          <w:szCs w:val="22"/>
        </w:rPr>
      </w:pPr>
      <w:r w:rsidRPr="006B225E">
        <w:rPr>
          <w:sz w:val="22"/>
        </w:rPr>
        <w:tab/>
        <w:t>Painelistas convidados:</w:t>
      </w:r>
    </w:p>
    <w:p w14:paraId="69E6A3C3" w14:textId="77777777" w:rsidR="006E39AF" w:rsidRPr="006B225E" w:rsidRDefault="006E39AF" w:rsidP="00AE470F">
      <w:pPr>
        <w:jc w:val="both"/>
        <w:rPr>
          <w:sz w:val="22"/>
          <w:szCs w:val="22"/>
        </w:rPr>
      </w:pPr>
    </w:p>
    <w:p w14:paraId="50256CBF" w14:textId="77777777" w:rsidR="006E39AF" w:rsidRPr="006B225E" w:rsidRDefault="006E39AF" w:rsidP="00AE470F">
      <w:pPr>
        <w:ind w:firstLine="720"/>
        <w:jc w:val="both"/>
        <w:rPr>
          <w:sz w:val="22"/>
          <w:szCs w:val="22"/>
        </w:rPr>
      </w:pPr>
      <w:r w:rsidRPr="006B225E">
        <w:rPr>
          <w:sz w:val="22"/>
        </w:rPr>
        <w:t>Fundo Global para o Meio Ambiente (GEF)</w:t>
      </w:r>
    </w:p>
    <w:p w14:paraId="46C9AD5C" w14:textId="77777777" w:rsidR="006E39AF" w:rsidRPr="006B225E" w:rsidRDefault="006E39AF" w:rsidP="00AE470F">
      <w:pPr>
        <w:jc w:val="both"/>
        <w:rPr>
          <w:sz w:val="22"/>
          <w:szCs w:val="22"/>
        </w:rPr>
      </w:pPr>
    </w:p>
    <w:p w14:paraId="420C7152" w14:textId="77777777" w:rsidR="006E39AF" w:rsidRPr="006B225E" w:rsidRDefault="006E39AF" w:rsidP="0066584D">
      <w:pPr>
        <w:ind w:firstLine="720"/>
        <w:jc w:val="both"/>
        <w:rPr>
          <w:sz w:val="22"/>
          <w:szCs w:val="22"/>
        </w:rPr>
      </w:pPr>
      <w:r w:rsidRPr="006B225E">
        <w:rPr>
          <w:sz w:val="22"/>
        </w:rPr>
        <w:t>Fundo Verde para o Clima (GCF)</w:t>
      </w:r>
    </w:p>
    <w:p w14:paraId="72643AE4" w14:textId="77777777" w:rsidR="006E39AF" w:rsidRPr="006B225E" w:rsidRDefault="006E39AF" w:rsidP="00AE470F">
      <w:pPr>
        <w:jc w:val="both"/>
        <w:rPr>
          <w:sz w:val="22"/>
          <w:szCs w:val="22"/>
        </w:rPr>
      </w:pPr>
    </w:p>
    <w:p w14:paraId="0A343072" w14:textId="77777777" w:rsidR="006E39AF" w:rsidRPr="006B225E" w:rsidRDefault="006E39AF" w:rsidP="0066584D">
      <w:pPr>
        <w:ind w:firstLine="720"/>
        <w:jc w:val="both"/>
        <w:rPr>
          <w:bCs/>
          <w:sz w:val="22"/>
          <w:szCs w:val="22"/>
        </w:rPr>
      </w:pPr>
      <w:r w:rsidRPr="006B225E">
        <w:rPr>
          <w:sz w:val="22"/>
        </w:rPr>
        <w:t>Estados Unidos da América</w:t>
      </w:r>
    </w:p>
    <w:p w14:paraId="0F334362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3CACC265" w14:textId="77777777" w:rsidR="006E39AF" w:rsidRPr="006B225E" w:rsidRDefault="006E39AF" w:rsidP="0066584D">
      <w:pPr>
        <w:numPr>
          <w:ilvl w:val="0"/>
          <w:numId w:val="19"/>
        </w:numPr>
        <w:ind w:left="0" w:firstLine="0"/>
        <w:jc w:val="both"/>
        <w:rPr>
          <w:b/>
          <w:sz w:val="22"/>
          <w:szCs w:val="22"/>
        </w:rPr>
      </w:pPr>
      <w:r w:rsidRPr="006B225E">
        <w:rPr>
          <w:b/>
          <w:sz w:val="22"/>
        </w:rPr>
        <w:t xml:space="preserve">Resultados da reunião </w:t>
      </w:r>
    </w:p>
    <w:p w14:paraId="4AAA7495" w14:textId="77777777" w:rsidR="006E39AF" w:rsidRPr="006B225E" w:rsidRDefault="006E39AF" w:rsidP="0066584D">
      <w:pPr>
        <w:jc w:val="both"/>
        <w:rPr>
          <w:sz w:val="22"/>
          <w:szCs w:val="22"/>
        </w:rPr>
      </w:pPr>
    </w:p>
    <w:p w14:paraId="08475472" w14:textId="6B91F45E" w:rsidR="006E39AF" w:rsidRPr="006B225E" w:rsidRDefault="006E39AF" w:rsidP="0066584D">
      <w:pPr>
        <w:jc w:val="both"/>
        <w:rPr>
          <w:sz w:val="22"/>
          <w:szCs w:val="22"/>
        </w:rPr>
      </w:pPr>
      <w:r w:rsidRPr="006B225E">
        <w:rPr>
          <w:sz w:val="22"/>
        </w:rPr>
        <w:tab/>
        <w:t xml:space="preserve">Uma agenda hemisférica para o financiamento climático que aproveite o valor agregado da OEA e, ao mesmo tempo, complemente os esforços </w:t>
      </w:r>
      <w:r w:rsidR="00C054DB">
        <w:rPr>
          <w:sz w:val="22"/>
        </w:rPr>
        <w:t>envidados pelas</w:t>
      </w:r>
      <w:r w:rsidRPr="006B225E">
        <w:rPr>
          <w:sz w:val="22"/>
        </w:rPr>
        <w:t xml:space="preserve"> instituições financeiras internacionais, </w:t>
      </w:r>
      <w:r w:rsidR="00C054DB">
        <w:rPr>
          <w:sz w:val="22"/>
        </w:rPr>
        <w:t>pelos</w:t>
      </w:r>
      <w:r w:rsidRPr="006B225E">
        <w:rPr>
          <w:sz w:val="22"/>
        </w:rPr>
        <w:t xml:space="preserve"> bancos de desenvolvimento e </w:t>
      </w:r>
      <w:r w:rsidR="00C054DB">
        <w:rPr>
          <w:sz w:val="22"/>
        </w:rPr>
        <w:t>pela</w:t>
      </w:r>
      <w:r w:rsidRPr="006B225E">
        <w:rPr>
          <w:sz w:val="22"/>
        </w:rPr>
        <w:t xml:space="preserve"> cooperação internacional para o desenvolvimento.</w:t>
      </w:r>
    </w:p>
    <w:p w14:paraId="171C774F" w14:textId="080D35F4" w:rsidR="00FB2A63" w:rsidRPr="006B225E" w:rsidRDefault="008C274B" w:rsidP="006E39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DB80C4" wp14:editId="776B7445">
                <wp:simplePos x="0" y="0"/>
                <wp:positionH relativeFrom="column">
                  <wp:posOffset>-91440</wp:posOffset>
                </wp:positionH>
                <wp:positionV relativeFrom="page">
                  <wp:posOffset>8534400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E539C6" w14:textId="23C3AA0C" w:rsidR="008C274B" w:rsidRPr="008C274B" w:rsidRDefault="008C27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CIDRP03080P0</w:t>
                            </w:r>
                            <w:r w:rsidR="00AE470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80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672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bfwIAAAI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" filled="f" stroked="f">
                <v:stroke joinstyle="round"/>
                <v:textbox>
                  <w:txbxContent>
                    <w:p w14:paraId="23E539C6" w14:textId="23C3AA0C" w:rsidR="008C274B" w:rsidRPr="008C274B" w:rsidRDefault="008C274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CIDRP03080P0</w:t>
                      </w:r>
                      <w:r w:rsidR="00AE470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2A63" w:rsidRPr="006B225E" w:rsidSect="0066584D">
      <w:headerReference w:type="default" r:id="rId8"/>
      <w:headerReference w:type="first" r:id="rId9"/>
      <w:type w:val="continuous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734" w14:textId="77777777" w:rsidR="0058459D" w:rsidRDefault="0058459D">
      <w:r>
        <w:separator/>
      </w:r>
    </w:p>
  </w:endnote>
  <w:endnote w:type="continuationSeparator" w:id="0">
    <w:p w14:paraId="494F8C16" w14:textId="77777777" w:rsidR="0058459D" w:rsidRDefault="005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9BF4" w14:textId="77777777" w:rsidR="0058459D" w:rsidRDefault="0058459D">
      <w:r>
        <w:separator/>
      </w:r>
    </w:p>
  </w:footnote>
  <w:footnote w:type="continuationSeparator" w:id="0">
    <w:p w14:paraId="052B914B" w14:textId="77777777" w:rsidR="0058459D" w:rsidRDefault="0058459D">
      <w:r>
        <w:continuationSeparator/>
      </w:r>
    </w:p>
  </w:footnote>
  <w:footnote w:id="1">
    <w:p w14:paraId="6A44C557" w14:textId="42927E7B" w:rsidR="006E39AF" w:rsidRPr="0066584D" w:rsidRDefault="006E39AF" w:rsidP="0066584D">
      <w:pPr>
        <w:pStyle w:val="FootnoteText"/>
        <w:ind w:left="720" w:hanging="360"/>
      </w:pPr>
      <w:r w:rsidRPr="0066584D">
        <w:rPr>
          <w:rStyle w:val="FootnoteReference"/>
          <w:vertAlign w:val="baseline"/>
        </w:rPr>
        <w:footnoteRef/>
      </w:r>
      <w:r w:rsidRPr="0066584D">
        <w:t>.</w:t>
      </w:r>
      <w:r w:rsidRPr="0066584D">
        <w:tab/>
      </w:r>
      <w:hyperlink r:id="rId1" w:history="1">
        <w:r w:rsidRPr="0066584D">
          <w:rPr>
            <w:rStyle w:val="Hyperlink"/>
            <w:lang w:val="pt-BR"/>
          </w:rPr>
          <w:t>América Latina e Caribe:</w:t>
        </w:r>
      </w:hyperlink>
      <w:hyperlink r:id="rId2" w:history="1">
        <w:r w:rsidRPr="0066584D">
          <w:rPr>
            <w:rStyle w:val="Hyperlink"/>
            <w:lang w:val="pt-BR"/>
          </w:rPr>
          <w:t xml:space="preserve"> Projeções de crescimento para 2020, CEPAL 2020.</w:t>
        </w:r>
      </w:hyperlink>
    </w:p>
  </w:footnote>
  <w:footnote w:id="2">
    <w:p w14:paraId="6B539782" w14:textId="090AFA85" w:rsidR="006E39AF" w:rsidRPr="0066584D" w:rsidRDefault="006E39AF" w:rsidP="0066584D">
      <w:pPr>
        <w:pStyle w:val="FootnoteText"/>
        <w:ind w:left="720" w:hanging="360"/>
      </w:pPr>
      <w:r w:rsidRPr="0066584D">
        <w:rPr>
          <w:rStyle w:val="FootnoteReference"/>
          <w:vertAlign w:val="baseline"/>
          <w:lang w:val="pt-BR"/>
        </w:rPr>
        <w:footnoteRef/>
      </w:r>
      <w:r w:rsidRPr="0066584D">
        <w:t>.</w:t>
      </w:r>
      <w:r w:rsidRPr="0066584D">
        <w:tab/>
      </w:r>
      <w:hyperlink r:id="rId3" w:history="1">
        <w:r w:rsidRPr="0066584D">
          <w:rPr>
            <w:rStyle w:val="Hyperlink"/>
            <w:lang w:val="pt-BR"/>
          </w:rPr>
          <w:t>O Impacto da covid-19 no setor de água e saneamento, IFC 2020</w:t>
        </w:r>
      </w:hyperlink>
      <w:r w:rsidRPr="0066584D">
        <w:t xml:space="preserve">. </w:t>
      </w:r>
    </w:p>
  </w:footnote>
  <w:footnote w:id="3">
    <w:p w14:paraId="00E84E91" w14:textId="61563523" w:rsidR="006E39AF" w:rsidRPr="0066584D" w:rsidRDefault="006E39AF" w:rsidP="0066584D">
      <w:pPr>
        <w:pStyle w:val="FootnoteText"/>
        <w:ind w:left="720" w:hanging="360"/>
        <w:jc w:val="both"/>
      </w:pPr>
      <w:r w:rsidRPr="0066584D">
        <w:rPr>
          <w:rStyle w:val="FootnoteReference"/>
          <w:vertAlign w:val="baseline"/>
        </w:rPr>
        <w:footnoteRef/>
      </w:r>
      <w:r w:rsidRPr="0066584D">
        <w:t>.</w:t>
      </w:r>
      <w:r w:rsidRPr="0066584D">
        <w:tab/>
      </w:r>
      <w:hyperlink r:id="rId4" w:history="1">
        <w:r w:rsidRPr="0066584D">
          <w:rPr>
            <w:rStyle w:val="Hyperlink"/>
            <w:lang w:val="pt-BR"/>
          </w:rPr>
          <w:t>Poluição do ar e mortalidade por covid-19 nos Estados Unidos:</w:t>
        </w:r>
      </w:hyperlink>
      <w:hyperlink r:id="rId5" w:history="1">
        <w:r w:rsidRPr="0066584D">
          <w:rPr>
            <w:rStyle w:val="Hyperlink"/>
            <w:lang w:val="pt-BR"/>
          </w:rPr>
          <w:t xml:space="preserve"> Pontos fortes e limitações de uma análise de regressão ecológica.</w:t>
        </w:r>
      </w:hyperlink>
      <w:r w:rsidRPr="0066584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721C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70C" w14:textId="3B0251B7" w:rsidR="0073480E" w:rsidRDefault="006658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336B41" wp14:editId="0D3069F5">
              <wp:simplePos x="0" y="0"/>
              <wp:positionH relativeFrom="column">
                <wp:posOffset>383761</wp:posOffset>
              </wp:positionH>
              <wp:positionV relativeFrom="paragraph">
                <wp:posOffset>-260378</wp:posOffset>
              </wp:positionV>
              <wp:extent cx="4587903" cy="644056"/>
              <wp:effectExtent l="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903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BC46" w14:textId="3C72475A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4B6E9C">
                            <w:rPr>
                              <w:rFonts w:ascii="Garamond" w:hAnsi="Garamond"/>
                              <w:b/>
                              <w:sz w:val="28"/>
                            </w:rPr>
                            <w:t>ÇÃO DOS ESTADOS AMERICANOS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12299051" w14:textId="4EBEB06A" w:rsidR="00921E9E" w:rsidRPr="00133A15" w:rsidRDefault="004B6E9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Conselho Interamericano de Desenvolvimento Integral</w:t>
                          </w:r>
                        </w:p>
                        <w:p w14:paraId="5F922075" w14:textId="5C321243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(CIDI)</w:t>
                          </w:r>
                          <w:r w:rsidR="0066584D" w:rsidRPr="0066584D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36B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2pt;margin-top:-20.5pt;width:361.25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" stroked="f">
              <v:textbox>
                <w:txbxContent>
                  <w:p w14:paraId="0C1EBC46" w14:textId="3C72475A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4B6E9C">
                      <w:rPr>
                        <w:rFonts w:ascii="Garamond" w:hAnsi="Garamond"/>
                        <w:b/>
                        <w:sz w:val="28"/>
                      </w:rPr>
                      <w:t>ÇÃO DOS ESTADOS AMERICANOS</w:t>
                    </w: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 </w:t>
                    </w:r>
                  </w:p>
                  <w:p w14:paraId="12299051" w14:textId="4EBEB06A" w:rsidR="00921E9E" w:rsidRPr="00133A15" w:rsidRDefault="004B6E9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Conselho Interamericano de Desenvolvimento Integral</w:t>
                    </w:r>
                  </w:p>
                  <w:p w14:paraId="5F922075" w14:textId="5C321243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(CIDI)</w:t>
                    </w:r>
                    <w:r w:rsidR="0066584D" w:rsidRPr="0066584D">
                      <w:rPr>
                        <w:rFonts w:ascii="News Gothic MT" w:hAnsi="News Gothic MT"/>
                        <w:noProof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4892BD" wp14:editId="77153246">
          <wp:simplePos x="0" y="0"/>
          <wp:positionH relativeFrom="column">
            <wp:posOffset>-547867</wp:posOffset>
          </wp:positionH>
          <wp:positionV relativeFrom="paragraph">
            <wp:posOffset>-422303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20F08B39" wp14:editId="442DA8F0">
          <wp:simplePos x="0" y="0"/>
          <wp:positionH relativeFrom="column">
            <wp:posOffset>5114593</wp:posOffset>
          </wp:positionH>
          <wp:positionV relativeFrom="paragraph">
            <wp:posOffset>-360128</wp:posOffset>
          </wp:positionV>
          <wp:extent cx="1102995" cy="775335"/>
          <wp:effectExtent l="0" t="0" r="1905" b="5715"/>
          <wp:wrapSquare wrapText="bothSides"/>
          <wp:docPr id="3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405F5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15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3640C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5E46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64202"/>
    <w:rsid w:val="0026449A"/>
    <w:rsid w:val="00266583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574DD"/>
    <w:rsid w:val="00457B19"/>
    <w:rsid w:val="00461F49"/>
    <w:rsid w:val="0046301C"/>
    <w:rsid w:val="0046382E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B6E9C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26C1"/>
    <w:rsid w:val="00634E7B"/>
    <w:rsid w:val="006374D0"/>
    <w:rsid w:val="00642E66"/>
    <w:rsid w:val="0064648A"/>
    <w:rsid w:val="00655B90"/>
    <w:rsid w:val="00663D49"/>
    <w:rsid w:val="0066584D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9766D"/>
    <w:rsid w:val="006A1A6B"/>
    <w:rsid w:val="006A483E"/>
    <w:rsid w:val="006A545B"/>
    <w:rsid w:val="006A6025"/>
    <w:rsid w:val="006A67F9"/>
    <w:rsid w:val="006B21AD"/>
    <w:rsid w:val="006B225E"/>
    <w:rsid w:val="006B3BA2"/>
    <w:rsid w:val="006B710A"/>
    <w:rsid w:val="006C6F0E"/>
    <w:rsid w:val="006D11BB"/>
    <w:rsid w:val="006D7239"/>
    <w:rsid w:val="006E39AF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C274B"/>
    <w:rsid w:val="008C705D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1B72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E470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04A1"/>
    <w:rsid w:val="00BF1293"/>
    <w:rsid w:val="00C02DB7"/>
    <w:rsid w:val="00C02DEE"/>
    <w:rsid w:val="00C054DB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0B0B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18F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131F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0B03"/>
    <w:rsid w:val="00FE356F"/>
    <w:rsid w:val="00FE404F"/>
    <w:rsid w:val="00FE7AA0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E4D0F6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c.org/wps/wcm/connect/industry_ext_content/ifc_external_corporate_site/infrastructure/resources/the+impact+of+covid-19+on+water+and+sanitation" TargetMode="External"/><Relationship Id="rId2" Type="http://schemas.openxmlformats.org/officeDocument/2006/relationships/hyperlink" Target="https://www.cepal.org/sites/default/files/pr/files/table_press_gdp_projections-2020-eng.pdf" TargetMode="External"/><Relationship Id="rId1" Type="http://schemas.openxmlformats.org/officeDocument/2006/relationships/hyperlink" Target="https://www.cepal.org/sites/default/files/pr/files/table_press_gdp_projections-2020-eng.pdf" TargetMode="External"/><Relationship Id="rId5" Type="http://schemas.openxmlformats.org/officeDocument/2006/relationships/hyperlink" Target="https://advances.sciencemag.org/content/6/45/eabd4049" TargetMode="External"/><Relationship Id="rId4" Type="http://schemas.openxmlformats.org/officeDocument/2006/relationships/hyperlink" Target="https://advances.sciencemag.org/content/6/45/eabd404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62</TotalTime>
  <Pages>3</Pages>
  <Words>1032</Words>
  <Characters>5882</Characters>
  <Application>Microsoft Office Word</Application>
  <DocSecurity>0</DocSecurity>
  <Lines>123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6905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Palmer, Margaret</cp:lastModifiedBy>
  <cp:revision>23</cp:revision>
  <cp:lastPrinted>2018-08-24T16:52:00Z</cp:lastPrinted>
  <dcterms:created xsi:type="dcterms:W3CDTF">2021-02-04T16:40:00Z</dcterms:created>
  <dcterms:modified xsi:type="dcterms:W3CDTF">2021-08-09T19:14:00Z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