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984E" w14:textId="77777777" w:rsidR="0040128C" w:rsidRPr="00BB5066" w:rsidRDefault="0040128C" w:rsidP="0040128C">
      <w:pPr>
        <w:tabs>
          <w:tab w:val="left" w:pos="7200"/>
        </w:tabs>
        <w:ind w:right="-1080"/>
        <w:rPr>
          <w:noProof/>
          <w:sz w:val="22"/>
          <w:szCs w:val="22"/>
          <w:lang w:val="pt-BR"/>
        </w:rPr>
      </w:pPr>
      <w:r>
        <w:rPr>
          <w:sz w:val="22"/>
        </w:rPr>
        <w:tab/>
      </w:r>
      <w:r w:rsidRPr="00BB5066">
        <w:rPr>
          <w:sz w:val="22"/>
          <w:lang w:val="pt-BR"/>
        </w:rPr>
        <w:t>OEA/Ser.W</w:t>
      </w:r>
    </w:p>
    <w:p w14:paraId="3D43C001" w14:textId="420F845E" w:rsidR="0040128C" w:rsidRPr="00BB5066" w:rsidRDefault="0040128C" w:rsidP="0040128C">
      <w:pPr>
        <w:tabs>
          <w:tab w:val="left" w:pos="7200"/>
        </w:tabs>
        <w:ind w:right="-1080"/>
        <w:rPr>
          <w:noProof/>
          <w:sz w:val="22"/>
          <w:szCs w:val="22"/>
          <w:lang w:val="pt-BR"/>
        </w:rPr>
      </w:pPr>
      <w:r w:rsidRPr="00BB5066">
        <w:rPr>
          <w:sz w:val="22"/>
          <w:lang w:val="pt-BR"/>
        </w:rPr>
        <w:tab/>
        <w:t>CIDI/INF.</w:t>
      </w:r>
      <w:r w:rsidR="007C551F">
        <w:rPr>
          <w:sz w:val="22"/>
          <w:lang w:val="pt-BR"/>
        </w:rPr>
        <w:t>404/21</w:t>
      </w:r>
    </w:p>
    <w:p w14:paraId="6B29ADC5" w14:textId="2660FEDF" w:rsidR="0040128C" w:rsidRPr="0040128C" w:rsidRDefault="0040128C" w:rsidP="0040128C">
      <w:pPr>
        <w:tabs>
          <w:tab w:val="left" w:pos="7200"/>
        </w:tabs>
        <w:ind w:right="-1080"/>
        <w:rPr>
          <w:noProof/>
          <w:sz w:val="22"/>
          <w:szCs w:val="22"/>
        </w:rPr>
      </w:pPr>
      <w:r w:rsidRPr="00BB5066">
        <w:rPr>
          <w:sz w:val="22"/>
          <w:lang w:val="pt-BR"/>
        </w:rPr>
        <w:tab/>
      </w:r>
      <w:r w:rsidR="007C551F" w:rsidRPr="00EA6051">
        <w:rPr>
          <w:sz w:val="22"/>
          <w:lang w:val="es-US"/>
        </w:rPr>
        <w:t>4 febrero</w:t>
      </w:r>
      <w:r w:rsidR="007C551F">
        <w:rPr>
          <w:sz w:val="22"/>
        </w:rPr>
        <w:t xml:space="preserve"> 2021</w:t>
      </w:r>
    </w:p>
    <w:p w14:paraId="38FC3C61" w14:textId="77777777" w:rsidR="0040128C" w:rsidRPr="0040128C" w:rsidRDefault="0040128C" w:rsidP="0040128C">
      <w:pPr>
        <w:pBdr>
          <w:bottom w:val="single" w:sz="12" w:space="1" w:color="auto"/>
        </w:pBdr>
        <w:tabs>
          <w:tab w:val="left" w:pos="7200"/>
        </w:tabs>
        <w:ind w:right="-389"/>
        <w:rPr>
          <w:noProof/>
          <w:sz w:val="22"/>
          <w:szCs w:val="22"/>
        </w:rPr>
      </w:pPr>
      <w:r>
        <w:rPr>
          <w:sz w:val="22"/>
        </w:rPr>
        <w:tab/>
        <w:t>Original: inglés</w:t>
      </w:r>
    </w:p>
    <w:p w14:paraId="3FA51899" w14:textId="77777777" w:rsidR="0040128C" w:rsidRPr="0040128C" w:rsidRDefault="0040128C" w:rsidP="0040128C">
      <w:pPr>
        <w:pBdr>
          <w:bottom w:val="single" w:sz="12" w:space="1" w:color="auto"/>
        </w:pBdr>
        <w:tabs>
          <w:tab w:val="left" w:pos="7200"/>
        </w:tabs>
        <w:ind w:right="-389"/>
        <w:rPr>
          <w:noProof/>
          <w:sz w:val="22"/>
          <w:szCs w:val="22"/>
        </w:rPr>
      </w:pPr>
    </w:p>
    <w:p w14:paraId="3BAD8ABC" w14:textId="77777777" w:rsidR="0040128C" w:rsidRPr="0040128C" w:rsidRDefault="0040128C" w:rsidP="0040128C">
      <w:pPr>
        <w:tabs>
          <w:tab w:val="left" w:pos="7200"/>
        </w:tabs>
        <w:ind w:right="-1080"/>
        <w:rPr>
          <w:noProof/>
          <w:sz w:val="22"/>
          <w:szCs w:val="22"/>
        </w:rPr>
      </w:pPr>
    </w:p>
    <w:p w14:paraId="0BB03062" w14:textId="77777777" w:rsidR="0040128C" w:rsidRPr="0040128C" w:rsidRDefault="0040128C" w:rsidP="0040128C">
      <w:pPr>
        <w:jc w:val="both"/>
        <w:outlineLvl w:val="0"/>
        <w:rPr>
          <w:noProof/>
          <w:sz w:val="22"/>
          <w:szCs w:val="22"/>
        </w:rPr>
      </w:pPr>
    </w:p>
    <w:p w14:paraId="013CCA2A" w14:textId="77777777" w:rsidR="0040128C" w:rsidRPr="0040128C" w:rsidRDefault="0040128C" w:rsidP="0040128C">
      <w:pPr>
        <w:jc w:val="center"/>
        <w:rPr>
          <w:rFonts w:eastAsia="Calibri"/>
          <w:noProof/>
          <w:sz w:val="22"/>
          <w:szCs w:val="22"/>
        </w:rPr>
      </w:pPr>
      <w:r>
        <w:rPr>
          <w:sz w:val="22"/>
        </w:rPr>
        <w:t>NOTA CONCEPTUAL</w:t>
      </w:r>
    </w:p>
    <w:p w14:paraId="14246755" w14:textId="77777777" w:rsidR="0040128C" w:rsidRPr="0040128C" w:rsidRDefault="0040128C" w:rsidP="0040128C">
      <w:pPr>
        <w:rPr>
          <w:rFonts w:eastAsia="Calibri"/>
          <w:noProof/>
          <w:sz w:val="22"/>
          <w:szCs w:val="22"/>
        </w:rPr>
      </w:pPr>
    </w:p>
    <w:p w14:paraId="539CD297" w14:textId="77777777" w:rsidR="0040128C" w:rsidRPr="0040128C" w:rsidRDefault="0040128C" w:rsidP="0040128C">
      <w:pPr>
        <w:jc w:val="center"/>
        <w:rPr>
          <w:rFonts w:eastAsia="Calibri"/>
          <w:caps/>
          <w:noProof/>
          <w:sz w:val="22"/>
          <w:szCs w:val="22"/>
        </w:rPr>
      </w:pPr>
      <w:r>
        <w:rPr>
          <w:caps/>
          <w:sz w:val="22"/>
        </w:rPr>
        <w:t xml:space="preserve">Reunión ordinaria del </w:t>
      </w:r>
    </w:p>
    <w:p w14:paraId="4247BE5D" w14:textId="77777777" w:rsidR="0040128C" w:rsidRPr="0040128C" w:rsidRDefault="0040128C" w:rsidP="0040128C">
      <w:pPr>
        <w:jc w:val="center"/>
        <w:rPr>
          <w:rFonts w:eastAsia="Calibri"/>
          <w:caps/>
          <w:noProof/>
          <w:sz w:val="22"/>
          <w:szCs w:val="22"/>
        </w:rPr>
      </w:pPr>
      <w:r>
        <w:rPr>
          <w:caps/>
          <w:sz w:val="22"/>
        </w:rPr>
        <w:t xml:space="preserve">Consejo Interamericano para el Desarrollo Integral (CIDI) </w:t>
      </w:r>
    </w:p>
    <w:p w14:paraId="555ECD4D" w14:textId="50D52D86" w:rsidR="0040128C" w:rsidRPr="0040128C" w:rsidRDefault="0040128C" w:rsidP="0040128C">
      <w:pPr>
        <w:jc w:val="center"/>
        <w:rPr>
          <w:rFonts w:eastAsia="Calibri"/>
          <w:caps/>
          <w:noProof/>
          <w:sz w:val="22"/>
          <w:szCs w:val="22"/>
        </w:rPr>
      </w:pPr>
      <w:r>
        <w:rPr>
          <w:caps/>
          <w:sz w:val="22"/>
        </w:rPr>
        <w:t>2</w:t>
      </w:r>
      <w:r w:rsidR="00C82FD3">
        <w:rPr>
          <w:caps/>
          <w:sz w:val="22"/>
        </w:rPr>
        <w:t>3 de febrero de 2021</w:t>
      </w:r>
    </w:p>
    <w:p w14:paraId="30F6E2CF" w14:textId="77777777" w:rsidR="0040128C" w:rsidRPr="0040128C" w:rsidRDefault="0040128C" w:rsidP="0040128C">
      <w:pPr>
        <w:rPr>
          <w:rFonts w:eastAsia="Calibri"/>
          <w:caps/>
          <w:noProof/>
          <w:sz w:val="22"/>
          <w:szCs w:val="22"/>
        </w:rPr>
      </w:pPr>
    </w:p>
    <w:p w14:paraId="4DDE9370" w14:textId="77777777" w:rsidR="0040128C" w:rsidRPr="0040128C" w:rsidRDefault="0040128C" w:rsidP="0040128C">
      <w:pPr>
        <w:rPr>
          <w:rFonts w:eastAsia="Calibri"/>
          <w:noProof/>
          <w:sz w:val="22"/>
          <w:szCs w:val="22"/>
        </w:rPr>
      </w:pPr>
    </w:p>
    <w:p w14:paraId="01640A29" w14:textId="341EC6F0" w:rsidR="0040128C" w:rsidRPr="00C82FD3" w:rsidRDefault="00C82FD3" w:rsidP="00EA6051">
      <w:pPr>
        <w:jc w:val="center"/>
        <w:rPr>
          <w:b/>
          <w:bCs/>
          <w:noProof/>
          <w:sz w:val="22"/>
          <w:szCs w:val="22"/>
        </w:rPr>
      </w:pPr>
      <w:r w:rsidRPr="00C82FD3">
        <w:rPr>
          <w:b/>
          <w:sz w:val="22"/>
        </w:rPr>
        <w:t>TEMA: RFINANCI</w:t>
      </w:r>
      <w:r w:rsidR="00EA6051">
        <w:rPr>
          <w:b/>
          <w:sz w:val="22"/>
        </w:rPr>
        <w:t>A</w:t>
      </w:r>
      <w:r w:rsidRPr="00C82FD3">
        <w:rPr>
          <w:b/>
          <w:sz w:val="22"/>
        </w:rPr>
        <w:t>MIENTO CLIMÁTICO: FONDO VERDE PARA EL CLIMA, DES</w:t>
      </w:r>
      <w:r w:rsidR="00EA6051">
        <w:rPr>
          <w:b/>
          <w:sz w:val="22"/>
        </w:rPr>
        <w:t>AS</w:t>
      </w:r>
      <w:r w:rsidRPr="00C82FD3">
        <w:rPr>
          <w:b/>
          <w:sz w:val="22"/>
        </w:rPr>
        <w:t>TRES NATURALES Y RESILIENCIA</w:t>
      </w:r>
    </w:p>
    <w:p w14:paraId="6C208965" w14:textId="77777777" w:rsidR="0040128C" w:rsidRPr="0040128C" w:rsidRDefault="0040128C" w:rsidP="0040128C">
      <w:pPr>
        <w:jc w:val="both"/>
        <w:rPr>
          <w:iCs/>
          <w:noProof/>
          <w:sz w:val="22"/>
          <w:szCs w:val="22"/>
        </w:rPr>
      </w:pPr>
    </w:p>
    <w:p w14:paraId="774A63A4" w14:textId="77777777" w:rsidR="00C82FD3" w:rsidRPr="00C82FD3" w:rsidRDefault="00C82FD3" w:rsidP="00C82FD3">
      <w:pPr>
        <w:jc w:val="center"/>
        <w:rPr>
          <w:caps/>
          <w:sz w:val="22"/>
          <w:szCs w:val="22"/>
          <w:lang w:val="es-US"/>
        </w:rPr>
      </w:pPr>
    </w:p>
    <w:p w14:paraId="43776734" w14:textId="3157B5D3" w:rsidR="00C82FD3" w:rsidRDefault="00C82FD3" w:rsidP="00C82FD3">
      <w:pPr>
        <w:numPr>
          <w:ilvl w:val="0"/>
          <w:numId w:val="16"/>
        </w:numPr>
        <w:tabs>
          <w:tab w:val="left" w:pos="720"/>
          <w:tab w:val="left" w:pos="1440"/>
          <w:tab w:val="left" w:pos="2160"/>
        </w:tabs>
        <w:ind w:left="0" w:firstLine="0"/>
        <w:rPr>
          <w:b/>
          <w:sz w:val="22"/>
          <w:szCs w:val="22"/>
        </w:rPr>
      </w:pPr>
      <w:r>
        <w:rPr>
          <w:b/>
          <w:sz w:val="22"/>
          <w:szCs w:val="22"/>
        </w:rPr>
        <w:t>Antecedentes/Justificación</w:t>
      </w:r>
      <w:r w:rsidRPr="0069766D">
        <w:rPr>
          <w:b/>
          <w:sz w:val="22"/>
          <w:szCs w:val="22"/>
        </w:rPr>
        <w:t xml:space="preserve"> </w:t>
      </w:r>
    </w:p>
    <w:p w14:paraId="5A914D7F" w14:textId="77777777" w:rsidR="00C82FD3" w:rsidRDefault="00C82FD3" w:rsidP="0040128C">
      <w:pPr>
        <w:jc w:val="both"/>
        <w:rPr>
          <w:b/>
          <w:sz w:val="22"/>
          <w:u w:val="single"/>
        </w:rPr>
      </w:pPr>
    </w:p>
    <w:p w14:paraId="390B2EC5" w14:textId="4418B04F" w:rsidR="00C82FD3" w:rsidRDefault="00C82FD3" w:rsidP="005778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Pr>
          <w:color w:val="202124"/>
          <w:sz w:val="22"/>
          <w:szCs w:val="22"/>
        </w:rPr>
        <w:tab/>
      </w:r>
      <w:r w:rsidRPr="00C82FD3">
        <w:rPr>
          <w:color w:val="202124"/>
          <w:sz w:val="22"/>
          <w:szCs w:val="22"/>
        </w:rPr>
        <w:t>Los riesgos compuestos tienen el potencial de socavar los beneficios del desarrollo. Una conmoción, como un fenómeno meteorológico extremo o un brote de enfermedad, puede magnificar por sí solo otros factores de estrés e incluso desencadenar una sucesión de perturbaciones que provocan mayores impactos en las vidas, los medios de vida y, en última instancia, los resultados del desarrollo. El cambio climático y la pandemia de C</w:t>
      </w:r>
      <w:r>
        <w:rPr>
          <w:color w:val="202124"/>
          <w:sz w:val="22"/>
          <w:szCs w:val="22"/>
        </w:rPr>
        <w:t>OVID</w:t>
      </w:r>
      <w:r w:rsidRPr="00C82FD3">
        <w:rPr>
          <w:color w:val="202124"/>
          <w:sz w:val="22"/>
          <w:szCs w:val="22"/>
        </w:rPr>
        <w:t>-19 son ejemplos principales de riesgos compuestos.</w:t>
      </w:r>
    </w:p>
    <w:p w14:paraId="02308CFC" w14:textId="1B9D6190" w:rsidR="00C82FD3" w:rsidRDefault="00C82FD3" w:rsidP="00C8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
    <w:p w14:paraId="5AC06EE6" w14:textId="6CC8D4D8" w:rsidR="00C82FD3" w:rsidRPr="00C82FD3" w:rsidRDefault="00C82FD3" w:rsidP="005778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Pr>
          <w:color w:val="202124"/>
          <w:sz w:val="22"/>
          <w:szCs w:val="22"/>
        </w:rPr>
        <w:tab/>
        <w:t>La</w:t>
      </w:r>
      <w:r w:rsidRPr="00C82FD3">
        <w:rPr>
          <w:color w:val="202124"/>
          <w:sz w:val="22"/>
          <w:szCs w:val="22"/>
        </w:rPr>
        <w:t xml:space="preserve"> Comisión Económica para América Latina y el Caribe (CEPAL) estima que la pandemia conducirá a la mayor contracción del Producto Interno Bruto (PIB) regional en la historia, lo que posteriormente representa contracciones en la capacidad de las Américas para sostener medios de vida y su capacidad para invertir en sectores críticos como agua, energía, salud, educación y desarrollo</w:t>
      </w:r>
      <w:r w:rsidRPr="00C82FD3">
        <w:rPr>
          <w:sz w:val="22"/>
          <w:szCs w:val="22"/>
          <w:u w:val="single"/>
          <w:vertAlign w:val="superscript"/>
          <w:lang w:val="en-US"/>
        </w:rPr>
        <w:footnoteReference w:id="1"/>
      </w:r>
      <w:r w:rsidRPr="00C82FD3">
        <w:rPr>
          <w:sz w:val="22"/>
          <w:szCs w:val="22"/>
          <w:vertAlign w:val="superscript"/>
          <w:lang w:val="es-US"/>
        </w:rPr>
        <w:t>/</w:t>
      </w:r>
      <w:r w:rsidRPr="00C82FD3">
        <w:rPr>
          <w:sz w:val="22"/>
          <w:szCs w:val="22"/>
          <w:lang w:val="es-US"/>
        </w:rPr>
        <w:t>.</w:t>
      </w:r>
      <w:r w:rsidRPr="00C82FD3">
        <w:rPr>
          <w:color w:val="202124"/>
          <w:sz w:val="22"/>
          <w:szCs w:val="22"/>
        </w:rPr>
        <w:t xml:space="preserve"> Por ejemplo, la Corporación Financiera Internacional (CFI) del Banco Mundial estima que el sector del agua y el saneamiento en los países en desarrollo tendrá que aumentar sus inversiones en al menos un 8% de los 114 mil millones de dólares iniciales necesarios para alcanzar el Objetivo de Desarrollo Sostenible 6 “Agua y saneamiento para todos ”para 2030</w:t>
      </w:r>
      <w:r w:rsidRPr="00C82FD3">
        <w:rPr>
          <w:sz w:val="22"/>
          <w:szCs w:val="22"/>
          <w:lang w:val="es-US"/>
        </w:rPr>
        <w:t>.</w:t>
      </w:r>
      <w:r w:rsidRPr="00C82FD3">
        <w:rPr>
          <w:sz w:val="22"/>
          <w:szCs w:val="22"/>
          <w:u w:val="single"/>
          <w:vertAlign w:val="superscript"/>
          <w:lang w:val="en-US"/>
        </w:rPr>
        <w:footnoteReference w:id="2"/>
      </w:r>
      <w:r w:rsidRPr="00C82FD3">
        <w:rPr>
          <w:sz w:val="22"/>
          <w:szCs w:val="22"/>
          <w:vertAlign w:val="superscript"/>
          <w:lang w:val="es-US"/>
        </w:rPr>
        <w:t>/</w:t>
      </w:r>
      <w:r w:rsidRPr="00C82FD3">
        <w:rPr>
          <w:color w:val="202124"/>
          <w:sz w:val="22"/>
          <w:szCs w:val="22"/>
        </w:rPr>
        <w:t>.</w:t>
      </w:r>
    </w:p>
    <w:p w14:paraId="236B5E2D" w14:textId="79E32792" w:rsidR="00C82FD3" w:rsidRPr="00C82FD3" w:rsidRDefault="00C82FD3" w:rsidP="00C82FD3">
      <w:pPr>
        <w:rPr>
          <w:i/>
          <w:iCs/>
          <w:color w:val="222222"/>
          <w:sz w:val="22"/>
          <w:szCs w:val="22"/>
          <w:lang w:val="es-US"/>
        </w:rPr>
      </w:pPr>
    </w:p>
    <w:p w14:paraId="697EED41" w14:textId="0EF1BE4C" w:rsidR="00C82FD3" w:rsidRPr="00C82FD3" w:rsidRDefault="00C82FD3" w:rsidP="005778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Pr>
          <w:color w:val="202124"/>
          <w:sz w:val="22"/>
          <w:szCs w:val="22"/>
        </w:rPr>
        <w:tab/>
      </w:r>
      <w:r w:rsidRPr="00C82FD3">
        <w:rPr>
          <w:color w:val="202124"/>
          <w:sz w:val="22"/>
          <w:szCs w:val="22"/>
        </w:rPr>
        <w:t>La pandemia de COVID-19 está poniend</w:t>
      </w:r>
      <w:r w:rsidR="005778C8">
        <w:rPr>
          <w:color w:val="202124"/>
          <w:sz w:val="22"/>
          <w:szCs w:val="22"/>
        </w:rPr>
        <w:t>o a prueba la capacidad de los E</w:t>
      </w:r>
      <w:r w:rsidRPr="00C82FD3">
        <w:rPr>
          <w:color w:val="202124"/>
          <w:sz w:val="22"/>
          <w:szCs w:val="22"/>
        </w:rPr>
        <w:t xml:space="preserve">stados </w:t>
      </w:r>
      <w:r w:rsidR="005778C8">
        <w:rPr>
          <w:color w:val="202124"/>
          <w:sz w:val="22"/>
          <w:szCs w:val="22"/>
        </w:rPr>
        <w:t>M</w:t>
      </w:r>
      <w:r w:rsidRPr="00C82FD3">
        <w:rPr>
          <w:color w:val="202124"/>
          <w:sz w:val="22"/>
          <w:szCs w:val="22"/>
        </w:rPr>
        <w:t>iembros p</w:t>
      </w:r>
      <w:r w:rsidR="005778C8">
        <w:rPr>
          <w:color w:val="202124"/>
          <w:sz w:val="22"/>
          <w:szCs w:val="22"/>
        </w:rPr>
        <w:t>ara gestionar los riesgos. Los G</w:t>
      </w:r>
      <w:r w:rsidRPr="00C82FD3">
        <w:rPr>
          <w:color w:val="202124"/>
          <w:sz w:val="22"/>
          <w:szCs w:val="22"/>
        </w:rPr>
        <w:t xml:space="preserve">obiernos están implementando medidas de emergencia para abordar una crisis de salud sin precedentes en un momento en el que ya se enfrentan a fenómenos meteorológicos extremos y amenazas climáticas cada vez más frecuentes e intensos. Se han introducido intervenciones como bloqueos, medidas de distanciamiento social y paquetes de estímulo económico para fortalecer la resiliencia social. Sin embargo, el fuerte declive económico experimentado en 2020, atribuido en parte a dichas intervenciones, exacerbó aún más los efectos de múltiples riesgos, que se están produciendo uno tras otro o incluso simultáneamente. Además, las disparidades socioeconómicas están poniendo </w:t>
      </w:r>
      <w:r w:rsidR="005778C8">
        <w:rPr>
          <w:color w:val="202124"/>
          <w:sz w:val="22"/>
          <w:szCs w:val="22"/>
        </w:rPr>
        <w:t xml:space="preserve">en mayor riesgo </w:t>
      </w:r>
      <w:r w:rsidRPr="00C82FD3">
        <w:rPr>
          <w:color w:val="202124"/>
          <w:sz w:val="22"/>
          <w:szCs w:val="22"/>
        </w:rPr>
        <w:t>a grupos sociales específicos y comprometiendo la recuperación. El impacto de la pandemia perdurará durante mucho</w:t>
      </w:r>
      <w:r w:rsidR="005778C8">
        <w:rPr>
          <w:color w:val="202124"/>
          <w:sz w:val="22"/>
          <w:szCs w:val="22"/>
        </w:rPr>
        <w:t xml:space="preserve"> tiempo, lo que obligará a los G</w:t>
      </w:r>
      <w:r w:rsidRPr="00C82FD3">
        <w:rPr>
          <w:color w:val="202124"/>
          <w:sz w:val="22"/>
          <w:szCs w:val="22"/>
        </w:rPr>
        <w:t xml:space="preserve">obiernos a promulgar políticas </w:t>
      </w:r>
      <w:r w:rsidRPr="00C82FD3">
        <w:rPr>
          <w:color w:val="202124"/>
          <w:sz w:val="22"/>
          <w:szCs w:val="22"/>
        </w:rPr>
        <w:lastRenderedPageBreak/>
        <w:t xml:space="preserve">que aborden la crisis de </w:t>
      </w:r>
      <w:r w:rsidR="005778C8">
        <w:rPr>
          <w:color w:val="202124"/>
          <w:sz w:val="22"/>
          <w:szCs w:val="22"/>
        </w:rPr>
        <w:t xml:space="preserve">la </w:t>
      </w:r>
      <w:r w:rsidR="005778C8" w:rsidRPr="00C82FD3">
        <w:rPr>
          <w:color w:val="202124"/>
          <w:sz w:val="22"/>
          <w:szCs w:val="22"/>
        </w:rPr>
        <w:t>COVID</w:t>
      </w:r>
      <w:r w:rsidRPr="00C82FD3">
        <w:rPr>
          <w:color w:val="202124"/>
          <w:sz w:val="22"/>
          <w:szCs w:val="22"/>
        </w:rPr>
        <w:t>-19 en sí, así como sus intersecciones con otras crisis regionales o globales.</w:t>
      </w:r>
    </w:p>
    <w:p w14:paraId="54F98DD9" w14:textId="2CE879AD" w:rsidR="00C82FD3" w:rsidRPr="00C82FD3" w:rsidRDefault="00C82FD3" w:rsidP="00C82FD3">
      <w:pPr>
        <w:jc w:val="both"/>
        <w:rPr>
          <w:b/>
          <w:sz w:val="22"/>
          <w:szCs w:val="22"/>
          <w:u w:val="single"/>
          <w:lang w:val="es-US"/>
        </w:rPr>
      </w:pPr>
    </w:p>
    <w:p w14:paraId="5C79BB34" w14:textId="77777777" w:rsidR="005778C8" w:rsidRPr="005778C8" w:rsidRDefault="005778C8" w:rsidP="005778C8">
      <w:pPr>
        <w:tabs>
          <w:tab w:val="left" w:pos="720"/>
          <w:tab w:val="left" w:pos="1440"/>
          <w:tab w:val="left" w:pos="2160"/>
        </w:tabs>
        <w:jc w:val="both"/>
        <w:rPr>
          <w:sz w:val="22"/>
          <w:szCs w:val="22"/>
          <w:lang w:val="es-US"/>
        </w:rPr>
      </w:pPr>
      <w:r>
        <w:rPr>
          <w:color w:val="202124"/>
          <w:sz w:val="22"/>
          <w:szCs w:val="22"/>
        </w:rPr>
        <w:tab/>
      </w:r>
      <w:r w:rsidRPr="005778C8">
        <w:rPr>
          <w:color w:val="202124"/>
          <w:sz w:val="22"/>
          <w:szCs w:val="22"/>
        </w:rPr>
        <w:t>El cambio climático ocupa un lugar destacado entre las muchas variables que deben tenerse en cuenta al evaluar la propagación de enfermedades infecciosas como la malaria o el dengue. Por ejemplo, los patrones de temperatura y lluvia tienen un efecto sobre cuándo y dónde pueden aparecer los patógenos. Limitar el calentamiento global a 1,5 grados puede contribuir a reducir el riesgo de propagación de enfermedades infecciosas. La contaminación del aire también afecta la propagación de patógenos. Por ejemplo, se demostró que una contaminación del aire por partículas finas conocida como PM 2.5, causada principalmente por la combustión de combustibles fósiles, estaba relacionada con tasas más altas de muertes por COVID-19 entre las personas que viven en áreas contaminadas</w:t>
      </w:r>
      <w:r w:rsidRPr="005778C8">
        <w:rPr>
          <w:sz w:val="22"/>
          <w:szCs w:val="22"/>
          <w:lang w:val="es-US"/>
        </w:rPr>
        <w:t>.</w:t>
      </w:r>
      <w:r w:rsidRPr="005778C8">
        <w:rPr>
          <w:sz w:val="22"/>
          <w:szCs w:val="22"/>
          <w:u w:val="single"/>
          <w:vertAlign w:val="superscript"/>
          <w:lang w:val="en-US"/>
        </w:rPr>
        <w:footnoteReference w:id="3"/>
      </w:r>
      <w:r w:rsidRPr="005778C8">
        <w:rPr>
          <w:sz w:val="22"/>
          <w:szCs w:val="22"/>
          <w:vertAlign w:val="superscript"/>
          <w:lang w:val="es-US"/>
        </w:rPr>
        <w:t>/</w:t>
      </w:r>
    </w:p>
    <w:p w14:paraId="544814F7" w14:textId="5C8D1817" w:rsidR="005778C8" w:rsidRPr="005778C8" w:rsidRDefault="005778C8" w:rsidP="0057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p>
    <w:p w14:paraId="1404722D" w14:textId="014F67C1" w:rsidR="005778C8" w:rsidRPr="005778C8" w:rsidRDefault="005778C8" w:rsidP="005778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Pr>
          <w:color w:val="202124"/>
          <w:sz w:val="22"/>
          <w:szCs w:val="22"/>
        </w:rPr>
        <w:tab/>
      </w:r>
      <w:r w:rsidRPr="005778C8">
        <w:rPr>
          <w:color w:val="202124"/>
          <w:sz w:val="22"/>
          <w:szCs w:val="22"/>
        </w:rPr>
        <w:t>Por otro lado, ciertas comunidades se encuentran en una desventaja desproporcionada frente a los impactos tanto de</w:t>
      </w:r>
      <w:r>
        <w:rPr>
          <w:color w:val="202124"/>
          <w:sz w:val="22"/>
          <w:szCs w:val="22"/>
        </w:rPr>
        <w:t xml:space="preserve"> </w:t>
      </w:r>
      <w:r w:rsidRPr="005778C8">
        <w:rPr>
          <w:color w:val="202124"/>
          <w:sz w:val="22"/>
          <w:szCs w:val="22"/>
        </w:rPr>
        <w:t>l</w:t>
      </w:r>
      <w:r>
        <w:rPr>
          <w:color w:val="202124"/>
          <w:sz w:val="22"/>
          <w:szCs w:val="22"/>
        </w:rPr>
        <w:t>a</w:t>
      </w:r>
      <w:r w:rsidRPr="005778C8">
        <w:rPr>
          <w:color w:val="202124"/>
          <w:sz w:val="22"/>
          <w:szCs w:val="22"/>
        </w:rPr>
        <w:t xml:space="preserve"> COVID-19 como del cambio climático. Por ejemplo, después de que dos huracanes de categoría 4 —Eta e Iota— tocaron tierra en Centroamérica en noviembre pasado, los grupos sociales más vulnerables </w:t>
      </w:r>
      <w:r>
        <w:rPr>
          <w:color w:val="202124"/>
          <w:sz w:val="22"/>
          <w:szCs w:val="22"/>
        </w:rPr>
        <w:t>experimentaron</w:t>
      </w:r>
      <w:r w:rsidRPr="005778C8">
        <w:rPr>
          <w:color w:val="202124"/>
          <w:sz w:val="22"/>
          <w:szCs w:val="22"/>
        </w:rPr>
        <w:t xml:space="preserve"> deslizamientos de tierra, desbordes de ríos, cultivos destruidos, ganado arrasado e inundacione</w:t>
      </w:r>
      <w:r>
        <w:rPr>
          <w:color w:val="202124"/>
          <w:sz w:val="22"/>
          <w:szCs w:val="22"/>
        </w:rPr>
        <w:t xml:space="preserve">s de escuelas. La gente pobre </w:t>
      </w:r>
      <w:r w:rsidRPr="005778C8">
        <w:rPr>
          <w:color w:val="202124"/>
          <w:sz w:val="22"/>
          <w:szCs w:val="22"/>
        </w:rPr>
        <w:t>de las zonas rurales fueron l</w:t>
      </w:r>
      <w:r>
        <w:rPr>
          <w:color w:val="202124"/>
          <w:sz w:val="22"/>
          <w:szCs w:val="22"/>
        </w:rPr>
        <w:t>a</w:t>
      </w:r>
      <w:r w:rsidRPr="005778C8">
        <w:rPr>
          <w:color w:val="202124"/>
          <w:sz w:val="22"/>
          <w:szCs w:val="22"/>
        </w:rPr>
        <w:t>s más afectados por la sucesión de ambos huracanes. La protección de estas comunidades rurales implicó la evacuación y el refugio. Este enfoque, por más sensato que sea, entra en conflicto con el distanciamiento físico y el refugio en el lugar, los protocolos pr</w:t>
      </w:r>
      <w:r>
        <w:rPr>
          <w:color w:val="202124"/>
          <w:sz w:val="22"/>
          <w:szCs w:val="22"/>
        </w:rPr>
        <w:t>omulgados en la mayoría de los Estados Mi</w:t>
      </w:r>
      <w:r w:rsidRPr="005778C8">
        <w:rPr>
          <w:color w:val="202124"/>
          <w:sz w:val="22"/>
          <w:szCs w:val="22"/>
        </w:rPr>
        <w:t>embros para frenar la propagación de</w:t>
      </w:r>
      <w:r>
        <w:rPr>
          <w:color w:val="202124"/>
          <w:sz w:val="22"/>
          <w:szCs w:val="22"/>
        </w:rPr>
        <w:t xml:space="preserve"> </w:t>
      </w:r>
      <w:r w:rsidRPr="005778C8">
        <w:rPr>
          <w:color w:val="202124"/>
          <w:sz w:val="22"/>
          <w:szCs w:val="22"/>
        </w:rPr>
        <w:t>l</w:t>
      </w:r>
      <w:r>
        <w:rPr>
          <w:color w:val="202124"/>
          <w:sz w:val="22"/>
          <w:szCs w:val="22"/>
        </w:rPr>
        <w:t>a</w:t>
      </w:r>
      <w:r w:rsidRPr="005778C8">
        <w:rPr>
          <w:color w:val="202124"/>
          <w:sz w:val="22"/>
          <w:szCs w:val="22"/>
        </w:rPr>
        <w:t xml:space="preserve"> COVID-19.</w:t>
      </w:r>
    </w:p>
    <w:p w14:paraId="0CA1671E" w14:textId="397814BC" w:rsidR="005778C8" w:rsidRPr="005778C8" w:rsidRDefault="005778C8" w:rsidP="00C82FD3">
      <w:pPr>
        <w:jc w:val="both"/>
        <w:rPr>
          <w:b/>
          <w:sz w:val="22"/>
          <w:szCs w:val="22"/>
          <w:u w:val="single"/>
          <w:lang w:val="es-US"/>
        </w:rPr>
      </w:pPr>
    </w:p>
    <w:p w14:paraId="4B24C52B" w14:textId="429204D5" w:rsidR="005778C8" w:rsidRDefault="005778C8" w:rsidP="005778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Pr>
          <w:color w:val="202124"/>
          <w:sz w:val="22"/>
          <w:szCs w:val="22"/>
        </w:rPr>
        <w:tab/>
      </w:r>
      <w:r w:rsidRPr="005778C8">
        <w:rPr>
          <w:color w:val="202124"/>
          <w:sz w:val="22"/>
          <w:szCs w:val="22"/>
        </w:rPr>
        <w:t xml:space="preserve">Como riesgos compuestos, el cambio climático y la pandemia de </w:t>
      </w:r>
      <w:r w:rsidR="00E905BB">
        <w:rPr>
          <w:color w:val="202124"/>
          <w:sz w:val="22"/>
          <w:szCs w:val="22"/>
        </w:rPr>
        <w:t xml:space="preserve">la </w:t>
      </w:r>
      <w:r w:rsidR="00E905BB" w:rsidRPr="005778C8">
        <w:rPr>
          <w:color w:val="202124"/>
          <w:sz w:val="22"/>
          <w:szCs w:val="22"/>
        </w:rPr>
        <w:t>COVID</w:t>
      </w:r>
      <w:r w:rsidRPr="005778C8">
        <w:rPr>
          <w:color w:val="202124"/>
          <w:sz w:val="22"/>
          <w:szCs w:val="22"/>
        </w:rPr>
        <w:t>-19 pueden reducir la capacidad de lo</w:t>
      </w:r>
      <w:r w:rsidR="00E905BB">
        <w:rPr>
          <w:color w:val="202124"/>
          <w:sz w:val="22"/>
          <w:szCs w:val="22"/>
        </w:rPr>
        <w:t>s E</w:t>
      </w:r>
      <w:r w:rsidRPr="005778C8">
        <w:rPr>
          <w:color w:val="202124"/>
          <w:sz w:val="22"/>
          <w:szCs w:val="22"/>
        </w:rPr>
        <w:t xml:space="preserve">stados </w:t>
      </w:r>
      <w:r w:rsidR="00E905BB">
        <w:rPr>
          <w:color w:val="202124"/>
          <w:sz w:val="22"/>
          <w:szCs w:val="22"/>
        </w:rPr>
        <w:t>M</w:t>
      </w:r>
      <w:r w:rsidRPr="005778C8">
        <w:rPr>
          <w:color w:val="202124"/>
          <w:sz w:val="22"/>
          <w:szCs w:val="22"/>
        </w:rPr>
        <w:t xml:space="preserve">iembros para responder a amenazas más amplias. Además, la ocurrencia de choques adicionales durante la pandemia podría obstaculizar el proceso de recuperación y afianzar aún más las vulnerabilidades existentes. Por lo tanto, abordar </w:t>
      </w:r>
      <w:r w:rsidR="00E905BB">
        <w:rPr>
          <w:color w:val="202124"/>
          <w:sz w:val="22"/>
          <w:szCs w:val="22"/>
        </w:rPr>
        <w:t xml:space="preserve">con eficacia </w:t>
      </w:r>
      <w:r w:rsidRPr="005778C8">
        <w:rPr>
          <w:color w:val="202124"/>
          <w:sz w:val="22"/>
          <w:szCs w:val="22"/>
        </w:rPr>
        <w:t>los efectos complejos de los riesgos compuestos requiere enfoques multidisciplinarios para comprender sus impulsores, posibles impactos e interacciones</w:t>
      </w:r>
      <w:r w:rsidR="00E905BB">
        <w:rPr>
          <w:color w:val="202124"/>
          <w:sz w:val="22"/>
          <w:szCs w:val="22"/>
        </w:rPr>
        <w:t>.</w:t>
      </w:r>
    </w:p>
    <w:p w14:paraId="76D03F5C" w14:textId="27EDBBF4" w:rsidR="00E905BB" w:rsidRDefault="00E905BB" w:rsidP="005778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
    <w:p w14:paraId="5E5E7786" w14:textId="07ECCE21" w:rsidR="005778C8" w:rsidRPr="005778C8" w:rsidRDefault="00E905BB" w:rsidP="00E905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lang w:val="es-US"/>
        </w:rPr>
      </w:pPr>
      <w:r>
        <w:rPr>
          <w:color w:val="202124"/>
          <w:sz w:val="22"/>
          <w:szCs w:val="22"/>
        </w:rPr>
        <w:tab/>
        <w:t xml:space="preserve">Los riesgos compuestos como el cambio climático, las pandemias y los fenómenos meteorológicos extremos resaltan la fragilidad y vulnerabilidad de la infraestructura, los servicios y los sectores que dependen de ella, así como el funcionamiento del Gobierno, las operaciones comerciales y los procesos de desarrollo socioeconómico. Los hogares, las oficinas, las </w:t>
      </w:r>
      <w:proofErr w:type="spellStart"/>
      <w:r>
        <w:rPr>
          <w:color w:val="202124"/>
          <w:sz w:val="22"/>
          <w:szCs w:val="22"/>
        </w:rPr>
        <w:t>fabricas</w:t>
      </w:r>
      <w:proofErr w:type="spellEnd"/>
      <w:r>
        <w:rPr>
          <w:color w:val="202124"/>
          <w:sz w:val="22"/>
          <w:szCs w:val="22"/>
        </w:rPr>
        <w:t xml:space="preserve">, las carreteras, los sistemas de agua y </w:t>
      </w:r>
      <w:proofErr w:type="spellStart"/>
      <w:r>
        <w:rPr>
          <w:color w:val="202124"/>
          <w:sz w:val="22"/>
          <w:szCs w:val="22"/>
        </w:rPr>
        <w:t>sanemiento</w:t>
      </w:r>
      <w:proofErr w:type="spellEnd"/>
      <w:r>
        <w:rPr>
          <w:color w:val="202124"/>
          <w:sz w:val="22"/>
          <w:szCs w:val="22"/>
        </w:rPr>
        <w:t xml:space="preserve"> y las redes de generación, transmisión y distribución de energía brindan servicios críticos y son vulnerables a </w:t>
      </w:r>
      <w:proofErr w:type="spellStart"/>
      <w:r>
        <w:rPr>
          <w:color w:val="202124"/>
          <w:sz w:val="22"/>
          <w:szCs w:val="22"/>
        </w:rPr>
        <w:t>innumerales</w:t>
      </w:r>
      <w:proofErr w:type="spellEnd"/>
      <w:r>
        <w:rPr>
          <w:color w:val="202124"/>
          <w:sz w:val="22"/>
          <w:szCs w:val="22"/>
        </w:rPr>
        <w:t xml:space="preserve"> riesgos y amenazas. Toda esta infraestructura representa una proporción importante de la inversión en el desarrollo a largo plazo de la mayoría de los países y tradicionalmente </w:t>
      </w:r>
      <w:proofErr w:type="spellStart"/>
      <w:r>
        <w:rPr>
          <w:color w:val="202124"/>
          <w:sz w:val="22"/>
          <w:szCs w:val="22"/>
        </w:rPr>
        <w:t>esta</w:t>
      </w:r>
      <w:proofErr w:type="spellEnd"/>
      <w:r>
        <w:rPr>
          <w:color w:val="202124"/>
          <w:sz w:val="22"/>
          <w:szCs w:val="22"/>
        </w:rPr>
        <w:t xml:space="preserve"> diseñada, construida y mantenida por </w:t>
      </w:r>
      <w:proofErr w:type="spellStart"/>
      <w:r>
        <w:rPr>
          <w:color w:val="202124"/>
          <w:sz w:val="22"/>
          <w:szCs w:val="22"/>
        </w:rPr>
        <w:t>multiples</w:t>
      </w:r>
      <w:proofErr w:type="spellEnd"/>
      <w:r>
        <w:rPr>
          <w:color w:val="202124"/>
          <w:sz w:val="22"/>
          <w:szCs w:val="22"/>
        </w:rPr>
        <w:t xml:space="preserve"> equipos disciplinarios. Estas disciplinas combinadas deberían desempeñar un papel proactivo para garantizar que la infraestructura se diseñe y desarrolle de tal manera que los riesgos compuestos se reduzcan o incluso, se erradiquen.</w:t>
      </w:r>
    </w:p>
    <w:p w14:paraId="7D0088B6" w14:textId="11546A8E" w:rsidR="00C82FD3" w:rsidRDefault="00C82FD3" w:rsidP="00C82FD3">
      <w:pPr>
        <w:jc w:val="both"/>
        <w:rPr>
          <w:b/>
          <w:sz w:val="22"/>
          <w:szCs w:val="22"/>
          <w:u w:val="single"/>
          <w:lang w:val="es-US"/>
        </w:rPr>
      </w:pPr>
    </w:p>
    <w:p w14:paraId="6E889496" w14:textId="77777777" w:rsidR="007C551F" w:rsidRPr="00E905BB" w:rsidRDefault="007C551F" w:rsidP="00C82FD3">
      <w:pPr>
        <w:jc w:val="both"/>
        <w:rPr>
          <w:b/>
          <w:sz w:val="22"/>
          <w:szCs w:val="22"/>
          <w:u w:val="single"/>
          <w:lang w:val="es-US"/>
        </w:rPr>
      </w:pPr>
    </w:p>
    <w:p w14:paraId="3E6CC441" w14:textId="5DDA30BB" w:rsidR="0040128C" w:rsidRPr="00A6571D" w:rsidRDefault="00A6571D" w:rsidP="00A6571D">
      <w:pPr>
        <w:pStyle w:val="ListParagraph0"/>
        <w:numPr>
          <w:ilvl w:val="0"/>
          <w:numId w:val="16"/>
        </w:numPr>
        <w:ind w:left="720" w:hanging="720"/>
        <w:jc w:val="both"/>
        <w:rPr>
          <w:b/>
          <w:sz w:val="22"/>
        </w:rPr>
      </w:pPr>
      <w:proofErr w:type="spellStart"/>
      <w:r w:rsidRPr="00A6571D">
        <w:rPr>
          <w:b/>
          <w:sz w:val="22"/>
        </w:rPr>
        <w:t>Objeivos</w:t>
      </w:r>
      <w:proofErr w:type="spellEnd"/>
      <w:r w:rsidRPr="00A6571D">
        <w:rPr>
          <w:b/>
          <w:sz w:val="22"/>
        </w:rPr>
        <w:t xml:space="preserve"> de la reunión</w:t>
      </w:r>
    </w:p>
    <w:p w14:paraId="7EB6D8AF" w14:textId="77777777" w:rsidR="00A6571D" w:rsidRPr="0040128C" w:rsidRDefault="00A6571D" w:rsidP="0040128C">
      <w:pPr>
        <w:jc w:val="both"/>
        <w:rPr>
          <w:bCs/>
          <w:iCs/>
          <w:noProof/>
          <w:sz w:val="22"/>
          <w:szCs w:val="22"/>
        </w:rPr>
      </w:pPr>
    </w:p>
    <w:p w14:paraId="6DB1D677" w14:textId="77777777" w:rsidR="0040128C" w:rsidRPr="00A6571D" w:rsidRDefault="0040128C" w:rsidP="0040128C">
      <w:pPr>
        <w:ind w:firstLine="720"/>
        <w:jc w:val="both"/>
        <w:rPr>
          <w:bCs/>
          <w:iCs/>
          <w:noProof/>
          <w:sz w:val="22"/>
          <w:szCs w:val="22"/>
        </w:rPr>
      </w:pPr>
      <w:r w:rsidRPr="00A6571D">
        <w:rPr>
          <w:sz w:val="22"/>
        </w:rPr>
        <w:t>Los objetivos que se persiguen son:</w:t>
      </w:r>
    </w:p>
    <w:p w14:paraId="5A7D7FCD" w14:textId="07B17C21" w:rsidR="0040128C" w:rsidRDefault="00A6571D" w:rsidP="00A6571D">
      <w:pPr>
        <w:pStyle w:val="ListParagraph0"/>
        <w:numPr>
          <w:ilvl w:val="0"/>
          <w:numId w:val="18"/>
        </w:numPr>
        <w:ind w:left="1440" w:hanging="720"/>
        <w:jc w:val="both"/>
        <w:rPr>
          <w:bCs/>
          <w:iCs/>
          <w:noProof/>
          <w:sz w:val="22"/>
          <w:szCs w:val="22"/>
        </w:rPr>
      </w:pPr>
      <w:r>
        <w:rPr>
          <w:bCs/>
          <w:iCs/>
          <w:noProof/>
          <w:sz w:val="22"/>
          <w:szCs w:val="22"/>
        </w:rPr>
        <w:lastRenderedPageBreak/>
        <w:t>Hacer un balance de los mecanismos y faci</w:t>
      </w:r>
      <w:r w:rsidR="007C551F">
        <w:rPr>
          <w:bCs/>
          <w:iCs/>
          <w:noProof/>
          <w:sz w:val="22"/>
          <w:szCs w:val="22"/>
        </w:rPr>
        <w:t>lidades financieras a disposició</w:t>
      </w:r>
      <w:r>
        <w:rPr>
          <w:bCs/>
          <w:iCs/>
          <w:noProof/>
          <w:sz w:val="22"/>
          <w:szCs w:val="22"/>
        </w:rPr>
        <w:t xml:space="preserve">n de los Estados Miembros de la Organización de los Estados Americanos </w:t>
      </w:r>
      <w:r w:rsidR="007C551F">
        <w:rPr>
          <w:bCs/>
          <w:iCs/>
          <w:noProof/>
          <w:sz w:val="22"/>
          <w:szCs w:val="22"/>
        </w:rPr>
        <w:t xml:space="preserve">(OEA) </w:t>
      </w:r>
      <w:r>
        <w:rPr>
          <w:bCs/>
          <w:iCs/>
          <w:noProof/>
          <w:sz w:val="22"/>
          <w:szCs w:val="22"/>
        </w:rPr>
        <w:t>para enfrentar los desafíos que plantea el cambio climático y otros riesgos;</w:t>
      </w:r>
    </w:p>
    <w:p w14:paraId="685AE082" w14:textId="087DFCE1" w:rsidR="00A6571D" w:rsidRDefault="00A6571D" w:rsidP="00A6571D">
      <w:pPr>
        <w:pStyle w:val="ListParagraph0"/>
        <w:numPr>
          <w:ilvl w:val="0"/>
          <w:numId w:val="18"/>
        </w:numPr>
        <w:ind w:left="1440" w:hanging="720"/>
        <w:jc w:val="both"/>
        <w:rPr>
          <w:bCs/>
          <w:iCs/>
          <w:noProof/>
          <w:sz w:val="22"/>
          <w:szCs w:val="22"/>
        </w:rPr>
      </w:pPr>
      <w:r>
        <w:rPr>
          <w:bCs/>
          <w:iCs/>
          <w:noProof/>
          <w:sz w:val="22"/>
          <w:szCs w:val="22"/>
        </w:rPr>
        <w:t>Esbozar una hoja de ruta para acceder al financiamiento climático y para desarrollar la capacidad de diseño, formulación e implementación de proyectos por parte de los organimso ejecutores de los Estados Miembros; y</w:t>
      </w:r>
    </w:p>
    <w:p w14:paraId="645AEA1A" w14:textId="200C0C8B" w:rsidR="00A6571D" w:rsidRPr="00A6571D" w:rsidRDefault="00A6571D" w:rsidP="00A6571D">
      <w:pPr>
        <w:pStyle w:val="ListParagraph0"/>
        <w:numPr>
          <w:ilvl w:val="0"/>
          <w:numId w:val="18"/>
        </w:numPr>
        <w:ind w:left="1440" w:hanging="720"/>
        <w:jc w:val="both"/>
        <w:rPr>
          <w:bCs/>
          <w:iCs/>
          <w:noProof/>
          <w:sz w:val="22"/>
          <w:szCs w:val="22"/>
        </w:rPr>
      </w:pPr>
      <w:r>
        <w:rPr>
          <w:bCs/>
          <w:iCs/>
          <w:noProof/>
          <w:sz w:val="22"/>
          <w:szCs w:val="22"/>
        </w:rPr>
        <w:t>Definir el papel de la Secretaría Ejecutiva para el Desarrollo Integral (SEDI)</w:t>
      </w:r>
      <w:r w:rsidR="007C551F">
        <w:rPr>
          <w:bCs/>
          <w:iCs/>
          <w:noProof/>
          <w:sz w:val="22"/>
          <w:szCs w:val="22"/>
        </w:rPr>
        <w:t xml:space="preserve"> en el </w:t>
      </w:r>
      <w:r>
        <w:rPr>
          <w:bCs/>
          <w:iCs/>
          <w:noProof/>
          <w:sz w:val="22"/>
          <w:szCs w:val="22"/>
        </w:rPr>
        <w:t>apoyo a los esfuerzos de los Estados Miembros para acceder al financiamiento verde.</w:t>
      </w:r>
    </w:p>
    <w:p w14:paraId="5BDE6CB8" w14:textId="5EBF11C0" w:rsidR="00A6571D" w:rsidRDefault="00A6571D" w:rsidP="0040128C">
      <w:pPr>
        <w:jc w:val="both"/>
        <w:rPr>
          <w:b/>
          <w:sz w:val="22"/>
        </w:rPr>
      </w:pPr>
    </w:p>
    <w:p w14:paraId="6318DF05" w14:textId="77777777" w:rsidR="007C551F" w:rsidRDefault="007C551F" w:rsidP="0040128C">
      <w:pPr>
        <w:jc w:val="both"/>
        <w:rPr>
          <w:b/>
          <w:sz w:val="22"/>
        </w:rPr>
      </w:pPr>
    </w:p>
    <w:p w14:paraId="546BF836" w14:textId="6531E40F" w:rsidR="0040128C" w:rsidRPr="00A6571D" w:rsidRDefault="0040128C" w:rsidP="00A6571D">
      <w:pPr>
        <w:pStyle w:val="ListParagraph0"/>
        <w:numPr>
          <w:ilvl w:val="0"/>
          <w:numId w:val="16"/>
        </w:numPr>
        <w:ind w:left="720" w:hanging="720"/>
        <w:jc w:val="both"/>
        <w:rPr>
          <w:b/>
          <w:noProof/>
          <w:sz w:val="22"/>
          <w:szCs w:val="22"/>
        </w:rPr>
      </w:pPr>
      <w:r w:rsidRPr="00A6571D">
        <w:rPr>
          <w:b/>
          <w:sz w:val="22"/>
        </w:rPr>
        <w:t>Pertinencia para el CIDI</w:t>
      </w:r>
    </w:p>
    <w:p w14:paraId="6049B8DF" w14:textId="0852F63F" w:rsidR="0040128C" w:rsidRPr="00A6571D" w:rsidRDefault="0040128C" w:rsidP="00A6571D">
      <w:pPr>
        <w:ind w:left="720"/>
        <w:jc w:val="both"/>
        <w:rPr>
          <w:sz w:val="22"/>
          <w:szCs w:val="22"/>
        </w:rPr>
      </w:pPr>
    </w:p>
    <w:p w14:paraId="795809BA" w14:textId="03B23EF6" w:rsidR="00A6571D" w:rsidRPr="00A6571D" w:rsidRDefault="00A6571D" w:rsidP="00A657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Pr>
          <w:color w:val="202124"/>
          <w:sz w:val="22"/>
          <w:szCs w:val="22"/>
        </w:rPr>
        <w:tab/>
      </w:r>
      <w:r w:rsidRPr="00A6571D">
        <w:rPr>
          <w:color w:val="202124"/>
          <w:sz w:val="22"/>
          <w:szCs w:val="22"/>
        </w:rPr>
        <w:t>Forta</w:t>
      </w:r>
      <w:r>
        <w:rPr>
          <w:color w:val="202124"/>
          <w:sz w:val="22"/>
          <w:szCs w:val="22"/>
        </w:rPr>
        <w:t>lecer la implementación de los Objetivos de Desarrollo S</w:t>
      </w:r>
      <w:r w:rsidRPr="00A6571D">
        <w:rPr>
          <w:color w:val="202124"/>
          <w:sz w:val="22"/>
          <w:szCs w:val="22"/>
        </w:rPr>
        <w:t>ostenible de acuerdo con el Programa Interamericano para el Desarrollo Sostenible (PIDS) 2016-2021.</w:t>
      </w:r>
    </w:p>
    <w:p w14:paraId="417A0CCC" w14:textId="77777777" w:rsidR="00A6571D" w:rsidRPr="00A6571D" w:rsidRDefault="00A6571D" w:rsidP="00A6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p>
    <w:p w14:paraId="0249BB11" w14:textId="02BFD3D2" w:rsidR="00A6571D" w:rsidRPr="00A6571D" w:rsidRDefault="00A6571D" w:rsidP="00A6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Pr>
          <w:color w:val="202124"/>
          <w:sz w:val="22"/>
          <w:szCs w:val="22"/>
        </w:rPr>
        <w:tab/>
      </w:r>
      <w:r w:rsidRPr="00A6571D">
        <w:rPr>
          <w:color w:val="202124"/>
          <w:sz w:val="22"/>
          <w:szCs w:val="22"/>
        </w:rPr>
        <w:t xml:space="preserve">Mejorar </w:t>
      </w:r>
      <w:r>
        <w:rPr>
          <w:color w:val="202124"/>
          <w:sz w:val="22"/>
          <w:szCs w:val="22"/>
        </w:rPr>
        <w:t>las capacidades de los Estados M</w:t>
      </w:r>
      <w:r w:rsidRPr="00A6571D">
        <w:rPr>
          <w:color w:val="202124"/>
          <w:sz w:val="22"/>
          <w:szCs w:val="22"/>
        </w:rPr>
        <w:t>iembros en las áreas de energía sostenible, gestión sostenible de ecosistemas, gestión del riesgo de desastres y gestión de los recursos hídricos.</w:t>
      </w:r>
    </w:p>
    <w:p w14:paraId="17B85110" w14:textId="3501282D" w:rsidR="00A6571D" w:rsidRPr="00A6571D" w:rsidRDefault="00A6571D" w:rsidP="00A6571D">
      <w:pPr>
        <w:ind w:firstLine="720"/>
        <w:jc w:val="both"/>
        <w:rPr>
          <w:sz w:val="22"/>
          <w:szCs w:val="22"/>
          <w:lang w:val="es-US"/>
        </w:rPr>
      </w:pPr>
    </w:p>
    <w:p w14:paraId="07462EB0" w14:textId="64985CB1" w:rsidR="0040128C" w:rsidRPr="00EA6051" w:rsidRDefault="0040128C" w:rsidP="0040128C">
      <w:pPr>
        <w:jc w:val="both"/>
        <w:rPr>
          <w:rFonts w:eastAsia="Calibri"/>
          <w:noProof/>
          <w:sz w:val="22"/>
          <w:szCs w:val="22"/>
          <w:lang w:val="es-US"/>
        </w:rPr>
      </w:pPr>
    </w:p>
    <w:p w14:paraId="49B9791A" w14:textId="6B998508" w:rsidR="00A6571D" w:rsidRPr="0069766D" w:rsidRDefault="00A6571D" w:rsidP="00A6571D">
      <w:pPr>
        <w:keepNext/>
        <w:keepLines/>
        <w:numPr>
          <w:ilvl w:val="0"/>
          <w:numId w:val="16"/>
        </w:numPr>
        <w:tabs>
          <w:tab w:val="left" w:pos="720"/>
          <w:tab w:val="left" w:pos="1440"/>
          <w:tab w:val="left" w:pos="2160"/>
        </w:tabs>
        <w:ind w:left="0" w:firstLine="0"/>
        <w:jc w:val="both"/>
        <w:rPr>
          <w:b/>
          <w:sz w:val="22"/>
          <w:szCs w:val="22"/>
        </w:rPr>
      </w:pPr>
      <w:r>
        <w:rPr>
          <w:b/>
          <w:sz w:val="22"/>
          <w:szCs w:val="22"/>
        </w:rPr>
        <w:t>Estructura de la reunión</w:t>
      </w:r>
      <w:r w:rsidRPr="0069766D">
        <w:rPr>
          <w:b/>
          <w:sz w:val="22"/>
          <w:szCs w:val="22"/>
        </w:rPr>
        <w:t xml:space="preserve"> </w:t>
      </w:r>
    </w:p>
    <w:p w14:paraId="6B67A61F" w14:textId="77777777" w:rsidR="00A6571D" w:rsidRDefault="00A6571D" w:rsidP="00A6571D">
      <w:pPr>
        <w:keepNext/>
        <w:keepLines/>
        <w:tabs>
          <w:tab w:val="left" w:pos="720"/>
          <w:tab w:val="left" w:pos="1440"/>
          <w:tab w:val="left" w:pos="2160"/>
        </w:tabs>
        <w:jc w:val="both"/>
        <w:rPr>
          <w:sz w:val="22"/>
          <w:szCs w:val="22"/>
        </w:rPr>
      </w:pPr>
    </w:p>
    <w:p w14:paraId="025CDEA3" w14:textId="59D375F9" w:rsidR="00A6571D" w:rsidRPr="0069766D" w:rsidRDefault="00A6571D" w:rsidP="00A6571D">
      <w:pPr>
        <w:keepNext/>
        <w:keepLines/>
        <w:tabs>
          <w:tab w:val="left" w:pos="720"/>
          <w:tab w:val="left" w:pos="1440"/>
          <w:tab w:val="left" w:pos="2160"/>
        </w:tabs>
        <w:jc w:val="both"/>
        <w:rPr>
          <w:sz w:val="22"/>
          <w:szCs w:val="22"/>
        </w:rPr>
      </w:pPr>
      <w:r>
        <w:rPr>
          <w:sz w:val="22"/>
          <w:szCs w:val="22"/>
        </w:rPr>
        <w:tab/>
        <w:t>Expositores invitados</w:t>
      </w:r>
      <w:r w:rsidRPr="0069766D">
        <w:rPr>
          <w:sz w:val="22"/>
          <w:szCs w:val="22"/>
        </w:rPr>
        <w:t>:</w:t>
      </w:r>
    </w:p>
    <w:p w14:paraId="3FD5D1EE" w14:textId="77777777" w:rsidR="00A6571D" w:rsidRPr="0069766D" w:rsidRDefault="00A6571D" w:rsidP="00A6571D">
      <w:pPr>
        <w:keepNext/>
        <w:keepLines/>
        <w:tabs>
          <w:tab w:val="left" w:pos="720"/>
          <w:tab w:val="left" w:pos="1440"/>
          <w:tab w:val="left" w:pos="2160"/>
        </w:tabs>
        <w:jc w:val="both"/>
        <w:rPr>
          <w:sz w:val="22"/>
          <w:szCs w:val="22"/>
        </w:rPr>
      </w:pPr>
    </w:p>
    <w:p w14:paraId="08E37294" w14:textId="2B26DED0" w:rsidR="00A6571D" w:rsidRPr="00A6571D" w:rsidRDefault="00A6571D" w:rsidP="00A6571D">
      <w:pPr>
        <w:keepLines/>
        <w:tabs>
          <w:tab w:val="left" w:pos="720"/>
          <w:tab w:val="left" w:pos="1440"/>
          <w:tab w:val="left" w:pos="2160"/>
        </w:tabs>
        <w:ind w:firstLine="720"/>
        <w:jc w:val="both"/>
        <w:rPr>
          <w:sz w:val="22"/>
          <w:szCs w:val="22"/>
          <w:lang w:val="es-US"/>
        </w:rPr>
      </w:pPr>
      <w:r w:rsidRPr="00A6571D">
        <w:rPr>
          <w:sz w:val="22"/>
          <w:szCs w:val="22"/>
          <w:lang w:val="es-US"/>
        </w:rPr>
        <w:t xml:space="preserve">El Fondo para el Medio Ambiente </w:t>
      </w:r>
      <w:r>
        <w:rPr>
          <w:sz w:val="22"/>
          <w:szCs w:val="22"/>
          <w:lang w:val="es-US"/>
        </w:rPr>
        <w:t>Mundial</w:t>
      </w:r>
      <w:r w:rsidRPr="00A6571D">
        <w:rPr>
          <w:sz w:val="22"/>
          <w:szCs w:val="22"/>
          <w:lang w:val="es-US"/>
        </w:rPr>
        <w:t xml:space="preserve"> (GEF)</w:t>
      </w:r>
    </w:p>
    <w:p w14:paraId="18AF5D74" w14:textId="77777777" w:rsidR="00A6571D" w:rsidRPr="00A6571D" w:rsidRDefault="00A6571D" w:rsidP="00A6571D">
      <w:pPr>
        <w:tabs>
          <w:tab w:val="left" w:pos="720"/>
          <w:tab w:val="left" w:pos="1440"/>
          <w:tab w:val="left" w:pos="2160"/>
        </w:tabs>
        <w:ind w:firstLine="720"/>
        <w:jc w:val="both"/>
        <w:rPr>
          <w:sz w:val="22"/>
          <w:szCs w:val="22"/>
          <w:lang w:val="es-US"/>
        </w:rPr>
      </w:pPr>
    </w:p>
    <w:p w14:paraId="1AA0DBC6" w14:textId="1041463B" w:rsidR="00A6571D" w:rsidRPr="00A6571D" w:rsidRDefault="00A6571D" w:rsidP="00A6571D">
      <w:pPr>
        <w:tabs>
          <w:tab w:val="left" w:pos="720"/>
          <w:tab w:val="left" w:pos="1440"/>
          <w:tab w:val="left" w:pos="2160"/>
        </w:tabs>
        <w:ind w:firstLine="720"/>
        <w:jc w:val="both"/>
        <w:rPr>
          <w:sz w:val="22"/>
          <w:szCs w:val="22"/>
          <w:lang w:val="es-US"/>
        </w:rPr>
      </w:pPr>
      <w:r w:rsidRPr="00A6571D">
        <w:rPr>
          <w:sz w:val="22"/>
          <w:szCs w:val="22"/>
          <w:lang w:val="es-US"/>
        </w:rPr>
        <w:t>El Fondo Verde para el Clima (GCF)</w:t>
      </w:r>
    </w:p>
    <w:p w14:paraId="281BE9FD" w14:textId="77777777" w:rsidR="00A6571D" w:rsidRPr="00A6571D" w:rsidRDefault="00A6571D" w:rsidP="00A6571D">
      <w:pPr>
        <w:tabs>
          <w:tab w:val="left" w:pos="720"/>
          <w:tab w:val="left" w:pos="1440"/>
          <w:tab w:val="left" w:pos="2160"/>
        </w:tabs>
        <w:ind w:firstLine="720"/>
        <w:jc w:val="both"/>
        <w:rPr>
          <w:sz w:val="22"/>
          <w:szCs w:val="22"/>
          <w:lang w:val="es-US"/>
        </w:rPr>
      </w:pPr>
    </w:p>
    <w:p w14:paraId="51EC4515" w14:textId="3E150BF9" w:rsidR="00A6571D" w:rsidRDefault="00A6571D" w:rsidP="00A6571D">
      <w:pPr>
        <w:tabs>
          <w:tab w:val="left" w:pos="720"/>
          <w:tab w:val="left" w:pos="1440"/>
          <w:tab w:val="left" w:pos="2160"/>
        </w:tabs>
        <w:ind w:firstLine="720"/>
        <w:jc w:val="both"/>
        <w:rPr>
          <w:bCs/>
          <w:sz w:val="22"/>
          <w:szCs w:val="22"/>
        </w:rPr>
      </w:pPr>
      <w:r>
        <w:rPr>
          <w:bCs/>
          <w:sz w:val="22"/>
          <w:szCs w:val="22"/>
        </w:rPr>
        <w:t>Estados Unidos</w:t>
      </w:r>
    </w:p>
    <w:p w14:paraId="48791A89" w14:textId="5736F72A" w:rsidR="007C551F" w:rsidRDefault="007C551F" w:rsidP="00A6571D">
      <w:pPr>
        <w:tabs>
          <w:tab w:val="left" w:pos="720"/>
          <w:tab w:val="left" w:pos="1440"/>
          <w:tab w:val="left" w:pos="2160"/>
        </w:tabs>
        <w:ind w:firstLine="720"/>
        <w:jc w:val="both"/>
        <w:rPr>
          <w:bCs/>
          <w:sz w:val="22"/>
          <w:szCs w:val="22"/>
        </w:rPr>
      </w:pPr>
    </w:p>
    <w:p w14:paraId="72B4ED48" w14:textId="77777777" w:rsidR="007C551F" w:rsidRPr="0069766D" w:rsidRDefault="007C551F" w:rsidP="00A6571D">
      <w:pPr>
        <w:tabs>
          <w:tab w:val="left" w:pos="720"/>
          <w:tab w:val="left" w:pos="1440"/>
          <w:tab w:val="left" w:pos="2160"/>
        </w:tabs>
        <w:ind w:firstLine="720"/>
        <w:jc w:val="both"/>
        <w:rPr>
          <w:bCs/>
          <w:sz w:val="22"/>
          <w:szCs w:val="22"/>
        </w:rPr>
      </w:pPr>
    </w:p>
    <w:p w14:paraId="56A5487A" w14:textId="10117EB4" w:rsidR="00A6571D" w:rsidRPr="007C551F" w:rsidRDefault="007C551F" w:rsidP="007C551F">
      <w:pPr>
        <w:pStyle w:val="ListParagraph0"/>
        <w:numPr>
          <w:ilvl w:val="0"/>
          <w:numId w:val="16"/>
        </w:numPr>
        <w:ind w:left="720" w:hanging="720"/>
        <w:jc w:val="both"/>
        <w:rPr>
          <w:b/>
          <w:noProof/>
          <w:sz w:val="22"/>
          <w:szCs w:val="22"/>
          <w:lang w:val="es-US"/>
        </w:rPr>
      </w:pPr>
      <w:r w:rsidRPr="007C551F">
        <w:rPr>
          <w:b/>
          <w:noProof/>
          <w:sz w:val="22"/>
          <w:szCs w:val="22"/>
          <w:lang w:val="es-US"/>
        </w:rPr>
        <w:t>Resultado de la reunión</w:t>
      </w:r>
    </w:p>
    <w:p w14:paraId="33F6E21B" w14:textId="40F5063A" w:rsidR="00A6571D" w:rsidRPr="007C551F" w:rsidRDefault="00A6571D" w:rsidP="007C551F">
      <w:pPr>
        <w:jc w:val="both"/>
        <w:rPr>
          <w:rFonts w:eastAsia="Calibri"/>
          <w:noProof/>
          <w:sz w:val="22"/>
          <w:szCs w:val="22"/>
          <w:lang w:val="es-US"/>
        </w:rPr>
      </w:pPr>
    </w:p>
    <w:p w14:paraId="1D4BFE60" w14:textId="2B1AD148" w:rsidR="007C551F" w:rsidRPr="007C551F" w:rsidRDefault="007C551F" w:rsidP="007C55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Pr>
          <w:color w:val="202124"/>
          <w:sz w:val="22"/>
          <w:szCs w:val="22"/>
        </w:rPr>
        <w:tab/>
      </w:r>
      <w:r w:rsidRPr="007C551F">
        <w:rPr>
          <w:color w:val="202124"/>
          <w:sz w:val="22"/>
          <w:szCs w:val="22"/>
        </w:rPr>
        <w:t>Una agenda hemisférica de financiamiento climático que aproveche el valor agregado de la OEA, al tiempo que complement</w:t>
      </w:r>
      <w:r>
        <w:rPr>
          <w:color w:val="202124"/>
          <w:sz w:val="22"/>
          <w:szCs w:val="22"/>
        </w:rPr>
        <w:t>e</w:t>
      </w:r>
      <w:r w:rsidRPr="007C551F">
        <w:rPr>
          <w:color w:val="202124"/>
          <w:sz w:val="22"/>
          <w:szCs w:val="22"/>
        </w:rPr>
        <w:t xml:space="preserve"> los esfuerzos de las instituciones financieras internacionales, los bancos de desarrollo y la cooperación internacional para el desarrollo.</w:t>
      </w:r>
    </w:p>
    <w:p w14:paraId="12FCC8A6" w14:textId="47EB4B4E" w:rsidR="00A6571D" w:rsidRPr="00A6571D" w:rsidRDefault="002711DD" w:rsidP="0040128C">
      <w:pPr>
        <w:jc w:val="both"/>
        <w:rPr>
          <w:rFonts w:eastAsia="Calibri"/>
          <w:noProof/>
          <w:sz w:val="22"/>
          <w:szCs w:val="22"/>
          <w:lang w:val="es-US"/>
        </w:rPr>
      </w:pPr>
      <w:bookmarkStart w:id="0" w:name="_GoBack"/>
      <w:bookmarkEnd w:id="0"/>
      <w:r>
        <w:rPr>
          <w:rFonts w:eastAsia="Calibri"/>
          <w:noProof/>
          <w:sz w:val="22"/>
          <w:szCs w:val="22"/>
          <w:lang w:val="en-US"/>
        </w:rPr>
        <mc:AlternateContent>
          <mc:Choice Requires="wps">
            <w:drawing>
              <wp:anchor distT="0" distB="0" distL="114300" distR="114300" simplePos="0" relativeHeight="251659264" behindDoc="0" locked="1" layoutInCell="1" allowOverlap="1" wp14:anchorId="28B4DB16" wp14:editId="011C539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26B8A0" w14:textId="371BF775" w:rsidR="002711DD" w:rsidRPr="002711DD" w:rsidRDefault="002711DD">
                            <w:pPr>
                              <w:rPr>
                                <w:sz w:val="18"/>
                              </w:rPr>
                            </w:pPr>
                            <w:r>
                              <w:rPr>
                                <w:sz w:val="18"/>
                              </w:rPr>
                              <w:fldChar w:fldCharType="begin"/>
                            </w:r>
                            <w:r>
                              <w:rPr>
                                <w:sz w:val="18"/>
                              </w:rPr>
                              <w:instrText xml:space="preserve"> FILENAME  \* MERGEFORMAT </w:instrText>
                            </w:r>
                            <w:r>
                              <w:rPr>
                                <w:sz w:val="18"/>
                              </w:rPr>
                              <w:fldChar w:fldCharType="separate"/>
                            </w:r>
                            <w:r>
                              <w:rPr>
                                <w:noProof/>
                                <w:sz w:val="18"/>
                              </w:rPr>
                              <w:t>CIDRP03080S03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4DB1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3D26B8A0" w14:textId="371BF775" w:rsidR="002711DD" w:rsidRPr="002711DD" w:rsidRDefault="002711DD">
                      <w:pPr>
                        <w:rPr>
                          <w:sz w:val="18"/>
                        </w:rPr>
                      </w:pPr>
                      <w:r>
                        <w:rPr>
                          <w:sz w:val="18"/>
                        </w:rPr>
                        <w:fldChar w:fldCharType="begin"/>
                      </w:r>
                      <w:r>
                        <w:rPr>
                          <w:sz w:val="18"/>
                        </w:rPr>
                        <w:instrText xml:space="preserve"> FILENAME  \* MERGEFORMAT </w:instrText>
                      </w:r>
                      <w:r>
                        <w:rPr>
                          <w:sz w:val="18"/>
                        </w:rPr>
                        <w:fldChar w:fldCharType="separate"/>
                      </w:r>
                      <w:r>
                        <w:rPr>
                          <w:noProof/>
                          <w:sz w:val="18"/>
                        </w:rPr>
                        <w:t>CIDRP03080S03</w:t>
                      </w:r>
                      <w:r>
                        <w:rPr>
                          <w:sz w:val="18"/>
                        </w:rPr>
                        <w:fldChar w:fldCharType="end"/>
                      </w:r>
                    </w:p>
                  </w:txbxContent>
                </v:textbox>
                <w10:wrap anchory="page"/>
                <w10:anchorlock/>
              </v:shape>
            </w:pict>
          </mc:Fallback>
        </mc:AlternateContent>
      </w:r>
    </w:p>
    <w:sectPr w:rsidR="00A6571D" w:rsidRPr="00A6571D"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F041" w14:textId="77777777" w:rsidR="004147A7" w:rsidRPr="0040128C" w:rsidRDefault="004147A7">
      <w:pPr>
        <w:rPr>
          <w:noProof/>
        </w:rPr>
      </w:pPr>
      <w:r w:rsidRPr="0040128C">
        <w:rPr>
          <w:noProof/>
        </w:rPr>
        <w:separator/>
      </w:r>
    </w:p>
  </w:endnote>
  <w:endnote w:type="continuationSeparator" w:id="0">
    <w:p w14:paraId="17F9D1E2" w14:textId="77777777" w:rsidR="004147A7" w:rsidRPr="0040128C" w:rsidRDefault="004147A7">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A2BA9" w14:textId="77777777" w:rsidR="004147A7" w:rsidRPr="0040128C" w:rsidRDefault="004147A7">
      <w:pPr>
        <w:rPr>
          <w:noProof/>
        </w:rPr>
      </w:pPr>
      <w:r w:rsidRPr="0040128C">
        <w:rPr>
          <w:noProof/>
        </w:rPr>
        <w:separator/>
      </w:r>
    </w:p>
  </w:footnote>
  <w:footnote w:type="continuationSeparator" w:id="0">
    <w:p w14:paraId="7A67D9C4" w14:textId="77777777" w:rsidR="004147A7" w:rsidRPr="0040128C" w:rsidRDefault="004147A7">
      <w:pPr>
        <w:rPr>
          <w:noProof/>
        </w:rPr>
      </w:pPr>
      <w:r w:rsidRPr="0040128C">
        <w:rPr>
          <w:noProof/>
        </w:rPr>
        <w:continuationSeparator/>
      </w:r>
    </w:p>
  </w:footnote>
  <w:footnote w:id="1">
    <w:p w14:paraId="1A557016" w14:textId="77777777" w:rsidR="00C82FD3" w:rsidRPr="00C82FD3" w:rsidRDefault="00C82FD3" w:rsidP="00C82FD3">
      <w:pPr>
        <w:pStyle w:val="FootnoteText"/>
        <w:ind w:left="1080" w:hanging="360"/>
        <w:rPr>
          <w:lang w:val="en-US"/>
        </w:rPr>
      </w:pPr>
      <w:r w:rsidRPr="0069766D">
        <w:rPr>
          <w:rStyle w:val="FootnoteReference"/>
          <w:vertAlign w:val="baseline"/>
        </w:rPr>
        <w:footnoteRef/>
      </w:r>
      <w:r w:rsidRPr="00C82FD3">
        <w:rPr>
          <w:lang w:val="en-US"/>
        </w:rPr>
        <w:t>.</w:t>
      </w:r>
      <w:r w:rsidRPr="00C82FD3">
        <w:rPr>
          <w:lang w:val="en-US"/>
        </w:rPr>
        <w:tab/>
        <w:t xml:space="preserve"> </w:t>
      </w:r>
      <w:hyperlink r:id="rId1" w:history="1">
        <w:r w:rsidRPr="00C82FD3">
          <w:rPr>
            <w:rStyle w:val="Hyperlink"/>
            <w:lang w:val="en-US"/>
          </w:rPr>
          <w:t>Latin America and the Caribbean: Growth Projections for 2020, ECLAC 2020.</w:t>
        </w:r>
      </w:hyperlink>
    </w:p>
  </w:footnote>
  <w:footnote w:id="2">
    <w:p w14:paraId="6F9A4AFE" w14:textId="77777777" w:rsidR="00C82FD3" w:rsidRPr="00C82FD3" w:rsidRDefault="00C82FD3" w:rsidP="00C82FD3">
      <w:pPr>
        <w:pStyle w:val="FootnoteText"/>
        <w:ind w:left="1080" w:hanging="360"/>
        <w:rPr>
          <w:lang w:val="en-US"/>
        </w:rPr>
      </w:pPr>
      <w:r w:rsidRPr="0069766D">
        <w:rPr>
          <w:rStyle w:val="FootnoteReference"/>
          <w:vertAlign w:val="baseline"/>
        </w:rPr>
        <w:footnoteRef/>
      </w:r>
      <w:r w:rsidRPr="00C82FD3">
        <w:rPr>
          <w:lang w:val="en-US"/>
        </w:rPr>
        <w:t>.</w:t>
      </w:r>
      <w:r w:rsidRPr="00C82FD3">
        <w:rPr>
          <w:lang w:val="en-US"/>
        </w:rPr>
        <w:tab/>
        <w:t xml:space="preserve"> </w:t>
      </w:r>
      <w:hyperlink r:id="rId2" w:history="1">
        <w:r w:rsidRPr="00C82FD3">
          <w:rPr>
            <w:rStyle w:val="Hyperlink"/>
            <w:lang w:val="en-US"/>
          </w:rPr>
          <w:t>The Impact of COVID-19 on the Water and Sanitation Sector, IFC 2020</w:t>
        </w:r>
      </w:hyperlink>
      <w:r w:rsidRPr="00C82FD3">
        <w:rPr>
          <w:lang w:val="en-US"/>
        </w:rPr>
        <w:t xml:space="preserve">. </w:t>
      </w:r>
    </w:p>
  </w:footnote>
  <w:footnote w:id="3">
    <w:p w14:paraId="450FB12D" w14:textId="77777777" w:rsidR="005778C8" w:rsidRPr="005778C8" w:rsidRDefault="005778C8" w:rsidP="005778C8">
      <w:pPr>
        <w:pStyle w:val="FootnoteText"/>
        <w:ind w:left="1080" w:hanging="360"/>
        <w:rPr>
          <w:lang w:val="en-US"/>
        </w:rPr>
      </w:pPr>
      <w:r w:rsidRPr="0069766D">
        <w:rPr>
          <w:rStyle w:val="FootnoteReference"/>
          <w:vertAlign w:val="baseline"/>
        </w:rPr>
        <w:footnoteRef/>
      </w:r>
      <w:r w:rsidRPr="005778C8">
        <w:rPr>
          <w:lang w:val="en-US"/>
        </w:rPr>
        <w:t>.</w:t>
      </w:r>
      <w:r w:rsidRPr="005778C8">
        <w:rPr>
          <w:lang w:val="en-US"/>
        </w:rPr>
        <w:tab/>
      </w:r>
      <w:hyperlink r:id="rId3" w:history="1">
        <w:r w:rsidRPr="005778C8">
          <w:rPr>
            <w:rStyle w:val="Hyperlink"/>
            <w:lang w:val="en-US"/>
          </w:rPr>
          <w:t>Air pollution and COVID-19 mortality in the United States: Strengths and limitations of an ecological regression analysis.</w:t>
        </w:r>
      </w:hyperlink>
      <w:r w:rsidRPr="005778C8">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B96" w14:textId="2FA3E6FD"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2711DD">
      <w:rPr>
        <w:noProof/>
        <w:sz w:val="22"/>
      </w:rPr>
      <w:t>- 3 -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3675"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091C525B" wp14:editId="1E901A8B">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4"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2"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8"/>
  </w:num>
  <w:num w:numId="11">
    <w:abstractNumId w:val="9"/>
  </w:num>
  <w:num w:numId="12">
    <w:abstractNumId w:val="13"/>
  </w:num>
  <w:num w:numId="13">
    <w:abstractNumId w:val="7"/>
  </w:num>
  <w:num w:numId="14">
    <w:abstractNumId w:val="4"/>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C66C7B-D19B-4968-9C96-237E7201A00D}"/>
    <w:docVar w:name="dgnword-eventsink" w:val="2482307158944"/>
  </w:docVars>
  <w:rsids>
    <w:rsidRoot w:val="007F2774"/>
    <w:rsid w:val="00011272"/>
    <w:rsid w:val="000129E8"/>
    <w:rsid w:val="000205EC"/>
    <w:rsid w:val="00023A84"/>
    <w:rsid w:val="000427B5"/>
    <w:rsid w:val="00042B84"/>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64202"/>
    <w:rsid w:val="0026449A"/>
    <w:rsid w:val="00267E1B"/>
    <w:rsid w:val="002711DD"/>
    <w:rsid w:val="0027412E"/>
    <w:rsid w:val="00277682"/>
    <w:rsid w:val="002822E7"/>
    <w:rsid w:val="0028278B"/>
    <w:rsid w:val="00282ED9"/>
    <w:rsid w:val="0028696A"/>
    <w:rsid w:val="00286D8C"/>
    <w:rsid w:val="002A03E9"/>
    <w:rsid w:val="002A1985"/>
    <w:rsid w:val="002A1CB2"/>
    <w:rsid w:val="002A3CB5"/>
    <w:rsid w:val="002A63EC"/>
    <w:rsid w:val="002B0598"/>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0128C"/>
    <w:rsid w:val="00413FE5"/>
    <w:rsid w:val="004147A7"/>
    <w:rsid w:val="00414A9D"/>
    <w:rsid w:val="00421AA1"/>
    <w:rsid w:val="004279F5"/>
    <w:rsid w:val="00457B19"/>
    <w:rsid w:val="00461F49"/>
    <w:rsid w:val="0046301C"/>
    <w:rsid w:val="00463A6B"/>
    <w:rsid w:val="0046512F"/>
    <w:rsid w:val="00467A8F"/>
    <w:rsid w:val="00476255"/>
    <w:rsid w:val="00490731"/>
    <w:rsid w:val="00493B12"/>
    <w:rsid w:val="00496018"/>
    <w:rsid w:val="00496643"/>
    <w:rsid w:val="00496BBC"/>
    <w:rsid w:val="004A1D26"/>
    <w:rsid w:val="004A437D"/>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778C8"/>
    <w:rsid w:val="00582AAE"/>
    <w:rsid w:val="0058420A"/>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4E3C"/>
    <w:rsid w:val="00787435"/>
    <w:rsid w:val="00791916"/>
    <w:rsid w:val="00794A66"/>
    <w:rsid w:val="00794BF4"/>
    <w:rsid w:val="00796149"/>
    <w:rsid w:val="007A307C"/>
    <w:rsid w:val="007B08BF"/>
    <w:rsid w:val="007B2DE5"/>
    <w:rsid w:val="007B5591"/>
    <w:rsid w:val="007B6A70"/>
    <w:rsid w:val="007B6AD7"/>
    <w:rsid w:val="007B7D90"/>
    <w:rsid w:val="007C2A94"/>
    <w:rsid w:val="007C551F"/>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45BB7"/>
    <w:rsid w:val="00860083"/>
    <w:rsid w:val="00860DE1"/>
    <w:rsid w:val="00865686"/>
    <w:rsid w:val="00865B5C"/>
    <w:rsid w:val="008814B8"/>
    <w:rsid w:val="008819DA"/>
    <w:rsid w:val="00887A65"/>
    <w:rsid w:val="00887DA5"/>
    <w:rsid w:val="0089063B"/>
    <w:rsid w:val="00890C34"/>
    <w:rsid w:val="008917B9"/>
    <w:rsid w:val="00896014"/>
    <w:rsid w:val="008A2F14"/>
    <w:rsid w:val="008B4134"/>
    <w:rsid w:val="008B5AF8"/>
    <w:rsid w:val="008C254E"/>
    <w:rsid w:val="008D2C52"/>
    <w:rsid w:val="008D57AD"/>
    <w:rsid w:val="008D6F7B"/>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571D"/>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2BF3"/>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5066"/>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2C07"/>
    <w:rsid w:val="00C6456D"/>
    <w:rsid w:val="00C81A83"/>
    <w:rsid w:val="00C82FD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DF3C6E"/>
    <w:rsid w:val="00E0149A"/>
    <w:rsid w:val="00E0378E"/>
    <w:rsid w:val="00E0439B"/>
    <w:rsid w:val="00E0528B"/>
    <w:rsid w:val="00E06590"/>
    <w:rsid w:val="00E072BE"/>
    <w:rsid w:val="00E16177"/>
    <w:rsid w:val="00E209E8"/>
    <w:rsid w:val="00E223A0"/>
    <w:rsid w:val="00E23168"/>
    <w:rsid w:val="00E3284A"/>
    <w:rsid w:val="00E40079"/>
    <w:rsid w:val="00E423A7"/>
    <w:rsid w:val="00E50C47"/>
    <w:rsid w:val="00E51CC2"/>
    <w:rsid w:val="00E55047"/>
    <w:rsid w:val="00E55B8A"/>
    <w:rsid w:val="00E61585"/>
    <w:rsid w:val="00E83BE7"/>
    <w:rsid w:val="00E905BB"/>
    <w:rsid w:val="00E90F30"/>
    <w:rsid w:val="00E946CB"/>
    <w:rsid w:val="00EA6051"/>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7525"/>
    <w:rsid w:val="00FA607C"/>
    <w:rsid w:val="00FA61C9"/>
    <w:rsid w:val="00FA6A04"/>
    <w:rsid w:val="00FB0853"/>
    <w:rsid w:val="00FB3DE1"/>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advances.sciencemag.org/content/6/45/eabd4049" TargetMode="External"/><Relationship Id="rId2" Type="http://schemas.openxmlformats.org/officeDocument/2006/relationships/hyperlink" Target="https://www.ifc.org/wps/wcm/connect/industry_ext_content/ifc_external_corporate_site/infrastructure/resources/the+impact+of+covid-19+on+water+and+sanitation" TargetMode="External"/><Relationship Id="rId1" Type="http://schemas.openxmlformats.org/officeDocument/2006/relationships/hyperlink" Target="https://www.cepal.org/sites/default/files/pr/files/table_press_gdp_projections-2020-eng.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111D-65BC-4FF8-BC55-259D6024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7272</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2018-08-24T16:52:00Z</cp:lastPrinted>
  <dcterms:created xsi:type="dcterms:W3CDTF">2021-02-08T21:26:00Z</dcterms:created>
  <dcterms:modified xsi:type="dcterms:W3CDTF">2021-02-08T21:26:00Z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