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984E" w14:textId="77777777" w:rsidR="0040128C" w:rsidRPr="00A36FDA" w:rsidRDefault="0040128C" w:rsidP="00FA1758">
      <w:pPr>
        <w:tabs>
          <w:tab w:val="left" w:pos="7200"/>
        </w:tabs>
        <w:ind w:right="-1080"/>
        <w:rPr>
          <w:noProof/>
          <w:sz w:val="22"/>
          <w:szCs w:val="22"/>
          <w:lang w:val="pt-BR"/>
        </w:rPr>
      </w:pPr>
      <w:r w:rsidRPr="00A36FDA">
        <w:rPr>
          <w:sz w:val="22"/>
          <w:szCs w:val="22"/>
        </w:rPr>
        <w:tab/>
      </w:r>
      <w:r w:rsidRPr="00A36FDA">
        <w:rPr>
          <w:sz w:val="22"/>
          <w:szCs w:val="22"/>
          <w:lang w:val="pt-BR"/>
        </w:rPr>
        <w:t>OEA/Ser.W</w:t>
      </w:r>
    </w:p>
    <w:p w14:paraId="3D43C001" w14:textId="5E3DC68E" w:rsidR="0040128C" w:rsidRPr="006B3FFF" w:rsidRDefault="0040128C" w:rsidP="00FA1758">
      <w:pPr>
        <w:tabs>
          <w:tab w:val="left" w:pos="7200"/>
        </w:tabs>
        <w:ind w:right="-1080"/>
        <w:rPr>
          <w:noProof/>
          <w:sz w:val="22"/>
          <w:szCs w:val="22"/>
          <w:lang w:val="pt-BR"/>
        </w:rPr>
      </w:pPr>
      <w:r w:rsidRPr="00A36FDA">
        <w:rPr>
          <w:sz w:val="22"/>
          <w:szCs w:val="22"/>
          <w:lang w:val="pt-BR"/>
        </w:rPr>
        <w:tab/>
      </w:r>
      <w:r w:rsidRPr="006B3FFF">
        <w:rPr>
          <w:sz w:val="22"/>
          <w:szCs w:val="22"/>
          <w:lang w:val="pt-BR"/>
        </w:rPr>
        <w:t>CIDI/INF.</w:t>
      </w:r>
      <w:r w:rsidR="006B3FFF">
        <w:rPr>
          <w:sz w:val="22"/>
          <w:szCs w:val="22"/>
          <w:lang w:val="pt-BR"/>
        </w:rPr>
        <w:t>412</w:t>
      </w:r>
      <w:r w:rsidR="007C551F" w:rsidRPr="006B3FFF">
        <w:rPr>
          <w:sz w:val="22"/>
          <w:szCs w:val="22"/>
          <w:lang w:val="pt-BR"/>
        </w:rPr>
        <w:t>/21</w:t>
      </w:r>
    </w:p>
    <w:p w14:paraId="6B29ADC5" w14:textId="6B7DDC3B" w:rsidR="0040128C" w:rsidRPr="00A36FDA" w:rsidRDefault="0040128C" w:rsidP="00FA1758">
      <w:pPr>
        <w:tabs>
          <w:tab w:val="left" w:pos="7200"/>
        </w:tabs>
        <w:ind w:right="-1080"/>
        <w:rPr>
          <w:noProof/>
          <w:sz w:val="22"/>
          <w:szCs w:val="22"/>
        </w:rPr>
      </w:pPr>
      <w:r w:rsidRPr="006B3FFF">
        <w:rPr>
          <w:sz w:val="22"/>
          <w:szCs w:val="22"/>
          <w:lang w:val="pt-BR"/>
        </w:rPr>
        <w:tab/>
      </w:r>
      <w:r w:rsidR="00FA1758" w:rsidRPr="00A36FDA">
        <w:rPr>
          <w:sz w:val="22"/>
          <w:szCs w:val="22"/>
          <w:lang w:val="es-US"/>
        </w:rPr>
        <w:t>5 marzo</w:t>
      </w:r>
      <w:r w:rsidR="007C551F" w:rsidRPr="00A36FDA">
        <w:rPr>
          <w:sz w:val="22"/>
          <w:szCs w:val="22"/>
        </w:rPr>
        <w:t xml:space="preserve"> 2021</w:t>
      </w:r>
    </w:p>
    <w:p w14:paraId="38FC3C61" w14:textId="5E6F223B" w:rsidR="0040128C" w:rsidRPr="00A36FDA" w:rsidRDefault="0040128C" w:rsidP="00FA1758">
      <w:pPr>
        <w:pBdr>
          <w:bottom w:val="single" w:sz="12" w:space="1" w:color="auto"/>
        </w:pBdr>
        <w:tabs>
          <w:tab w:val="left" w:pos="7200"/>
        </w:tabs>
        <w:ind w:right="-389"/>
        <w:rPr>
          <w:noProof/>
          <w:sz w:val="22"/>
          <w:szCs w:val="22"/>
        </w:rPr>
      </w:pPr>
      <w:r w:rsidRPr="00A36FDA">
        <w:rPr>
          <w:sz w:val="22"/>
          <w:szCs w:val="22"/>
        </w:rPr>
        <w:tab/>
        <w:t xml:space="preserve">Original: </w:t>
      </w:r>
      <w:r w:rsidR="00FA1758" w:rsidRPr="00A36FDA">
        <w:rPr>
          <w:sz w:val="22"/>
          <w:szCs w:val="22"/>
        </w:rPr>
        <w:t>español</w:t>
      </w:r>
    </w:p>
    <w:p w14:paraId="3FA51899" w14:textId="77777777" w:rsidR="0040128C" w:rsidRPr="00A36FDA" w:rsidRDefault="0040128C" w:rsidP="00FA1758">
      <w:pPr>
        <w:pBdr>
          <w:bottom w:val="single" w:sz="12" w:space="1" w:color="auto"/>
        </w:pBdr>
        <w:tabs>
          <w:tab w:val="left" w:pos="7200"/>
        </w:tabs>
        <w:ind w:right="-389"/>
        <w:rPr>
          <w:noProof/>
          <w:sz w:val="22"/>
          <w:szCs w:val="22"/>
        </w:rPr>
      </w:pPr>
    </w:p>
    <w:p w14:paraId="3BAD8ABC" w14:textId="77777777" w:rsidR="0040128C" w:rsidRPr="00A36FDA" w:rsidRDefault="0040128C" w:rsidP="00FA1758">
      <w:pPr>
        <w:tabs>
          <w:tab w:val="left" w:pos="7200"/>
        </w:tabs>
        <w:ind w:right="-1080"/>
        <w:rPr>
          <w:noProof/>
          <w:sz w:val="22"/>
          <w:szCs w:val="22"/>
        </w:rPr>
      </w:pPr>
    </w:p>
    <w:p w14:paraId="0BB03062" w14:textId="77777777" w:rsidR="0040128C" w:rsidRPr="00A36FDA" w:rsidRDefault="0040128C" w:rsidP="00FA1758">
      <w:pPr>
        <w:jc w:val="both"/>
        <w:outlineLvl w:val="0"/>
        <w:rPr>
          <w:noProof/>
          <w:sz w:val="22"/>
          <w:szCs w:val="22"/>
        </w:rPr>
      </w:pPr>
    </w:p>
    <w:p w14:paraId="013CCA2A" w14:textId="77777777" w:rsidR="0040128C" w:rsidRPr="00A36FDA" w:rsidRDefault="0040128C" w:rsidP="00FA1758">
      <w:pPr>
        <w:jc w:val="center"/>
        <w:rPr>
          <w:rFonts w:eastAsia="Calibri"/>
          <w:noProof/>
          <w:sz w:val="22"/>
          <w:szCs w:val="22"/>
        </w:rPr>
      </w:pPr>
      <w:r w:rsidRPr="00A36FDA">
        <w:rPr>
          <w:sz w:val="22"/>
          <w:szCs w:val="22"/>
        </w:rPr>
        <w:t>NOTA CONCEPTUAL</w:t>
      </w:r>
    </w:p>
    <w:p w14:paraId="14246755" w14:textId="77777777" w:rsidR="0040128C" w:rsidRPr="00A36FDA" w:rsidRDefault="0040128C" w:rsidP="00FA1758">
      <w:pPr>
        <w:rPr>
          <w:rFonts w:eastAsia="Calibri"/>
          <w:noProof/>
          <w:sz w:val="22"/>
          <w:szCs w:val="22"/>
        </w:rPr>
      </w:pPr>
    </w:p>
    <w:p w14:paraId="539CD297" w14:textId="77777777" w:rsidR="0040128C" w:rsidRPr="00A36FDA" w:rsidRDefault="0040128C" w:rsidP="00FA1758">
      <w:pPr>
        <w:jc w:val="center"/>
        <w:rPr>
          <w:rFonts w:eastAsia="Calibri"/>
          <w:caps/>
          <w:noProof/>
          <w:sz w:val="22"/>
          <w:szCs w:val="22"/>
        </w:rPr>
      </w:pPr>
      <w:r w:rsidRPr="00A36FDA">
        <w:rPr>
          <w:caps/>
          <w:sz w:val="22"/>
          <w:szCs w:val="22"/>
        </w:rPr>
        <w:t xml:space="preserve">Reunión ordinaria del </w:t>
      </w:r>
    </w:p>
    <w:p w14:paraId="4247BE5D" w14:textId="77777777" w:rsidR="0040128C" w:rsidRPr="00A36FDA" w:rsidRDefault="0040128C" w:rsidP="00FA1758">
      <w:pPr>
        <w:jc w:val="center"/>
        <w:rPr>
          <w:rFonts w:eastAsia="Calibri"/>
          <w:caps/>
          <w:noProof/>
          <w:sz w:val="22"/>
          <w:szCs w:val="22"/>
        </w:rPr>
      </w:pPr>
      <w:r w:rsidRPr="00A36FDA">
        <w:rPr>
          <w:caps/>
          <w:sz w:val="22"/>
          <w:szCs w:val="22"/>
        </w:rPr>
        <w:t xml:space="preserve">Consejo Interamericano para el Desarrollo Integral (CIDI) </w:t>
      </w:r>
    </w:p>
    <w:p w14:paraId="555ECD4D" w14:textId="77D439D1" w:rsidR="0040128C" w:rsidRPr="00A36FDA" w:rsidRDefault="00C82FD3" w:rsidP="00FA1758">
      <w:pPr>
        <w:jc w:val="center"/>
        <w:rPr>
          <w:rFonts w:eastAsia="Calibri"/>
          <w:caps/>
          <w:noProof/>
          <w:sz w:val="22"/>
          <w:szCs w:val="22"/>
        </w:rPr>
      </w:pPr>
      <w:r w:rsidRPr="00A36FDA">
        <w:rPr>
          <w:caps/>
          <w:sz w:val="22"/>
          <w:szCs w:val="22"/>
        </w:rPr>
        <w:t>3</w:t>
      </w:r>
      <w:r w:rsidR="00FA1758" w:rsidRPr="00A36FDA">
        <w:rPr>
          <w:caps/>
          <w:sz w:val="22"/>
          <w:szCs w:val="22"/>
        </w:rPr>
        <w:t>0 DE marzo</w:t>
      </w:r>
      <w:r w:rsidRPr="00A36FDA">
        <w:rPr>
          <w:caps/>
          <w:sz w:val="22"/>
          <w:szCs w:val="22"/>
        </w:rPr>
        <w:t xml:space="preserve"> de 2021</w:t>
      </w:r>
    </w:p>
    <w:p w14:paraId="30F6E2CF" w14:textId="77777777" w:rsidR="0040128C" w:rsidRPr="00A36FDA" w:rsidRDefault="0040128C" w:rsidP="00FA1758">
      <w:pPr>
        <w:rPr>
          <w:rFonts w:eastAsia="Calibri"/>
          <w:caps/>
          <w:noProof/>
          <w:sz w:val="22"/>
          <w:szCs w:val="22"/>
        </w:rPr>
      </w:pPr>
    </w:p>
    <w:p w14:paraId="4DDE9370" w14:textId="77777777" w:rsidR="0040128C" w:rsidRPr="00A36FDA" w:rsidRDefault="0040128C" w:rsidP="00FA1758">
      <w:pPr>
        <w:rPr>
          <w:rFonts w:eastAsia="Calibri"/>
          <w:noProof/>
          <w:sz w:val="22"/>
          <w:szCs w:val="22"/>
        </w:rPr>
      </w:pPr>
    </w:p>
    <w:p w14:paraId="0C4157B8" w14:textId="77777777" w:rsidR="00FA1758" w:rsidRPr="00A36FDA" w:rsidRDefault="00FA1758" w:rsidP="00FA1758">
      <w:pPr>
        <w:jc w:val="center"/>
        <w:rPr>
          <w:b/>
          <w:bCs/>
          <w:caps/>
          <w:noProof/>
          <w:sz w:val="22"/>
          <w:szCs w:val="22"/>
        </w:rPr>
      </w:pPr>
      <w:r w:rsidRPr="00A36FDA">
        <w:rPr>
          <w:b/>
          <w:caps/>
          <w:sz w:val="22"/>
          <w:szCs w:val="22"/>
        </w:rPr>
        <w:t>TEMA: Seguridad Alimentaria y Nutricional en las Américas y Seguimiento al Plan de Acción de Guatemala</w:t>
      </w:r>
    </w:p>
    <w:p w14:paraId="41CED508" w14:textId="77777777" w:rsidR="00FA1758" w:rsidRPr="00A36FDA" w:rsidRDefault="00FA1758" w:rsidP="00FA1758">
      <w:pPr>
        <w:jc w:val="both"/>
        <w:rPr>
          <w:iCs/>
          <w:noProof/>
          <w:sz w:val="22"/>
          <w:szCs w:val="22"/>
        </w:rPr>
      </w:pPr>
    </w:p>
    <w:p w14:paraId="36CF6DAC" w14:textId="77777777" w:rsidR="00FA1758" w:rsidRPr="00A36FDA" w:rsidRDefault="00FA1758" w:rsidP="00FA1758">
      <w:pPr>
        <w:jc w:val="center"/>
        <w:rPr>
          <w:caps/>
          <w:sz w:val="22"/>
          <w:szCs w:val="22"/>
        </w:rPr>
      </w:pPr>
    </w:p>
    <w:p w14:paraId="4EAF2A30" w14:textId="77777777" w:rsidR="00FA1758" w:rsidRPr="00A36FDA" w:rsidRDefault="00FA1758" w:rsidP="00FA1758">
      <w:pPr>
        <w:numPr>
          <w:ilvl w:val="0"/>
          <w:numId w:val="16"/>
        </w:numPr>
        <w:tabs>
          <w:tab w:val="left" w:pos="720"/>
          <w:tab w:val="left" w:pos="1440"/>
          <w:tab w:val="left" w:pos="2160"/>
        </w:tabs>
        <w:ind w:left="0" w:firstLine="0"/>
        <w:jc w:val="both"/>
        <w:rPr>
          <w:b/>
          <w:sz w:val="22"/>
          <w:szCs w:val="22"/>
        </w:rPr>
      </w:pPr>
      <w:r w:rsidRPr="00A36FDA">
        <w:rPr>
          <w:b/>
          <w:sz w:val="22"/>
          <w:szCs w:val="22"/>
        </w:rPr>
        <w:t xml:space="preserve">Antecedentes/Justificación </w:t>
      </w:r>
    </w:p>
    <w:p w14:paraId="30F250F3" w14:textId="77777777" w:rsidR="00FA1758" w:rsidRPr="00A36FD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14:paraId="5B184820" w14:textId="6224ACCD" w:rsidR="00FA1758" w:rsidRPr="00A36FD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A36FDA">
        <w:rPr>
          <w:sz w:val="22"/>
          <w:szCs w:val="22"/>
        </w:rPr>
        <w:tab/>
      </w:r>
      <w:r w:rsidRPr="00A36FDA">
        <w:rPr>
          <w:color w:val="000000" w:themeColor="text1"/>
          <w:sz w:val="22"/>
          <w:szCs w:val="22"/>
        </w:rPr>
        <w:t>Durante las últimas décadas, las Américas se había caracterizado por ser una región con avances significativos en la meta global de reducción de la pobreza, tras años de incremento en el gasto social, fortalecimiento de los sistemas de protección social y políticas innovadoras para la generación de empleo y desarrollo del capital humano. Sin embargo, la caída histórica del Producto Interno Bruto regional (PIB) estimada en alrededor de 7,7%,</w:t>
      </w:r>
      <w:r w:rsidRPr="00A36FDA">
        <w:rPr>
          <w:rStyle w:val="FootnoteReference"/>
          <w:color w:val="000000" w:themeColor="text1"/>
          <w:sz w:val="22"/>
          <w:szCs w:val="22"/>
          <w:u w:val="single"/>
        </w:rPr>
        <w:footnoteReference w:id="1"/>
      </w:r>
      <w:r w:rsidRPr="00A36FDA">
        <w:rPr>
          <w:color w:val="000000" w:themeColor="text1"/>
          <w:szCs w:val="22"/>
          <w:vertAlign w:val="superscript"/>
        </w:rPr>
        <w:t xml:space="preserve">/ </w:t>
      </w:r>
      <w:r w:rsidRPr="00A36FDA">
        <w:rPr>
          <w:color w:val="000000" w:themeColor="text1"/>
          <w:sz w:val="22"/>
          <w:szCs w:val="22"/>
        </w:rPr>
        <w:t>como consecuencia de la pandemia generada por el COVID-19, ha significado un incremento histórico en el número de personas que viven en situación de pobreza, y pobreza extrema por lo que el Banco Mundial ha alertado que el año 2020 marcó “el primer revés en la lucha contra la pobreza extrema en una generación”.</w:t>
      </w:r>
      <w:r w:rsidRPr="00A36FDA">
        <w:rPr>
          <w:rStyle w:val="FootnoteReference"/>
          <w:color w:val="000000" w:themeColor="text1"/>
          <w:sz w:val="22"/>
          <w:szCs w:val="22"/>
          <w:u w:val="single"/>
        </w:rPr>
        <w:footnoteReference w:id="2"/>
      </w:r>
      <w:r w:rsidRPr="00A36FDA">
        <w:rPr>
          <w:color w:val="000000" w:themeColor="text1"/>
          <w:sz w:val="22"/>
          <w:szCs w:val="22"/>
          <w:vertAlign w:val="superscript"/>
        </w:rPr>
        <w:t>/</w:t>
      </w:r>
      <w:r w:rsidRPr="00A36FDA">
        <w:rPr>
          <w:color w:val="000000" w:themeColor="text1"/>
          <w:sz w:val="22"/>
          <w:szCs w:val="22"/>
        </w:rPr>
        <w:t xml:space="preserve"> </w:t>
      </w:r>
    </w:p>
    <w:p w14:paraId="4D93E943" w14:textId="77777777" w:rsidR="00FA1758" w:rsidRPr="00A36FD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14:paraId="3E688FEC" w14:textId="187B2ACD" w:rsidR="00FA1758" w:rsidRPr="00A36FD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s-US"/>
        </w:rPr>
      </w:pPr>
      <w:r w:rsidRPr="00A36FDA">
        <w:rPr>
          <w:bCs/>
          <w:color w:val="000000" w:themeColor="text1"/>
          <w:sz w:val="22"/>
          <w:szCs w:val="22"/>
          <w:lang w:val="es-US"/>
        </w:rPr>
        <w:tab/>
        <w:t>Además de retrocesos en la lucha por erradicar la pobreza y la pobreza extrema, las proyecciones indican que la desigualdad también aumentará en la región; datos recientes</w:t>
      </w:r>
      <w:r w:rsidRPr="00A36FDA">
        <w:rPr>
          <w:b/>
          <w:bCs/>
          <w:color w:val="000000" w:themeColor="text1"/>
          <w:sz w:val="22"/>
          <w:szCs w:val="22"/>
          <w:lang w:val="es-US"/>
        </w:rPr>
        <w:t xml:space="preserve"> </w:t>
      </w:r>
      <w:r w:rsidRPr="00A36FDA">
        <w:rPr>
          <w:bCs/>
          <w:color w:val="000000" w:themeColor="text1"/>
          <w:sz w:val="22"/>
          <w:szCs w:val="22"/>
          <w:lang w:val="es-US"/>
        </w:rPr>
        <w:t xml:space="preserve">de un estudio de la Comisión Económica para América Latina y El Caribe, CEPAL, que incluye a 17 países de la región, indica que </w:t>
      </w:r>
      <w:r w:rsidRPr="00A36FDA">
        <w:rPr>
          <w:color w:val="000000" w:themeColor="text1"/>
          <w:sz w:val="22"/>
          <w:szCs w:val="22"/>
          <w:lang w:val="es-US"/>
        </w:rPr>
        <w:t>el índice de Gini</w:t>
      </w:r>
      <w:r w:rsidRPr="00A36FDA">
        <w:rPr>
          <w:rStyle w:val="FootnoteReference"/>
          <w:color w:val="000000" w:themeColor="text1"/>
          <w:sz w:val="22"/>
          <w:szCs w:val="22"/>
          <w:u w:val="single"/>
          <w:lang w:val="es-US"/>
        </w:rPr>
        <w:footnoteReference w:id="3"/>
      </w:r>
      <w:r w:rsidRPr="00A36FDA">
        <w:rPr>
          <w:color w:val="000000" w:themeColor="text1"/>
          <w:sz w:val="22"/>
          <w:szCs w:val="22"/>
          <w:u w:val="single"/>
          <w:vertAlign w:val="superscript"/>
          <w:lang w:val="es-US"/>
        </w:rPr>
        <w:t xml:space="preserve"> </w:t>
      </w:r>
      <w:r w:rsidRPr="00A36FDA">
        <w:rPr>
          <w:color w:val="000000" w:themeColor="text1"/>
          <w:sz w:val="22"/>
          <w:szCs w:val="22"/>
          <w:vertAlign w:val="superscript"/>
          <w:lang w:val="es-US"/>
        </w:rPr>
        <w:t>/</w:t>
      </w:r>
      <w:r w:rsidRPr="00A36FDA">
        <w:rPr>
          <w:color w:val="000000" w:themeColor="text1"/>
          <w:sz w:val="22"/>
          <w:szCs w:val="22"/>
          <w:lang w:val="es-US"/>
        </w:rPr>
        <w:t xml:space="preserve">se incrementará (entre un 1% y un 8%), con los peores resultados en las economías más grandes de la región. </w:t>
      </w:r>
    </w:p>
    <w:p w14:paraId="4C662FBE" w14:textId="77777777" w:rsidR="00FA1758" w:rsidRPr="00A36FD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s-US"/>
        </w:rPr>
      </w:pPr>
    </w:p>
    <w:p w14:paraId="07427228" w14:textId="45A917C6" w:rsidR="00FA1758" w:rsidRPr="00A36FDA" w:rsidRDefault="00FA1758" w:rsidP="00FA1758">
      <w:pPr>
        <w:autoSpaceDE w:val="0"/>
        <w:autoSpaceDN w:val="0"/>
        <w:adjustRightInd w:val="0"/>
        <w:jc w:val="both"/>
        <w:rPr>
          <w:color w:val="000000" w:themeColor="text1"/>
          <w:sz w:val="22"/>
          <w:szCs w:val="22"/>
        </w:rPr>
      </w:pPr>
      <w:r w:rsidRPr="00A36FDA">
        <w:rPr>
          <w:color w:val="000000" w:themeColor="text1"/>
          <w:sz w:val="22"/>
          <w:szCs w:val="22"/>
          <w:lang w:val="es-US"/>
        </w:rPr>
        <w:lastRenderedPageBreak/>
        <w:tab/>
      </w:r>
      <w:r w:rsidRPr="00A36FDA">
        <w:rPr>
          <w:color w:val="000000" w:themeColor="text1"/>
          <w:sz w:val="22"/>
          <w:szCs w:val="22"/>
        </w:rPr>
        <w:t>A este panorama de crecientes niveles de pobreza y desigualdad se suma un preocupante incremento en el número de personas que viven en situación de inseguridad alimentaria</w:t>
      </w:r>
      <w:r w:rsidRPr="00A36FDA">
        <w:rPr>
          <w:rStyle w:val="FootnoteReference"/>
          <w:color w:val="000000" w:themeColor="text1"/>
          <w:sz w:val="22"/>
          <w:szCs w:val="22"/>
          <w:u w:val="single"/>
        </w:rPr>
        <w:footnoteReference w:id="4"/>
      </w:r>
      <w:r w:rsidR="00A36FDA" w:rsidRPr="00A36FDA">
        <w:rPr>
          <w:color w:val="000000" w:themeColor="text1"/>
          <w:sz w:val="22"/>
          <w:szCs w:val="22"/>
          <w:vertAlign w:val="superscript"/>
        </w:rPr>
        <w:t>/</w:t>
      </w:r>
      <w:r w:rsidRPr="00A36FDA">
        <w:rPr>
          <w:color w:val="000000" w:themeColor="text1"/>
          <w:sz w:val="22"/>
          <w:szCs w:val="22"/>
        </w:rPr>
        <w:t>,</w:t>
      </w:r>
      <w:r w:rsidRPr="00A36FDA">
        <w:rPr>
          <w:rFonts w:eastAsiaTheme="minorHAnsi"/>
          <w:sz w:val="22"/>
          <w:szCs w:val="22"/>
        </w:rPr>
        <w:t xml:space="preserve"> </w:t>
      </w:r>
      <w:r w:rsidRPr="00A36FDA">
        <w:rPr>
          <w:color w:val="000000" w:themeColor="text1"/>
          <w:sz w:val="22"/>
          <w:szCs w:val="22"/>
        </w:rPr>
        <w:t>estimado en 13.7 millones de personas para el año 2020.</w:t>
      </w:r>
      <w:r w:rsidRPr="00A36FDA">
        <w:rPr>
          <w:rStyle w:val="FootnoteReference"/>
          <w:color w:val="000000" w:themeColor="text1"/>
          <w:sz w:val="22"/>
          <w:szCs w:val="22"/>
          <w:u w:val="single"/>
        </w:rPr>
        <w:footnoteReference w:id="5"/>
      </w:r>
      <w:r w:rsidR="00A36FDA" w:rsidRPr="00A36FDA">
        <w:rPr>
          <w:color w:val="000000" w:themeColor="text1"/>
          <w:sz w:val="22"/>
          <w:szCs w:val="22"/>
          <w:vertAlign w:val="superscript"/>
        </w:rPr>
        <w:t>/</w:t>
      </w:r>
      <w:r w:rsidRPr="00A36FDA">
        <w:rPr>
          <w:color w:val="000000" w:themeColor="text1"/>
          <w:sz w:val="22"/>
          <w:szCs w:val="22"/>
          <w:u w:val="single"/>
          <w:vertAlign w:val="superscript"/>
        </w:rPr>
        <w:t xml:space="preserve"> </w:t>
      </w:r>
    </w:p>
    <w:p w14:paraId="1B220BC0" w14:textId="77777777" w:rsidR="00FA1758" w:rsidRPr="00A36FDA" w:rsidRDefault="00FA1758" w:rsidP="00FA1758">
      <w:pPr>
        <w:autoSpaceDE w:val="0"/>
        <w:autoSpaceDN w:val="0"/>
        <w:adjustRightInd w:val="0"/>
        <w:jc w:val="both"/>
        <w:rPr>
          <w:color w:val="000000" w:themeColor="text1"/>
          <w:sz w:val="22"/>
          <w:szCs w:val="22"/>
        </w:rPr>
      </w:pPr>
    </w:p>
    <w:p w14:paraId="04298677" w14:textId="4C474E5D" w:rsidR="00FA1758" w:rsidRPr="00A36FDA" w:rsidRDefault="00FA1758" w:rsidP="00FA1758">
      <w:pPr>
        <w:autoSpaceDE w:val="0"/>
        <w:autoSpaceDN w:val="0"/>
        <w:adjustRightInd w:val="0"/>
        <w:jc w:val="both"/>
        <w:rPr>
          <w:color w:val="000000" w:themeColor="text1"/>
          <w:sz w:val="22"/>
          <w:szCs w:val="22"/>
        </w:rPr>
      </w:pPr>
      <w:r w:rsidRPr="00A36FDA">
        <w:rPr>
          <w:color w:val="000000" w:themeColor="text1"/>
          <w:sz w:val="22"/>
          <w:szCs w:val="22"/>
        </w:rPr>
        <w:t xml:space="preserve">Incluso antes de la pandemia, los datos disponibles mostraban que el número de personas viviendo en situación de inseguridad alimentaria iba en incremento, pero como señala un informe reciente de cinco organismos de las Naciones Unidas, los promedios nacionales esconden grandes disparidades dentro de los países, por lo que debe prestarse particular atención a los que sucede en los territorios que “se están quedando atrás”; </w:t>
      </w:r>
      <w:r w:rsidRPr="00A36FDA">
        <w:rPr>
          <w:sz w:val="22"/>
          <w:szCs w:val="22"/>
        </w:rPr>
        <w:t>en la región, 1 de cada 5 territorios se encuentra altamente rezagado por la malnutrición, ya sea por retraso del crecimiento o por sobrepeso</w:t>
      </w:r>
      <w:r w:rsidRPr="00A36FDA">
        <w:rPr>
          <w:rStyle w:val="FootnoteReference"/>
          <w:sz w:val="22"/>
          <w:szCs w:val="22"/>
          <w:u w:val="single"/>
        </w:rPr>
        <w:footnoteReference w:id="6"/>
      </w:r>
      <w:r w:rsidR="00A36FDA" w:rsidRPr="00A36FDA">
        <w:rPr>
          <w:sz w:val="22"/>
          <w:szCs w:val="22"/>
          <w:vertAlign w:val="superscript"/>
        </w:rPr>
        <w:t>/</w:t>
      </w:r>
      <w:r w:rsidRPr="00A36FDA">
        <w:rPr>
          <w:sz w:val="22"/>
          <w:szCs w:val="22"/>
        </w:rPr>
        <w:t xml:space="preserve">. En el mismo informe se advierte que </w:t>
      </w:r>
      <w:r w:rsidRPr="00A36FDA">
        <w:rPr>
          <w:color w:val="000000" w:themeColor="text1"/>
          <w:sz w:val="22"/>
          <w:szCs w:val="22"/>
        </w:rPr>
        <w:t xml:space="preserve">es importante prestar particular atención a los territorios que se están quedando “rezagados” ya que </w:t>
      </w:r>
      <w:r w:rsidRPr="00A36FDA">
        <w:rPr>
          <w:sz w:val="22"/>
          <w:szCs w:val="22"/>
        </w:rPr>
        <w:t>las metas de la Agenda 2030 de Desarrollo Sostenible relacionadas con la seguridad alimentaria y la nutrición no podrán alcanzarse mientras en algunos territorios de América Latina y el Caribe sigan viviendo poblaciones con niveles de malnutrición que, como mínimo,</w:t>
      </w:r>
      <w:r w:rsidR="00A36FDA" w:rsidRPr="00A36FDA">
        <w:rPr>
          <w:sz w:val="22"/>
          <w:szCs w:val="22"/>
        </w:rPr>
        <w:t xml:space="preserve"> </w:t>
      </w:r>
      <w:r w:rsidRPr="00A36FDA">
        <w:rPr>
          <w:sz w:val="22"/>
          <w:szCs w:val="22"/>
        </w:rPr>
        <w:t>du</w:t>
      </w:r>
      <w:r w:rsidR="00A36FDA" w:rsidRPr="00A36FDA">
        <w:rPr>
          <w:sz w:val="22"/>
          <w:szCs w:val="22"/>
        </w:rPr>
        <w:t>plican los promedios nacionales</w:t>
      </w:r>
      <w:r w:rsidRPr="00A36FDA">
        <w:rPr>
          <w:sz w:val="22"/>
          <w:szCs w:val="22"/>
        </w:rPr>
        <w:t>”</w:t>
      </w:r>
      <w:r w:rsidR="00A36FDA" w:rsidRPr="00A36FDA">
        <w:rPr>
          <w:sz w:val="22"/>
          <w:szCs w:val="22"/>
        </w:rPr>
        <w:t>.</w:t>
      </w:r>
      <w:r w:rsidRPr="00A36FDA">
        <w:rPr>
          <w:rStyle w:val="FootnoteReference"/>
          <w:sz w:val="22"/>
          <w:szCs w:val="22"/>
          <w:u w:val="single"/>
        </w:rPr>
        <w:footnoteReference w:id="7"/>
      </w:r>
      <w:r w:rsidR="00A36FDA" w:rsidRPr="00A36FDA">
        <w:rPr>
          <w:sz w:val="22"/>
          <w:szCs w:val="22"/>
          <w:vertAlign w:val="superscript"/>
        </w:rPr>
        <w:t>/</w:t>
      </w:r>
      <w:r w:rsidRPr="00A36FDA">
        <w:rPr>
          <w:sz w:val="22"/>
          <w:szCs w:val="22"/>
        </w:rPr>
        <w:t xml:space="preserve"> </w:t>
      </w:r>
    </w:p>
    <w:p w14:paraId="4818422C" w14:textId="77777777" w:rsidR="00FA1758" w:rsidRPr="00A36FDA" w:rsidRDefault="00FA1758" w:rsidP="00FA1758">
      <w:pPr>
        <w:autoSpaceDE w:val="0"/>
        <w:autoSpaceDN w:val="0"/>
        <w:adjustRightInd w:val="0"/>
        <w:jc w:val="both"/>
        <w:rPr>
          <w:rFonts w:eastAsiaTheme="minorHAnsi"/>
          <w:sz w:val="22"/>
          <w:szCs w:val="22"/>
          <w:lang w:val="es-MX"/>
        </w:rPr>
      </w:pPr>
    </w:p>
    <w:p w14:paraId="65AF5BA3" w14:textId="77777777" w:rsidR="00FA1758" w:rsidRPr="00A36FDA" w:rsidRDefault="00FA1758" w:rsidP="00FA1758">
      <w:pPr>
        <w:autoSpaceDE w:val="0"/>
        <w:autoSpaceDN w:val="0"/>
        <w:adjustRightInd w:val="0"/>
        <w:jc w:val="both"/>
        <w:rPr>
          <w:rFonts w:eastAsiaTheme="minorHAnsi"/>
          <w:sz w:val="22"/>
          <w:szCs w:val="22"/>
          <w:lang w:val="es-ES_tradnl"/>
        </w:rPr>
      </w:pPr>
      <w:r w:rsidRPr="00A36FDA">
        <w:rPr>
          <w:rFonts w:eastAsiaTheme="minorHAnsi"/>
          <w:sz w:val="22"/>
          <w:szCs w:val="22"/>
          <w:lang w:val="es-MX"/>
        </w:rPr>
        <w:tab/>
      </w:r>
      <w:r w:rsidRPr="00A36FDA">
        <w:rPr>
          <w:rFonts w:eastAsiaTheme="minorHAnsi"/>
          <w:sz w:val="22"/>
          <w:szCs w:val="22"/>
          <w:lang w:val="es-ES_tradnl"/>
        </w:rPr>
        <w:t>Cerrar las brechas económicas y sociales que se han pronunciado por la pandemia requerirá, quizás como nunca antes en la historia reciente, de esfuerzos focalizados, orientados a dar nuevas herramientas a las poblaciones que “se están quedando atrás” en el acceso a derechos humanos fundamentales  como la alimentación adecuada. Para ello, es necesario poner en marcha acciones para: 1.visibilizar la situación de las personas que se encuentran en situación de mayor vulnerabilidad a partir de la pandemia, 2. movilizar el compromiso político de los países de la región, 3. mejorar las políticas e iniciativas intersectoriales para garantizar el acceso a alimentos nutritivos y su buen uso. 4. fortalecer el diálogo y la coordinación entre todos los actores involucrados en el diseño, revisión e implementación de las políticas sociales.</w:t>
      </w:r>
    </w:p>
    <w:p w14:paraId="135B6B43" w14:textId="77777777" w:rsidR="00FA1758" w:rsidRPr="00A36FDA" w:rsidRDefault="00FA1758" w:rsidP="00FA1758">
      <w:pPr>
        <w:autoSpaceDE w:val="0"/>
        <w:autoSpaceDN w:val="0"/>
        <w:adjustRightInd w:val="0"/>
        <w:jc w:val="both"/>
        <w:rPr>
          <w:rFonts w:eastAsiaTheme="minorHAnsi"/>
          <w:sz w:val="22"/>
          <w:szCs w:val="22"/>
          <w:lang w:val="es-ES_tradnl"/>
        </w:rPr>
      </w:pPr>
    </w:p>
    <w:p w14:paraId="352EA429" w14:textId="77777777" w:rsidR="00FA1758" w:rsidRPr="00A36FDA" w:rsidRDefault="00FA1758" w:rsidP="00FA1758">
      <w:pPr>
        <w:autoSpaceDE w:val="0"/>
        <w:autoSpaceDN w:val="0"/>
        <w:adjustRightInd w:val="0"/>
        <w:jc w:val="both"/>
        <w:rPr>
          <w:sz w:val="22"/>
          <w:szCs w:val="22"/>
          <w:lang w:val="es-US"/>
        </w:rPr>
      </w:pPr>
      <w:r w:rsidRPr="00A36FDA">
        <w:rPr>
          <w:rFonts w:eastAsiaTheme="minorHAnsi"/>
          <w:sz w:val="22"/>
          <w:szCs w:val="22"/>
          <w:lang w:val="es-ES_tradnl"/>
        </w:rPr>
        <w:tab/>
        <w:t xml:space="preserve">Estos temas han sido abordados por los Estados Miembros de la OEA durante los últimos años en el ámbito de las reuniones del Consejo Interamericano para el Desarrollo Integral CIDI, y del proceso Ministerial de Desarrollo Social. En efecto, durante la IV Reunión de Ministros y Altas Autoridades de Desarrollo Social que tuvo lugar en Guatemala en el 2019, uno de los logros más importantes fue la adopción, </w:t>
      </w:r>
      <w:r w:rsidRPr="00A36FDA">
        <w:rPr>
          <w:sz w:val="22"/>
          <w:szCs w:val="22"/>
          <w:lang w:val="es-US"/>
        </w:rPr>
        <w:t>por primera vez en la historia de los procesos ministeriales de desarrollo social en la OEA, de un Plan de Acción; “el Plan de Acción de Guatemala”, en el que se definen líneas de trabajo y acciones concretas para fortalecer las capacidades de las instituciones encargadas de las políticas sociales en temas tan importantes para la región, en particular a partir de la pandemia, como: 1. la pobreza multidimensional, 2. el fortalecimiento de los sistemas de protección social y 3. la cooperación regional para promover el desarrollo social.</w:t>
      </w:r>
    </w:p>
    <w:p w14:paraId="595C82EC" w14:textId="77777777" w:rsidR="00FA1758" w:rsidRPr="00A36FDA" w:rsidRDefault="00FA1758" w:rsidP="00FA1758">
      <w:pPr>
        <w:autoSpaceDE w:val="0"/>
        <w:autoSpaceDN w:val="0"/>
        <w:adjustRightInd w:val="0"/>
        <w:jc w:val="both"/>
        <w:rPr>
          <w:sz w:val="22"/>
          <w:szCs w:val="22"/>
          <w:lang w:val="es-US"/>
        </w:rPr>
      </w:pPr>
    </w:p>
    <w:p w14:paraId="4D178342" w14:textId="77777777" w:rsidR="00FA1758" w:rsidRPr="00A36FDA" w:rsidRDefault="00FA1758" w:rsidP="00FA1758">
      <w:pPr>
        <w:autoSpaceDE w:val="0"/>
        <w:autoSpaceDN w:val="0"/>
        <w:adjustRightInd w:val="0"/>
        <w:jc w:val="both"/>
        <w:rPr>
          <w:sz w:val="22"/>
          <w:szCs w:val="22"/>
          <w:lang w:val="es-US"/>
        </w:rPr>
      </w:pPr>
      <w:r w:rsidRPr="00A36FDA">
        <w:rPr>
          <w:sz w:val="22"/>
          <w:szCs w:val="22"/>
          <w:lang w:val="es-US"/>
        </w:rPr>
        <w:lastRenderedPageBreak/>
        <w:tab/>
      </w:r>
      <w:r w:rsidRPr="00A36FDA">
        <w:rPr>
          <w:rFonts w:eastAsiaTheme="minorHAnsi"/>
          <w:sz w:val="22"/>
          <w:szCs w:val="22"/>
        </w:rPr>
        <w:t xml:space="preserve">Además, en la </w:t>
      </w:r>
      <w:r w:rsidRPr="00A36FDA">
        <w:rPr>
          <w:rFonts w:eastAsiaTheme="minorHAnsi"/>
          <w:sz w:val="22"/>
          <w:szCs w:val="22"/>
          <w:lang w:val="es-ES_tradnl"/>
        </w:rPr>
        <w:t xml:space="preserve">Asamblea General de la OEA en 2020, se aprobó la Resolución “Los Desafíos para la Seguridad Alimentaria y Nutricional en las Américas frente a la pandemia del COVID-19 en el marco del Plan de Acción de Guatemala”. En esta resolución, los Estados Miembros acuerdan “fomentar la </w:t>
      </w:r>
      <w:r w:rsidRPr="00A36FDA">
        <w:rPr>
          <w:sz w:val="22"/>
          <w:szCs w:val="22"/>
          <w:lang w:val="es-US"/>
        </w:rPr>
        <w:t>cooperación en favor del fortalecimiento de las instituciones nacionales de desarrollo social, en colaboración con organizaciones internacionales, expertos en crecimiento, desarrollo y prosperidad, organizaciones de la Sociedad civil, el sector privado y la academia, encargadas del combate a la pobreza, la reducción de la desigualdad con enfoque integral, la ampliación de la protección social y de los programas sociales para la erradicación del hambre, y la malnutrición, en la lucha contra la inseguridad alimentaria y nutricional, mediante acciones orientadas al diálogo, desarrollo de capacidades y al intercambio de conocimientos y lecciones aprendidas, así como la asistencia técnica, y al seguimiento de los indicadores relacionados con estos temas”.</w:t>
      </w:r>
      <w:r w:rsidRPr="00A36FDA">
        <w:rPr>
          <w:sz w:val="22"/>
          <w:szCs w:val="22"/>
          <w:lang w:val="es-ES_tradnl"/>
        </w:rPr>
        <w:t xml:space="preserve"> </w:t>
      </w:r>
    </w:p>
    <w:p w14:paraId="1A13478E" w14:textId="77777777" w:rsidR="00FA1758" w:rsidRPr="00A36FDA" w:rsidRDefault="00FA1758" w:rsidP="00FA1758">
      <w:pPr>
        <w:jc w:val="both"/>
        <w:rPr>
          <w:sz w:val="22"/>
          <w:szCs w:val="22"/>
          <w:lang w:val="es-ES_tradnl"/>
        </w:rPr>
      </w:pPr>
    </w:p>
    <w:p w14:paraId="70ACDE7C" w14:textId="77777777" w:rsidR="00FA1758" w:rsidRPr="00A36FDA" w:rsidRDefault="00FA1758" w:rsidP="00FA1758">
      <w:pPr>
        <w:jc w:val="both"/>
        <w:rPr>
          <w:sz w:val="22"/>
          <w:szCs w:val="22"/>
          <w:lang w:val="es-ES_tradnl"/>
        </w:rPr>
      </w:pPr>
      <w:r w:rsidRPr="00A36FDA">
        <w:rPr>
          <w:sz w:val="22"/>
          <w:szCs w:val="22"/>
          <w:lang w:val="es-ES_tradnl"/>
        </w:rPr>
        <w:tab/>
        <w:t>Con el fin de avanzar en cumplimiento de la mencionada Resolución, y el Plan de Acción de Guatemala, esta sesión del CIDI sobre “Seguridad Alimentaria y Nutricional en las Américas y Seguimiento al Plan de Acción de Guatemala” busca promover el diálogo entre representantes de algunos de los Organismos más importantes que trabajan para garantizar la seguridad alimentaria en la región y representantes de los Estados Miembros de la OEA quienes compartirán sus experiencias en la implementación de políticas e iniciativas que han mostrado tener éxito para garantizar la seguridad alimentaria durante la pandemia, haciendo énfasis en las iniciativas multidimensionales, herramientas y mecanismos de coordinación intersectorial.</w:t>
      </w:r>
    </w:p>
    <w:p w14:paraId="32E03B53" w14:textId="77777777" w:rsidR="00FA1758" w:rsidRPr="00A36FDA" w:rsidRDefault="00FA1758" w:rsidP="00FA1758">
      <w:pPr>
        <w:jc w:val="both"/>
        <w:rPr>
          <w:sz w:val="22"/>
          <w:szCs w:val="22"/>
          <w:lang w:val="es-ES_tradnl"/>
        </w:rPr>
      </w:pPr>
    </w:p>
    <w:p w14:paraId="5F50B7CA" w14:textId="378C1874" w:rsidR="00FA1758" w:rsidRPr="00A36FDA" w:rsidRDefault="00FA1758" w:rsidP="00A36FDA">
      <w:pPr>
        <w:pStyle w:val="ListParagraph0"/>
        <w:numPr>
          <w:ilvl w:val="0"/>
          <w:numId w:val="16"/>
        </w:numPr>
        <w:ind w:left="720" w:hanging="720"/>
        <w:jc w:val="both"/>
        <w:rPr>
          <w:sz w:val="22"/>
          <w:szCs w:val="22"/>
          <w:lang w:val="es-ES_tradnl"/>
        </w:rPr>
      </w:pPr>
      <w:r w:rsidRPr="00A36FDA">
        <w:rPr>
          <w:b/>
          <w:sz w:val="22"/>
          <w:szCs w:val="22"/>
        </w:rPr>
        <w:t xml:space="preserve">Objetivos  </w:t>
      </w:r>
    </w:p>
    <w:p w14:paraId="36A7BC04" w14:textId="77777777" w:rsidR="00FA1758" w:rsidRPr="00A36FDA" w:rsidRDefault="00FA1758" w:rsidP="00FA1758">
      <w:pPr>
        <w:autoSpaceDE w:val="0"/>
        <w:autoSpaceDN w:val="0"/>
        <w:adjustRightInd w:val="0"/>
        <w:jc w:val="both"/>
        <w:rPr>
          <w:sz w:val="22"/>
          <w:szCs w:val="22"/>
          <w:lang w:val="es-ES_tradnl"/>
        </w:rPr>
      </w:pPr>
    </w:p>
    <w:p w14:paraId="5BE4B40D" w14:textId="77777777" w:rsidR="00FA1758" w:rsidRPr="00A36FDA" w:rsidRDefault="00FA1758" w:rsidP="00A36FDA">
      <w:pPr>
        <w:autoSpaceDE w:val="0"/>
        <w:autoSpaceDN w:val="0"/>
        <w:adjustRightInd w:val="0"/>
        <w:ind w:firstLine="720"/>
        <w:jc w:val="both"/>
        <w:rPr>
          <w:sz w:val="22"/>
          <w:szCs w:val="22"/>
          <w:lang w:val="es-ES_tradnl"/>
        </w:rPr>
      </w:pPr>
      <w:r w:rsidRPr="00A36FDA">
        <w:rPr>
          <w:sz w:val="22"/>
          <w:szCs w:val="22"/>
          <w:lang w:val="es-ES_tradnl"/>
        </w:rPr>
        <w:t>El diálogo entre los expertos y expertas invitados a esta sesión se enfocará en los siguientes objetivos:</w:t>
      </w:r>
    </w:p>
    <w:p w14:paraId="6FDC4550" w14:textId="77777777" w:rsidR="00FA1758" w:rsidRPr="00A36FDA" w:rsidRDefault="00FA1758" w:rsidP="00FA1758">
      <w:pPr>
        <w:autoSpaceDE w:val="0"/>
        <w:autoSpaceDN w:val="0"/>
        <w:adjustRightInd w:val="0"/>
        <w:jc w:val="both"/>
        <w:rPr>
          <w:sz w:val="22"/>
          <w:szCs w:val="22"/>
          <w:lang w:val="es-ES_tradnl"/>
        </w:rPr>
      </w:pPr>
    </w:p>
    <w:p w14:paraId="705C1229" w14:textId="77777777" w:rsidR="00FA1758" w:rsidRPr="00A36FDA" w:rsidRDefault="00FA1758" w:rsidP="00A36FDA">
      <w:pPr>
        <w:pStyle w:val="ListParagraph0"/>
        <w:numPr>
          <w:ilvl w:val="0"/>
          <w:numId w:val="19"/>
        </w:numPr>
        <w:autoSpaceDE w:val="0"/>
        <w:autoSpaceDN w:val="0"/>
        <w:adjustRightInd w:val="0"/>
        <w:ind w:left="1440" w:hanging="720"/>
        <w:contextualSpacing/>
        <w:jc w:val="both"/>
        <w:rPr>
          <w:sz w:val="22"/>
          <w:szCs w:val="22"/>
          <w:lang w:val="es-ES_tradnl"/>
        </w:rPr>
      </w:pPr>
      <w:r w:rsidRPr="00A36FDA">
        <w:rPr>
          <w:sz w:val="22"/>
          <w:szCs w:val="22"/>
          <w:lang w:val="es-ES_tradnl"/>
        </w:rPr>
        <w:t xml:space="preserve"> Identificar las políticas y acciones que han sido efectivas para garantizar la seguridad alimentaria en la región durante la pandemia.</w:t>
      </w:r>
    </w:p>
    <w:p w14:paraId="173191BA" w14:textId="77777777" w:rsidR="00FA1758" w:rsidRPr="00A36FDA" w:rsidRDefault="00FA1758" w:rsidP="00A36FDA">
      <w:pPr>
        <w:pStyle w:val="ListParagraph0"/>
        <w:autoSpaceDE w:val="0"/>
        <w:autoSpaceDN w:val="0"/>
        <w:adjustRightInd w:val="0"/>
        <w:ind w:left="1440" w:hanging="720"/>
        <w:jc w:val="both"/>
        <w:rPr>
          <w:sz w:val="22"/>
          <w:szCs w:val="22"/>
          <w:lang w:val="es-ES_tradnl"/>
        </w:rPr>
      </w:pPr>
    </w:p>
    <w:p w14:paraId="63B05686" w14:textId="77777777" w:rsidR="00FA1758" w:rsidRPr="00A36FDA" w:rsidRDefault="00FA1758" w:rsidP="00A36FDA">
      <w:pPr>
        <w:pStyle w:val="ListParagraph0"/>
        <w:numPr>
          <w:ilvl w:val="0"/>
          <w:numId w:val="19"/>
        </w:numPr>
        <w:autoSpaceDE w:val="0"/>
        <w:autoSpaceDN w:val="0"/>
        <w:adjustRightInd w:val="0"/>
        <w:ind w:left="1440" w:hanging="720"/>
        <w:contextualSpacing/>
        <w:jc w:val="both"/>
        <w:rPr>
          <w:sz w:val="22"/>
          <w:szCs w:val="22"/>
          <w:lang w:val="es-ES_tradnl"/>
        </w:rPr>
      </w:pPr>
      <w:r w:rsidRPr="00A36FDA">
        <w:rPr>
          <w:sz w:val="22"/>
          <w:szCs w:val="22"/>
          <w:lang w:val="es-ES_tradnl"/>
        </w:rPr>
        <w:t xml:space="preserve">Identificar experiencias exitosas en la coordinación de esfuerzos a nivel regional destacando el rol de la cooperación técnica como herramienta para mejorar las políticas e iniciativas orientadas a garantizar la seguridad alimentaria en la región. </w:t>
      </w:r>
    </w:p>
    <w:p w14:paraId="7EF4373B" w14:textId="77777777" w:rsidR="00FA1758" w:rsidRPr="00A36FDA" w:rsidRDefault="00FA1758" w:rsidP="00A36FDA">
      <w:pPr>
        <w:pStyle w:val="ListParagraph0"/>
        <w:autoSpaceDE w:val="0"/>
        <w:autoSpaceDN w:val="0"/>
        <w:adjustRightInd w:val="0"/>
        <w:ind w:left="1440" w:hanging="720"/>
        <w:jc w:val="both"/>
        <w:rPr>
          <w:sz w:val="22"/>
          <w:szCs w:val="22"/>
          <w:lang w:val="es-ES_tradnl"/>
        </w:rPr>
      </w:pPr>
      <w:r w:rsidRPr="00A36FDA">
        <w:rPr>
          <w:sz w:val="22"/>
          <w:szCs w:val="22"/>
          <w:lang w:val="es-ES_tradnl"/>
        </w:rPr>
        <w:t xml:space="preserve"> </w:t>
      </w:r>
    </w:p>
    <w:p w14:paraId="79F7C97E" w14:textId="77777777" w:rsidR="00FA1758" w:rsidRPr="00A36FDA" w:rsidRDefault="00FA1758" w:rsidP="00A36FDA">
      <w:pPr>
        <w:pStyle w:val="ListParagraph0"/>
        <w:numPr>
          <w:ilvl w:val="0"/>
          <w:numId w:val="19"/>
        </w:numPr>
        <w:autoSpaceDE w:val="0"/>
        <w:autoSpaceDN w:val="0"/>
        <w:adjustRightInd w:val="0"/>
        <w:ind w:left="1440" w:hanging="720"/>
        <w:contextualSpacing/>
        <w:jc w:val="both"/>
        <w:rPr>
          <w:sz w:val="22"/>
          <w:szCs w:val="22"/>
          <w:lang w:val="es-ES_tradnl"/>
        </w:rPr>
      </w:pPr>
      <w:r w:rsidRPr="00A36FDA">
        <w:rPr>
          <w:sz w:val="22"/>
          <w:szCs w:val="22"/>
          <w:lang w:val="es-ES_tradnl"/>
        </w:rPr>
        <w:t>Dar un informe sobre los avances en la implementación del Plan de Acción de Guatemala como “hoja de ruta” con acciones concretas para avanzar en el objetivo global y regional de erradicar la pobreza y cerrar las brechas de equidad social.</w:t>
      </w:r>
    </w:p>
    <w:p w14:paraId="31F9D8BE" w14:textId="77777777" w:rsidR="00FA1758" w:rsidRPr="00A36FDA" w:rsidRDefault="00FA1758" w:rsidP="00A36FDA">
      <w:pPr>
        <w:pStyle w:val="ListParagraph0"/>
        <w:ind w:left="1440" w:hanging="720"/>
        <w:rPr>
          <w:sz w:val="22"/>
          <w:szCs w:val="22"/>
          <w:lang w:val="es-ES_tradnl"/>
        </w:rPr>
      </w:pPr>
    </w:p>
    <w:p w14:paraId="58FCAF23" w14:textId="77777777" w:rsidR="00FA1758" w:rsidRPr="00A36FDA" w:rsidRDefault="00FA1758" w:rsidP="00A36FDA">
      <w:pPr>
        <w:pStyle w:val="ListParagraph0"/>
        <w:numPr>
          <w:ilvl w:val="0"/>
          <w:numId w:val="19"/>
        </w:numPr>
        <w:autoSpaceDE w:val="0"/>
        <w:autoSpaceDN w:val="0"/>
        <w:adjustRightInd w:val="0"/>
        <w:ind w:left="1440" w:hanging="720"/>
        <w:contextualSpacing/>
        <w:jc w:val="both"/>
        <w:rPr>
          <w:sz w:val="22"/>
          <w:szCs w:val="22"/>
          <w:lang w:val="es-ES_tradnl"/>
        </w:rPr>
      </w:pPr>
      <w:r w:rsidRPr="00A36FDA">
        <w:rPr>
          <w:sz w:val="22"/>
          <w:szCs w:val="22"/>
          <w:lang w:val="es-ES_tradnl"/>
        </w:rPr>
        <w:t xml:space="preserve">Identificar sinergias y oportunidades de colaboración entre Organismos Internacionales, Regionales y los Estados Miembros de la OEA. </w:t>
      </w:r>
    </w:p>
    <w:p w14:paraId="70D7C1CE" w14:textId="77777777" w:rsidR="00FA1758" w:rsidRPr="00A36FDA" w:rsidRDefault="00FA1758" w:rsidP="00FA1758">
      <w:pPr>
        <w:autoSpaceDE w:val="0"/>
        <w:autoSpaceDN w:val="0"/>
        <w:adjustRightInd w:val="0"/>
        <w:jc w:val="both"/>
        <w:rPr>
          <w:sz w:val="22"/>
          <w:szCs w:val="22"/>
          <w:lang w:val="es-ES_tradnl"/>
        </w:rPr>
      </w:pPr>
    </w:p>
    <w:p w14:paraId="2032F1DA" w14:textId="0B5BD908" w:rsidR="00FA1758" w:rsidRPr="00A36FDA" w:rsidRDefault="00FA1758" w:rsidP="00A36FDA">
      <w:pPr>
        <w:autoSpaceDE w:val="0"/>
        <w:autoSpaceDN w:val="0"/>
        <w:adjustRightInd w:val="0"/>
        <w:ind w:left="720" w:hanging="720"/>
        <w:jc w:val="both"/>
        <w:rPr>
          <w:b/>
          <w:sz w:val="22"/>
          <w:szCs w:val="22"/>
        </w:rPr>
      </w:pPr>
      <w:r w:rsidRPr="00A36FDA">
        <w:rPr>
          <w:b/>
          <w:sz w:val="22"/>
          <w:szCs w:val="22"/>
        </w:rPr>
        <w:t xml:space="preserve">3. </w:t>
      </w:r>
      <w:r w:rsidR="00A36FDA">
        <w:rPr>
          <w:b/>
          <w:sz w:val="22"/>
          <w:szCs w:val="22"/>
        </w:rPr>
        <w:tab/>
      </w:r>
      <w:r w:rsidRPr="00A36FDA">
        <w:rPr>
          <w:b/>
          <w:sz w:val="22"/>
          <w:szCs w:val="22"/>
        </w:rPr>
        <w:t>Pertinencia para el CIDI</w:t>
      </w:r>
    </w:p>
    <w:p w14:paraId="5D74EEF7" w14:textId="77777777" w:rsidR="00FA1758" w:rsidRPr="00A36FDA" w:rsidRDefault="00FA1758" w:rsidP="00FA1758">
      <w:pPr>
        <w:rPr>
          <w:color w:val="202124"/>
          <w:sz w:val="22"/>
          <w:szCs w:val="22"/>
        </w:rPr>
      </w:pPr>
    </w:p>
    <w:p w14:paraId="6A007177" w14:textId="77777777" w:rsidR="00FA1758" w:rsidRPr="00A36FDA" w:rsidRDefault="00FA1758" w:rsidP="00FA1758">
      <w:pPr>
        <w:rPr>
          <w:sz w:val="22"/>
          <w:szCs w:val="22"/>
          <w:lang w:val="es-ES_tradnl"/>
        </w:rPr>
      </w:pPr>
      <w:r w:rsidRPr="00A36FDA">
        <w:rPr>
          <w:color w:val="202124"/>
          <w:sz w:val="22"/>
          <w:szCs w:val="22"/>
        </w:rPr>
        <w:tab/>
        <w:t xml:space="preserve">Fortalecer la implementación de los mandatos relacionados a la Resolución  </w:t>
      </w:r>
      <w:r w:rsidRPr="00A36FDA">
        <w:rPr>
          <w:sz w:val="22"/>
          <w:szCs w:val="22"/>
          <w:lang w:val="es-ES_tradnl"/>
        </w:rPr>
        <w:t>AG/RES. 2956 (L-O/20 “</w:t>
      </w:r>
      <w:r w:rsidRPr="00A36FDA">
        <w:rPr>
          <w:snapToGrid w:val="0"/>
          <w:sz w:val="22"/>
          <w:szCs w:val="22"/>
          <w:lang w:val="es-ES_tradnl"/>
        </w:rPr>
        <w:t xml:space="preserve">Los </w:t>
      </w:r>
      <w:r w:rsidRPr="00A36FDA">
        <w:rPr>
          <w:sz w:val="22"/>
          <w:szCs w:val="22"/>
          <w:lang w:val="es-ES_tradnl"/>
        </w:rPr>
        <w:t>desafíos</w:t>
      </w:r>
      <w:r w:rsidRPr="00A36FDA">
        <w:rPr>
          <w:snapToGrid w:val="0"/>
          <w:sz w:val="22"/>
          <w:szCs w:val="22"/>
          <w:lang w:val="es-ES_tradnl"/>
        </w:rPr>
        <w:t xml:space="preserve"> para la seguridad alimentaria y nutricional en las Américas frente a la pandemia de COVID-19 en el marco del Plan de Acción de Guatemala 2019” y el proceso ministerial de desarrollo social.</w:t>
      </w:r>
    </w:p>
    <w:p w14:paraId="2E0DC61C" w14:textId="6594EDB5" w:rsidR="00FA1758" w:rsidRDefault="00FA1758"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1D70252D" w14:textId="77777777" w:rsidR="00A36FDA" w:rsidRPr="00A36FDA" w:rsidRDefault="00A36FDA"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6175FEE1" w14:textId="5F8DB51D" w:rsidR="00FA1758" w:rsidRPr="00A36FDA" w:rsidRDefault="00FA1758" w:rsidP="00A36F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b/>
          <w:sz w:val="22"/>
          <w:szCs w:val="22"/>
        </w:rPr>
      </w:pPr>
      <w:r w:rsidRPr="00A36FDA">
        <w:rPr>
          <w:b/>
          <w:sz w:val="22"/>
          <w:szCs w:val="22"/>
        </w:rPr>
        <w:lastRenderedPageBreak/>
        <w:t xml:space="preserve">4. </w:t>
      </w:r>
      <w:r w:rsidR="00A36FDA">
        <w:rPr>
          <w:b/>
          <w:sz w:val="22"/>
          <w:szCs w:val="22"/>
        </w:rPr>
        <w:tab/>
      </w:r>
      <w:r w:rsidRPr="00A36FDA">
        <w:rPr>
          <w:b/>
          <w:sz w:val="22"/>
          <w:szCs w:val="22"/>
        </w:rPr>
        <w:t xml:space="preserve">Estructura de la reunión </w:t>
      </w:r>
    </w:p>
    <w:p w14:paraId="06BFEE5C" w14:textId="77777777" w:rsidR="00FA1758" w:rsidRPr="00A36FDA" w:rsidRDefault="00FA1758"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0C27F320" w14:textId="77777777" w:rsidR="00FA1758" w:rsidRPr="00A36FDA" w:rsidRDefault="00FA1758" w:rsidP="00A36FDA">
      <w:pPr>
        <w:autoSpaceDE w:val="0"/>
        <w:autoSpaceDN w:val="0"/>
        <w:adjustRightInd w:val="0"/>
        <w:ind w:left="720"/>
        <w:jc w:val="both"/>
        <w:rPr>
          <w:sz w:val="22"/>
          <w:szCs w:val="22"/>
          <w:lang w:val="es-ES_tradnl"/>
        </w:rPr>
      </w:pPr>
      <w:r w:rsidRPr="00A36FDA">
        <w:rPr>
          <w:sz w:val="22"/>
          <w:szCs w:val="22"/>
          <w:lang w:val="es-ES_tradnl"/>
        </w:rPr>
        <w:t>Expositores invitados:</w:t>
      </w:r>
    </w:p>
    <w:p w14:paraId="73A6D2D6" w14:textId="77777777" w:rsidR="00FA1758" w:rsidRPr="00A36FDA" w:rsidRDefault="00FA1758" w:rsidP="00A36FDA">
      <w:pPr>
        <w:autoSpaceDE w:val="0"/>
        <w:autoSpaceDN w:val="0"/>
        <w:adjustRightInd w:val="0"/>
        <w:ind w:left="720"/>
        <w:jc w:val="both"/>
        <w:rPr>
          <w:sz w:val="22"/>
          <w:szCs w:val="22"/>
          <w:lang w:val="es-ES_tradnl"/>
        </w:rPr>
      </w:pPr>
    </w:p>
    <w:p w14:paraId="61F34F21" w14:textId="189A37EF" w:rsidR="00FA1758" w:rsidRPr="00A36FDA" w:rsidRDefault="00FA1758" w:rsidP="00B0513C">
      <w:pPr>
        <w:pStyle w:val="ListParagraph0"/>
        <w:numPr>
          <w:ilvl w:val="0"/>
          <w:numId w:val="20"/>
        </w:numPr>
        <w:autoSpaceDE w:val="0"/>
        <w:autoSpaceDN w:val="0"/>
        <w:adjustRightInd w:val="0"/>
        <w:ind w:left="1440" w:hanging="720"/>
        <w:jc w:val="both"/>
        <w:rPr>
          <w:sz w:val="22"/>
          <w:szCs w:val="22"/>
          <w:lang w:val="es-ES_tradnl"/>
        </w:rPr>
      </w:pPr>
      <w:r w:rsidRPr="00A36FDA">
        <w:rPr>
          <w:sz w:val="22"/>
          <w:szCs w:val="22"/>
          <w:lang w:val="es-ES_tradnl"/>
        </w:rPr>
        <w:t>Programa Mundial de Alimentos.</w:t>
      </w:r>
    </w:p>
    <w:p w14:paraId="4E2F9AB3" w14:textId="77777777" w:rsidR="00FA1758" w:rsidRPr="00A36FDA" w:rsidRDefault="00FA1758" w:rsidP="00B0513C">
      <w:pPr>
        <w:autoSpaceDE w:val="0"/>
        <w:autoSpaceDN w:val="0"/>
        <w:adjustRightInd w:val="0"/>
        <w:ind w:left="1440" w:hanging="720"/>
        <w:jc w:val="both"/>
        <w:rPr>
          <w:sz w:val="22"/>
          <w:szCs w:val="22"/>
          <w:lang w:val="es-ES_tradnl"/>
        </w:rPr>
      </w:pPr>
    </w:p>
    <w:p w14:paraId="134EAC95" w14:textId="0C34449E" w:rsidR="00FA1758" w:rsidRPr="00A36FDA" w:rsidRDefault="00FA1758" w:rsidP="00B0513C">
      <w:pPr>
        <w:pStyle w:val="ListParagraph0"/>
        <w:numPr>
          <w:ilvl w:val="0"/>
          <w:numId w:val="20"/>
        </w:numPr>
        <w:autoSpaceDE w:val="0"/>
        <w:autoSpaceDN w:val="0"/>
        <w:adjustRightInd w:val="0"/>
        <w:ind w:left="1440" w:hanging="720"/>
        <w:jc w:val="both"/>
        <w:rPr>
          <w:sz w:val="22"/>
          <w:szCs w:val="22"/>
          <w:lang w:val="es-ES_tradnl"/>
        </w:rPr>
      </w:pPr>
      <w:r w:rsidRPr="00A36FDA">
        <w:rPr>
          <w:sz w:val="22"/>
          <w:szCs w:val="22"/>
          <w:shd w:val="clear" w:color="auto" w:fill="FFFFFF"/>
          <w:lang w:val="es-ES_tradnl"/>
        </w:rPr>
        <w:t>Instituto Interamericano de Cooperación para la Agricultura (IICA)</w:t>
      </w:r>
      <w:r w:rsidRPr="00A36FDA">
        <w:rPr>
          <w:sz w:val="22"/>
          <w:szCs w:val="22"/>
          <w:lang w:val="es-ES_tradnl"/>
        </w:rPr>
        <w:t>.</w:t>
      </w:r>
    </w:p>
    <w:p w14:paraId="4C3F84A7" w14:textId="77777777" w:rsidR="00FA1758" w:rsidRPr="00A36FDA" w:rsidRDefault="00FA1758" w:rsidP="00B0513C">
      <w:pPr>
        <w:autoSpaceDE w:val="0"/>
        <w:autoSpaceDN w:val="0"/>
        <w:adjustRightInd w:val="0"/>
        <w:ind w:left="1440" w:hanging="720"/>
        <w:jc w:val="both"/>
        <w:rPr>
          <w:sz w:val="22"/>
          <w:szCs w:val="22"/>
          <w:lang w:val="es-ES_tradnl"/>
        </w:rPr>
      </w:pPr>
    </w:p>
    <w:p w14:paraId="3BD0E12C" w14:textId="6ED8AACF" w:rsidR="00FA1758" w:rsidRPr="00A36FDA" w:rsidRDefault="00FA1758" w:rsidP="00B0513C">
      <w:pPr>
        <w:pStyle w:val="ListParagraph0"/>
        <w:numPr>
          <w:ilvl w:val="0"/>
          <w:numId w:val="20"/>
        </w:numPr>
        <w:autoSpaceDE w:val="0"/>
        <w:autoSpaceDN w:val="0"/>
        <w:adjustRightInd w:val="0"/>
        <w:ind w:left="1440" w:hanging="720"/>
        <w:jc w:val="both"/>
        <w:rPr>
          <w:bCs/>
          <w:sz w:val="22"/>
          <w:szCs w:val="22"/>
          <w:lang w:val="es-ES_tradnl"/>
        </w:rPr>
      </w:pPr>
      <w:r w:rsidRPr="00A36FDA">
        <w:rPr>
          <w:bCs/>
          <w:sz w:val="22"/>
          <w:szCs w:val="22"/>
          <w:lang w:val="es-ES_tradnl"/>
        </w:rPr>
        <w:t>Departamento de Inclusión Social de la Secretaría de Acceso a Derechos y Equidad de la OEA.</w:t>
      </w:r>
    </w:p>
    <w:p w14:paraId="575B1B0B" w14:textId="77777777" w:rsidR="00FA1758" w:rsidRPr="00A36FDA" w:rsidRDefault="00FA1758" w:rsidP="00B0513C">
      <w:pPr>
        <w:autoSpaceDE w:val="0"/>
        <w:autoSpaceDN w:val="0"/>
        <w:adjustRightInd w:val="0"/>
        <w:ind w:left="1440" w:hanging="720"/>
        <w:jc w:val="both"/>
        <w:rPr>
          <w:bCs/>
          <w:sz w:val="22"/>
          <w:szCs w:val="22"/>
          <w:lang w:val="es-ES_tradnl"/>
        </w:rPr>
      </w:pPr>
    </w:p>
    <w:p w14:paraId="5D294877" w14:textId="60EAC5D1" w:rsidR="00FA1758" w:rsidRPr="00A36FDA" w:rsidRDefault="00FA1758" w:rsidP="00B0513C">
      <w:pPr>
        <w:pStyle w:val="ListParagraph0"/>
        <w:numPr>
          <w:ilvl w:val="0"/>
          <w:numId w:val="20"/>
        </w:numPr>
        <w:autoSpaceDE w:val="0"/>
        <w:autoSpaceDN w:val="0"/>
        <w:adjustRightInd w:val="0"/>
        <w:ind w:left="1440" w:hanging="720"/>
        <w:jc w:val="both"/>
        <w:rPr>
          <w:bCs/>
          <w:sz w:val="22"/>
          <w:szCs w:val="22"/>
          <w:lang w:val="es-ES_tradnl"/>
        </w:rPr>
      </w:pPr>
      <w:r w:rsidRPr="00A36FDA">
        <w:rPr>
          <w:bCs/>
          <w:sz w:val="22"/>
          <w:szCs w:val="22"/>
          <w:lang w:val="es-ES_tradnl"/>
        </w:rPr>
        <w:t>Representantes de Estados Miembros de la OEA para compartir experiencias nacionales.</w:t>
      </w:r>
    </w:p>
    <w:p w14:paraId="13CDE469" w14:textId="77777777" w:rsidR="00FA1758" w:rsidRPr="00A36FDA" w:rsidRDefault="00FA1758" w:rsidP="00FA1758">
      <w:pPr>
        <w:autoSpaceDE w:val="0"/>
        <w:autoSpaceDN w:val="0"/>
        <w:adjustRightInd w:val="0"/>
        <w:jc w:val="both"/>
        <w:rPr>
          <w:sz w:val="22"/>
          <w:szCs w:val="22"/>
          <w:lang w:val="es-US"/>
        </w:rPr>
      </w:pPr>
    </w:p>
    <w:p w14:paraId="579E548B" w14:textId="513A6FCE" w:rsidR="00FA1758" w:rsidRPr="00A36FDA" w:rsidRDefault="00FA1758" w:rsidP="00B0513C">
      <w:pPr>
        <w:ind w:left="720" w:hanging="720"/>
        <w:rPr>
          <w:b/>
          <w:bCs/>
          <w:noProof/>
          <w:sz w:val="22"/>
          <w:szCs w:val="22"/>
        </w:rPr>
      </w:pPr>
      <w:r w:rsidRPr="00A36FDA">
        <w:rPr>
          <w:b/>
          <w:bCs/>
          <w:noProof/>
          <w:sz w:val="22"/>
          <w:szCs w:val="22"/>
        </w:rPr>
        <w:t xml:space="preserve">5. </w:t>
      </w:r>
      <w:r w:rsidR="00B0513C">
        <w:rPr>
          <w:b/>
          <w:bCs/>
          <w:noProof/>
          <w:sz w:val="22"/>
          <w:szCs w:val="22"/>
        </w:rPr>
        <w:tab/>
      </w:r>
      <w:r w:rsidRPr="00A36FDA">
        <w:rPr>
          <w:b/>
          <w:bCs/>
          <w:noProof/>
          <w:sz w:val="22"/>
          <w:szCs w:val="22"/>
        </w:rPr>
        <w:t>Resultado de la reunión</w:t>
      </w:r>
    </w:p>
    <w:p w14:paraId="701E430B" w14:textId="77777777" w:rsidR="00FA1758" w:rsidRPr="00A36FDA" w:rsidRDefault="00FA1758" w:rsidP="00FA1758">
      <w:pPr>
        <w:rPr>
          <w:b/>
          <w:bCs/>
          <w:noProof/>
          <w:sz w:val="22"/>
          <w:szCs w:val="22"/>
        </w:rPr>
      </w:pPr>
    </w:p>
    <w:p w14:paraId="53FEE213" w14:textId="77777777" w:rsidR="00FA1758" w:rsidRPr="00A36FDA" w:rsidRDefault="00FA1758" w:rsidP="00FA1758">
      <w:pPr>
        <w:pStyle w:val="NoSpacing"/>
        <w:jc w:val="both"/>
        <w:rPr>
          <w:rFonts w:ascii="Times New Roman" w:hAnsi="Times New Roman"/>
          <w:b/>
          <w:noProof/>
        </w:rPr>
      </w:pPr>
      <w:r w:rsidRPr="00A36FDA">
        <w:rPr>
          <w:rFonts w:ascii="Times New Roman" w:hAnsi="Times New Roman"/>
        </w:rPr>
        <w:tab/>
        <w:t xml:space="preserve">Identificación de sinergias y oportunidades de colaboración con las instituciones invitadas para la puesta en marcha de las iniciativas en cumplimiento de la Resolución de la AG/OEA: </w:t>
      </w:r>
      <w:r w:rsidRPr="00A36FDA">
        <w:rPr>
          <w:rFonts w:ascii="Times New Roman" w:eastAsiaTheme="minorHAnsi" w:hAnsi="Times New Roman"/>
          <w:lang w:val="es-ES_tradnl"/>
        </w:rPr>
        <w:t>“Los Desafíos para la Seguridad Alimentaria y Nutricional en las Américas frente a la pandemia del COVID-19 en el marco del Plan de Acción de Guatemala</w:t>
      </w:r>
      <w:r w:rsidRPr="00A36FDA">
        <w:rPr>
          <w:rFonts w:ascii="Times New Roman" w:hAnsi="Times New Roman"/>
          <w:lang w:val="es-ES_tradnl"/>
        </w:rPr>
        <w:t xml:space="preserve">” y las actividades delineadas en el Plan de Acción de Guatemala y su Plan de Trabajo. </w:t>
      </w:r>
    </w:p>
    <w:p w14:paraId="7433CE16" w14:textId="77777777" w:rsidR="00FA1758" w:rsidRPr="00A36FDA" w:rsidRDefault="00FA1758" w:rsidP="00FA1758">
      <w:pPr>
        <w:autoSpaceDE w:val="0"/>
        <w:autoSpaceDN w:val="0"/>
        <w:adjustRightInd w:val="0"/>
        <w:jc w:val="both"/>
        <w:rPr>
          <w:rFonts w:eastAsiaTheme="minorHAnsi"/>
          <w:sz w:val="22"/>
          <w:szCs w:val="22"/>
        </w:rPr>
      </w:pPr>
    </w:p>
    <w:p w14:paraId="6C208965" w14:textId="3BE813ED" w:rsidR="0040128C" w:rsidRPr="00A36FDA" w:rsidRDefault="00362936" w:rsidP="00FA1758">
      <w:pPr>
        <w:jc w:val="both"/>
        <w:rPr>
          <w:iCs/>
          <w:noProof/>
          <w:sz w:val="22"/>
          <w:szCs w:val="22"/>
        </w:rPr>
      </w:pPr>
      <w:bookmarkStart w:id="0" w:name="_GoBack"/>
      <w:bookmarkEnd w:id="0"/>
      <w:r>
        <w:rPr>
          <w:iCs/>
          <w:noProof/>
          <w:sz w:val="22"/>
          <w:szCs w:val="22"/>
          <w:lang w:val="en-US"/>
        </w:rPr>
        <mc:AlternateContent>
          <mc:Choice Requires="wps">
            <w:drawing>
              <wp:anchor distT="0" distB="0" distL="114300" distR="114300" simplePos="0" relativeHeight="251659264" behindDoc="0" locked="1" layoutInCell="1" allowOverlap="1" wp14:anchorId="51512CCF" wp14:editId="0DB6703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1B41D1" w14:textId="481AEE07" w:rsidR="00362936" w:rsidRPr="00362936" w:rsidRDefault="00362936">
                            <w:pPr>
                              <w:rPr>
                                <w:sz w:val="18"/>
                              </w:rPr>
                            </w:pPr>
                            <w:r>
                              <w:rPr>
                                <w:sz w:val="18"/>
                              </w:rPr>
                              <w:fldChar w:fldCharType="begin"/>
                            </w:r>
                            <w:r>
                              <w:rPr>
                                <w:sz w:val="18"/>
                              </w:rPr>
                              <w:instrText xml:space="preserve"> FILENAME  \* MERGEFORMAT </w:instrText>
                            </w:r>
                            <w:r>
                              <w:rPr>
                                <w:sz w:val="18"/>
                              </w:rPr>
                              <w:fldChar w:fldCharType="separate"/>
                            </w:r>
                            <w:r>
                              <w:rPr>
                                <w:noProof/>
                                <w:sz w:val="18"/>
                              </w:rPr>
                              <w:t>CIDRP03115S01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2CC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761B41D1" w14:textId="481AEE07" w:rsidR="00362936" w:rsidRPr="00362936" w:rsidRDefault="00362936">
                      <w:pPr>
                        <w:rPr>
                          <w:sz w:val="18"/>
                        </w:rPr>
                      </w:pPr>
                      <w:r>
                        <w:rPr>
                          <w:sz w:val="18"/>
                        </w:rPr>
                        <w:fldChar w:fldCharType="begin"/>
                      </w:r>
                      <w:r>
                        <w:rPr>
                          <w:sz w:val="18"/>
                        </w:rPr>
                        <w:instrText xml:space="preserve"> FILENAME  \* MERGEFORMAT </w:instrText>
                      </w:r>
                      <w:r>
                        <w:rPr>
                          <w:sz w:val="18"/>
                        </w:rPr>
                        <w:fldChar w:fldCharType="separate"/>
                      </w:r>
                      <w:r>
                        <w:rPr>
                          <w:noProof/>
                          <w:sz w:val="18"/>
                        </w:rPr>
                        <w:t>CIDRP03115S01</w:t>
                      </w:r>
                      <w:r>
                        <w:rPr>
                          <w:sz w:val="18"/>
                        </w:rPr>
                        <w:fldChar w:fldCharType="end"/>
                      </w:r>
                    </w:p>
                  </w:txbxContent>
                </v:textbox>
                <w10:wrap anchory="page"/>
                <w10:anchorlock/>
              </v:shape>
            </w:pict>
          </mc:Fallback>
        </mc:AlternateContent>
      </w:r>
    </w:p>
    <w:sectPr w:rsidR="0040128C" w:rsidRPr="00A36FDA"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90CB" w14:textId="77777777" w:rsidR="00316A3D" w:rsidRPr="0040128C" w:rsidRDefault="00316A3D">
      <w:pPr>
        <w:rPr>
          <w:noProof/>
        </w:rPr>
      </w:pPr>
      <w:r w:rsidRPr="0040128C">
        <w:rPr>
          <w:noProof/>
        </w:rPr>
        <w:separator/>
      </w:r>
    </w:p>
  </w:endnote>
  <w:endnote w:type="continuationSeparator" w:id="0">
    <w:p w14:paraId="7C7A6E24" w14:textId="77777777" w:rsidR="00316A3D" w:rsidRPr="0040128C" w:rsidRDefault="00316A3D">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A99B" w14:textId="77777777" w:rsidR="00316A3D" w:rsidRPr="0040128C" w:rsidRDefault="00316A3D">
      <w:pPr>
        <w:rPr>
          <w:noProof/>
        </w:rPr>
      </w:pPr>
      <w:r w:rsidRPr="0040128C">
        <w:rPr>
          <w:noProof/>
        </w:rPr>
        <w:separator/>
      </w:r>
    </w:p>
  </w:footnote>
  <w:footnote w:type="continuationSeparator" w:id="0">
    <w:p w14:paraId="6E284AF4" w14:textId="77777777" w:rsidR="00316A3D" w:rsidRPr="0040128C" w:rsidRDefault="00316A3D">
      <w:pPr>
        <w:rPr>
          <w:noProof/>
        </w:rPr>
      </w:pPr>
      <w:r w:rsidRPr="0040128C">
        <w:rPr>
          <w:noProof/>
        </w:rPr>
        <w:continuationSeparator/>
      </w:r>
    </w:p>
  </w:footnote>
  <w:footnote w:id="1">
    <w:p w14:paraId="0276245F" w14:textId="1FC04D8C" w:rsidR="00FA1758" w:rsidRPr="00FA1758" w:rsidRDefault="00FA1758" w:rsidP="00FA1758">
      <w:pPr>
        <w:pStyle w:val="FootnoteText"/>
        <w:ind w:left="720" w:hanging="360"/>
        <w:jc w:val="both"/>
        <w:rPr>
          <w:color w:val="000000" w:themeColor="text1"/>
        </w:rPr>
      </w:pPr>
      <w:r w:rsidRPr="00FA1758">
        <w:rPr>
          <w:rStyle w:val="FootnoteReference"/>
          <w:color w:val="000000" w:themeColor="text1"/>
          <w:vertAlign w:val="baseline"/>
        </w:rPr>
        <w:footnoteRef/>
      </w:r>
      <w:r w:rsidRPr="00FA1758">
        <w:rPr>
          <w:color w:val="000000" w:themeColor="text1"/>
        </w:rPr>
        <w:t>.</w:t>
      </w:r>
      <w:r w:rsidRPr="00FA1758">
        <w:rPr>
          <w:color w:val="000000" w:themeColor="text1"/>
        </w:rPr>
        <w:tab/>
        <w:t>Comisión Económica para América Latina y el Caribe. 2020. Balance Preliminar de las Economías de América Latina y el Caribe 2020. Disponible en: https://www.cepal.org/es/publicaciones/46501-balance-preliminar-economias-america-latina-caribe-2020</w:t>
      </w:r>
    </w:p>
  </w:footnote>
  <w:footnote w:id="2">
    <w:p w14:paraId="095E0617" w14:textId="3B27AB20" w:rsidR="00FA1758" w:rsidRPr="00FA1758" w:rsidRDefault="00FA1758" w:rsidP="00FA1758">
      <w:pPr>
        <w:pStyle w:val="FootnoteText"/>
        <w:ind w:left="720" w:hanging="360"/>
        <w:jc w:val="both"/>
        <w:rPr>
          <w:color w:val="000000" w:themeColor="text1"/>
          <w:lang w:val="es-MX"/>
        </w:rPr>
      </w:pPr>
      <w:r w:rsidRPr="00FA1758">
        <w:rPr>
          <w:rStyle w:val="FootnoteReference"/>
          <w:color w:val="000000" w:themeColor="text1"/>
          <w:vertAlign w:val="baseline"/>
        </w:rPr>
        <w:footnoteRef/>
      </w:r>
      <w:r w:rsidRPr="00FA1758">
        <w:rPr>
          <w:color w:val="000000" w:themeColor="text1"/>
        </w:rPr>
        <w:t>.</w:t>
      </w:r>
      <w:r w:rsidRPr="00FA1758">
        <w:rPr>
          <w:color w:val="000000" w:themeColor="text1"/>
        </w:rPr>
        <w:tab/>
        <w:t xml:space="preserve">Blake, Wadhwa. 2020. Resumen anual 2020: El impacto de la COVID-19 (coronavirus) en 12 gráficos. Banco Mundial Blogs. Disponible en: https://blogs.worldbank.org/es/voices/resumen-anual-2020-el-impacto-de-la-covid-19-coronavirus-en-12-graficos. </w:t>
      </w:r>
    </w:p>
  </w:footnote>
  <w:footnote w:id="3">
    <w:p w14:paraId="771C4EF6" w14:textId="459AD965" w:rsidR="00FA1758" w:rsidRDefault="00FA1758" w:rsidP="00FA1758">
      <w:pPr>
        <w:pStyle w:val="FootnoteText"/>
        <w:ind w:left="720" w:hanging="360"/>
        <w:jc w:val="both"/>
        <w:rPr>
          <w:color w:val="000000" w:themeColor="text1"/>
          <w:lang w:val="es-MX"/>
        </w:rPr>
      </w:pPr>
      <w:r w:rsidRPr="00FA1758">
        <w:rPr>
          <w:rStyle w:val="FootnoteReference"/>
          <w:color w:val="000000" w:themeColor="text1"/>
          <w:vertAlign w:val="baseline"/>
        </w:rPr>
        <w:footnoteRef/>
      </w:r>
      <w:r w:rsidRPr="00FA1758">
        <w:rPr>
          <w:color w:val="000000" w:themeColor="text1"/>
        </w:rPr>
        <w:t>.</w:t>
      </w:r>
      <w:r>
        <w:rPr>
          <w:color w:val="000000" w:themeColor="text1"/>
        </w:rPr>
        <w:tab/>
      </w:r>
      <w:r>
        <w:rPr>
          <w:color w:val="000000" w:themeColor="text1"/>
          <w:lang w:val="es-US"/>
        </w:rPr>
        <w:t>La medida para estimar la desigualdad de ingresos entre las personas.</w:t>
      </w:r>
    </w:p>
  </w:footnote>
  <w:footnote w:id="4">
    <w:p w14:paraId="140E2374" w14:textId="3B75A3F9" w:rsidR="00FA1758" w:rsidRPr="00A36FDA" w:rsidRDefault="00FA1758" w:rsidP="00A36FDA">
      <w:pPr>
        <w:pStyle w:val="FootnoteText"/>
        <w:ind w:left="720" w:hanging="360"/>
        <w:jc w:val="both"/>
        <w:rPr>
          <w:color w:val="000000" w:themeColor="text1"/>
          <w:lang w:val="es-MX"/>
        </w:rPr>
      </w:pPr>
      <w:r w:rsidRPr="00A36FDA">
        <w:rPr>
          <w:rStyle w:val="FootnoteReference"/>
          <w:color w:val="000000" w:themeColor="text1"/>
          <w:vertAlign w:val="baseline"/>
        </w:rPr>
        <w:footnoteRef/>
      </w:r>
      <w:r w:rsidR="00A36FDA">
        <w:rPr>
          <w:color w:val="000000" w:themeColor="text1"/>
        </w:rPr>
        <w:t>.</w:t>
      </w:r>
      <w:r w:rsidR="00A36FDA">
        <w:rPr>
          <w:color w:val="000000" w:themeColor="text1"/>
        </w:rPr>
        <w:tab/>
      </w:r>
      <w:r w:rsidRPr="00A36FDA">
        <w:rPr>
          <w:rFonts w:eastAsiaTheme="minorHAnsi"/>
          <w:color w:val="000000" w:themeColor="text1"/>
        </w:rPr>
        <w:t>Es decir que no tienen acceso a alimentos nutritivos y suficientes por falta de recursos económicos o de otro tipo.</w:t>
      </w:r>
    </w:p>
  </w:footnote>
  <w:footnote w:id="5">
    <w:p w14:paraId="7D72D9A7" w14:textId="7A2AB5C2" w:rsidR="00FA1758" w:rsidRPr="00A36FDA" w:rsidRDefault="00FA1758" w:rsidP="00A36FDA">
      <w:pPr>
        <w:pStyle w:val="FootnoteText"/>
        <w:ind w:left="720" w:hanging="360"/>
        <w:jc w:val="both"/>
        <w:rPr>
          <w:lang w:val="es-MX"/>
        </w:rPr>
      </w:pPr>
      <w:r w:rsidRPr="00A36FDA">
        <w:rPr>
          <w:rStyle w:val="FootnoteReference"/>
          <w:vertAlign w:val="baseline"/>
        </w:rPr>
        <w:footnoteRef/>
      </w:r>
      <w:r w:rsidR="00A36FDA">
        <w:t>.</w:t>
      </w:r>
      <w:r w:rsidR="00A36FDA">
        <w:tab/>
      </w:r>
      <w:r w:rsidRPr="00A36FDA">
        <w:t xml:space="preserve">Programa Mundial de Alimentos. 2020. </w:t>
      </w:r>
      <w:r w:rsidRPr="00A36FDA">
        <w:rPr>
          <w:lang w:val="es-MX"/>
        </w:rPr>
        <w:t>Millones en riesgo de inseguridad alimentaria en América Latina y el Caribe. Disponible en: https://es.wfp.org/noticias/millones-en-riesgo-de-inseguridad-alimentaria-en-america-latina-y-el-caribe</w:t>
      </w:r>
    </w:p>
  </w:footnote>
  <w:footnote w:id="6">
    <w:p w14:paraId="3A14C491" w14:textId="228200D4" w:rsidR="00FA1758" w:rsidRPr="00A36FDA" w:rsidRDefault="00FA1758" w:rsidP="00A36FDA">
      <w:pPr>
        <w:autoSpaceDE w:val="0"/>
        <w:autoSpaceDN w:val="0"/>
        <w:adjustRightInd w:val="0"/>
        <w:ind w:left="720" w:hanging="360"/>
        <w:jc w:val="both"/>
        <w:rPr>
          <w:lang w:val="es-MX"/>
        </w:rPr>
      </w:pPr>
      <w:r w:rsidRPr="00A36FDA">
        <w:rPr>
          <w:rStyle w:val="FootnoteReference"/>
          <w:color w:val="000000" w:themeColor="text1"/>
          <w:vertAlign w:val="baseline"/>
        </w:rPr>
        <w:footnoteRef/>
      </w:r>
      <w:r w:rsidR="00A36FDA">
        <w:rPr>
          <w:color w:val="000000" w:themeColor="text1"/>
        </w:rPr>
        <w:t>.</w:t>
      </w:r>
      <w:r w:rsidR="00A36FDA">
        <w:rPr>
          <w:color w:val="000000" w:themeColor="text1"/>
        </w:rPr>
        <w:tab/>
      </w:r>
      <w:r w:rsidRPr="00A36FDA">
        <w:rPr>
          <w:rFonts w:eastAsiaTheme="minorHAnsi"/>
          <w:color w:val="000000" w:themeColor="text1"/>
          <w:lang w:val="es-MX"/>
        </w:rPr>
        <w:t xml:space="preserve">FAO, FIDA, OPS, WFP y UNICEF. 2020. Panorama de la seguridad alimentaria y nutrición en América Latina y el Caribe </w:t>
      </w:r>
      <w:r w:rsidRPr="00A36FDA">
        <w:rPr>
          <w:rFonts w:eastAsiaTheme="minorHAnsi"/>
          <w:lang w:val="es-MX"/>
        </w:rPr>
        <w:t xml:space="preserve">2020. Santiago de Chile. Disponible en: https://doi.org/10.4060/cb2242es. </w:t>
      </w:r>
    </w:p>
  </w:footnote>
  <w:footnote w:id="7">
    <w:p w14:paraId="49C5D3E7" w14:textId="241D3903" w:rsidR="00FA1758" w:rsidRDefault="00FA1758" w:rsidP="00A36FDA">
      <w:pPr>
        <w:pStyle w:val="FootnoteText"/>
        <w:ind w:left="720" w:hanging="360"/>
        <w:jc w:val="both"/>
        <w:rPr>
          <w:color w:val="000000" w:themeColor="text1"/>
          <w:lang w:val="es-MX"/>
        </w:rPr>
      </w:pPr>
      <w:r w:rsidRPr="00A36FDA">
        <w:rPr>
          <w:rStyle w:val="FootnoteReference"/>
          <w:color w:val="000000" w:themeColor="text1"/>
          <w:vertAlign w:val="baseline"/>
        </w:rPr>
        <w:footnoteRef/>
      </w:r>
      <w:r w:rsidR="00A36FDA">
        <w:rPr>
          <w:color w:val="000000" w:themeColor="text1"/>
        </w:rPr>
        <w:t>.</w:t>
      </w:r>
      <w:r w:rsidR="00A36FDA">
        <w:rPr>
          <w:color w:val="000000" w:themeColor="text1"/>
        </w:rPr>
        <w:tab/>
      </w:r>
      <w:r>
        <w:rPr>
          <w:color w:val="000000" w:themeColor="text1"/>
        </w:rPr>
        <w:t>UNICEF. 2020. Panorama de la seguridad alimentaria y nutrición en América Latina y el Caribe 2020. Disponible en: https://www.unicef.org/lac/informes/panorama-de-la-seguridad-alimentaria-y-nutricion-en-alc.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B96" w14:textId="158513D3"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362936">
      <w:rPr>
        <w:noProof/>
        <w:sz w:val="22"/>
      </w:rPr>
      <w:t>- 3 -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3FC53B80">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6"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" stroked="f">
              <v:textbo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5"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3" w15:restartNumberingAfterBreak="0">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9"/>
  </w:num>
  <w:num w:numId="11">
    <w:abstractNumId w:val="10"/>
  </w:num>
  <w:num w:numId="12">
    <w:abstractNumId w:val="15"/>
  </w:num>
  <w:num w:numId="13">
    <w:abstractNumId w:val="8"/>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C66C7B-D19B-4968-9C96-237E7201A00D}"/>
    <w:docVar w:name="dgnword-eventsink" w:val="2482307158944"/>
  </w:docVars>
  <w:rsids>
    <w:rsidRoot w:val="007F2774"/>
    <w:rsid w:val="00011272"/>
    <w:rsid w:val="000129E8"/>
    <w:rsid w:val="000205EC"/>
    <w:rsid w:val="00023A84"/>
    <w:rsid w:val="000427B5"/>
    <w:rsid w:val="00042B84"/>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3CB5"/>
    <w:rsid w:val="002A63EC"/>
    <w:rsid w:val="002B0598"/>
    <w:rsid w:val="002B2DE0"/>
    <w:rsid w:val="002C6B0D"/>
    <w:rsid w:val="002D412D"/>
    <w:rsid w:val="002E2CC7"/>
    <w:rsid w:val="002E609F"/>
    <w:rsid w:val="002F0A27"/>
    <w:rsid w:val="002F0AF9"/>
    <w:rsid w:val="002F25F2"/>
    <w:rsid w:val="002F5352"/>
    <w:rsid w:val="00305E93"/>
    <w:rsid w:val="0031130C"/>
    <w:rsid w:val="003116AC"/>
    <w:rsid w:val="00316A3D"/>
    <w:rsid w:val="0032713A"/>
    <w:rsid w:val="003302CF"/>
    <w:rsid w:val="00335ABE"/>
    <w:rsid w:val="003366D5"/>
    <w:rsid w:val="00345C27"/>
    <w:rsid w:val="00345DCF"/>
    <w:rsid w:val="00350910"/>
    <w:rsid w:val="003529F3"/>
    <w:rsid w:val="00352BB7"/>
    <w:rsid w:val="00353D7A"/>
    <w:rsid w:val="00357684"/>
    <w:rsid w:val="00362936"/>
    <w:rsid w:val="00362D68"/>
    <w:rsid w:val="003667FD"/>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128C"/>
    <w:rsid w:val="00413FE5"/>
    <w:rsid w:val="004147A7"/>
    <w:rsid w:val="00414A9D"/>
    <w:rsid w:val="00421AA1"/>
    <w:rsid w:val="004279F5"/>
    <w:rsid w:val="00457B19"/>
    <w:rsid w:val="00461F49"/>
    <w:rsid w:val="0046301C"/>
    <w:rsid w:val="00463A6B"/>
    <w:rsid w:val="0046512F"/>
    <w:rsid w:val="00467A8F"/>
    <w:rsid w:val="00476255"/>
    <w:rsid w:val="00490731"/>
    <w:rsid w:val="00493B12"/>
    <w:rsid w:val="00496018"/>
    <w:rsid w:val="00496643"/>
    <w:rsid w:val="00496BBC"/>
    <w:rsid w:val="004A1D26"/>
    <w:rsid w:val="004A437D"/>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778C8"/>
    <w:rsid w:val="00582AAE"/>
    <w:rsid w:val="0058420A"/>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51F"/>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45BB7"/>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36FDA"/>
    <w:rsid w:val="00A5263A"/>
    <w:rsid w:val="00A52CAE"/>
    <w:rsid w:val="00A61635"/>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5066"/>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2C07"/>
    <w:rsid w:val="00C6456D"/>
    <w:rsid w:val="00C81A83"/>
    <w:rsid w:val="00C82FD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DF2476"/>
    <w:rsid w:val="00DF3C6E"/>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83BE7"/>
    <w:rsid w:val="00E905BB"/>
    <w:rsid w:val="00E90F30"/>
    <w:rsid w:val="00E946CB"/>
    <w:rsid w:val="00EA6051"/>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1758"/>
    <w:rsid w:val="00FA607C"/>
    <w:rsid w:val="00FA61C9"/>
    <w:rsid w:val="00FA6A04"/>
    <w:rsid w:val="00FB0853"/>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61E4-EA20-4C6F-B38F-F321FE62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8331</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2018-08-24T16:52:00Z</cp:lastPrinted>
  <dcterms:created xsi:type="dcterms:W3CDTF">2021-03-05T18:54:00Z</dcterms:created>
  <dcterms:modified xsi:type="dcterms:W3CDTF">2021-03-05T18:55:00Z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