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A5D3" w14:textId="77777777" w:rsidR="004043A2" w:rsidRPr="00AC3B5D" w:rsidRDefault="004043A2" w:rsidP="00B450B7">
      <w:pPr>
        <w:tabs>
          <w:tab w:val="left" w:pos="7200"/>
        </w:tabs>
        <w:ind w:right="-1080"/>
        <w:rPr>
          <w:sz w:val="22"/>
          <w:szCs w:val="22"/>
          <w:lang w:val="pt-BR"/>
        </w:rPr>
      </w:pPr>
      <w:r>
        <w:rPr>
          <w:sz w:val="22"/>
        </w:rPr>
        <w:tab/>
      </w:r>
      <w:r w:rsidRPr="00AC3B5D">
        <w:rPr>
          <w:sz w:val="22"/>
          <w:lang w:val="pt-BR"/>
        </w:rPr>
        <w:t>OEA/Ser.W</w:t>
      </w:r>
    </w:p>
    <w:p w14:paraId="08456320" w14:textId="3EA20CB1" w:rsidR="004043A2" w:rsidRPr="00AC3B5D" w:rsidRDefault="004043A2" w:rsidP="00B450B7">
      <w:pPr>
        <w:tabs>
          <w:tab w:val="left" w:pos="7200"/>
        </w:tabs>
        <w:ind w:right="-1080"/>
        <w:rPr>
          <w:sz w:val="22"/>
          <w:szCs w:val="22"/>
          <w:lang w:val="pt-BR"/>
        </w:rPr>
      </w:pPr>
      <w:r w:rsidRPr="00AC3B5D">
        <w:rPr>
          <w:sz w:val="22"/>
          <w:lang w:val="pt-BR"/>
        </w:rPr>
        <w:tab/>
        <w:t>CIDI/INF.</w:t>
      </w:r>
      <w:r w:rsidR="00AC3B5D" w:rsidRPr="00AC3B5D">
        <w:rPr>
          <w:sz w:val="22"/>
          <w:lang w:val="pt-BR"/>
        </w:rPr>
        <w:t>426</w:t>
      </w:r>
      <w:r w:rsidRPr="00AC3B5D">
        <w:rPr>
          <w:sz w:val="22"/>
          <w:lang w:val="pt-BR"/>
        </w:rPr>
        <w:t>/21</w:t>
      </w:r>
    </w:p>
    <w:p w14:paraId="68F88370" w14:textId="1375913D" w:rsidR="004043A2" w:rsidRPr="00250507" w:rsidRDefault="004043A2" w:rsidP="00B450B7">
      <w:pPr>
        <w:tabs>
          <w:tab w:val="left" w:pos="7200"/>
        </w:tabs>
        <w:ind w:right="-1080"/>
        <w:rPr>
          <w:sz w:val="22"/>
          <w:szCs w:val="22"/>
        </w:rPr>
      </w:pPr>
      <w:r w:rsidRPr="00AC3B5D">
        <w:rPr>
          <w:sz w:val="22"/>
          <w:lang w:val="pt-BR"/>
        </w:rPr>
        <w:tab/>
      </w:r>
      <w:r>
        <w:rPr>
          <w:sz w:val="22"/>
        </w:rPr>
        <w:t>1</w:t>
      </w:r>
      <w:r w:rsidR="00AC3B5D">
        <w:rPr>
          <w:sz w:val="22"/>
        </w:rPr>
        <w:t>4</w:t>
      </w:r>
      <w:r>
        <w:rPr>
          <w:sz w:val="22"/>
        </w:rPr>
        <w:t xml:space="preserve"> mai 2021</w:t>
      </w:r>
    </w:p>
    <w:p w14:paraId="20D73E19" w14:textId="70036C0B" w:rsidR="004043A2" w:rsidRPr="00250507" w:rsidRDefault="004043A2" w:rsidP="00B450B7">
      <w:pPr>
        <w:pBdr>
          <w:bottom w:val="single" w:sz="12" w:space="1" w:color="auto"/>
        </w:pBdr>
        <w:tabs>
          <w:tab w:val="left" w:pos="7200"/>
        </w:tabs>
        <w:ind w:right="-389"/>
        <w:rPr>
          <w:sz w:val="22"/>
          <w:szCs w:val="22"/>
        </w:rPr>
      </w:pPr>
      <w:r>
        <w:rPr>
          <w:sz w:val="22"/>
        </w:rPr>
        <w:tab/>
        <w:t>Original: anglais</w:t>
      </w:r>
    </w:p>
    <w:p w14:paraId="7C7619D3" w14:textId="77777777" w:rsidR="004043A2" w:rsidRPr="00AC3B5D" w:rsidRDefault="004043A2" w:rsidP="00B450B7">
      <w:pPr>
        <w:pBdr>
          <w:bottom w:val="single" w:sz="12" w:space="1" w:color="auto"/>
        </w:pBdr>
        <w:tabs>
          <w:tab w:val="left" w:pos="7200"/>
        </w:tabs>
        <w:ind w:right="-389"/>
        <w:rPr>
          <w:sz w:val="22"/>
          <w:szCs w:val="22"/>
        </w:rPr>
      </w:pPr>
    </w:p>
    <w:p w14:paraId="59C99E33" w14:textId="77777777" w:rsidR="004043A2" w:rsidRPr="00AC3B5D" w:rsidRDefault="004043A2" w:rsidP="00B450B7">
      <w:pPr>
        <w:tabs>
          <w:tab w:val="left" w:pos="7200"/>
        </w:tabs>
        <w:ind w:right="-1080"/>
        <w:rPr>
          <w:sz w:val="22"/>
          <w:szCs w:val="22"/>
        </w:rPr>
      </w:pPr>
    </w:p>
    <w:p w14:paraId="26C6EFC2" w14:textId="77777777" w:rsidR="004043A2" w:rsidRPr="00AC3B5D" w:rsidRDefault="004043A2" w:rsidP="00B450B7">
      <w:pPr>
        <w:jc w:val="both"/>
        <w:outlineLvl w:val="0"/>
        <w:rPr>
          <w:sz w:val="22"/>
          <w:szCs w:val="22"/>
        </w:rPr>
      </w:pPr>
    </w:p>
    <w:p w14:paraId="38E8A82A" w14:textId="3C6FBE9F" w:rsidR="004043A2" w:rsidRPr="00250507" w:rsidRDefault="004043A2" w:rsidP="00B450B7">
      <w:pPr>
        <w:jc w:val="center"/>
        <w:rPr>
          <w:rFonts w:eastAsia="Calibri"/>
          <w:sz w:val="22"/>
          <w:szCs w:val="22"/>
        </w:rPr>
      </w:pPr>
      <w:r>
        <w:rPr>
          <w:sz w:val="22"/>
        </w:rPr>
        <w:t>DOCUMENT DE RÉFLEXION</w:t>
      </w:r>
    </w:p>
    <w:p w14:paraId="5088200F" w14:textId="77777777" w:rsidR="004043A2" w:rsidRPr="00AC3B5D" w:rsidRDefault="004043A2" w:rsidP="00B450B7">
      <w:pPr>
        <w:rPr>
          <w:rFonts w:eastAsia="Calibri"/>
          <w:sz w:val="22"/>
          <w:szCs w:val="22"/>
        </w:rPr>
      </w:pPr>
    </w:p>
    <w:p w14:paraId="48D67187" w14:textId="59D3B6F6" w:rsidR="004043A2" w:rsidRPr="00250507" w:rsidRDefault="004043A2" w:rsidP="00B450B7">
      <w:pPr>
        <w:jc w:val="center"/>
        <w:rPr>
          <w:rFonts w:eastAsia="Calibri"/>
          <w:caps/>
          <w:sz w:val="22"/>
          <w:szCs w:val="22"/>
        </w:rPr>
      </w:pPr>
      <w:r>
        <w:rPr>
          <w:caps/>
          <w:sz w:val="22"/>
        </w:rPr>
        <w:t xml:space="preserve">RÉUNION ORDINAIRE DU CONSEIL INTERAMÉRICAIN POUR LE DÉVELOPPEMENT INTÉGRÉ (CIDI) </w:t>
      </w:r>
    </w:p>
    <w:p w14:paraId="65CE21CE" w14:textId="04CC3F01" w:rsidR="004043A2" w:rsidRPr="00250507" w:rsidRDefault="004043A2" w:rsidP="00B450B7">
      <w:pPr>
        <w:jc w:val="center"/>
        <w:rPr>
          <w:rFonts w:eastAsia="Calibri"/>
          <w:caps/>
          <w:sz w:val="22"/>
          <w:szCs w:val="22"/>
        </w:rPr>
      </w:pPr>
      <w:r>
        <w:rPr>
          <w:caps/>
          <w:sz w:val="22"/>
        </w:rPr>
        <w:t>25 MAI 2021</w:t>
      </w:r>
    </w:p>
    <w:p w14:paraId="2FF3CCE7" w14:textId="77777777" w:rsidR="004043A2" w:rsidRPr="00AC3B5D" w:rsidRDefault="004043A2" w:rsidP="00B450B7">
      <w:pPr>
        <w:rPr>
          <w:rFonts w:eastAsia="Calibri"/>
          <w:caps/>
          <w:sz w:val="22"/>
          <w:szCs w:val="22"/>
        </w:rPr>
      </w:pPr>
    </w:p>
    <w:p w14:paraId="3708976E" w14:textId="77777777" w:rsidR="004043A2" w:rsidRPr="00AC3B5D" w:rsidRDefault="004043A2" w:rsidP="00B450B7">
      <w:pPr>
        <w:rPr>
          <w:rFonts w:eastAsia="Calibri"/>
          <w:sz w:val="22"/>
          <w:szCs w:val="22"/>
        </w:rPr>
      </w:pPr>
    </w:p>
    <w:p w14:paraId="3CD51A0C" w14:textId="4DB96D35" w:rsidR="008B42C1" w:rsidRPr="00B450B7" w:rsidRDefault="008B42C1" w:rsidP="00B450B7">
      <w:pPr>
        <w:suppressAutoHyphens/>
        <w:ind w:left="1080" w:hanging="1080"/>
        <w:jc w:val="both"/>
        <w:rPr>
          <w:caps/>
          <w:sz w:val="22"/>
          <w:szCs w:val="22"/>
        </w:rPr>
      </w:pPr>
      <w:r>
        <w:rPr>
          <w:b/>
          <w:caps/>
          <w:color w:val="000000"/>
          <w:sz w:val="22"/>
        </w:rPr>
        <w:t>Thème :</w:t>
      </w:r>
      <w:r>
        <w:rPr>
          <w:b/>
          <w:caps/>
          <w:color w:val="000000"/>
          <w:sz w:val="22"/>
        </w:rPr>
        <w:tab/>
        <w:t>Développement des synergies entre les initiatives mondiales, continentales et sous-régionales en matière d'éducation</w:t>
      </w:r>
    </w:p>
    <w:p w14:paraId="56550AB6" w14:textId="77777777" w:rsidR="008B42C1" w:rsidRPr="00AC3B5D" w:rsidRDefault="008B42C1" w:rsidP="00B450B7">
      <w:pPr>
        <w:ind w:left="71"/>
        <w:rPr>
          <w:sz w:val="22"/>
          <w:szCs w:val="22"/>
        </w:rPr>
      </w:pPr>
    </w:p>
    <w:p w14:paraId="1788C57B" w14:textId="1491DEF9" w:rsidR="008B42C1" w:rsidRPr="00B450B7" w:rsidRDefault="008B42C1" w:rsidP="00B450B7">
      <w:pPr>
        <w:pStyle w:val="ListParagraph"/>
        <w:numPr>
          <w:ilvl w:val="0"/>
          <w:numId w:val="11"/>
        </w:numPr>
        <w:tabs>
          <w:tab w:val="left" w:pos="1440"/>
        </w:tabs>
        <w:suppressAutoHyphens/>
        <w:ind w:left="1440"/>
        <w:jc w:val="both"/>
        <w:rPr>
          <w:sz w:val="22"/>
          <w:szCs w:val="22"/>
        </w:rPr>
      </w:pPr>
      <w:r>
        <w:rPr>
          <w:color w:val="000000"/>
          <w:sz w:val="22"/>
        </w:rPr>
        <w:t xml:space="preserve">Promouvoir le Plan d'action continental pour la continuité de l'éducation (PHACE) en </w:t>
      </w:r>
      <w:proofErr w:type="gramStart"/>
      <w:r>
        <w:rPr>
          <w:color w:val="000000"/>
          <w:sz w:val="22"/>
        </w:rPr>
        <w:t>tenant</w:t>
      </w:r>
      <w:proofErr w:type="gramEnd"/>
      <w:r>
        <w:rPr>
          <w:color w:val="000000"/>
          <w:sz w:val="22"/>
        </w:rPr>
        <w:t xml:space="preserve"> compte des effets de la pandémie de coronavirus </w:t>
      </w:r>
    </w:p>
    <w:p w14:paraId="1F490854" w14:textId="77777777" w:rsidR="004043A2" w:rsidRPr="00AC3B5D" w:rsidRDefault="004043A2" w:rsidP="00B450B7">
      <w:pPr>
        <w:jc w:val="center"/>
        <w:rPr>
          <w:caps/>
          <w:sz w:val="22"/>
          <w:szCs w:val="22"/>
          <w:highlight w:val="yellow"/>
        </w:rPr>
      </w:pPr>
    </w:p>
    <w:p w14:paraId="4FD13729" w14:textId="73D15D3E" w:rsidR="004043A2" w:rsidRPr="00250507" w:rsidRDefault="004043A2" w:rsidP="00B450B7">
      <w:pPr>
        <w:numPr>
          <w:ilvl w:val="0"/>
          <w:numId w:val="1"/>
        </w:numPr>
        <w:tabs>
          <w:tab w:val="left" w:pos="720"/>
          <w:tab w:val="left" w:pos="1440"/>
          <w:tab w:val="left" w:pos="2160"/>
        </w:tabs>
        <w:ind w:left="0" w:firstLine="0"/>
        <w:rPr>
          <w:b/>
          <w:sz w:val="22"/>
          <w:szCs w:val="22"/>
        </w:rPr>
      </w:pPr>
      <w:r>
        <w:rPr>
          <w:b/>
          <w:sz w:val="22"/>
        </w:rPr>
        <w:t xml:space="preserve">Contexte et justification </w:t>
      </w:r>
    </w:p>
    <w:p w14:paraId="283E0606" w14:textId="2544462B" w:rsidR="004043A2" w:rsidRPr="00250507" w:rsidRDefault="004043A2" w:rsidP="00B450B7">
      <w:pPr>
        <w:rPr>
          <w:caps/>
          <w:sz w:val="22"/>
          <w:szCs w:val="22"/>
          <w:highlight w:val="yellow"/>
          <w:lang w:val="en-US"/>
        </w:rPr>
      </w:pPr>
    </w:p>
    <w:p w14:paraId="2EEC793B" w14:textId="136C1830" w:rsidR="008D3251" w:rsidRDefault="008B67B5" w:rsidP="00B450B7">
      <w:pPr>
        <w:tabs>
          <w:tab w:val="left" w:pos="720"/>
          <w:tab w:val="left" w:pos="1530"/>
          <w:tab w:val="left" w:pos="7380"/>
        </w:tabs>
        <w:ind w:firstLine="720"/>
        <w:jc w:val="both"/>
        <w:rPr>
          <w:rFonts w:eastAsia="MS Mincho"/>
          <w:sz w:val="22"/>
          <w:szCs w:val="22"/>
        </w:rPr>
      </w:pPr>
      <w:r>
        <w:rPr>
          <w:sz w:val="22"/>
        </w:rPr>
        <w:t>La déclaration par l'Organisation mondiale de la Santé (OMS) de la COVID-19 comme pandémie et la mise en œuvre généralisée de mesures rigoureuses pour contenir la propagation de la maladie ont eu un impact significatif sur toutes les facettes de la société. De toute l’histoire, c'est le plus grand choc qu’ont connu les systèmes éducatifs. Les pays d'Amérique latine et des Caraïbes (ALC), tout en faisant face à la double pression exercée sur leurs systèmes de santé et économiques, ont dû mettre en œuvre diverses stratégies d'apprentissage à distance pour fournir un soutien éducatif à leurs étudiants.</w:t>
      </w:r>
    </w:p>
    <w:p w14:paraId="5D6706CD" w14:textId="77777777" w:rsidR="008D3251" w:rsidRPr="00245A62" w:rsidRDefault="008D3251" w:rsidP="00B450B7">
      <w:pPr>
        <w:tabs>
          <w:tab w:val="left" w:pos="720"/>
          <w:tab w:val="left" w:pos="1530"/>
          <w:tab w:val="left" w:pos="7380"/>
        </w:tabs>
        <w:ind w:firstLine="720"/>
        <w:jc w:val="both"/>
        <w:rPr>
          <w:rFonts w:eastAsia="MS Mincho"/>
          <w:sz w:val="22"/>
          <w:szCs w:val="22"/>
        </w:rPr>
      </w:pPr>
    </w:p>
    <w:p w14:paraId="6692C219" w14:textId="45DA1F00" w:rsidR="00B50166" w:rsidRDefault="005072FE" w:rsidP="00B450B7">
      <w:pPr>
        <w:tabs>
          <w:tab w:val="left" w:pos="720"/>
          <w:tab w:val="left" w:pos="1530"/>
          <w:tab w:val="left" w:pos="7380"/>
        </w:tabs>
        <w:ind w:firstLine="720"/>
        <w:jc w:val="both"/>
        <w:rPr>
          <w:sz w:val="22"/>
          <w:szCs w:val="22"/>
        </w:rPr>
      </w:pPr>
      <w:r>
        <w:rPr>
          <w:sz w:val="22"/>
        </w:rPr>
        <w:t>Malgré leurs efforts considérables, l'apprentissage dans les pays ALC se détériore. Selon un récent rapport de la Banque mondiale</w:t>
      </w:r>
      <w:r w:rsidR="009D0E22" w:rsidRPr="00B450B7">
        <w:rPr>
          <w:rStyle w:val="FootnoteReference"/>
          <w:sz w:val="22"/>
          <w:szCs w:val="22"/>
          <w:u w:val="single"/>
        </w:rPr>
        <w:footnoteReference w:id="2"/>
      </w:r>
      <w:r>
        <w:rPr>
          <w:sz w:val="22"/>
          <w:vertAlign w:val="superscript"/>
        </w:rPr>
        <w:t>/</w:t>
      </w:r>
      <w:r>
        <w:rPr>
          <w:sz w:val="22"/>
        </w:rPr>
        <w:t>, près de 120 millions d'enfants en âge d'être scolarisés dans la région ont manqué ou étaient sur le point de manquer une année scolaire tout entière en mode présentiel. En conséquence, la région est confrontée à une crise aiguë de l'éducation. Elle est en passe de devenir la région où l'on observe la deuxième plus forte augmentation absolue de la pauvreté éducative et l'une des régions où l'on observe la plus forte augmentation absolue de la proportion d'élèves du premier cycle de l'enseignement secondaire dont les résultats sont inférieurs au niveau minimum de compétence (BMP). Comme ces conséquences négatives sont plus importantes chez les enfants les plus pauvres, elles ont le potentiel d'accroître de 12 % le fossé socio-économique déjà important en matière de réussite.</w:t>
      </w:r>
      <w:r>
        <w:t xml:space="preserve"> </w:t>
      </w:r>
    </w:p>
    <w:p w14:paraId="5E766B97" w14:textId="77777777" w:rsidR="00565CB6" w:rsidRPr="00245A62" w:rsidRDefault="00565CB6" w:rsidP="00B450B7">
      <w:pPr>
        <w:tabs>
          <w:tab w:val="left" w:pos="720"/>
          <w:tab w:val="left" w:pos="1530"/>
          <w:tab w:val="left" w:pos="7380"/>
        </w:tabs>
        <w:ind w:firstLine="720"/>
        <w:jc w:val="both"/>
        <w:rPr>
          <w:sz w:val="22"/>
          <w:szCs w:val="22"/>
        </w:rPr>
      </w:pPr>
    </w:p>
    <w:p w14:paraId="4D555D9A" w14:textId="74EFAFE4" w:rsidR="004043A2" w:rsidRPr="00250507" w:rsidRDefault="0097224E" w:rsidP="00B450B7">
      <w:pPr>
        <w:tabs>
          <w:tab w:val="left" w:pos="720"/>
          <w:tab w:val="left" w:pos="1530"/>
          <w:tab w:val="left" w:pos="7380"/>
        </w:tabs>
        <w:ind w:firstLine="720"/>
        <w:jc w:val="both"/>
        <w:rPr>
          <w:rFonts w:eastAsia="MS Mincho"/>
          <w:i/>
          <w:sz w:val="22"/>
          <w:szCs w:val="22"/>
        </w:rPr>
      </w:pPr>
      <w:r>
        <w:rPr>
          <w:sz w:val="22"/>
        </w:rPr>
        <w:t xml:space="preserve">La proposition visant un Plan d'action continental pour la continuité de l'éducation (PHACE) élaborée par les responsables de la Commission interaméricaine de l'éducation (CIE) a facilité l'adoption d'activités et de projets en différentes phases pour garantir la continuité de l'éducation aux différents niveaux du système éducatif et promouvoir la prise en charge des plus défavorisés. La stratégie est basée sur l'analyse et la réalité des mesures entreprises par les gouvernements de la région </w:t>
      </w:r>
      <w:r>
        <w:rPr>
          <w:sz w:val="22"/>
        </w:rPr>
        <w:lastRenderedPageBreak/>
        <w:t>et d'autres expériences internationales adaptables. Elle vise à mettre en évidence les bonnes pratiques, à améliorer celles qui ont posé des problèmes et à soutenir la mise au point de solutions pour le contexte actuel et après la COVID-19.</w:t>
      </w:r>
      <w:r w:rsidR="004043A2" w:rsidRPr="00B450B7">
        <w:rPr>
          <w:rStyle w:val="FootnoteReference"/>
          <w:rFonts w:eastAsia="MS Mincho"/>
          <w:sz w:val="22"/>
          <w:szCs w:val="22"/>
          <w:u w:val="single"/>
          <w:lang w:val="en-US"/>
        </w:rPr>
        <w:footnoteReference w:id="3"/>
      </w:r>
      <w:r>
        <w:rPr>
          <w:sz w:val="22"/>
          <w:vertAlign w:val="superscript"/>
        </w:rPr>
        <w:t>/</w:t>
      </w:r>
    </w:p>
    <w:p w14:paraId="5EF4AD91" w14:textId="77777777" w:rsidR="004043A2" w:rsidRPr="00245A62" w:rsidRDefault="004043A2" w:rsidP="00B450B7">
      <w:pPr>
        <w:tabs>
          <w:tab w:val="left" w:pos="720"/>
          <w:tab w:val="left" w:pos="1530"/>
          <w:tab w:val="left" w:pos="7380"/>
        </w:tabs>
        <w:ind w:firstLine="720"/>
        <w:jc w:val="both"/>
        <w:rPr>
          <w:rFonts w:eastAsia="MS Mincho"/>
          <w:sz w:val="22"/>
          <w:szCs w:val="22"/>
        </w:rPr>
      </w:pPr>
    </w:p>
    <w:p w14:paraId="4C6BB51D" w14:textId="2B5C9113" w:rsidR="004043A2" w:rsidRPr="00250507" w:rsidRDefault="009E4B9C" w:rsidP="00B450B7">
      <w:pPr>
        <w:tabs>
          <w:tab w:val="left" w:pos="720"/>
          <w:tab w:val="left" w:pos="1530"/>
          <w:tab w:val="left" w:pos="7380"/>
        </w:tabs>
        <w:ind w:firstLine="720"/>
        <w:jc w:val="both"/>
        <w:rPr>
          <w:rFonts w:eastAsia="MS Mincho"/>
          <w:sz w:val="22"/>
          <w:szCs w:val="22"/>
        </w:rPr>
      </w:pPr>
      <w:r>
        <w:rPr>
          <w:sz w:val="22"/>
        </w:rPr>
        <w:t>La crise sans précédent dans le secteur de l’éducation a mis au jour l'importance de développer des systèmes éducatifs adaptables et flexibles, capables de répondre efficacement et équitablement à divers défis d'origine sanitaire, climatique ou pédagogique. Le dialogue de haut niveau sur les politiques publiques et les actions programmatiques qui a eu lieu dans le cadre de l'OEA au cours de la pandémie a permis de dégager les conclusions suivantes :</w:t>
      </w:r>
    </w:p>
    <w:p w14:paraId="600C9523" w14:textId="4744AE5F" w:rsidR="004043A2" w:rsidRPr="00AC3B5D" w:rsidRDefault="004043A2" w:rsidP="00B450B7">
      <w:pPr>
        <w:tabs>
          <w:tab w:val="left" w:pos="720"/>
          <w:tab w:val="left" w:pos="1530"/>
          <w:tab w:val="left" w:pos="7380"/>
        </w:tabs>
        <w:ind w:firstLine="720"/>
        <w:jc w:val="both"/>
        <w:rPr>
          <w:rFonts w:eastAsia="MS Mincho"/>
          <w:sz w:val="22"/>
          <w:szCs w:val="22"/>
        </w:rPr>
      </w:pPr>
    </w:p>
    <w:p w14:paraId="250BA83C" w14:textId="55AEF98A" w:rsidR="004043A2" w:rsidRPr="00250507" w:rsidRDefault="004043A2" w:rsidP="00B450B7">
      <w:pPr>
        <w:pStyle w:val="ListParagraph"/>
        <w:numPr>
          <w:ilvl w:val="0"/>
          <w:numId w:val="3"/>
        </w:numPr>
        <w:tabs>
          <w:tab w:val="left" w:pos="720"/>
          <w:tab w:val="left" w:pos="1530"/>
          <w:tab w:val="left" w:pos="7380"/>
        </w:tabs>
        <w:ind w:hanging="720"/>
        <w:jc w:val="both"/>
        <w:rPr>
          <w:rFonts w:eastAsia="Arial Unicode MS" w:cs="Arial Unicode MS"/>
          <w:sz w:val="22"/>
          <w:szCs w:val="22"/>
        </w:rPr>
      </w:pPr>
      <w:r>
        <w:rPr>
          <w:sz w:val="22"/>
        </w:rPr>
        <w:t>L'éducation est un droit et, en tant que tel, un engagement inéluctable de l'État. Le contexte actuel a rendu les inégalités encore plus visibles, notamment au sein des populations vulnérables. Dans ce contexte, un appel à l'action pour un Pacte continental sur l'éducation, qui inclut les acteurs de l'État, de la société civile, de la communauté et du secteur privé, a été lancé à l’intention des autorités des pays de la région.</w:t>
      </w:r>
      <w:r w:rsidRPr="00B450B7">
        <w:rPr>
          <w:rStyle w:val="FootnoteReference"/>
          <w:rFonts w:eastAsia="Arial Unicode MS" w:cs="Arial Unicode MS"/>
          <w:sz w:val="22"/>
          <w:szCs w:val="22"/>
          <w:u w:val="single"/>
          <w:lang w:val="en-US"/>
        </w:rPr>
        <w:footnoteReference w:id="4"/>
      </w:r>
      <w:r>
        <w:rPr>
          <w:sz w:val="22"/>
          <w:vertAlign w:val="superscript"/>
        </w:rPr>
        <w:t>/</w:t>
      </w:r>
    </w:p>
    <w:p w14:paraId="0206AD28" w14:textId="77777777" w:rsidR="004043A2" w:rsidRPr="00245A62" w:rsidRDefault="004043A2" w:rsidP="00B450B7">
      <w:pPr>
        <w:pStyle w:val="ListParagraph"/>
        <w:tabs>
          <w:tab w:val="left" w:pos="720"/>
          <w:tab w:val="left" w:pos="1530"/>
          <w:tab w:val="left" w:pos="7380"/>
        </w:tabs>
        <w:ind w:left="1440" w:hanging="720"/>
        <w:jc w:val="both"/>
        <w:rPr>
          <w:rFonts w:eastAsia="Arial Unicode MS" w:cs="Arial Unicode MS"/>
        </w:rPr>
      </w:pPr>
    </w:p>
    <w:p w14:paraId="552D7760" w14:textId="34A7FB06" w:rsidR="004043A2" w:rsidRPr="00250507" w:rsidRDefault="0027041A" w:rsidP="00B450B7">
      <w:pPr>
        <w:pStyle w:val="ListParagraph"/>
        <w:numPr>
          <w:ilvl w:val="0"/>
          <w:numId w:val="3"/>
        </w:numPr>
        <w:tabs>
          <w:tab w:val="left" w:pos="720"/>
          <w:tab w:val="left" w:pos="1530"/>
          <w:tab w:val="left" w:pos="7380"/>
        </w:tabs>
        <w:ind w:hanging="720"/>
        <w:jc w:val="both"/>
        <w:rPr>
          <w:rFonts w:eastAsia="Arial Unicode MS" w:cs="Arial Unicode MS"/>
        </w:rPr>
      </w:pPr>
      <w:r>
        <w:rPr>
          <w:sz w:val="22"/>
        </w:rPr>
        <w:t>Des défis importants sont apparus pour assurer un retour en toute sécurité aux cours en mode présentiel. Le renforcement des alliances famille-école et la relation avec la communauté pour assurer la permanence et la continuité éducative sont des stratégies essentielles pour lutter contre l'abandon scolaire face à la crise sanitaire</w:t>
      </w:r>
      <w:r>
        <w:t>.</w:t>
      </w:r>
      <w:r w:rsidR="004043A2" w:rsidRPr="00B450B7">
        <w:rPr>
          <w:rStyle w:val="FootnoteReference"/>
          <w:rFonts w:eastAsia="Arial Unicode MS" w:cs="Arial Unicode MS"/>
          <w:u w:val="single"/>
          <w:lang w:val="en-US"/>
        </w:rPr>
        <w:footnoteReference w:id="5"/>
      </w:r>
      <w:r>
        <w:rPr>
          <w:vertAlign w:val="superscript"/>
        </w:rPr>
        <w:t>/</w:t>
      </w:r>
      <w:r>
        <w:t xml:space="preserve"> </w:t>
      </w:r>
    </w:p>
    <w:p w14:paraId="4C497F49" w14:textId="77777777" w:rsidR="004043A2" w:rsidRPr="00245A62" w:rsidRDefault="004043A2" w:rsidP="00B450B7">
      <w:pPr>
        <w:pStyle w:val="ListParagraph"/>
        <w:ind w:left="1440" w:hanging="720"/>
        <w:rPr>
          <w:rFonts w:eastAsia="Arial Unicode MS" w:cs="Arial Unicode MS"/>
        </w:rPr>
      </w:pPr>
    </w:p>
    <w:p w14:paraId="3AA4E318" w14:textId="45F6E066" w:rsidR="004043A2" w:rsidRPr="00250507" w:rsidRDefault="00B4214F" w:rsidP="00B450B7">
      <w:pPr>
        <w:pStyle w:val="ListParagraph"/>
        <w:numPr>
          <w:ilvl w:val="0"/>
          <w:numId w:val="3"/>
        </w:numPr>
        <w:tabs>
          <w:tab w:val="left" w:pos="720"/>
          <w:tab w:val="left" w:pos="1530"/>
          <w:tab w:val="left" w:pos="7380"/>
        </w:tabs>
        <w:ind w:hanging="720"/>
        <w:jc w:val="both"/>
        <w:rPr>
          <w:rFonts w:eastAsia="Arial Unicode MS" w:cs="Arial Unicode MS"/>
        </w:rPr>
      </w:pPr>
      <w:r>
        <w:rPr>
          <w:sz w:val="22"/>
        </w:rPr>
        <w:t>La pandémie a exacerbé les inégalités en matière d'accessibilité numérique et a limité l'accès des personnes handicapées à une éducation inclusive et de qualité. Une perspective multidimensionnelle visant à garantir la continuité de l'éducation et incluant cette population défavorisée est nécessaire pour soutenir le plein exercice de leur droit à l'éducation. Le paradigme de l'intégration adaptative doit être dépassé grâce à une approche de création conjointe (</w:t>
      </w:r>
      <w:proofErr w:type="spellStart"/>
      <w:r>
        <w:rPr>
          <w:sz w:val="22"/>
        </w:rPr>
        <w:t>co-création</w:t>
      </w:r>
      <w:proofErr w:type="spellEnd"/>
      <w:r>
        <w:rPr>
          <w:sz w:val="22"/>
        </w:rPr>
        <w:t>) de connaissances et d'apprentissage. Les États membres ont demandé à l'Organisation d’ouvrir un espace virtuel qui concentre les ressources éducatives accessibles et prévoit des sites de formation pour les enseignants de la région.</w:t>
      </w:r>
      <w:r w:rsidR="004043A2" w:rsidRPr="00B450B7">
        <w:rPr>
          <w:rStyle w:val="FootnoteReference"/>
          <w:rFonts w:cstheme="minorHAnsi"/>
          <w:u w:val="single"/>
          <w:lang w:val="en-US"/>
        </w:rPr>
        <w:footnoteReference w:id="6"/>
      </w:r>
      <w:r>
        <w:rPr>
          <w:sz w:val="22"/>
          <w:vertAlign w:val="superscript"/>
        </w:rPr>
        <w:t>/</w:t>
      </w:r>
    </w:p>
    <w:p w14:paraId="03D2D29F" w14:textId="77777777" w:rsidR="004043A2" w:rsidRPr="00245A62" w:rsidRDefault="004043A2" w:rsidP="00B450B7">
      <w:pPr>
        <w:jc w:val="both"/>
        <w:rPr>
          <w:b/>
          <w:sz w:val="22"/>
          <w:szCs w:val="22"/>
          <w:u w:val="single"/>
        </w:rPr>
      </w:pPr>
    </w:p>
    <w:p w14:paraId="51B816B1" w14:textId="093E46D9" w:rsidR="0094518A" w:rsidRDefault="00D46992" w:rsidP="00B450B7">
      <w:pPr>
        <w:ind w:firstLine="720"/>
        <w:jc w:val="both"/>
        <w:rPr>
          <w:rFonts w:eastAsia="MS Mincho"/>
          <w:sz w:val="22"/>
          <w:szCs w:val="22"/>
        </w:rPr>
      </w:pPr>
      <w:r>
        <w:rPr>
          <w:sz w:val="22"/>
        </w:rPr>
        <w:t>Alors que les gouvernements des États membres élaborent des stratégies pour leur redressement et l'ère post-COVID-19 dans un contexte de défis sociaux et économiques multiples et de ressources limitées, l'impact multidimensionnel de l'éducation sur le développement durable signifie qu'elle doit être considérée comme une priorité dans le cadre du programme « Reconstruire en mieux ». La crise offre une occasion unique de repenser l'avenir des systèmes éducatifs afin de les rendre plus efficaces, équitables et résilients.</w:t>
      </w:r>
    </w:p>
    <w:p w14:paraId="2EFF3372" w14:textId="20518563" w:rsidR="00AD087D" w:rsidRDefault="00AD087D" w:rsidP="00B450B7">
      <w:pPr>
        <w:ind w:firstLine="720"/>
        <w:jc w:val="both"/>
        <w:rPr>
          <w:b/>
          <w:sz w:val="22"/>
          <w:szCs w:val="22"/>
          <w:u w:val="single"/>
        </w:rPr>
      </w:pPr>
    </w:p>
    <w:p w14:paraId="7276F197" w14:textId="581F2AC3" w:rsidR="00AC3B5D" w:rsidRDefault="00AC3B5D" w:rsidP="00B450B7">
      <w:pPr>
        <w:ind w:firstLine="720"/>
        <w:jc w:val="both"/>
        <w:rPr>
          <w:b/>
          <w:sz w:val="22"/>
          <w:szCs w:val="22"/>
          <w:u w:val="single"/>
        </w:rPr>
      </w:pPr>
    </w:p>
    <w:p w14:paraId="3EB84CE3" w14:textId="77777777" w:rsidR="00AC3B5D" w:rsidRPr="00245A62" w:rsidRDefault="00AC3B5D" w:rsidP="00B450B7">
      <w:pPr>
        <w:ind w:firstLine="720"/>
        <w:jc w:val="both"/>
        <w:rPr>
          <w:b/>
          <w:sz w:val="22"/>
          <w:szCs w:val="22"/>
          <w:u w:val="single"/>
        </w:rPr>
      </w:pPr>
    </w:p>
    <w:p w14:paraId="4D537F7D" w14:textId="1E4B6BEE" w:rsidR="004043A2" w:rsidRPr="00250507" w:rsidRDefault="004043A2" w:rsidP="00B450B7">
      <w:pPr>
        <w:pStyle w:val="ListParagraph"/>
        <w:numPr>
          <w:ilvl w:val="0"/>
          <w:numId w:val="1"/>
        </w:numPr>
        <w:ind w:left="720" w:hanging="720"/>
        <w:jc w:val="both"/>
        <w:rPr>
          <w:b/>
          <w:sz w:val="22"/>
        </w:rPr>
      </w:pPr>
      <w:r>
        <w:rPr>
          <w:b/>
          <w:sz w:val="22"/>
        </w:rPr>
        <w:lastRenderedPageBreak/>
        <w:t xml:space="preserve">Objectif de la réunion </w:t>
      </w:r>
    </w:p>
    <w:p w14:paraId="40E86D77" w14:textId="77777777" w:rsidR="004043A2" w:rsidRPr="00250507" w:rsidRDefault="004043A2" w:rsidP="00B450B7">
      <w:pPr>
        <w:jc w:val="both"/>
        <w:rPr>
          <w:bCs/>
          <w:iCs/>
          <w:sz w:val="22"/>
          <w:szCs w:val="22"/>
          <w:lang w:val="en-US"/>
        </w:rPr>
      </w:pPr>
    </w:p>
    <w:p w14:paraId="5E71FACA" w14:textId="5BE422D5" w:rsidR="00B450B7" w:rsidRPr="00D80EF2" w:rsidRDefault="0094518A" w:rsidP="00B450B7">
      <w:pPr>
        <w:pStyle w:val="ListParagraph"/>
        <w:numPr>
          <w:ilvl w:val="0"/>
          <w:numId w:val="2"/>
        </w:numPr>
        <w:ind w:left="1440" w:hanging="720"/>
        <w:jc w:val="both"/>
        <w:rPr>
          <w:b/>
          <w:sz w:val="22"/>
        </w:rPr>
      </w:pPr>
      <w:r>
        <w:rPr>
          <w:sz w:val="22"/>
        </w:rPr>
        <w:t>Discuter des mesures prises aux niveaux régional et national pour assurer la continuité et favoriser les progrès en matière d'éducation et de développement humain compte tenu des défis posés par la pandémie de COVID-19.</w:t>
      </w:r>
    </w:p>
    <w:p w14:paraId="5A192B6E" w14:textId="77777777" w:rsidR="00D80EF2" w:rsidRPr="00B450B7" w:rsidRDefault="00D80EF2" w:rsidP="00D80EF2">
      <w:pPr>
        <w:pStyle w:val="ListParagraph"/>
        <w:ind w:left="1440"/>
        <w:jc w:val="both"/>
        <w:rPr>
          <w:b/>
          <w:sz w:val="22"/>
        </w:rPr>
      </w:pPr>
    </w:p>
    <w:p w14:paraId="4D4C2E54" w14:textId="6EA87B74" w:rsidR="004043A2" w:rsidRPr="00250507" w:rsidRDefault="004043A2" w:rsidP="00B450B7">
      <w:pPr>
        <w:pStyle w:val="ListParagraph"/>
        <w:numPr>
          <w:ilvl w:val="0"/>
          <w:numId w:val="1"/>
        </w:numPr>
        <w:ind w:left="720" w:hanging="720"/>
        <w:jc w:val="both"/>
        <w:rPr>
          <w:b/>
          <w:sz w:val="22"/>
          <w:szCs w:val="22"/>
        </w:rPr>
      </w:pPr>
      <w:r>
        <w:rPr>
          <w:b/>
          <w:sz w:val="22"/>
        </w:rPr>
        <w:t xml:space="preserve">Pertinence pour le CIDI et le travail du SEDI </w:t>
      </w:r>
    </w:p>
    <w:p w14:paraId="7E9A3796" w14:textId="77777777" w:rsidR="004043A2" w:rsidRPr="00AC3B5D" w:rsidRDefault="004043A2" w:rsidP="00B450B7">
      <w:pPr>
        <w:ind w:left="720"/>
        <w:jc w:val="both"/>
        <w:rPr>
          <w:sz w:val="22"/>
          <w:szCs w:val="22"/>
        </w:rPr>
      </w:pPr>
    </w:p>
    <w:p w14:paraId="7D5364FB" w14:textId="38993E86" w:rsidR="004043A2" w:rsidRPr="00250507" w:rsidRDefault="00D80EF2" w:rsidP="00D80EF2">
      <w:pPr>
        <w:tabs>
          <w:tab w:val="left" w:pos="720"/>
        </w:tabs>
        <w:ind w:left="720"/>
        <w:contextualSpacing/>
        <w:jc w:val="both"/>
        <w:rPr>
          <w:color w:val="202124"/>
          <w:sz w:val="22"/>
          <w:szCs w:val="22"/>
        </w:rPr>
      </w:pPr>
      <w:r>
        <w:rPr>
          <w:color w:val="202124"/>
          <w:sz w:val="22"/>
        </w:rPr>
        <w:t xml:space="preserve">En vertu de </w:t>
      </w:r>
      <w:r w:rsidR="00B450B7">
        <w:rPr>
          <w:color w:val="202124"/>
          <w:sz w:val="22"/>
        </w:rPr>
        <w:t xml:space="preserve">la résolution </w:t>
      </w:r>
      <w:hyperlink r:id="rId11" w:history="1">
        <w:r w:rsidR="00B450B7">
          <w:rPr>
            <w:rStyle w:val="Hyperlink"/>
            <w:sz w:val="22"/>
          </w:rPr>
          <w:t>AG/RES. 2955 (L-O/20)</w:t>
        </w:r>
      </w:hyperlink>
      <w:r>
        <w:rPr>
          <w:rStyle w:val="Hyperlink"/>
          <w:sz w:val="22"/>
        </w:rPr>
        <w:t>,</w:t>
      </w:r>
      <w:r w:rsidR="00B450B7">
        <w:rPr>
          <w:sz w:val="22"/>
        </w:rPr>
        <w:t xml:space="preserve"> « </w:t>
      </w:r>
      <w:r w:rsidR="00B450B7">
        <w:rPr>
          <w:color w:val="202124"/>
          <w:sz w:val="22"/>
        </w:rPr>
        <w:t>Encourager les initiatives continentales en matière de développement intégré : Promotion de la résilience », section III., « Promouvoir l'éducation et le développement humain dans les Amériques », le SEDI est chargé de soutenir</w:t>
      </w:r>
      <w:r>
        <w:rPr>
          <w:color w:val="202124"/>
          <w:sz w:val="22"/>
        </w:rPr>
        <w:t> </w:t>
      </w:r>
      <w:r w:rsidR="00B450B7">
        <w:rPr>
          <w:color w:val="202124"/>
          <w:sz w:val="22"/>
        </w:rPr>
        <w:t>:</w:t>
      </w:r>
    </w:p>
    <w:p w14:paraId="0355FC2E" w14:textId="77777777" w:rsidR="004043A2" w:rsidRPr="00AC3B5D" w:rsidRDefault="004043A2" w:rsidP="00B450B7">
      <w:pPr>
        <w:tabs>
          <w:tab w:val="left" w:pos="360"/>
        </w:tabs>
        <w:contextualSpacing/>
        <w:jc w:val="both"/>
        <w:rPr>
          <w:color w:val="202124"/>
          <w:sz w:val="22"/>
          <w:szCs w:val="22"/>
        </w:rPr>
      </w:pPr>
    </w:p>
    <w:p w14:paraId="69FD0E4F" w14:textId="0C4C83A6" w:rsidR="00E16032" w:rsidRPr="00DD3C02" w:rsidRDefault="00705BF2" w:rsidP="00B450B7">
      <w:pPr>
        <w:pStyle w:val="ListParagraph"/>
        <w:numPr>
          <w:ilvl w:val="0"/>
          <w:numId w:val="4"/>
        </w:numPr>
        <w:tabs>
          <w:tab w:val="left" w:pos="360"/>
        </w:tabs>
        <w:ind w:left="1440" w:hanging="720"/>
        <w:contextualSpacing/>
        <w:jc w:val="both"/>
      </w:pPr>
      <w:r>
        <w:rPr>
          <w:color w:val="202124"/>
          <w:sz w:val="22"/>
        </w:rPr>
        <w:t xml:space="preserve">Le </w:t>
      </w:r>
      <w:hyperlink r:id="rId12" w:history="1">
        <w:r>
          <w:rPr>
            <w:rStyle w:val="Hyperlink"/>
            <w:sz w:val="22"/>
          </w:rPr>
          <w:t>Plan de travail de la CIE 2019-2022</w:t>
        </w:r>
      </w:hyperlink>
      <w:r>
        <w:rPr>
          <w:color w:val="202124"/>
          <w:sz w:val="22"/>
        </w:rPr>
        <w:t xml:space="preserve"> et son objectif de partager des initiatives concrètes pour la mise en œuvre du Programme éducatif interaméricain (PEI), d'approfondir les synergies entre les initiatives éducatives mondiales, continentales et sous-régionales, de promouvoir la coopération intersectorielle et avec d'autres acteurs sociaux afin de contribuer à la réalisation des objectifs fixés par le Programme de développement durable à l’horizon 2030 et de contribuer à la réduction des inégalités exacerbées par la pandémie.</w:t>
      </w:r>
    </w:p>
    <w:p w14:paraId="2449CAA2" w14:textId="77777777" w:rsidR="00DD3C02" w:rsidRPr="00AC3B5D" w:rsidRDefault="00DD3C02" w:rsidP="00B450B7">
      <w:pPr>
        <w:pStyle w:val="ListParagraph"/>
        <w:tabs>
          <w:tab w:val="left" w:pos="360"/>
        </w:tabs>
        <w:contextualSpacing/>
        <w:jc w:val="both"/>
      </w:pPr>
    </w:p>
    <w:p w14:paraId="242DA055" w14:textId="3F918FE8" w:rsidR="00BD263A" w:rsidRDefault="00705BF2" w:rsidP="00B450B7">
      <w:pPr>
        <w:pStyle w:val="ListParagraph"/>
        <w:numPr>
          <w:ilvl w:val="0"/>
          <w:numId w:val="1"/>
        </w:numPr>
        <w:ind w:left="720" w:hanging="720"/>
        <w:jc w:val="both"/>
        <w:rPr>
          <w:b/>
          <w:sz w:val="22"/>
        </w:rPr>
      </w:pPr>
      <w:r>
        <w:rPr>
          <w:b/>
          <w:sz w:val="22"/>
        </w:rPr>
        <w:t>Structure de la réunion</w:t>
      </w:r>
    </w:p>
    <w:p w14:paraId="4E4A86A1" w14:textId="77777777" w:rsidR="00562DC6" w:rsidRDefault="00562DC6" w:rsidP="00B450B7">
      <w:pPr>
        <w:pStyle w:val="ListParagraph"/>
        <w:jc w:val="both"/>
        <w:rPr>
          <w:b/>
          <w:sz w:val="22"/>
          <w:lang w:val="en-US"/>
        </w:rPr>
      </w:pPr>
    </w:p>
    <w:p w14:paraId="1D0A045D" w14:textId="38CEE5D1" w:rsidR="001E796B" w:rsidRPr="00AA50DE" w:rsidRDefault="001E796B" w:rsidP="00B450B7">
      <w:pPr>
        <w:pStyle w:val="ListParagraph"/>
        <w:numPr>
          <w:ilvl w:val="0"/>
          <w:numId w:val="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color w:val="202124"/>
          <w:sz w:val="22"/>
          <w:szCs w:val="22"/>
        </w:rPr>
      </w:pPr>
      <w:r>
        <w:rPr>
          <w:color w:val="202124"/>
          <w:sz w:val="22"/>
        </w:rPr>
        <w:t>Panel – Promouvoir l’éducation et le développement humain dans les Amériques :</w:t>
      </w:r>
    </w:p>
    <w:p w14:paraId="24562773" w14:textId="77777777" w:rsidR="001E796B" w:rsidRPr="00AC3B5D" w:rsidRDefault="001E796B" w:rsidP="00B450B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02124"/>
          <w:sz w:val="22"/>
          <w:szCs w:val="22"/>
        </w:rPr>
      </w:pPr>
    </w:p>
    <w:p w14:paraId="57E24A49" w14:textId="0D9BE46E" w:rsidR="00A450E7" w:rsidRDefault="003E170F" w:rsidP="00B450B7">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r>
        <w:rPr>
          <w:color w:val="202124"/>
          <w:sz w:val="22"/>
        </w:rPr>
        <w:t>Claudia Uribe, directrice du Bureau régional de l'UNESCO pour l'éducation en Amérique latine et dans les Caraïbes</w:t>
      </w:r>
    </w:p>
    <w:p w14:paraId="62AE9E9E" w14:textId="724A7ADC" w:rsidR="00B776D1" w:rsidRPr="003F6426" w:rsidRDefault="003411D5" w:rsidP="00B450B7">
      <w:pPr>
        <w:pStyle w:val="ListParagraph"/>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r>
        <w:rPr>
          <w:color w:val="202124"/>
          <w:sz w:val="22"/>
        </w:rPr>
        <w:tab/>
      </w:r>
    </w:p>
    <w:p w14:paraId="22F6FBD6" w14:textId="1F2250DB" w:rsidR="00715811" w:rsidRDefault="00523CCC" w:rsidP="00B450B7">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r>
        <w:rPr>
          <w:color w:val="202124"/>
          <w:sz w:val="22"/>
        </w:rPr>
        <w:t>Laurette S. M Bristol, gestionnaire de programme, Développement des ressources humaines, Secrétariat de la CARICOM</w:t>
      </w:r>
    </w:p>
    <w:p w14:paraId="2199FD92" w14:textId="77777777" w:rsidR="00BE7725" w:rsidRPr="003F6426" w:rsidRDefault="00BE7725" w:rsidP="00B450B7">
      <w:pPr>
        <w:pStyle w:val="ListParagraph"/>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p>
    <w:p w14:paraId="3C7B6788" w14:textId="32E554E7" w:rsidR="00306330" w:rsidRDefault="00413A82" w:rsidP="00B450B7">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r>
        <w:rPr>
          <w:color w:val="202124"/>
          <w:sz w:val="22"/>
        </w:rPr>
        <w:t>Carlos Staff, secrétaire du Conseil des ministres de l'éducation et des ministres de la culture du SICA - SE-CECC</w:t>
      </w:r>
    </w:p>
    <w:p w14:paraId="29801D00" w14:textId="0A4BF461" w:rsidR="00715811" w:rsidRPr="00AC3B5D" w:rsidRDefault="003411D5" w:rsidP="00B450B7">
      <w:pPr>
        <w:pStyle w:val="ListParagraph"/>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r>
        <w:rPr>
          <w:color w:val="202124"/>
          <w:sz w:val="22"/>
        </w:rPr>
        <w:tab/>
      </w:r>
    </w:p>
    <w:p w14:paraId="2C626333" w14:textId="2944EB15" w:rsidR="008B42C1" w:rsidRDefault="00565CB6" w:rsidP="00B450B7">
      <w:pPr>
        <w:pStyle w:val="ListParagraph"/>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r>
        <w:rPr>
          <w:color w:val="202124"/>
          <w:sz w:val="22"/>
        </w:rPr>
        <w:t>Expériences nationales dans le cadre du PHACE</w:t>
      </w:r>
    </w:p>
    <w:p w14:paraId="7E9F025B" w14:textId="77777777" w:rsidR="00B450B7" w:rsidRPr="00AC3B5D" w:rsidRDefault="00B450B7" w:rsidP="00B450B7">
      <w:pPr>
        <w:pStyle w:val="ListParagraph"/>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color w:val="202124"/>
          <w:sz w:val="22"/>
          <w:szCs w:val="22"/>
        </w:rPr>
      </w:pPr>
    </w:p>
    <w:p w14:paraId="7F1A116D" w14:textId="2B8556A5" w:rsidR="00E73B00" w:rsidRPr="00E73B00" w:rsidRDefault="00E73B00" w:rsidP="003411D5">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r>
        <w:rPr>
          <w:color w:val="202124"/>
          <w:sz w:val="22"/>
        </w:rPr>
        <w:t xml:space="preserve">Alessandra Molina Alfaro, directrice de l'Unité de rétention scolaire, de réincorporation et de réussite éducative du </w:t>
      </w:r>
      <w:proofErr w:type="spellStart"/>
      <w:r>
        <w:rPr>
          <w:color w:val="202124"/>
          <w:sz w:val="22"/>
        </w:rPr>
        <w:t>vice-ministère</w:t>
      </w:r>
      <w:proofErr w:type="spellEnd"/>
      <w:r>
        <w:rPr>
          <w:color w:val="202124"/>
          <w:sz w:val="22"/>
        </w:rPr>
        <w:t xml:space="preserve"> de la planification institutionnelle et de la coordination régionale du ministère de l'éducation du Costa Rica.</w:t>
      </w:r>
    </w:p>
    <w:p w14:paraId="261B8580" w14:textId="643F014A" w:rsidR="00E73B00" w:rsidRPr="00E73B00" w:rsidRDefault="003411D5" w:rsidP="00AC3B5D">
      <w:pPr>
        <w:pStyle w:val="ListParagraph"/>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Pr>
          <w:color w:val="202124"/>
          <w:sz w:val="22"/>
        </w:rPr>
        <w:t>Actions entreprises et défis en termes de rétention scolaire et d'exclusion éducative au Costa Rica.</w:t>
      </w:r>
    </w:p>
    <w:p w14:paraId="08DD3F91" w14:textId="77777777" w:rsidR="00E73B00" w:rsidRPr="00AC3B5D" w:rsidRDefault="00E73B00" w:rsidP="003411D5">
      <w:pPr>
        <w:pStyle w:val="ListParagraph"/>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p>
    <w:p w14:paraId="2ADC5CC4" w14:textId="77777777" w:rsidR="00E73B00" w:rsidRPr="00E73B00" w:rsidRDefault="00E73B00" w:rsidP="003411D5">
      <w:pPr>
        <w:pStyle w:val="ListParagraph"/>
        <w:numPr>
          <w:ilvl w:val="0"/>
          <w:numId w:val="9"/>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proofErr w:type="spellStart"/>
      <w:r>
        <w:rPr>
          <w:color w:val="202124"/>
          <w:sz w:val="22"/>
        </w:rPr>
        <w:t>Danit</w:t>
      </w:r>
      <w:proofErr w:type="spellEnd"/>
      <w:r>
        <w:rPr>
          <w:color w:val="202124"/>
          <w:sz w:val="22"/>
        </w:rPr>
        <w:t xml:space="preserve"> María Torres Fuentes, directrice de la qualité de l'enseignement préscolaire, élémentaire et secondaire. Ministère de l’éducation de la Colombie</w:t>
      </w:r>
    </w:p>
    <w:p w14:paraId="6B31C301" w14:textId="220AD2F9" w:rsidR="009B2D78" w:rsidRPr="00956146" w:rsidRDefault="003411D5" w:rsidP="00AC3B5D">
      <w:pPr>
        <w:pStyle w:val="ListParagraph"/>
        <w:numPr>
          <w:ilvl w:val="0"/>
          <w:numId w:val="13"/>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Pr>
          <w:color w:val="202124"/>
          <w:sz w:val="22"/>
        </w:rPr>
        <w:t>Gestion pédagogique dans le cadre de l'alternance.</w:t>
      </w:r>
    </w:p>
    <w:p w14:paraId="68CCDDD3" w14:textId="2A1FD8C6" w:rsidR="00255D44" w:rsidRDefault="00255D44" w:rsidP="00B450B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02124"/>
          <w:sz w:val="22"/>
          <w:szCs w:val="22"/>
        </w:rPr>
      </w:pPr>
    </w:p>
    <w:p w14:paraId="22CBE053" w14:textId="77777777" w:rsidR="00AC3B5D" w:rsidRPr="00AC3B5D" w:rsidRDefault="00AC3B5D" w:rsidP="00B450B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02124"/>
          <w:sz w:val="22"/>
          <w:szCs w:val="22"/>
        </w:rPr>
      </w:pPr>
    </w:p>
    <w:p w14:paraId="05701FFD" w14:textId="39FCC813" w:rsidR="004043A2" w:rsidRPr="00250507" w:rsidRDefault="00705BF2" w:rsidP="00B450B7">
      <w:pPr>
        <w:pStyle w:val="ListParagraph"/>
        <w:numPr>
          <w:ilvl w:val="0"/>
          <w:numId w:val="1"/>
        </w:numPr>
        <w:ind w:left="720" w:hanging="720"/>
        <w:jc w:val="both"/>
        <w:rPr>
          <w:b/>
          <w:sz w:val="22"/>
          <w:szCs w:val="22"/>
        </w:rPr>
      </w:pPr>
      <w:r>
        <w:rPr>
          <w:b/>
          <w:sz w:val="22"/>
        </w:rPr>
        <w:lastRenderedPageBreak/>
        <w:t xml:space="preserve">Résultat de la réunion </w:t>
      </w:r>
    </w:p>
    <w:p w14:paraId="3987E448" w14:textId="77777777" w:rsidR="004043A2" w:rsidRPr="00250507" w:rsidRDefault="004043A2" w:rsidP="00B450B7">
      <w:pPr>
        <w:jc w:val="both"/>
        <w:rPr>
          <w:rFonts w:eastAsia="Calibri"/>
          <w:sz w:val="22"/>
          <w:szCs w:val="22"/>
          <w:lang w:val="en-US"/>
        </w:rPr>
      </w:pPr>
    </w:p>
    <w:p w14:paraId="06EE60C9" w14:textId="0D4FD5C4" w:rsidR="00565CB6" w:rsidRDefault="00B450B7" w:rsidP="00B450B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Pr>
          <w:color w:val="202124"/>
          <w:sz w:val="22"/>
        </w:rPr>
        <w:tab/>
        <w:t>Synergies et opportunités identifiées pour la collaboration et la coopération entre et parmi les États membres ainsi que les institutions régionales pour la mise en œuvre des initiatives en matière d'éducation et de développement humain, conformément à la résolution de l'Assemblée générale de l'OEA : AG/RES. 2955 (L-O/20), « Encourager les initiatives continentales en matière de développement intégré : Promotion de la résilience », dans le cadre du plan de travail 2019-2022 de la CIE.</w:t>
      </w:r>
      <w:r w:rsidR="003F6426">
        <w:rPr>
          <w:noProof/>
          <w:color w:val="202124"/>
          <w:sz w:val="22"/>
          <w:szCs w:val="22"/>
        </w:rPr>
        <mc:AlternateContent>
          <mc:Choice Requires="wps">
            <w:drawing>
              <wp:anchor distT="0" distB="0" distL="114300" distR="114300" simplePos="0" relativeHeight="251659264" behindDoc="0" locked="1" layoutInCell="1" allowOverlap="1" wp14:anchorId="4AC869B7" wp14:editId="61B6D60C">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FB5DDBF" w14:textId="052124E9" w:rsidR="003F6426" w:rsidRPr="003F6426" w:rsidRDefault="003F6426">
                            <w:pPr>
                              <w:rPr>
                                <w:sz w:val="18"/>
                              </w:rPr>
                            </w:pPr>
                            <w:r>
                              <w:rPr>
                                <w:sz w:val="18"/>
                              </w:rPr>
                              <w:fldChar w:fldCharType="begin"/>
                            </w:r>
                            <w:r>
                              <w:rPr>
                                <w:sz w:val="18"/>
                              </w:rPr>
                              <w:instrText xml:space="preserve"> FILENAME  \* MERGEFORMAT </w:instrText>
                            </w:r>
                            <w:r>
                              <w:rPr>
                                <w:sz w:val="18"/>
                              </w:rPr>
                              <w:fldChar w:fldCharType="separate"/>
                            </w:r>
                            <w:r>
                              <w:rPr>
                                <w:noProof/>
                                <w:sz w:val="18"/>
                              </w:rPr>
                              <w:t>CIDRP03186F01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C869B7"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7FB5DDBF" w14:textId="052124E9" w:rsidR="003F6426" w:rsidRPr="003F6426" w:rsidRDefault="003F6426">
                      <w:pPr>
                        <w:rPr>
                          <w:sz w:val="18"/>
                        </w:rPr>
                      </w:pPr>
                      <w:r>
                        <w:rPr>
                          <w:sz w:val="18"/>
                        </w:rPr>
                        <w:fldChar w:fldCharType="begin"/>
                      </w:r>
                      <w:r>
                        <w:rPr>
                          <w:sz w:val="18"/>
                        </w:rPr>
                        <w:instrText xml:space="preserve"> FILENAME  \* MERGEFORMAT </w:instrText>
                      </w:r>
                      <w:r>
                        <w:rPr>
                          <w:sz w:val="18"/>
                        </w:rPr>
                        <w:fldChar w:fldCharType="separate"/>
                      </w:r>
                      <w:r>
                        <w:rPr>
                          <w:noProof/>
                          <w:sz w:val="18"/>
                        </w:rPr>
                        <w:t>CIDRP03186F01</w:t>
                      </w:r>
                      <w:r>
                        <w:rPr>
                          <w:sz w:val="18"/>
                        </w:rPr>
                        <w:fldChar w:fldCharType="end"/>
                      </w:r>
                    </w:p>
                  </w:txbxContent>
                </v:textbox>
                <w10:wrap anchory="page"/>
                <w10:anchorlock/>
              </v:shape>
            </w:pict>
          </mc:Fallback>
        </mc:AlternateContent>
      </w:r>
    </w:p>
    <w:sectPr w:rsidR="00565CB6" w:rsidSect="004043A2">
      <w:headerReference w:type="default" r:id="rId13"/>
      <w:headerReference w:type="first" r:id="rId14"/>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00DB" w14:textId="77777777" w:rsidR="00015990" w:rsidRDefault="00015990" w:rsidP="004043A2">
      <w:r>
        <w:separator/>
      </w:r>
    </w:p>
  </w:endnote>
  <w:endnote w:type="continuationSeparator" w:id="0">
    <w:p w14:paraId="2B939A1E" w14:textId="77777777" w:rsidR="00015990" w:rsidRDefault="00015990" w:rsidP="004043A2">
      <w:r>
        <w:continuationSeparator/>
      </w:r>
    </w:p>
  </w:endnote>
  <w:endnote w:type="continuationNotice" w:id="1">
    <w:p w14:paraId="152553FD" w14:textId="77777777" w:rsidR="00015990" w:rsidRDefault="00015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39D5" w14:textId="77777777" w:rsidR="00015990" w:rsidRDefault="00015990" w:rsidP="004043A2">
      <w:r>
        <w:separator/>
      </w:r>
    </w:p>
  </w:footnote>
  <w:footnote w:type="continuationSeparator" w:id="0">
    <w:p w14:paraId="795B0DA5" w14:textId="77777777" w:rsidR="00015990" w:rsidRDefault="00015990" w:rsidP="004043A2">
      <w:r>
        <w:continuationSeparator/>
      </w:r>
    </w:p>
  </w:footnote>
  <w:footnote w:type="continuationNotice" w:id="1">
    <w:p w14:paraId="46E633D7" w14:textId="77777777" w:rsidR="00015990" w:rsidRDefault="00015990"/>
  </w:footnote>
  <w:footnote w:id="2">
    <w:p w14:paraId="5F800034" w14:textId="11F03D32" w:rsidR="009D0E22" w:rsidRPr="009D0E22" w:rsidRDefault="009D0E22" w:rsidP="00B450B7">
      <w:pPr>
        <w:pStyle w:val="FootnoteText"/>
        <w:ind w:left="720" w:hanging="360"/>
      </w:pPr>
      <w:r>
        <w:rPr>
          <w:rStyle w:val="FootnoteReference"/>
          <w:vertAlign w:val="baseline"/>
        </w:rPr>
        <w:footnoteRef/>
      </w:r>
      <w:r>
        <w:t>.</w:t>
      </w:r>
      <w:r>
        <w:tab/>
      </w:r>
      <w:hyperlink r:id="rId1" w:history="1">
        <w:r>
          <w:rPr>
            <w:rStyle w:val="Hyperlink"/>
          </w:rPr>
          <w:t>https://openknowledge.worldbank.org/handle/10986/35276?locale-attribute=en</w:t>
        </w:r>
      </w:hyperlink>
      <w:r>
        <w:t xml:space="preserve"> </w:t>
      </w:r>
    </w:p>
  </w:footnote>
  <w:footnote w:id="3">
    <w:p w14:paraId="659260C2" w14:textId="16C57901" w:rsidR="004043A2" w:rsidRPr="00BD263A" w:rsidRDefault="004043A2" w:rsidP="00B450B7">
      <w:pPr>
        <w:pStyle w:val="FootnoteText"/>
        <w:ind w:left="720" w:hanging="360"/>
      </w:pPr>
      <w:r>
        <w:rPr>
          <w:rStyle w:val="FootnoteReference"/>
          <w:vertAlign w:val="baseline"/>
        </w:rPr>
        <w:footnoteRef/>
      </w:r>
      <w:r>
        <w:t>.</w:t>
      </w:r>
      <w:r>
        <w:tab/>
      </w:r>
      <w:hyperlink r:id="rId2" w:history="1">
        <w:r>
          <w:rPr>
            <w:rStyle w:val="Hyperlink"/>
          </w:rPr>
          <w:t>CIE</w:t>
        </w:r>
      </w:hyperlink>
      <w:r>
        <w:rPr>
          <w:rStyle w:val="Hyperlink"/>
        </w:rPr>
        <w:t xml:space="preserve"> Plan de travail 2019-2022</w:t>
      </w:r>
    </w:p>
  </w:footnote>
  <w:footnote w:id="4">
    <w:p w14:paraId="3364E47E" w14:textId="09EEDC61" w:rsidR="004043A2" w:rsidRPr="00BD263A" w:rsidRDefault="004043A2" w:rsidP="00B450B7">
      <w:pPr>
        <w:pStyle w:val="FootnoteText"/>
        <w:ind w:left="720" w:hanging="360"/>
      </w:pPr>
      <w:r>
        <w:rPr>
          <w:rStyle w:val="FootnoteReference"/>
          <w:vertAlign w:val="baseline"/>
        </w:rPr>
        <w:footnoteRef/>
      </w:r>
      <w:r>
        <w:t xml:space="preserve">. </w:t>
      </w:r>
      <w:r>
        <w:tab/>
        <w:t>Repenser l'éducation pour créer des systèmes réactifs et résilients. Dialogue virtuel en collaboration entre l'OEA/CIE et J-</w:t>
      </w:r>
      <w:proofErr w:type="spellStart"/>
      <w:r>
        <w:t>Wel</w:t>
      </w:r>
      <w:proofErr w:type="spellEnd"/>
      <w:r>
        <w:t>/MIT. 12 août 2020</w:t>
      </w:r>
    </w:p>
  </w:footnote>
  <w:footnote w:id="5">
    <w:p w14:paraId="2861B4F6" w14:textId="2B8936CD" w:rsidR="004043A2" w:rsidRPr="00BD263A" w:rsidRDefault="004043A2" w:rsidP="00B450B7">
      <w:pPr>
        <w:pStyle w:val="FootnoteText"/>
        <w:ind w:left="720" w:hanging="360"/>
      </w:pPr>
      <w:r>
        <w:rPr>
          <w:rStyle w:val="FootnoteReference"/>
          <w:vertAlign w:val="baseline"/>
        </w:rPr>
        <w:footnoteRef/>
      </w:r>
      <w:r>
        <w:t xml:space="preserve">.  </w:t>
      </w:r>
      <w:r>
        <w:tab/>
        <w:t>Table de dialogue : Échanges et réflexion sur la phase de retour à l'enseignement en mode présentiel. 4 décembre 2020.</w:t>
      </w:r>
    </w:p>
  </w:footnote>
  <w:footnote w:id="6">
    <w:p w14:paraId="47681CA1" w14:textId="4A082DD7" w:rsidR="004043A2" w:rsidRPr="00BD263A" w:rsidRDefault="004043A2" w:rsidP="00B450B7">
      <w:pPr>
        <w:pStyle w:val="FootnoteText"/>
        <w:ind w:left="720" w:hanging="360"/>
      </w:pPr>
      <w:r>
        <w:rPr>
          <w:rStyle w:val="FootnoteReference"/>
          <w:vertAlign w:val="baseline"/>
        </w:rPr>
        <w:footnoteRef/>
      </w:r>
      <w:r>
        <w:t xml:space="preserve">.  </w:t>
      </w:r>
      <w:r>
        <w:tab/>
        <w:t>Vers une culture de l'accessibilité numérique : Expériences et défis éducatifs en période de pandémie pour les personnes handicapées. Dialogue virtuel de la CIE. 9 décembre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C51C" w14:textId="77777777" w:rsidR="00387D8A" w:rsidRPr="0040128C" w:rsidRDefault="003643AA">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AF5" w14:textId="77777777" w:rsidR="00387D8A" w:rsidRPr="0040128C" w:rsidRDefault="003643AA">
    <w:pPr>
      <w:pStyle w:val="Header"/>
      <w:rPr>
        <w:noProof/>
      </w:rPr>
    </w:pPr>
    <w:r>
      <w:rPr>
        <w:noProof/>
      </w:rPr>
      <mc:AlternateContent>
        <mc:Choice Requires="wps">
          <w:drawing>
            <wp:anchor distT="0" distB="0" distL="114300" distR="114300" simplePos="0" relativeHeight="251658242" behindDoc="0" locked="0" layoutInCell="1" allowOverlap="1" wp14:anchorId="43C2E382" wp14:editId="269EDC54">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rPr>
                          </w:pPr>
                          <w:r>
                            <w:rPr>
                              <w:rFonts w:ascii="Garamond" w:hAnsi="Garamond"/>
                              <w:b/>
                            </w:rPr>
                            <w:t>Conseil interaméricain pour le développement intégré</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2E382"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rPr>
                    </w:pPr>
                    <w:r>
                      <w:rPr>
                        <w:rFonts w:ascii="Garamond" w:hAnsi="Garamond"/>
                        <w:b/>
                      </w:rPr>
                      <w:t>Conseil interaméricain pour le développement intégré</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7773DC9" wp14:editId="748A157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6E5C" w14:textId="77777777" w:rsidR="00387D8A" w:rsidRPr="0040128C" w:rsidRDefault="003643AA" w:rsidP="00387D8A">
                          <w:pPr>
                            <w:ind w:right="-130"/>
                          </w:pPr>
                          <w:r>
                            <w:rPr>
                              <w:noProof/>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3DC9" id="Text Box 2" o:spid="_x0000_s1028"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70FB6E5C" w14:textId="77777777" w:rsidR="00387D8A" w:rsidRPr="0040128C" w:rsidRDefault="003643AA" w:rsidP="00387D8A">
                    <w:pPr>
                      <w:ind w:right="-130"/>
                    </w:pPr>
                    <w:r>
                      <w:rPr>
                        <w:noProof/>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70677BEE" wp14:editId="4D0A4EB9">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1DA61" w14:textId="77777777" w:rsidR="00387D8A" w:rsidRPr="0040128C" w:rsidRDefault="00387D8A">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11C1D"/>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3291"/>
    <w:multiLevelType w:val="hybridMultilevel"/>
    <w:tmpl w:val="EFBEF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336C5"/>
    <w:multiLevelType w:val="hybridMultilevel"/>
    <w:tmpl w:val="1918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154B12"/>
    <w:multiLevelType w:val="hybridMultilevel"/>
    <w:tmpl w:val="9028C400"/>
    <w:lvl w:ilvl="0" w:tplc="3508C88E">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957071"/>
    <w:multiLevelType w:val="hybridMultilevel"/>
    <w:tmpl w:val="E9F28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005F34"/>
    <w:multiLevelType w:val="hybridMultilevel"/>
    <w:tmpl w:val="3E7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2"/>
  </w:num>
  <w:num w:numId="5">
    <w:abstractNumId w:val="6"/>
  </w:num>
  <w:num w:numId="6">
    <w:abstractNumId w:val="2"/>
  </w:num>
  <w:num w:numId="7">
    <w:abstractNumId w:val="11"/>
  </w:num>
  <w:num w:numId="8">
    <w:abstractNumId w:val="3"/>
  </w:num>
  <w:num w:numId="9">
    <w:abstractNumId w:val="4"/>
  </w:num>
  <w:num w:numId="10">
    <w:abstractNumId w:val="9"/>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DazMDU3NTM1NDdW0lEKTi0uzszPAykwqgUAre9mYywAAAA="/>
  </w:docVars>
  <w:rsids>
    <w:rsidRoot w:val="004043A2"/>
    <w:rsid w:val="00015990"/>
    <w:rsid w:val="00035C5F"/>
    <w:rsid w:val="000433EC"/>
    <w:rsid w:val="00043540"/>
    <w:rsid w:val="000673A2"/>
    <w:rsid w:val="000746C9"/>
    <w:rsid w:val="00077B85"/>
    <w:rsid w:val="00095663"/>
    <w:rsid w:val="00097E94"/>
    <w:rsid w:val="000A0A91"/>
    <w:rsid w:val="000A203B"/>
    <w:rsid w:val="000A2EB1"/>
    <w:rsid w:val="000A5063"/>
    <w:rsid w:val="000B0C5D"/>
    <w:rsid w:val="000B2D2A"/>
    <w:rsid w:val="000D2F82"/>
    <w:rsid w:val="00106275"/>
    <w:rsid w:val="001070BB"/>
    <w:rsid w:val="00127947"/>
    <w:rsid w:val="001356E4"/>
    <w:rsid w:val="00146E65"/>
    <w:rsid w:val="0014711F"/>
    <w:rsid w:val="001536DC"/>
    <w:rsid w:val="00161648"/>
    <w:rsid w:val="001845A4"/>
    <w:rsid w:val="001B5210"/>
    <w:rsid w:val="001E141F"/>
    <w:rsid w:val="001E6611"/>
    <w:rsid w:val="001E796B"/>
    <w:rsid w:val="002149E4"/>
    <w:rsid w:val="00245A62"/>
    <w:rsid w:val="00250507"/>
    <w:rsid w:val="00255D44"/>
    <w:rsid w:val="0027041A"/>
    <w:rsid w:val="002731C2"/>
    <w:rsid w:val="002742A6"/>
    <w:rsid w:val="00294484"/>
    <w:rsid w:val="00297101"/>
    <w:rsid w:val="002A4827"/>
    <w:rsid w:val="002B52D4"/>
    <w:rsid w:val="002C5252"/>
    <w:rsid w:val="002E7723"/>
    <w:rsid w:val="002F6FAA"/>
    <w:rsid w:val="00306330"/>
    <w:rsid w:val="00307582"/>
    <w:rsid w:val="00307671"/>
    <w:rsid w:val="0032573B"/>
    <w:rsid w:val="003411D5"/>
    <w:rsid w:val="003643AA"/>
    <w:rsid w:val="00372BF7"/>
    <w:rsid w:val="00380D1A"/>
    <w:rsid w:val="003873DE"/>
    <w:rsid w:val="00387D8A"/>
    <w:rsid w:val="0039067B"/>
    <w:rsid w:val="003906B7"/>
    <w:rsid w:val="003A708F"/>
    <w:rsid w:val="003B2E2C"/>
    <w:rsid w:val="003E170F"/>
    <w:rsid w:val="003F6426"/>
    <w:rsid w:val="00404336"/>
    <w:rsid w:val="004043A2"/>
    <w:rsid w:val="004055D7"/>
    <w:rsid w:val="00406F3D"/>
    <w:rsid w:val="00413A82"/>
    <w:rsid w:val="00426C71"/>
    <w:rsid w:val="004468A5"/>
    <w:rsid w:val="00450361"/>
    <w:rsid w:val="004541EB"/>
    <w:rsid w:val="00470C55"/>
    <w:rsid w:val="0048309B"/>
    <w:rsid w:val="00484FC0"/>
    <w:rsid w:val="004908CB"/>
    <w:rsid w:val="004E211D"/>
    <w:rsid w:val="004E23AF"/>
    <w:rsid w:val="004E41A9"/>
    <w:rsid w:val="004F29A2"/>
    <w:rsid w:val="005072FE"/>
    <w:rsid w:val="00523CCC"/>
    <w:rsid w:val="00540D55"/>
    <w:rsid w:val="00541E2F"/>
    <w:rsid w:val="005628FD"/>
    <w:rsid w:val="00562DC6"/>
    <w:rsid w:val="00563CA4"/>
    <w:rsid w:val="00565CB6"/>
    <w:rsid w:val="00585A36"/>
    <w:rsid w:val="005868B0"/>
    <w:rsid w:val="005C7E62"/>
    <w:rsid w:val="005D3718"/>
    <w:rsid w:val="005F1B2D"/>
    <w:rsid w:val="005F2FD0"/>
    <w:rsid w:val="0060146E"/>
    <w:rsid w:val="00613661"/>
    <w:rsid w:val="00615AB0"/>
    <w:rsid w:val="00654681"/>
    <w:rsid w:val="00670D0B"/>
    <w:rsid w:val="006B3565"/>
    <w:rsid w:val="006B4484"/>
    <w:rsid w:val="006C0C76"/>
    <w:rsid w:val="006D1E45"/>
    <w:rsid w:val="006E4B72"/>
    <w:rsid w:val="00705BF2"/>
    <w:rsid w:val="00715811"/>
    <w:rsid w:val="00715C1A"/>
    <w:rsid w:val="00726F7B"/>
    <w:rsid w:val="00736BE6"/>
    <w:rsid w:val="00761A54"/>
    <w:rsid w:val="00773B90"/>
    <w:rsid w:val="00777743"/>
    <w:rsid w:val="007F0FE9"/>
    <w:rsid w:val="00817174"/>
    <w:rsid w:val="00834BF2"/>
    <w:rsid w:val="008525D0"/>
    <w:rsid w:val="00853FBC"/>
    <w:rsid w:val="008603AB"/>
    <w:rsid w:val="0086321D"/>
    <w:rsid w:val="008859BB"/>
    <w:rsid w:val="0089157C"/>
    <w:rsid w:val="00895B89"/>
    <w:rsid w:val="008B42C1"/>
    <w:rsid w:val="008B67B5"/>
    <w:rsid w:val="008B7463"/>
    <w:rsid w:val="008D3251"/>
    <w:rsid w:val="008F3A2F"/>
    <w:rsid w:val="00921CF5"/>
    <w:rsid w:val="009349F0"/>
    <w:rsid w:val="00941195"/>
    <w:rsid w:val="0094518A"/>
    <w:rsid w:val="00953A8A"/>
    <w:rsid w:val="00956146"/>
    <w:rsid w:val="00962185"/>
    <w:rsid w:val="0097224E"/>
    <w:rsid w:val="00975F86"/>
    <w:rsid w:val="009871D5"/>
    <w:rsid w:val="00987BEC"/>
    <w:rsid w:val="00990786"/>
    <w:rsid w:val="00994973"/>
    <w:rsid w:val="009B2D78"/>
    <w:rsid w:val="009C4A99"/>
    <w:rsid w:val="009D0E22"/>
    <w:rsid w:val="009E1BE0"/>
    <w:rsid w:val="009E4B9C"/>
    <w:rsid w:val="009E5688"/>
    <w:rsid w:val="009F6B5F"/>
    <w:rsid w:val="00A01FD3"/>
    <w:rsid w:val="00A11F70"/>
    <w:rsid w:val="00A205B0"/>
    <w:rsid w:val="00A2456F"/>
    <w:rsid w:val="00A368B3"/>
    <w:rsid w:val="00A41D8A"/>
    <w:rsid w:val="00A450E7"/>
    <w:rsid w:val="00A4770F"/>
    <w:rsid w:val="00A7007F"/>
    <w:rsid w:val="00AA237E"/>
    <w:rsid w:val="00AA50DE"/>
    <w:rsid w:val="00AB37EA"/>
    <w:rsid w:val="00AC2859"/>
    <w:rsid w:val="00AC3B5D"/>
    <w:rsid w:val="00AD087D"/>
    <w:rsid w:val="00AF0687"/>
    <w:rsid w:val="00B0399D"/>
    <w:rsid w:val="00B4214F"/>
    <w:rsid w:val="00B450B7"/>
    <w:rsid w:val="00B50166"/>
    <w:rsid w:val="00B52573"/>
    <w:rsid w:val="00B561C8"/>
    <w:rsid w:val="00B62DD7"/>
    <w:rsid w:val="00B776D1"/>
    <w:rsid w:val="00B77EFF"/>
    <w:rsid w:val="00B964C5"/>
    <w:rsid w:val="00BA16AB"/>
    <w:rsid w:val="00BB5623"/>
    <w:rsid w:val="00BC1B92"/>
    <w:rsid w:val="00BC6D4A"/>
    <w:rsid w:val="00BD1DCB"/>
    <w:rsid w:val="00BD263A"/>
    <w:rsid w:val="00BE7725"/>
    <w:rsid w:val="00BF4632"/>
    <w:rsid w:val="00C01545"/>
    <w:rsid w:val="00C02871"/>
    <w:rsid w:val="00C067D9"/>
    <w:rsid w:val="00C17F8B"/>
    <w:rsid w:val="00C54A17"/>
    <w:rsid w:val="00C677BB"/>
    <w:rsid w:val="00C71E0F"/>
    <w:rsid w:val="00C73BA5"/>
    <w:rsid w:val="00C77C4C"/>
    <w:rsid w:val="00C8093A"/>
    <w:rsid w:val="00C82E16"/>
    <w:rsid w:val="00C96256"/>
    <w:rsid w:val="00CB78CF"/>
    <w:rsid w:val="00CC4315"/>
    <w:rsid w:val="00CF4E26"/>
    <w:rsid w:val="00D37813"/>
    <w:rsid w:val="00D4056E"/>
    <w:rsid w:val="00D46992"/>
    <w:rsid w:val="00D80EF2"/>
    <w:rsid w:val="00D840CD"/>
    <w:rsid w:val="00DD3C02"/>
    <w:rsid w:val="00DF1355"/>
    <w:rsid w:val="00E0494C"/>
    <w:rsid w:val="00E16032"/>
    <w:rsid w:val="00E2114D"/>
    <w:rsid w:val="00E33644"/>
    <w:rsid w:val="00E55B98"/>
    <w:rsid w:val="00E624B5"/>
    <w:rsid w:val="00E73B00"/>
    <w:rsid w:val="00E76537"/>
    <w:rsid w:val="00E779BD"/>
    <w:rsid w:val="00EA7D2D"/>
    <w:rsid w:val="00EC568A"/>
    <w:rsid w:val="00ED4286"/>
    <w:rsid w:val="00F052B5"/>
    <w:rsid w:val="00F075F1"/>
    <w:rsid w:val="00F15174"/>
    <w:rsid w:val="00F30B9F"/>
    <w:rsid w:val="00F50157"/>
    <w:rsid w:val="00F50DFC"/>
    <w:rsid w:val="00F5493F"/>
    <w:rsid w:val="00F71588"/>
    <w:rsid w:val="00F9023E"/>
    <w:rsid w:val="00F959E0"/>
    <w:rsid w:val="00FA32E2"/>
    <w:rsid w:val="00FB55C9"/>
    <w:rsid w:val="00FB6686"/>
    <w:rsid w:val="00FD5BBB"/>
    <w:rsid w:val="00FE6B1B"/>
    <w:rsid w:val="00FE7978"/>
    <w:rsid w:val="00FF1F04"/>
    <w:rsid w:val="30E85458"/>
    <w:rsid w:val="312C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7F37AD"/>
  <w15:chartTrackingRefBased/>
  <w15:docId w15:val="{F6C15B06-D663-2641-9C61-32574DDA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A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4043A2"/>
    <w:pPr>
      <w:tabs>
        <w:tab w:val="center" w:pos="4320"/>
        <w:tab w:val="right" w:pos="8640"/>
      </w:tabs>
    </w:pPr>
  </w:style>
  <w:style w:type="character" w:customStyle="1" w:styleId="HeaderChar">
    <w:name w:val="Header Char"/>
    <w:aliases w:val="encabezado Char"/>
    <w:basedOn w:val="DefaultParagraphFont"/>
    <w:link w:val="Header"/>
    <w:rsid w:val="004043A2"/>
    <w:rPr>
      <w:rFonts w:ascii="Times New Roman" w:eastAsia="Times New Roman" w:hAnsi="Times New Roman" w:cs="Times New Roman"/>
      <w:sz w:val="20"/>
      <w:szCs w:val="20"/>
      <w:lang w:val="fr-CA"/>
    </w:rPr>
  </w:style>
  <w:style w:type="paragraph" w:styleId="FootnoteText">
    <w:name w:val="footnote text"/>
    <w:basedOn w:val="Normal"/>
    <w:link w:val="FootnoteTextChar"/>
    <w:uiPriority w:val="99"/>
    <w:rsid w:val="004043A2"/>
  </w:style>
  <w:style w:type="character" w:customStyle="1" w:styleId="FootnoteTextChar">
    <w:name w:val="Footnote Text Char"/>
    <w:basedOn w:val="DefaultParagraphFont"/>
    <w:link w:val="FootnoteText"/>
    <w:uiPriority w:val="99"/>
    <w:rsid w:val="004043A2"/>
    <w:rPr>
      <w:rFonts w:ascii="Times New Roman" w:eastAsia="Times New Roman" w:hAnsi="Times New Roman" w:cs="Times New Roman"/>
      <w:sz w:val="20"/>
      <w:szCs w:val="20"/>
      <w:lang w:val="fr-CA"/>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4043A2"/>
    <w:rPr>
      <w:vertAlign w:val="superscript"/>
      <w:lang w:val="fr-CA" w:eastAsia="en-US"/>
    </w:rPr>
  </w:style>
  <w:style w:type="character" w:styleId="Hyperlink">
    <w:name w:val="Hyperlink"/>
    <w:rsid w:val="004043A2"/>
    <w:rPr>
      <w:rFonts w:ascii="Times New Roman" w:hAnsi="Times New Roman" w:cs="Times New Roman" w:hint="default"/>
      <w:color w:val="0000FF"/>
      <w:u w:val="single"/>
      <w:lang w:val="fr-CA" w:eastAsia="en-US"/>
    </w:rPr>
  </w:style>
  <w:style w:type="paragraph" w:styleId="ListParagraph">
    <w:name w:val="List Paragraph"/>
    <w:basedOn w:val="Normal"/>
    <w:uiPriority w:val="34"/>
    <w:qFormat/>
    <w:rsid w:val="004043A2"/>
    <w:pPr>
      <w:ind w:left="720"/>
    </w:pPr>
    <w:rPr>
      <w:rFonts w:eastAsia="Calibri"/>
      <w:sz w:val="24"/>
      <w:szCs w:val="24"/>
    </w:rPr>
  </w:style>
  <w:style w:type="character" w:styleId="FollowedHyperlink">
    <w:name w:val="FollowedHyperlink"/>
    <w:basedOn w:val="DefaultParagraphFont"/>
    <w:uiPriority w:val="99"/>
    <w:semiHidden/>
    <w:unhideWhenUsed/>
    <w:rsid w:val="004043A2"/>
    <w:rPr>
      <w:color w:val="954F72" w:themeColor="followedHyperlink"/>
      <w:u w:val="single"/>
    </w:rPr>
  </w:style>
  <w:style w:type="paragraph" w:styleId="Footer">
    <w:name w:val="footer"/>
    <w:basedOn w:val="Normal"/>
    <w:link w:val="FooterChar"/>
    <w:uiPriority w:val="99"/>
    <w:unhideWhenUsed/>
    <w:rsid w:val="004043A2"/>
    <w:pPr>
      <w:tabs>
        <w:tab w:val="center" w:pos="4680"/>
        <w:tab w:val="right" w:pos="9360"/>
      </w:tabs>
    </w:pPr>
  </w:style>
  <w:style w:type="character" w:customStyle="1" w:styleId="FooterChar">
    <w:name w:val="Footer Char"/>
    <w:basedOn w:val="DefaultParagraphFont"/>
    <w:link w:val="Footer"/>
    <w:uiPriority w:val="99"/>
    <w:rsid w:val="004043A2"/>
    <w:rPr>
      <w:rFonts w:ascii="Times New Roman" w:eastAsia="Times New Roman" w:hAnsi="Times New Roman" w:cs="Times New Roman"/>
      <w:sz w:val="20"/>
      <w:szCs w:val="20"/>
      <w:lang w:val="fr-CA"/>
    </w:rPr>
  </w:style>
  <w:style w:type="character" w:styleId="UnresolvedMention">
    <w:name w:val="Unresolved Mention"/>
    <w:basedOn w:val="DefaultParagraphFont"/>
    <w:uiPriority w:val="99"/>
    <w:semiHidden/>
    <w:unhideWhenUsed/>
    <w:rsid w:val="004043A2"/>
    <w:rPr>
      <w:color w:val="605E5C"/>
      <w:shd w:val="clear" w:color="auto" w:fill="E1DFDD"/>
    </w:rPr>
  </w:style>
  <w:style w:type="character" w:styleId="CommentReference">
    <w:name w:val="annotation reference"/>
    <w:basedOn w:val="DefaultParagraphFont"/>
    <w:uiPriority w:val="99"/>
    <w:semiHidden/>
    <w:unhideWhenUsed/>
    <w:rsid w:val="00A41D8A"/>
    <w:rPr>
      <w:sz w:val="16"/>
      <w:szCs w:val="16"/>
    </w:rPr>
  </w:style>
  <w:style w:type="paragraph" w:styleId="CommentText">
    <w:name w:val="annotation text"/>
    <w:basedOn w:val="Normal"/>
    <w:link w:val="CommentTextChar"/>
    <w:uiPriority w:val="99"/>
    <w:unhideWhenUsed/>
    <w:rsid w:val="00A41D8A"/>
  </w:style>
  <w:style w:type="character" w:customStyle="1" w:styleId="CommentTextChar">
    <w:name w:val="Comment Text Char"/>
    <w:basedOn w:val="DefaultParagraphFont"/>
    <w:link w:val="CommentText"/>
    <w:uiPriority w:val="99"/>
    <w:rsid w:val="00A41D8A"/>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A41D8A"/>
    <w:rPr>
      <w:b/>
      <w:bCs/>
    </w:rPr>
  </w:style>
  <w:style w:type="character" w:customStyle="1" w:styleId="CommentSubjectChar">
    <w:name w:val="Comment Subject Char"/>
    <w:basedOn w:val="CommentTextChar"/>
    <w:link w:val="CommentSubject"/>
    <w:uiPriority w:val="99"/>
    <w:semiHidden/>
    <w:rsid w:val="00A41D8A"/>
    <w:rPr>
      <w:rFonts w:ascii="Times New Roman" w:eastAsia="Times New Roman" w:hAnsi="Times New Roman" w:cs="Times New Roman"/>
      <w:b/>
      <w:bCs/>
      <w:sz w:val="20"/>
      <w:szCs w:val="20"/>
      <w:lang w:val="fr-CA"/>
    </w:rPr>
  </w:style>
  <w:style w:type="paragraph" w:styleId="Revision">
    <w:name w:val="Revision"/>
    <w:hidden/>
    <w:uiPriority w:val="99"/>
    <w:semiHidden/>
    <w:rsid w:val="009F6B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s.org/es/sedi/dhdee/CIE/PLAN%20TRABAJO%20CIE%202019-2022-APR0BADO-CIDED00212-ESP.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AG/doc.&amp;classNum=5717&amp;lang=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sedi/dhdee/CIE/PLAN%20TRABAJO%20CIE%202019-2022-APR0BADO-CIDED00212-ESP.docx" TargetMode="External"/><Relationship Id="rId1" Type="http://schemas.openxmlformats.org/officeDocument/2006/relationships/hyperlink" Target="https://openknowledge.worldbank.org/handle/10986/35276?locale-attribute=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664B49-BA60-4C33-B347-3E536E59D76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7" ma:contentTypeDescription="Create a new document." ma:contentTypeScope="" ma:versionID="2a74d3edccf2b01d45f0ecc5d82d25d6">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1f8109e9feb84cd9ac81bb0b88f91743"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E40D6-F3C1-4474-BA4C-4985669F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B3BF9-9224-41E3-A529-DFF1504E89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9478B-3A15-4BC0-8038-7F393CD1E664}">
  <ds:schemaRefs>
    <ds:schemaRef ds:uri="http://schemas.microsoft.com/sharepoint/v3/contenttype/forms"/>
  </ds:schemaRefs>
</ds:datastoreItem>
</file>

<file path=customXml/itemProps4.xml><?xml version="1.0" encoding="utf-8"?>
<ds:datastoreItem xmlns:ds="http://schemas.openxmlformats.org/officeDocument/2006/customXml" ds:itemID="{B06F99A0-C27C-4209-ADFF-C3B5D3C5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Diaz - Avalos,  Estela</cp:lastModifiedBy>
  <cp:revision>3</cp:revision>
  <dcterms:created xsi:type="dcterms:W3CDTF">2021-05-16T19:01:00Z</dcterms:created>
  <dcterms:modified xsi:type="dcterms:W3CDTF">2021-05-16T19:02:00Z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