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77777777" w:rsidR="0040128C" w:rsidRPr="0024253A" w:rsidRDefault="0040128C" w:rsidP="0040128C">
      <w:pPr>
        <w:tabs>
          <w:tab w:val="left" w:pos="7200"/>
        </w:tabs>
        <w:ind w:right="-1080"/>
        <w:rPr>
          <w:sz w:val="22"/>
          <w:szCs w:val="22"/>
          <w:lang w:val="pt-BR"/>
        </w:rPr>
      </w:pPr>
      <w:r w:rsidRPr="002A6E19">
        <w:rPr>
          <w:sz w:val="22"/>
          <w:lang w:val="es-MX"/>
        </w:rPr>
        <w:tab/>
      </w:r>
      <w:r w:rsidRPr="0024253A">
        <w:rPr>
          <w:sz w:val="22"/>
          <w:lang w:val="pt-BR"/>
        </w:rPr>
        <w:t>OEA/Ser.W</w:t>
      </w:r>
    </w:p>
    <w:p w14:paraId="3D43C001" w14:textId="389A3A71" w:rsidR="0040128C" w:rsidRPr="0024253A" w:rsidRDefault="0040128C" w:rsidP="0040128C">
      <w:pPr>
        <w:tabs>
          <w:tab w:val="left" w:pos="7200"/>
        </w:tabs>
        <w:ind w:right="-1080"/>
        <w:rPr>
          <w:sz w:val="22"/>
          <w:szCs w:val="22"/>
          <w:lang w:val="pt-BR"/>
        </w:rPr>
      </w:pPr>
      <w:r w:rsidRPr="0024253A">
        <w:rPr>
          <w:sz w:val="22"/>
          <w:lang w:val="pt-BR"/>
        </w:rPr>
        <w:tab/>
        <w:t>CIDI/INF.</w:t>
      </w:r>
      <w:r w:rsidR="00EF6094">
        <w:rPr>
          <w:sz w:val="22"/>
          <w:lang w:val="pt-BR"/>
        </w:rPr>
        <w:t>426</w:t>
      </w:r>
      <w:r w:rsidR="007C551F" w:rsidRPr="0024253A">
        <w:rPr>
          <w:sz w:val="22"/>
          <w:lang w:val="pt-BR"/>
        </w:rPr>
        <w:t>/21</w:t>
      </w:r>
    </w:p>
    <w:p w14:paraId="6B29ADC5" w14:textId="713335AF" w:rsidR="0040128C" w:rsidRPr="002A6E19" w:rsidRDefault="0040128C" w:rsidP="0040128C">
      <w:pPr>
        <w:tabs>
          <w:tab w:val="left" w:pos="7200"/>
        </w:tabs>
        <w:ind w:right="-1080"/>
        <w:rPr>
          <w:sz w:val="22"/>
          <w:szCs w:val="22"/>
          <w:lang w:val="es-MX"/>
        </w:rPr>
      </w:pPr>
      <w:r w:rsidRPr="0024253A">
        <w:rPr>
          <w:sz w:val="22"/>
          <w:lang w:val="pt-BR"/>
        </w:rPr>
        <w:tab/>
      </w:r>
      <w:r w:rsidR="0024253A">
        <w:rPr>
          <w:sz w:val="22"/>
          <w:lang w:val="es-MX"/>
        </w:rPr>
        <w:t>1</w:t>
      </w:r>
      <w:r w:rsidR="00EF6094">
        <w:rPr>
          <w:sz w:val="22"/>
          <w:lang w:val="es-MX"/>
        </w:rPr>
        <w:t>4</w:t>
      </w:r>
      <w:r w:rsidR="0024253A">
        <w:rPr>
          <w:sz w:val="22"/>
          <w:lang w:val="es-MX"/>
        </w:rPr>
        <w:t xml:space="preserve"> mayo 2021</w:t>
      </w:r>
    </w:p>
    <w:p w14:paraId="38FC3C61" w14:textId="339CFDDE" w:rsidR="0040128C" w:rsidRPr="002A6E19" w:rsidRDefault="0040128C" w:rsidP="0040128C">
      <w:pPr>
        <w:pBdr>
          <w:bottom w:val="single" w:sz="12" w:space="1" w:color="auto"/>
        </w:pBdr>
        <w:tabs>
          <w:tab w:val="left" w:pos="7200"/>
        </w:tabs>
        <w:ind w:right="-389"/>
        <w:rPr>
          <w:sz w:val="22"/>
          <w:szCs w:val="22"/>
          <w:lang w:val="es-MX"/>
        </w:rPr>
      </w:pPr>
      <w:r w:rsidRPr="002A6E19">
        <w:rPr>
          <w:sz w:val="22"/>
          <w:lang w:val="es-MX"/>
        </w:rPr>
        <w:tab/>
        <w:t xml:space="preserve">Original: </w:t>
      </w:r>
      <w:r w:rsidR="00F23809">
        <w:rPr>
          <w:sz w:val="22"/>
          <w:lang w:val="es-MX"/>
        </w:rPr>
        <w:t>inglés</w:t>
      </w:r>
    </w:p>
    <w:p w14:paraId="3FA51899" w14:textId="77777777" w:rsidR="0040128C" w:rsidRPr="002A6E19" w:rsidRDefault="0040128C" w:rsidP="0040128C">
      <w:pPr>
        <w:pBdr>
          <w:bottom w:val="single" w:sz="12" w:space="1" w:color="auto"/>
        </w:pBdr>
        <w:tabs>
          <w:tab w:val="left" w:pos="7200"/>
        </w:tabs>
        <w:ind w:right="-389"/>
        <w:rPr>
          <w:sz w:val="22"/>
          <w:szCs w:val="22"/>
          <w:lang w:val="es-MX"/>
        </w:rPr>
      </w:pPr>
    </w:p>
    <w:p w14:paraId="3BAD8ABC" w14:textId="77777777" w:rsidR="0040128C" w:rsidRPr="002A6E19" w:rsidRDefault="0040128C" w:rsidP="0040128C">
      <w:pPr>
        <w:tabs>
          <w:tab w:val="left" w:pos="7200"/>
        </w:tabs>
        <w:ind w:right="-1080"/>
        <w:rPr>
          <w:sz w:val="22"/>
          <w:szCs w:val="22"/>
          <w:lang w:val="es-MX"/>
        </w:rPr>
      </w:pPr>
    </w:p>
    <w:p w14:paraId="0BB03062" w14:textId="77777777" w:rsidR="0040128C" w:rsidRPr="002A6E19" w:rsidRDefault="0040128C" w:rsidP="0040128C">
      <w:pPr>
        <w:jc w:val="both"/>
        <w:outlineLvl w:val="0"/>
        <w:rPr>
          <w:sz w:val="22"/>
          <w:szCs w:val="22"/>
          <w:lang w:val="es-MX"/>
        </w:rPr>
      </w:pPr>
    </w:p>
    <w:p w14:paraId="013CCA2A" w14:textId="06F7D911" w:rsidR="0040128C" w:rsidRPr="002A6E19" w:rsidRDefault="0024253A" w:rsidP="0040128C">
      <w:pPr>
        <w:jc w:val="center"/>
        <w:rPr>
          <w:rFonts w:eastAsia="Calibri"/>
          <w:sz w:val="22"/>
          <w:szCs w:val="22"/>
          <w:lang w:val="es-MX"/>
        </w:rPr>
      </w:pPr>
      <w:r>
        <w:rPr>
          <w:sz w:val="22"/>
          <w:lang w:val="es-MX"/>
        </w:rPr>
        <w:t>NOTA</w:t>
      </w:r>
      <w:r w:rsidR="00704D55" w:rsidRPr="002A6E19">
        <w:rPr>
          <w:sz w:val="22"/>
          <w:lang w:val="es-MX"/>
        </w:rPr>
        <w:t xml:space="preserve"> </w:t>
      </w:r>
      <w:r w:rsidR="0040128C" w:rsidRPr="002A6E19">
        <w:rPr>
          <w:sz w:val="22"/>
          <w:lang w:val="es-MX"/>
        </w:rPr>
        <w:t>CONCEPTUAL</w:t>
      </w:r>
    </w:p>
    <w:p w14:paraId="14246755" w14:textId="77777777" w:rsidR="0040128C" w:rsidRPr="002A6E19" w:rsidRDefault="0040128C" w:rsidP="0040128C">
      <w:pPr>
        <w:rPr>
          <w:rFonts w:eastAsia="Calibri"/>
          <w:sz w:val="22"/>
          <w:szCs w:val="22"/>
          <w:lang w:val="es-MX"/>
        </w:rPr>
      </w:pPr>
    </w:p>
    <w:p w14:paraId="539CD297" w14:textId="77777777" w:rsidR="0040128C" w:rsidRPr="002A6E19" w:rsidRDefault="0040128C" w:rsidP="0040128C">
      <w:pPr>
        <w:jc w:val="center"/>
        <w:rPr>
          <w:rFonts w:eastAsia="Calibri"/>
          <w:caps/>
          <w:sz w:val="22"/>
          <w:szCs w:val="22"/>
          <w:lang w:val="es-MX"/>
        </w:rPr>
      </w:pPr>
      <w:r w:rsidRPr="002A6E19">
        <w:rPr>
          <w:caps/>
          <w:sz w:val="22"/>
          <w:lang w:val="es-MX"/>
        </w:rPr>
        <w:t xml:space="preserve">Reunión ordinaria del </w:t>
      </w:r>
    </w:p>
    <w:p w14:paraId="4247BE5D" w14:textId="77777777" w:rsidR="0040128C" w:rsidRPr="002A6E19" w:rsidRDefault="0040128C" w:rsidP="0040128C">
      <w:pPr>
        <w:jc w:val="center"/>
        <w:rPr>
          <w:rFonts w:eastAsia="Calibri"/>
          <w:caps/>
          <w:sz w:val="22"/>
          <w:szCs w:val="22"/>
          <w:lang w:val="es-MX"/>
        </w:rPr>
      </w:pPr>
      <w:r w:rsidRPr="002A6E19">
        <w:rPr>
          <w:caps/>
          <w:sz w:val="22"/>
          <w:lang w:val="es-MX"/>
        </w:rPr>
        <w:t xml:space="preserve">Consejo Interamericano para el Desarrollo Integral (CIDI) </w:t>
      </w:r>
    </w:p>
    <w:p w14:paraId="555ECD4D" w14:textId="7D1FA8BA" w:rsidR="0040128C" w:rsidRPr="002A6E19" w:rsidRDefault="00C8592B" w:rsidP="0040128C">
      <w:pPr>
        <w:jc w:val="center"/>
        <w:rPr>
          <w:rFonts w:eastAsia="Calibri"/>
          <w:caps/>
          <w:sz w:val="22"/>
          <w:szCs w:val="22"/>
          <w:lang w:val="es-MX"/>
        </w:rPr>
      </w:pPr>
      <w:r w:rsidRPr="002A6E19">
        <w:rPr>
          <w:caps/>
          <w:sz w:val="22"/>
          <w:lang w:val="es-MX"/>
        </w:rPr>
        <w:t>25 DE MAYO</w:t>
      </w:r>
      <w:r w:rsidR="00C82FD3" w:rsidRPr="002A6E19">
        <w:rPr>
          <w:caps/>
          <w:sz w:val="22"/>
          <w:lang w:val="es-MX"/>
        </w:rPr>
        <w:t xml:space="preserve"> de 2021</w:t>
      </w:r>
    </w:p>
    <w:p w14:paraId="30F6E2CF" w14:textId="77777777" w:rsidR="0040128C" w:rsidRPr="002A6E19" w:rsidRDefault="0040128C" w:rsidP="0040128C">
      <w:pPr>
        <w:rPr>
          <w:rFonts w:eastAsia="Calibri"/>
          <w:caps/>
          <w:sz w:val="22"/>
          <w:szCs w:val="22"/>
          <w:lang w:val="es-MX"/>
        </w:rPr>
      </w:pPr>
    </w:p>
    <w:p w14:paraId="4DDE9370" w14:textId="77777777" w:rsidR="0040128C" w:rsidRPr="002A6E19" w:rsidRDefault="0040128C" w:rsidP="0040128C">
      <w:pPr>
        <w:rPr>
          <w:rFonts w:eastAsia="Calibri"/>
          <w:sz w:val="22"/>
          <w:szCs w:val="22"/>
          <w:lang w:val="es-MX"/>
        </w:rPr>
      </w:pPr>
    </w:p>
    <w:p w14:paraId="2967CB76" w14:textId="2903F4AD" w:rsidR="00EC5479" w:rsidRDefault="00C82FD3" w:rsidP="0024253A">
      <w:pPr>
        <w:tabs>
          <w:tab w:val="left" w:pos="900"/>
        </w:tabs>
        <w:jc w:val="center"/>
        <w:rPr>
          <w:b/>
          <w:sz w:val="22"/>
          <w:lang w:val="es-MX"/>
        </w:rPr>
      </w:pPr>
      <w:r w:rsidRPr="002A6E19">
        <w:rPr>
          <w:b/>
          <w:sz w:val="22"/>
          <w:lang w:val="es-MX"/>
        </w:rPr>
        <w:t>TEMA:</w:t>
      </w:r>
      <w:r w:rsidR="0024253A">
        <w:rPr>
          <w:b/>
          <w:sz w:val="22"/>
          <w:lang w:val="es-MX"/>
        </w:rPr>
        <w:tab/>
      </w:r>
      <w:r w:rsidR="00294583" w:rsidRPr="002A6E19">
        <w:rPr>
          <w:b/>
          <w:sz w:val="22"/>
          <w:lang w:val="es-MX"/>
        </w:rPr>
        <w:t>PROFUNDIZAR LAS SINERGIAS ENTRE INICIATIVAS EDUCATIVAS GLOBALES, HEMISFÉRICAS Y SUBREGIONALES</w:t>
      </w:r>
    </w:p>
    <w:p w14:paraId="0B9C1614" w14:textId="77777777" w:rsidR="0024253A" w:rsidRPr="002A6E19" w:rsidRDefault="0024253A" w:rsidP="00786736">
      <w:pPr>
        <w:jc w:val="center"/>
        <w:rPr>
          <w:caps/>
          <w:sz w:val="22"/>
          <w:szCs w:val="22"/>
          <w:lang w:val="es-MX"/>
        </w:rPr>
      </w:pPr>
    </w:p>
    <w:p w14:paraId="10AB1ECD" w14:textId="368F95D4" w:rsidR="00EC5479" w:rsidRPr="0024253A" w:rsidRDefault="00B3526C" w:rsidP="0024253A">
      <w:pPr>
        <w:pStyle w:val="ListParagraph0"/>
        <w:numPr>
          <w:ilvl w:val="0"/>
          <w:numId w:val="27"/>
        </w:numPr>
        <w:tabs>
          <w:tab w:val="left" w:pos="1800"/>
        </w:tabs>
        <w:ind w:left="1800"/>
        <w:jc w:val="both"/>
        <w:rPr>
          <w:sz w:val="22"/>
          <w:szCs w:val="22"/>
          <w:lang w:val="es-MX"/>
        </w:rPr>
      </w:pPr>
      <w:r w:rsidRPr="0024253A">
        <w:rPr>
          <w:sz w:val="22"/>
          <w:szCs w:val="22"/>
          <w:lang w:val="es-MX"/>
        </w:rPr>
        <w:t xml:space="preserve">Promoviendo la </w:t>
      </w:r>
      <w:r w:rsidR="005D6319" w:rsidRPr="0024253A">
        <w:rPr>
          <w:sz w:val="22"/>
          <w:szCs w:val="22"/>
          <w:lang w:val="es-MX"/>
        </w:rPr>
        <w:t>Propuesta Hemisférica de Acción para la Continuidad de la</w:t>
      </w:r>
      <w:r w:rsidR="0024253A">
        <w:rPr>
          <w:sz w:val="22"/>
          <w:szCs w:val="22"/>
          <w:lang w:val="es-MX"/>
        </w:rPr>
        <w:t xml:space="preserve"> </w:t>
      </w:r>
      <w:r w:rsidR="005D6319" w:rsidRPr="0024253A">
        <w:rPr>
          <w:sz w:val="22"/>
          <w:szCs w:val="22"/>
          <w:lang w:val="es-MX"/>
        </w:rPr>
        <w:t xml:space="preserve">Educación </w:t>
      </w:r>
      <w:r w:rsidR="00787C8C" w:rsidRPr="0024253A">
        <w:rPr>
          <w:sz w:val="22"/>
          <w:szCs w:val="22"/>
          <w:lang w:val="es-MX"/>
        </w:rPr>
        <w:t>b</w:t>
      </w:r>
      <w:r w:rsidR="005D6319" w:rsidRPr="0024253A">
        <w:rPr>
          <w:sz w:val="22"/>
          <w:szCs w:val="22"/>
          <w:lang w:val="es-MX"/>
        </w:rPr>
        <w:t xml:space="preserve">ajo </w:t>
      </w:r>
      <w:r w:rsidR="00787C8C" w:rsidRPr="0024253A">
        <w:rPr>
          <w:sz w:val="22"/>
          <w:szCs w:val="22"/>
          <w:lang w:val="es-MX"/>
        </w:rPr>
        <w:t>l</w:t>
      </w:r>
      <w:r w:rsidR="005D6319" w:rsidRPr="0024253A">
        <w:rPr>
          <w:sz w:val="22"/>
          <w:szCs w:val="22"/>
          <w:lang w:val="es-MX"/>
        </w:rPr>
        <w:t xml:space="preserve">os Efectos </w:t>
      </w:r>
      <w:r w:rsidR="00865D3A" w:rsidRPr="0024253A">
        <w:rPr>
          <w:sz w:val="22"/>
          <w:szCs w:val="22"/>
          <w:lang w:val="es-MX"/>
        </w:rPr>
        <w:t>d</w:t>
      </w:r>
      <w:r w:rsidR="005D6319" w:rsidRPr="0024253A">
        <w:rPr>
          <w:sz w:val="22"/>
          <w:szCs w:val="22"/>
          <w:lang w:val="es-MX"/>
        </w:rPr>
        <w:t xml:space="preserve">e </w:t>
      </w:r>
      <w:r w:rsidR="00865D3A" w:rsidRPr="0024253A">
        <w:rPr>
          <w:sz w:val="22"/>
          <w:szCs w:val="22"/>
          <w:lang w:val="es-MX"/>
        </w:rPr>
        <w:t>l</w:t>
      </w:r>
      <w:r w:rsidR="005D6319" w:rsidRPr="0024253A">
        <w:rPr>
          <w:sz w:val="22"/>
          <w:szCs w:val="22"/>
          <w:lang w:val="es-MX"/>
        </w:rPr>
        <w:t xml:space="preserve">a Pandemia </w:t>
      </w:r>
      <w:r w:rsidR="00865D3A" w:rsidRPr="0024253A">
        <w:rPr>
          <w:sz w:val="22"/>
          <w:szCs w:val="22"/>
          <w:lang w:val="es-MX"/>
        </w:rPr>
        <w:t>d</w:t>
      </w:r>
      <w:r w:rsidR="005D6319" w:rsidRPr="0024253A">
        <w:rPr>
          <w:sz w:val="22"/>
          <w:szCs w:val="22"/>
          <w:lang w:val="es-MX"/>
        </w:rPr>
        <w:t>el Coronavirus (</w:t>
      </w:r>
      <w:r w:rsidR="00865D3A" w:rsidRPr="0024253A">
        <w:rPr>
          <w:sz w:val="22"/>
          <w:szCs w:val="22"/>
          <w:lang w:val="es-MX"/>
        </w:rPr>
        <w:t>PHACE</w:t>
      </w:r>
      <w:r w:rsidR="005D6319" w:rsidRPr="0024253A">
        <w:rPr>
          <w:sz w:val="22"/>
          <w:szCs w:val="22"/>
          <w:lang w:val="es-MX"/>
        </w:rPr>
        <w:t>),</w:t>
      </w:r>
    </w:p>
    <w:p w14:paraId="08D64C2D" w14:textId="77777777" w:rsidR="00787C8C" w:rsidRPr="002A6E19" w:rsidRDefault="00787C8C" w:rsidP="00C82FD3">
      <w:pPr>
        <w:jc w:val="center"/>
        <w:rPr>
          <w:caps/>
          <w:sz w:val="22"/>
          <w:szCs w:val="22"/>
          <w:highlight w:val="yellow"/>
          <w:lang w:val="es-MX"/>
        </w:rPr>
      </w:pPr>
    </w:p>
    <w:p w14:paraId="038EF649" w14:textId="6176B89C" w:rsidR="00C26144" w:rsidRPr="002A6E19" w:rsidRDefault="00C26144" w:rsidP="00C26144">
      <w:pPr>
        <w:numPr>
          <w:ilvl w:val="0"/>
          <w:numId w:val="16"/>
        </w:numPr>
        <w:tabs>
          <w:tab w:val="left" w:pos="720"/>
          <w:tab w:val="left" w:pos="1440"/>
          <w:tab w:val="left" w:pos="2160"/>
        </w:tabs>
        <w:ind w:left="0" w:firstLine="0"/>
        <w:rPr>
          <w:b/>
          <w:sz w:val="22"/>
          <w:szCs w:val="22"/>
          <w:lang w:val="es-MX"/>
        </w:rPr>
      </w:pPr>
      <w:r w:rsidRPr="002A6E19">
        <w:rPr>
          <w:b/>
          <w:sz w:val="22"/>
          <w:szCs w:val="22"/>
          <w:lang w:val="es-MX"/>
        </w:rPr>
        <w:t>Antecedentes</w:t>
      </w:r>
      <w:r w:rsidR="00DA35E0" w:rsidRPr="002A6E19">
        <w:rPr>
          <w:b/>
          <w:sz w:val="22"/>
          <w:szCs w:val="22"/>
          <w:lang w:val="es-MX"/>
        </w:rPr>
        <w:t xml:space="preserve"> y </w:t>
      </w:r>
      <w:r w:rsidRPr="002A6E19">
        <w:rPr>
          <w:b/>
          <w:sz w:val="22"/>
          <w:szCs w:val="22"/>
          <w:lang w:val="es-MX"/>
        </w:rPr>
        <w:t xml:space="preserve">Justificación </w:t>
      </w:r>
    </w:p>
    <w:p w14:paraId="28BCB89F" w14:textId="31F9BD8E" w:rsidR="00EC5479" w:rsidRPr="002A6E19" w:rsidRDefault="00EC5479" w:rsidP="00C26144">
      <w:pPr>
        <w:rPr>
          <w:caps/>
          <w:sz w:val="22"/>
          <w:szCs w:val="22"/>
          <w:highlight w:val="yellow"/>
          <w:lang w:val="es-MX"/>
        </w:rPr>
      </w:pPr>
    </w:p>
    <w:p w14:paraId="1283A6AC" w14:textId="539EB23C" w:rsidR="00EC5479" w:rsidRPr="002A6E19" w:rsidRDefault="00726331" w:rsidP="0032233E">
      <w:pPr>
        <w:tabs>
          <w:tab w:val="left" w:pos="720"/>
          <w:tab w:val="left" w:pos="1530"/>
          <w:tab w:val="left" w:pos="7380"/>
        </w:tabs>
        <w:ind w:firstLine="720"/>
        <w:jc w:val="both"/>
        <w:rPr>
          <w:rFonts w:eastAsia="MS Mincho"/>
          <w:sz w:val="22"/>
          <w:szCs w:val="22"/>
          <w:lang w:val="es-MX"/>
        </w:rPr>
      </w:pPr>
      <w:r w:rsidRPr="002A6E19">
        <w:rPr>
          <w:rFonts w:eastAsia="MS Mincho"/>
          <w:sz w:val="22"/>
          <w:szCs w:val="22"/>
          <w:lang w:val="es-MX"/>
        </w:rPr>
        <w:t xml:space="preserve">La declaración de </w:t>
      </w:r>
      <w:r w:rsidR="00A00402" w:rsidRPr="002A6E19">
        <w:rPr>
          <w:rFonts w:eastAsia="MS Mincho"/>
          <w:sz w:val="22"/>
          <w:szCs w:val="22"/>
          <w:lang w:val="es-MX"/>
        </w:rPr>
        <w:t>COVID</w:t>
      </w:r>
      <w:r w:rsidRPr="002A6E19">
        <w:rPr>
          <w:rFonts w:eastAsia="MS Mincho"/>
          <w:sz w:val="22"/>
          <w:szCs w:val="22"/>
          <w:lang w:val="es-MX"/>
        </w:rPr>
        <w:t xml:space="preserve">-19 </w:t>
      </w:r>
      <w:r w:rsidR="00A00402" w:rsidRPr="002A6E19">
        <w:rPr>
          <w:rFonts w:eastAsia="MS Mincho"/>
          <w:sz w:val="22"/>
          <w:szCs w:val="22"/>
          <w:lang w:val="es-MX"/>
        </w:rPr>
        <w:t xml:space="preserve">por parte </w:t>
      </w:r>
      <w:r w:rsidRPr="002A6E19">
        <w:rPr>
          <w:rFonts w:eastAsia="MS Mincho"/>
          <w:sz w:val="22"/>
          <w:szCs w:val="22"/>
          <w:lang w:val="es-MX"/>
        </w:rPr>
        <w:t>de la Organización Mundial de la Salud (OMS) como pandemia y la aplicación generalizada de medidas rigurosas para contener su difusión</w:t>
      </w:r>
      <w:r w:rsidR="0034628E" w:rsidRPr="002A6E19">
        <w:rPr>
          <w:rFonts w:eastAsia="MS Mincho"/>
          <w:sz w:val="22"/>
          <w:szCs w:val="22"/>
          <w:lang w:val="es-MX"/>
        </w:rPr>
        <w:t>,</w:t>
      </w:r>
      <w:r w:rsidRPr="002A6E19">
        <w:rPr>
          <w:rFonts w:eastAsia="MS Mincho"/>
          <w:sz w:val="22"/>
          <w:szCs w:val="22"/>
          <w:lang w:val="es-MX"/>
        </w:rPr>
        <w:t xml:space="preserve"> han tenido un impacto significativo en todas las facetas de la sociedad. Es el mayor shock que los sistemas educativos han experimentado en la historia. Los países de América Latina y el Caribe (LAC), al tiempo que se ocupaban de las presiones duales ejercidas sobre sus sistemas de salud y económicos, debían implementar diversas estrategias de aprendizaje remoto para brindar apoyo educativo a su población estudiantil.</w:t>
      </w:r>
    </w:p>
    <w:p w14:paraId="0E8DB0DE" w14:textId="77777777" w:rsidR="003768B9" w:rsidRPr="002A6E19" w:rsidRDefault="003768B9" w:rsidP="00EC5479">
      <w:pPr>
        <w:tabs>
          <w:tab w:val="left" w:pos="720"/>
          <w:tab w:val="left" w:pos="1530"/>
          <w:tab w:val="left" w:pos="7380"/>
        </w:tabs>
        <w:ind w:firstLine="720"/>
        <w:jc w:val="both"/>
        <w:rPr>
          <w:rFonts w:eastAsia="MS Mincho"/>
          <w:sz w:val="22"/>
          <w:szCs w:val="22"/>
          <w:lang w:val="es-MX"/>
        </w:rPr>
      </w:pPr>
    </w:p>
    <w:p w14:paraId="0D777B9B" w14:textId="21C11F41" w:rsidR="006E20F9" w:rsidRPr="002A6E19" w:rsidRDefault="006E20F9" w:rsidP="00EC5479">
      <w:pPr>
        <w:tabs>
          <w:tab w:val="left" w:pos="720"/>
          <w:tab w:val="left" w:pos="1530"/>
          <w:tab w:val="left" w:pos="7380"/>
        </w:tabs>
        <w:ind w:firstLine="720"/>
        <w:jc w:val="both"/>
        <w:rPr>
          <w:rFonts w:eastAsia="MS Mincho"/>
          <w:sz w:val="22"/>
          <w:szCs w:val="22"/>
          <w:lang w:val="es-MX"/>
        </w:rPr>
      </w:pPr>
      <w:r w:rsidRPr="002A6E19">
        <w:rPr>
          <w:rFonts w:eastAsia="MS Mincho"/>
          <w:sz w:val="22"/>
          <w:szCs w:val="22"/>
          <w:lang w:val="es-MX"/>
        </w:rPr>
        <w:t>A pesar de sus enormes esfuerzos, el aprendizaje en los países de L</w:t>
      </w:r>
      <w:r w:rsidR="007A5924" w:rsidRPr="002A6E19">
        <w:rPr>
          <w:rFonts w:eastAsia="MS Mincho"/>
          <w:sz w:val="22"/>
          <w:szCs w:val="22"/>
          <w:lang w:val="es-MX"/>
        </w:rPr>
        <w:t>AC</w:t>
      </w:r>
      <w:r w:rsidRPr="002A6E19">
        <w:rPr>
          <w:rFonts w:eastAsia="MS Mincho"/>
          <w:sz w:val="22"/>
          <w:szCs w:val="22"/>
          <w:lang w:val="es-MX"/>
        </w:rPr>
        <w:t xml:space="preserve"> se está deteriorando. Según un informe reciente del Banco Mundial</w:t>
      </w:r>
      <w:r w:rsidR="002A5B0E" w:rsidRPr="0024253A">
        <w:rPr>
          <w:rStyle w:val="FootnoteReference"/>
          <w:rFonts w:eastAsia="MS Mincho"/>
          <w:sz w:val="22"/>
          <w:szCs w:val="22"/>
          <w:u w:val="single"/>
        </w:rPr>
        <w:footnoteReference w:id="1"/>
      </w:r>
      <w:r w:rsidR="0024253A" w:rsidRPr="0024253A">
        <w:rPr>
          <w:rFonts w:eastAsia="MS Mincho"/>
          <w:sz w:val="22"/>
          <w:szCs w:val="22"/>
          <w:vertAlign w:val="superscript"/>
          <w:lang w:val="es-MX"/>
        </w:rPr>
        <w:t>/</w:t>
      </w:r>
      <w:r w:rsidRPr="002A6E19">
        <w:rPr>
          <w:rFonts w:eastAsia="MS Mincho"/>
          <w:sz w:val="22"/>
          <w:szCs w:val="22"/>
          <w:lang w:val="es-MX"/>
        </w:rPr>
        <w:t xml:space="preserve">, casi 120 millones de niños en edad escolar en la región se perdieron o estuvieron a punto de perder todo un año académico de educación actual. Como resultado, la región enfrenta una aguda crisis educativa. Está en camino de convertirse en la región con el segundo mayor aumento absoluto de la pobreza de aprendizaje y una de las regiones con mayor aumento absoluto en la proporción de estudiantes de educación secundaria inferior que tienen un desempeño </w:t>
      </w:r>
      <w:r w:rsidR="00AF77E9" w:rsidRPr="002A6E19">
        <w:rPr>
          <w:rFonts w:eastAsia="MS Mincho"/>
          <w:sz w:val="22"/>
          <w:szCs w:val="22"/>
          <w:lang w:val="es-MX"/>
        </w:rPr>
        <w:t>por debajo del nivel mínimo de rendimiento (</w:t>
      </w:r>
      <w:proofErr w:type="spellStart"/>
      <w:r w:rsidR="00AF77E9" w:rsidRPr="0024253A">
        <w:rPr>
          <w:rFonts w:eastAsia="MS Mincho"/>
          <w:i/>
          <w:iCs/>
          <w:sz w:val="22"/>
          <w:szCs w:val="22"/>
          <w:lang w:val="es-US"/>
        </w:rPr>
        <w:t>Below</w:t>
      </w:r>
      <w:proofErr w:type="spellEnd"/>
      <w:r w:rsidR="00AF77E9" w:rsidRPr="0024253A">
        <w:rPr>
          <w:rFonts w:eastAsia="MS Mincho"/>
          <w:i/>
          <w:iCs/>
          <w:sz w:val="22"/>
          <w:szCs w:val="22"/>
          <w:lang w:val="es-US"/>
        </w:rPr>
        <w:t xml:space="preserve"> </w:t>
      </w:r>
      <w:proofErr w:type="spellStart"/>
      <w:r w:rsidR="00AF77E9" w:rsidRPr="0024253A">
        <w:rPr>
          <w:rFonts w:eastAsia="MS Mincho"/>
          <w:i/>
          <w:iCs/>
          <w:sz w:val="22"/>
          <w:szCs w:val="22"/>
          <w:lang w:val="es-US"/>
        </w:rPr>
        <w:t>Minimum</w:t>
      </w:r>
      <w:proofErr w:type="spellEnd"/>
      <w:r w:rsidR="00AF77E9" w:rsidRPr="0024253A">
        <w:rPr>
          <w:rFonts w:eastAsia="MS Mincho"/>
          <w:i/>
          <w:iCs/>
          <w:sz w:val="22"/>
          <w:szCs w:val="22"/>
          <w:lang w:val="es-US"/>
        </w:rPr>
        <w:t xml:space="preserve"> </w:t>
      </w:r>
      <w:proofErr w:type="spellStart"/>
      <w:r w:rsidR="00AF77E9" w:rsidRPr="0024253A">
        <w:rPr>
          <w:rFonts w:eastAsia="MS Mincho"/>
          <w:i/>
          <w:iCs/>
          <w:sz w:val="22"/>
          <w:szCs w:val="22"/>
          <w:lang w:val="es-US"/>
        </w:rPr>
        <w:t>Proficiency</w:t>
      </w:r>
      <w:proofErr w:type="spellEnd"/>
      <w:r w:rsidR="00AF77E9" w:rsidRPr="0024253A">
        <w:rPr>
          <w:rFonts w:eastAsia="MS Mincho"/>
          <w:i/>
          <w:iCs/>
          <w:sz w:val="22"/>
          <w:szCs w:val="22"/>
          <w:lang w:val="es-US"/>
        </w:rPr>
        <w:t xml:space="preserve"> </w:t>
      </w:r>
      <w:proofErr w:type="spellStart"/>
      <w:r w:rsidR="00AF77E9" w:rsidRPr="0024253A">
        <w:rPr>
          <w:rFonts w:eastAsia="MS Mincho"/>
          <w:i/>
          <w:iCs/>
          <w:sz w:val="22"/>
          <w:szCs w:val="22"/>
          <w:lang w:val="es-US"/>
        </w:rPr>
        <w:t>Level</w:t>
      </w:r>
      <w:proofErr w:type="spellEnd"/>
      <w:r w:rsidR="00AF77E9" w:rsidRPr="0024253A">
        <w:rPr>
          <w:rFonts w:eastAsia="MS Mincho"/>
          <w:sz w:val="22"/>
          <w:szCs w:val="22"/>
          <w:lang w:val="es-US"/>
        </w:rPr>
        <w:t>, BMP)</w:t>
      </w:r>
      <w:r w:rsidRPr="0024253A">
        <w:rPr>
          <w:rFonts w:eastAsia="MS Mincho"/>
          <w:sz w:val="22"/>
          <w:szCs w:val="22"/>
          <w:lang w:val="es-US"/>
        </w:rPr>
        <w:t>.</w:t>
      </w:r>
      <w:r w:rsidR="00B9192E" w:rsidRPr="002A6E19">
        <w:rPr>
          <w:rFonts w:eastAsia="MS Mincho"/>
          <w:sz w:val="22"/>
          <w:szCs w:val="22"/>
          <w:lang w:val="es-MX"/>
        </w:rPr>
        <w:t xml:space="preserve"> Dado que estas consecuencias negativas son más prominentes entre los niños más pobres, tienen el potencial de aumentar la ya significativa brecha de logros socioeconómicos en un 12%.</w:t>
      </w:r>
    </w:p>
    <w:p w14:paraId="5901E854" w14:textId="77777777" w:rsidR="006E20F9" w:rsidRPr="002A6E19" w:rsidRDefault="006E20F9" w:rsidP="00EC5479">
      <w:pPr>
        <w:tabs>
          <w:tab w:val="left" w:pos="720"/>
          <w:tab w:val="left" w:pos="1530"/>
          <w:tab w:val="left" w:pos="7380"/>
        </w:tabs>
        <w:ind w:firstLine="720"/>
        <w:jc w:val="both"/>
        <w:rPr>
          <w:rFonts w:eastAsia="MS Mincho"/>
          <w:sz w:val="22"/>
          <w:szCs w:val="22"/>
          <w:lang w:val="es-MX"/>
        </w:rPr>
      </w:pPr>
    </w:p>
    <w:p w14:paraId="1E66D9D8" w14:textId="5F885ECF" w:rsidR="003F6D44" w:rsidRPr="002A6E19" w:rsidRDefault="009478ED" w:rsidP="00EC5479">
      <w:pPr>
        <w:tabs>
          <w:tab w:val="left" w:pos="720"/>
          <w:tab w:val="left" w:pos="1530"/>
          <w:tab w:val="left" w:pos="7380"/>
        </w:tabs>
        <w:ind w:firstLine="720"/>
        <w:jc w:val="both"/>
        <w:rPr>
          <w:rFonts w:eastAsia="MS Mincho"/>
          <w:sz w:val="22"/>
          <w:szCs w:val="22"/>
          <w:lang w:val="es-MX"/>
        </w:rPr>
      </w:pPr>
      <w:r w:rsidRPr="002A6E19">
        <w:rPr>
          <w:rFonts w:eastAsia="MS Mincho"/>
          <w:sz w:val="22"/>
          <w:szCs w:val="22"/>
          <w:lang w:val="es-MX"/>
        </w:rPr>
        <w:t>La Propuesta Hemisférica de Acción para la Continuidad de la Educación (PHACE) desarrollada por las Autoridades del Comité Interamericano de Educación (CIE) ha facilitado la adopción de actividades y proyectos en diferentes fases para garantizar la continuidad de la educación en los diferentes niveles del sistema educativo y promover la atención a los más desfavorecidos.</w:t>
      </w:r>
    </w:p>
    <w:p w14:paraId="0DAA191F" w14:textId="77777777" w:rsidR="009478ED" w:rsidRPr="002A6E19" w:rsidRDefault="009478ED" w:rsidP="00EC5479">
      <w:pPr>
        <w:tabs>
          <w:tab w:val="left" w:pos="720"/>
          <w:tab w:val="left" w:pos="1530"/>
          <w:tab w:val="left" w:pos="7380"/>
        </w:tabs>
        <w:ind w:firstLine="720"/>
        <w:jc w:val="both"/>
        <w:rPr>
          <w:rFonts w:eastAsia="MS Mincho"/>
          <w:sz w:val="22"/>
          <w:szCs w:val="22"/>
          <w:lang w:val="es-MX"/>
        </w:rPr>
      </w:pPr>
    </w:p>
    <w:p w14:paraId="1FAC4ABD" w14:textId="77777777" w:rsidR="005A635E" w:rsidRPr="002A6E19" w:rsidRDefault="005A635E" w:rsidP="00EC5479">
      <w:pPr>
        <w:tabs>
          <w:tab w:val="left" w:pos="720"/>
          <w:tab w:val="left" w:pos="1530"/>
          <w:tab w:val="left" w:pos="7380"/>
        </w:tabs>
        <w:ind w:firstLine="720"/>
        <w:jc w:val="both"/>
        <w:rPr>
          <w:rFonts w:eastAsia="MS Mincho"/>
          <w:sz w:val="22"/>
          <w:szCs w:val="22"/>
          <w:lang w:val="es-MX"/>
        </w:rPr>
      </w:pPr>
    </w:p>
    <w:p w14:paraId="5F9DDC57" w14:textId="575916D2" w:rsidR="00EC5479" w:rsidRPr="002A6E19" w:rsidRDefault="005A635E" w:rsidP="004A26D9">
      <w:pPr>
        <w:tabs>
          <w:tab w:val="left" w:pos="720"/>
          <w:tab w:val="left" w:pos="1530"/>
          <w:tab w:val="left" w:pos="7380"/>
        </w:tabs>
        <w:ind w:firstLine="720"/>
        <w:jc w:val="both"/>
        <w:rPr>
          <w:rFonts w:eastAsia="MS Mincho"/>
          <w:sz w:val="22"/>
          <w:szCs w:val="22"/>
          <w:lang w:val="es-MX"/>
        </w:rPr>
      </w:pPr>
      <w:r w:rsidRPr="002A6E19">
        <w:rPr>
          <w:rFonts w:eastAsia="MS Mincho"/>
          <w:sz w:val="22"/>
          <w:szCs w:val="22"/>
          <w:lang w:val="es-MX"/>
        </w:rPr>
        <w:t xml:space="preserve">La estrategia se basa en el análisis y la realidad de las </w:t>
      </w:r>
      <w:r w:rsidR="00E43A45" w:rsidRPr="002A6E19">
        <w:rPr>
          <w:rFonts w:eastAsia="MS Mincho"/>
          <w:sz w:val="22"/>
          <w:szCs w:val="22"/>
          <w:lang w:val="es-MX"/>
        </w:rPr>
        <w:t>accione</w:t>
      </w:r>
      <w:r w:rsidRPr="002A6E19">
        <w:rPr>
          <w:rFonts w:eastAsia="MS Mincho"/>
          <w:sz w:val="22"/>
          <w:szCs w:val="22"/>
          <w:lang w:val="es-MX"/>
        </w:rPr>
        <w:t>s adoptadas por los gobiernos de la región y otras experiencias internacionales adaptables. Su objetivo es poner de relieve las buenas prácticas, mejorar aquellas que han planteado desafíos y apoyar el desarrollo de soluciones para el contexto actual y post-</w:t>
      </w:r>
      <w:r w:rsidR="00C01564" w:rsidRPr="002A6E19">
        <w:rPr>
          <w:rFonts w:eastAsia="MS Mincho"/>
          <w:sz w:val="22"/>
          <w:szCs w:val="22"/>
          <w:lang w:val="es-MX"/>
        </w:rPr>
        <w:t>COVID</w:t>
      </w:r>
      <w:r w:rsidRPr="002A6E19">
        <w:rPr>
          <w:rFonts w:eastAsia="MS Mincho"/>
          <w:sz w:val="22"/>
          <w:szCs w:val="22"/>
          <w:lang w:val="es-MX"/>
        </w:rPr>
        <w:t>-19</w:t>
      </w:r>
      <w:r w:rsidR="00EC5479" w:rsidRPr="002A6E19">
        <w:rPr>
          <w:rFonts w:eastAsia="MS Mincho"/>
          <w:i/>
          <w:sz w:val="22"/>
          <w:szCs w:val="22"/>
          <w:lang w:val="es-MX"/>
        </w:rPr>
        <w:t>.</w:t>
      </w:r>
      <w:r w:rsidR="005F48F0" w:rsidRPr="002A6E19">
        <w:rPr>
          <w:rStyle w:val="FootnoteReference"/>
          <w:rFonts w:eastAsia="MS Mincho"/>
          <w:i/>
          <w:sz w:val="22"/>
          <w:szCs w:val="22"/>
          <w:lang w:val="es-MX"/>
        </w:rPr>
        <w:t xml:space="preserve"> </w:t>
      </w:r>
      <w:r w:rsidR="005F48F0" w:rsidRPr="0024253A">
        <w:rPr>
          <w:rStyle w:val="FootnoteReference"/>
          <w:rFonts w:eastAsia="MS Mincho"/>
          <w:sz w:val="22"/>
          <w:szCs w:val="22"/>
          <w:u w:val="single"/>
          <w:lang w:val="es-MX"/>
        </w:rPr>
        <w:footnoteReference w:id="2"/>
      </w:r>
      <w:r w:rsidR="0024253A" w:rsidRPr="0024253A">
        <w:rPr>
          <w:rFonts w:eastAsia="MS Mincho"/>
          <w:i/>
          <w:sz w:val="22"/>
          <w:szCs w:val="22"/>
          <w:vertAlign w:val="superscript"/>
          <w:lang w:val="es-MX"/>
        </w:rPr>
        <w:t>/</w:t>
      </w:r>
    </w:p>
    <w:p w14:paraId="461AD6DD" w14:textId="2BBC384A" w:rsidR="00EC5479" w:rsidRPr="002A6E19" w:rsidRDefault="00EC5479" w:rsidP="00EC5479">
      <w:pPr>
        <w:tabs>
          <w:tab w:val="left" w:pos="720"/>
          <w:tab w:val="left" w:pos="1530"/>
          <w:tab w:val="left" w:pos="7380"/>
        </w:tabs>
        <w:ind w:firstLine="720"/>
        <w:jc w:val="both"/>
        <w:rPr>
          <w:rFonts w:eastAsia="MS Mincho"/>
          <w:sz w:val="22"/>
          <w:szCs w:val="22"/>
          <w:lang w:val="es-MX"/>
        </w:rPr>
      </w:pPr>
    </w:p>
    <w:p w14:paraId="38A4BE3F" w14:textId="65899900" w:rsidR="00BF73A8" w:rsidRPr="002A6E19" w:rsidRDefault="00BF73A8" w:rsidP="00EC5479">
      <w:pPr>
        <w:tabs>
          <w:tab w:val="left" w:pos="720"/>
          <w:tab w:val="left" w:pos="1530"/>
          <w:tab w:val="left" w:pos="7380"/>
        </w:tabs>
        <w:ind w:firstLine="720"/>
        <w:jc w:val="both"/>
        <w:rPr>
          <w:rFonts w:eastAsia="MS Mincho"/>
          <w:sz w:val="22"/>
          <w:szCs w:val="22"/>
          <w:lang w:val="es-MX"/>
        </w:rPr>
      </w:pPr>
      <w:r w:rsidRPr="002A6E19">
        <w:rPr>
          <w:rFonts w:eastAsia="MS Mincho"/>
          <w:sz w:val="22"/>
          <w:szCs w:val="22"/>
          <w:lang w:val="es-MX"/>
        </w:rPr>
        <w:t xml:space="preserve">La crisis educativa sin precedentes ha </w:t>
      </w:r>
      <w:r w:rsidR="00014D10" w:rsidRPr="002A6E19">
        <w:rPr>
          <w:rFonts w:eastAsia="MS Mincho"/>
          <w:sz w:val="22"/>
          <w:szCs w:val="22"/>
          <w:lang w:val="es-MX"/>
        </w:rPr>
        <w:t>mostrado</w:t>
      </w:r>
      <w:r w:rsidRPr="002A6E19">
        <w:rPr>
          <w:rFonts w:eastAsia="MS Mincho"/>
          <w:sz w:val="22"/>
          <w:szCs w:val="22"/>
          <w:lang w:val="es-MX"/>
        </w:rPr>
        <w:t xml:space="preserve"> la importancia de desarrollar sistemas educativos adaptables y flexibles que puedan responder de manera efectiva y equitativa a los desafíos </w:t>
      </w:r>
      <w:r w:rsidR="00611042" w:rsidRPr="002A6E19">
        <w:rPr>
          <w:rFonts w:eastAsia="MS Mincho"/>
          <w:sz w:val="22"/>
          <w:szCs w:val="22"/>
          <w:lang w:val="es-MX"/>
        </w:rPr>
        <w:t>de origen sanitario, climático o pedagógico</w:t>
      </w:r>
      <w:r w:rsidRPr="002A6E19">
        <w:rPr>
          <w:rFonts w:eastAsia="MS Mincho"/>
          <w:sz w:val="22"/>
          <w:szCs w:val="22"/>
          <w:lang w:val="es-MX"/>
        </w:rPr>
        <w:t xml:space="preserve">. El diálogo de alto nivel sobre políticas públicas y acciones programáticas que se ha producido en el marco de la </w:t>
      </w:r>
      <w:r w:rsidR="0024253A">
        <w:rPr>
          <w:rFonts w:eastAsia="MS Mincho"/>
          <w:sz w:val="22"/>
          <w:szCs w:val="22"/>
          <w:lang w:val="es-MX"/>
        </w:rPr>
        <w:t>Organización de los Estados Americanos (</w:t>
      </w:r>
      <w:r w:rsidRPr="002A6E19">
        <w:rPr>
          <w:rFonts w:eastAsia="MS Mincho"/>
          <w:sz w:val="22"/>
          <w:szCs w:val="22"/>
          <w:lang w:val="es-MX"/>
        </w:rPr>
        <w:t>OEA</w:t>
      </w:r>
      <w:r w:rsidR="0024253A">
        <w:rPr>
          <w:rFonts w:eastAsia="MS Mincho"/>
          <w:sz w:val="22"/>
          <w:szCs w:val="22"/>
          <w:lang w:val="es-MX"/>
        </w:rPr>
        <w:t>)</w:t>
      </w:r>
      <w:r w:rsidRPr="002A6E19">
        <w:rPr>
          <w:rFonts w:eastAsia="MS Mincho"/>
          <w:sz w:val="22"/>
          <w:szCs w:val="22"/>
          <w:lang w:val="es-MX"/>
        </w:rPr>
        <w:t xml:space="preserve"> en el transcurso de la pandemia</w:t>
      </w:r>
      <w:r w:rsidR="002C2704" w:rsidRPr="002A6E19">
        <w:rPr>
          <w:rFonts w:eastAsia="MS Mincho"/>
          <w:sz w:val="22"/>
          <w:szCs w:val="22"/>
          <w:lang w:val="es-MX"/>
        </w:rPr>
        <w:t xml:space="preserve"> del COVID-19,</w:t>
      </w:r>
      <w:r w:rsidRPr="002A6E19">
        <w:rPr>
          <w:rFonts w:eastAsia="MS Mincho"/>
          <w:sz w:val="22"/>
          <w:szCs w:val="22"/>
          <w:lang w:val="es-MX"/>
        </w:rPr>
        <w:t xml:space="preserve"> ha generado las siguientes conclusiones:</w:t>
      </w:r>
    </w:p>
    <w:p w14:paraId="5D0CDC1B" w14:textId="77777777" w:rsidR="00BF73A8" w:rsidRPr="002A6E19" w:rsidRDefault="00BF73A8" w:rsidP="00EC5479">
      <w:pPr>
        <w:tabs>
          <w:tab w:val="left" w:pos="720"/>
          <w:tab w:val="left" w:pos="1530"/>
          <w:tab w:val="left" w:pos="7380"/>
        </w:tabs>
        <w:ind w:firstLine="720"/>
        <w:jc w:val="both"/>
        <w:rPr>
          <w:rFonts w:eastAsia="MS Mincho"/>
          <w:sz w:val="22"/>
          <w:szCs w:val="22"/>
          <w:lang w:val="es-MX"/>
        </w:rPr>
      </w:pPr>
    </w:p>
    <w:p w14:paraId="125C07C6" w14:textId="36AA8F3E" w:rsidR="00B61F97" w:rsidRPr="002A6E19" w:rsidRDefault="00B61F97" w:rsidP="0024253A">
      <w:pPr>
        <w:pStyle w:val="ListParagraph0"/>
        <w:numPr>
          <w:ilvl w:val="0"/>
          <w:numId w:val="21"/>
        </w:numPr>
        <w:tabs>
          <w:tab w:val="left" w:pos="720"/>
          <w:tab w:val="left" w:pos="1530"/>
          <w:tab w:val="left" w:pos="7380"/>
        </w:tabs>
        <w:ind w:hanging="720"/>
        <w:jc w:val="both"/>
        <w:rPr>
          <w:rFonts w:eastAsia="Arial Unicode MS"/>
          <w:lang w:val="es-MX"/>
        </w:rPr>
      </w:pPr>
      <w:r w:rsidRPr="002A6E19">
        <w:rPr>
          <w:rFonts w:eastAsia="MS Mincho"/>
          <w:sz w:val="22"/>
          <w:szCs w:val="22"/>
          <w:lang w:val="es-MX"/>
        </w:rPr>
        <w:t xml:space="preserve">La </w:t>
      </w:r>
      <w:r w:rsidR="00270D70" w:rsidRPr="002A6E19">
        <w:rPr>
          <w:rFonts w:eastAsia="MS Mincho"/>
          <w:sz w:val="22"/>
          <w:szCs w:val="22"/>
          <w:lang w:val="es-MX"/>
        </w:rPr>
        <w:t>educación</w:t>
      </w:r>
      <w:r w:rsidRPr="002A6E19">
        <w:rPr>
          <w:rFonts w:eastAsia="MS Mincho"/>
          <w:sz w:val="22"/>
          <w:szCs w:val="22"/>
          <w:lang w:val="es-MX"/>
        </w:rPr>
        <w:t xml:space="preserve"> es un derecho</w:t>
      </w:r>
      <w:r w:rsidR="003D1DB5" w:rsidRPr="002A6E19">
        <w:rPr>
          <w:rFonts w:eastAsia="MS Mincho"/>
          <w:sz w:val="22"/>
          <w:szCs w:val="22"/>
          <w:lang w:val="es-MX"/>
        </w:rPr>
        <w:t xml:space="preserve"> y como tal un compromiso ineludible del Estado.</w:t>
      </w:r>
      <w:r w:rsidRPr="002A6E19">
        <w:rPr>
          <w:rFonts w:eastAsia="MS Mincho"/>
          <w:sz w:val="22"/>
          <w:szCs w:val="22"/>
          <w:lang w:val="es-MX"/>
        </w:rPr>
        <w:t xml:space="preserve"> </w:t>
      </w:r>
      <w:r w:rsidR="003D1DB5" w:rsidRPr="002A6E19">
        <w:rPr>
          <w:rFonts w:eastAsia="MS Mincho"/>
          <w:sz w:val="22"/>
          <w:szCs w:val="22"/>
          <w:lang w:val="es-MX"/>
        </w:rPr>
        <w:t>E</w:t>
      </w:r>
      <w:r w:rsidRPr="002A6E19">
        <w:rPr>
          <w:rFonts w:eastAsia="MS Mincho"/>
          <w:sz w:val="22"/>
          <w:szCs w:val="22"/>
          <w:lang w:val="es-MX"/>
        </w:rPr>
        <w:t xml:space="preserve">l contexto actual </w:t>
      </w:r>
      <w:r w:rsidR="00573F8F" w:rsidRPr="002A6E19">
        <w:rPr>
          <w:rFonts w:eastAsia="MS Mincho"/>
          <w:sz w:val="22"/>
          <w:szCs w:val="22"/>
          <w:lang w:val="es-MX"/>
        </w:rPr>
        <w:t>h</w:t>
      </w:r>
      <w:r w:rsidRPr="002A6E19">
        <w:rPr>
          <w:rFonts w:eastAsia="MS Mincho"/>
          <w:sz w:val="22"/>
          <w:szCs w:val="22"/>
          <w:lang w:val="es-MX"/>
        </w:rPr>
        <w:t xml:space="preserve">a </w:t>
      </w:r>
      <w:r w:rsidR="00270D70" w:rsidRPr="002A6E19">
        <w:rPr>
          <w:rFonts w:eastAsia="MS Mincho"/>
          <w:sz w:val="22"/>
          <w:szCs w:val="22"/>
          <w:lang w:val="es-MX"/>
        </w:rPr>
        <w:t>visibilizado</w:t>
      </w:r>
      <w:r w:rsidRPr="002A6E19">
        <w:rPr>
          <w:rFonts w:eastAsia="MS Mincho"/>
          <w:sz w:val="22"/>
          <w:szCs w:val="22"/>
          <w:lang w:val="es-MX"/>
        </w:rPr>
        <w:t xml:space="preserve"> a</w:t>
      </w:r>
      <w:r w:rsidR="00270D70" w:rsidRPr="002A6E19">
        <w:rPr>
          <w:rFonts w:eastAsia="MS Mincho"/>
          <w:sz w:val="22"/>
          <w:szCs w:val="22"/>
          <w:lang w:val="es-MX"/>
        </w:rPr>
        <w:t>ú</w:t>
      </w:r>
      <w:r w:rsidRPr="002A6E19">
        <w:rPr>
          <w:rFonts w:eastAsia="MS Mincho"/>
          <w:sz w:val="22"/>
          <w:szCs w:val="22"/>
          <w:lang w:val="es-MX"/>
        </w:rPr>
        <w:t xml:space="preserve">n </w:t>
      </w:r>
      <w:r w:rsidR="00270D70" w:rsidRPr="002A6E19">
        <w:rPr>
          <w:rFonts w:eastAsia="MS Mincho"/>
          <w:sz w:val="22"/>
          <w:szCs w:val="22"/>
          <w:lang w:val="es-MX"/>
        </w:rPr>
        <w:t>más</w:t>
      </w:r>
      <w:r w:rsidRPr="002A6E19">
        <w:rPr>
          <w:rFonts w:eastAsia="MS Mincho"/>
          <w:sz w:val="22"/>
          <w:szCs w:val="22"/>
          <w:lang w:val="es-MX"/>
        </w:rPr>
        <w:t xml:space="preserve"> las desigualdades, especialmente</w:t>
      </w:r>
      <w:r w:rsidR="004A6BB1" w:rsidRPr="002A6E19">
        <w:rPr>
          <w:rFonts w:eastAsia="MS Mincho"/>
          <w:sz w:val="22"/>
          <w:szCs w:val="22"/>
          <w:lang w:val="es-MX"/>
        </w:rPr>
        <w:t>,</w:t>
      </w:r>
      <w:r w:rsidRPr="002A6E19">
        <w:rPr>
          <w:rFonts w:eastAsia="MS Mincho"/>
          <w:sz w:val="22"/>
          <w:szCs w:val="22"/>
          <w:lang w:val="es-MX"/>
        </w:rPr>
        <w:t xml:space="preserve"> con las poblaciones vulnerables. </w:t>
      </w:r>
      <w:r w:rsidR="003D1DB5" w:rsidRPr="002A6E19">
        <w:rPr>
          <w:rFonts w:eastAsia="MS Mincho"/>
          <w:sz w:val="22"/>
          <w:szCs w:val="22"/>
          <w:lang w:val="es-MX"/>
        </w:rPr>
        <w:t>En este marco,</w:t>
      </w:r>
      <w:r w:rsidR="00813347" w:rsidRPr="002A6E19">
        <w:rPr>
          <w:rFonts w:eastAsia="MS Mincho"/>
          <w:sz w:val="22"/>
          <w:szCs w:val="22"/>
          <w:lang w:val="es-MX"/>
        </w:rPr>
        <w:t xml:space="preserve"> se </w:t>
      </w:r>
      <w:r w:rsidR="00270D70" w:rsidRPr="002A6E19">
        <w:rPr>
          <w:rFonts w:eastAsia="MS Mincho"/>
          <w:sz w:val="22"/>
          <w:szCs w:val="22"/>
          <w:lang w:val="es-MX"/>
        </w:rPr>
        <w:t>realizó</w:t>
      </w:r>
      <w:r w:rsidR="00813347" w:rsidRPr="002A6E19">
        <w:rPr>
          <w:rFonts w:eastAsia="MS Mincho"/>
          <w:sz w:val="22"/>
          <w:szCs w:val="22"/>
          <w:lang w:val="es-MX"/>
        </w:rPr>
        <w:t xml:space="preserve"> </w:t>
      </w:r>
      <w:r w:rsidRPr="002A6E19">
        <w:rPr>
          <w:rFonts w:eastAsia="MS Mincho"/>
          <w:sz w:val="22"/>
          <w:szCs w:val="22"/>
          <w:lang w:val="es-MX"/>
        </w:rPr>
        <w:t>un llamado a la acción</w:t>
      </w:r>
      <w:r w:rsidR="004A6BB1" w:rsidRPr="002A6E19">
        <w:rPr>
          <w:rFonts w:eastAsia="MS Mincho"/>
          <w:sz w:val="22"/>
          <w:szCs w:val="22"/>
          <w:lang w:val="es-MX"/>
        </w:rPr>
        <w:t xml:space="preserve"> entre las autoridades de los </w:t>
      </w:r>
      <w:r w:rsidR="00270D70" w:rsidRPr="002A6E19">
        <w:rPr>
          <w:rFonts w:eastAsia="MS Mincho"/>
          <w:sz w:val="22"/>
          <w:szCs w:val="22"/>
          <w:lang w:val="es-MX"/>
        </w:rPr>
        <w:t>países</w:t>
      </w:r>
      <w:r w:rsidR="004A6BB1" w:rsidRPr="002A6E19">
        <w:rPr>
          <w:rFonts w:eastAsia="MS Mincho"/>
          <w:sz w:val="22"/>
          <w:szCs w:val="22"/>
          <w:lang w:val="es-MX"/>
        </w:rPr>
        <w:t xml:space="preserve"> de la </w:t>
      </w:r>
      <w:r w:rsidR="00270D70" w:rsidRPr="002A6E19">
        <w:rPr>
          <w:rFonts w:eastAsia="MS Mincho"/>
          <w:sz w:val="22"/>
          <w:szCs w:val="22"/>
          <w:lang w:val="es-MX"/>
        </w:rPr>
        <w:t>región</w:t>
      </w:r>
      <w:r w:rsidRPr="002A6E19">
        <w:rPr>
          <w:rFonts w:eastAsia="MS Mincho"/>
          <w:sz w:val="22"/>
          <w:szCs w:val="22"/>
          <w:lang w:val="es-MX"/>
        </w:rPr>
        <w:t xml:space="preserve"> para c</w:t>
      </w:r>
      <w:r w:rsidR="00813347" w:rsidRPr="002A6E19">
        <w:rPr>
          <w:rFonts w:eastAsia="MS Mincho"/>
          <w:sz w:val="22"/>
          <w:szCs w:val="22"/>
          <w:lang w:val="es-MX"/>
        </w:rPr>
        <w:t>rear un Pacto o C</w:t>
      </w:r>
      <w:r w:rsidRPr="002A6E19">
        <w:rPr>
          <w:rFonts w:eastAsia="MS Mincho"/>
          <w:sz w:val="22"/>
          <w:szCs w:val="22"/>
          <w:lang w:val="es-MX"/>
        </w:rPr>
        <w:t>onveni</w:t>
      </w:r>
      <w:r w:rsidR="00813347" w:rsidRPr="002A6E19">
        <w:rPr>
          <w:rFonts w:eastAsia="MS Mincho"/>
          <w:sz w:val="22"/>
          <w:szCs w:val="22"/>
          <w:lang w:val="es-MX"/>
        </w:rPr>
        <w:t>o Hemisférico de E</w:t>
      </w:r>
      <w:r w:rsidRPr="002A6E19">
        <w:rPr>
          <w:rFonts w:eastAsia="MS Mincho"/>
          <w:sz w:val="22"/>
          <w:szCs w:val="22"/>
          <w:lang w:val="es-MX"/>
        </w:rPr>
        <w:t xml:space="preserve">ducación, que incluya a todos los actores: </w:t>
      </w:r>
      <w:r w:rsidR="0024253A">
        <w:rPr>
          <w:rFonts w:eastAsia="MS Mincho"/>
          <w:sz w:val="22"/>
          <w:szCs w:val="22"/>
          <w:lang w:val="es-MX"/>
        </w:rPr>
        <w:t>E</w:t>
      </w:r>
      <w:r w:rsidRPr="002A6E19">
        <w:rPr>
          <w:rFonts w:eastAsia="MS Mincho"/>
          <w:sz w:val="22"/>
          <w:szCs w:val="22"/>
          <w:lang w:val="es-MX"/>
        </w:rPr>
        <w:t>stado, sociedad civil, comunidad, sector privado</w:t>
      </w:r>
      <w:r w:rsidRPr="002A6E19">
        <w:rPr>
          <w:rFonts w:eastAsia="Arial Unicode MS"/>
          <w:lang w:val="es-MX"/>
        </w:rPr>
        <w:t>.</w:t>
      </w:r>
      <w:r w:rsidRPr="0024253A">
        <w:rPr>
          <w:rStyle w:val="FootnoteReference"/>
          <w:rFonts w:eastAsia="Arial Unicode MS"/>
          <w:u w:val="single"/>
          <w:lang w:val="es-MX"/>
        </w:rPr>
        <w:footnoteReference w:id="3"/>
      </w:r>
      <w:r w:rsidR="0024253A" w:rsidRPr="0024253A">
        <w:rPr>
          <w:rFonts w:eastAsia="Arial Unicode MS"/>
          <w:vertAlign w:val="superscript"/>
          <w:lang w:val="es-MX"/>
        </w:rPr>
        <w:t>/</w:t>
      </w:r>
    </w:p>
    <w:p w14:paraId="143EAFC8" w14:textId="77777777" w:rsidR="006545B0" w:rsidRPr="002A6E19" w:rsidRDefault="006545B0" w:rsidP="0024253A">
      <w:pPr>
        <w:pStyle w:val="ListParagraph0"/>
        <w:tabs>
          <w:tab w:val="left" w:pos="720"/>
          <w:tab w:val="left" w:pos="1530"/>
          <w:tab w:val="left" w:pos="7380"/>
        </w:tabs>
        <w:ind w:left="1440" w:hanging="720"/>
        <w:jc w:val="both"/>
        <w:rPr>
          <w:rFonts w:eastAsia="Arial Unicode MS"/>
          <w:lang w:val="es-MX"/>
        </w:rPr>
      </w:pPr>
    </w:p>
    <w:p w14:paraId="6992E916" w14:textId="48460EBF" w:rsidR="006545B0" w:rsidRPr="002A6E19" w:rsidRDefault="00D446EE" w:rsidP="0024253A">
      <w:pPr>
        <w:pStyle w:val="ListParagraph0"/>
        <w:numPr>
          <w:ilvl w:val="0"/>
          <w:numId w:val="21"/>
        </w:numPr>
        <w:tabs>
          <w:tab w:val="left" w:pos="720"/>
          <w:tab w:val="left" w:pos="1530"/>
          <w:tab w:val="left" w:pos="7380"/>
        </w:tabs>
        <w:ind w:hanging="720"/>
        <w:jc w:val="both"/>
        <w:rPr>
          <w:rFonts w:eastAsia="Arial Unicode MS"/>
          <w:lang w:val="es-MX"/>
        </w:rPr>
      </w:pPr>
      <w:r w:rsidRPr="002A6E19">
        <w:rPr>
          <w:rFonts w:eastAsia="MS Mincho"/>
          <w:sz w:val="22"/>
          <w:szCs w:val="22"/>
          <w:lang w:val="es-MX"/>
        </w:rPr>
        <w:t xml:space="preserve">Han surgido grandes </w:t>
      </w:r>
      <w:r w:rsidR="006545B0" w:rsidRPr="002A6E19">
        <w:rPr>
          <w:rFonts w:eastAsia="MS Mincho"/>
          <w:sz w:val="22"/>
          <w:szCs w:val="22"/>
          <w:lang w:val="es-MX"/>
        </w:rPr>
        <w:t xml:space="preserve">desafíos para poder asegurar el retorno a la presencialidad de manera segura. </w:t>
      </w:r>
      <w:r w:rsidR="002D37F0" w:rsidRPr="002A6E19">
        <w:rPr>
          <w:rFonts w:eastAsia="MS Mincho"/>
          <w:sz w:val="22"/>
          <w:szCs w:val="22"/>
          <w:lang w:val="es-MX"/>
        </w:rPr>
        <w:t xml:space="preserve">El </w:t>
      </w:r>
      <w:r w:rsidR="006545B0" w:rsidRPr="002A6E19">
        <w:rPr>
          <w:rFonts w:eastAsia="MS Mincho"/>
          <w:sz w:val="22"/>
          <w:szCs w:val="22"/>
          <w:lang w:val="es-MX"/>
        </w:rPr>
        <w:t xml:space="preserve">fortalecimiento de las alianzas familia-escuela y </w:t>
      </w:r>
      <w:r w:rsidR="002D37F0" w:rsidRPr="002A6E19">
        <w:rPr>
          <w:rFonts w:eastAsia="MS Mincho"/>
          <w:sz w:val="22"/>
          <w:szCs w:val="22"/>
          <w:lang w:val="es-MX"/>
        </w:rPr>
        <w:t>la</w:t>
      </w:r>
      <w:r w:rsidR="006545B0" w:rsidRPr="002A6E19">
        <w:rPr>
          <w:rFonts w:eastAsia="MS Mincho"/>
          <w:sz w:val="22"/>
          <w:szCs w:val="22"/>
          <w:lang w:val="es-MX"/>
        </w:rPr>
        <w:t xml:space="preserve"> relación con la comunidad para asegurar la permanencia y continuidad educativa</w:t>
      </w:r>
      <w:r w:rsidR="002D37F0" w:rsidRPr="002A6E19">
        <w:rPr>
          <w:rFonts w:eastAsia="MS Mincho"/>
          <w:sz w:val="22"/>
          <w:szCs w:val="22"/>
          <w:lang w:val="es-MX"/>
        </w:rPr>
        <w:t>,</w:t>
      </w:r>
      <w:r w:rsidR="006545B0" w:rsidRPr="002A6E19">
        <w:rPr>
          <w:rFonts w:eastAsia="MS Mincho"/>
          <w:sz w:val="22"/>
          <w:szCs w:val="22"/>
          <w:lang w:val="es-MX"/>
        </w:rPr>
        <w:t xml:space="preserve"> </w:t>
      </w:r>
      <w:r w:rsidR="002D37F0" w:rsidRPr="002A6E19">
        <w:rPr>
          <w:rFonts w:eastAsia="MS Mincho"/>
          <w:sz w:val="22"/>
          <w:szCs w:val="22"/>
          <w:lang w:val="es-MX"/>
        </w:rPr>
        <w:t>son importantes</w:t>
      </w:r>
      <w:r w:rsidR="006545B0" w:rsidRPr="002A6E19">
        <w:rPr>
          <w:rFonts w:eastAsia="MS Mincho"/>
          <w:sz w:val="22"/>
          <w:szCs w:val="22"/>
          <w:lang w:val="es-MX"/>
        </w:rPr>
        <w:t xml:space="preserve"> estrategias para enfrentar la deserción escolar frente a la crisis sanitaria</w:t>
      </w:r>
      <w:r w:rsidR="006545B0" w:rsidRPr="002A6E19">
        <w:rPr>
          <w:rFonts w:eastAsia="Arial Unicode MS"/>
          <w:lang w:val="es-MX"/>
        </w:rPr>
        <w:t>.</w:t>
      </w:r>
      <w:r w:rsidR="006545B0" w:rsidRPr="0024253A">
        <w:rPr>
          <w:rStyle w:val="FootnoteReference"/>
          <w:rFonts w:eastAsia="Arial Unicode MS"/>
          <w:u w:val="single"/>
          <w:lang w:val="es-MX"/>
        </w:rPr>
        <w:footnoteReference w:id="4"/>
      </w:r>
      <w:r w:rsidR="0024253A" w:rsidRPr="0024253A">
        <w:rPr>
          <w:rFonts w:eastAsia="Arial Unicode MS"/>
          <w:vertAlign w:val="superscript"/>
          <w:lang w:val="es-MX"/>
        </w:rPr>
        <w:t>/</w:t>
      </w:r>
      <w:r w:rsidR="006545B0" w:rsidRPr="002A6E19">
        <w:rPr>
          <w:rFonts w:eastAsia="Arial Unicode MS"/>
          <w:lang w:val="es-MX"/>
        </w:rPr>
        <w:t xml:space="preserve"> </w:t>
      </w:r>
    </w:p>
    <w:p w14:paraId="66BA3E6C" w14:textId="77777777" w:rsidR="00F971E9" w:rsidRPr="002A6E19" w:rsidRDefault="00F971E9" w:rsidP="0024253A">
      <w:pPr>
        <w:pStyle w:val="ListParagraph0"/>
        <w:ind w:hanging="720"/>
        <w:rPr>
          <w:rFonts w:eastAsia="Arial Unicode MS"/>
          <w:lang w:val="es-MX"/>
        </w:rPr>
      </w:pPr>
    </w:p>
    <w:p w14:paraId="63088880" w14:textId="22F77DAD" w:rsidR="00F971E9" w:rsidRPr="002A6E19" w:rsidRDefault="002D37F0" w:rsidP="0024253A">
      <w:pPr>
        <w:pStyle w:val="ListParagraph0"/>
        <w:numPr>
          <w:ilvl w:val="0"/>
          <w:numId w:val="21"/>
        </w:numPr>
        <w:tabs>
          <w:tab w:val="left" w:pos="720"/>
          <w:tab w:val="left" w:pos="1530"/>
          <w:tab w:val="left" w:pos="7380"/>
        </w:tabs>
        <w:ind w:hanging="720"/>
        <w:jc w:val="both"/>
        <w:rPr>
          <w:rFonts w:eastAsia="Arial Unicode MS"/>
          <w:lang w:val="es-MX"/>
        </w:rPr>
      </w:pPr>
      <w:r w:rsidRPr="002A6E19">
        <w:rPr>
          <w:rFonts w:eastAsia="MS Mincho"/>
          <w:sz w:val="22"/>
          <w:szCs w:val="22"/>
          <w:lang w:val="es-MX"/>
        </w:rPr>
        <w:t>Se</w:t>
      </w:r>
      <w:r w:rsidR="00547844" w:rsidRPr="002A6E19">
        <w:rPr>
          <w:rFonts w:eastAsia="MS Mincho"/>
          <w:sz w:val="22"/>
          <w:szCs w:val="22"/>
          <w:lang w:val="es-MX"/>
        </w:rPr>
        <w:t xml:space="preserve"> ha</w:t>
      </w:r>
      <w:r w:rsidRPr="002A6E19">
        <w:rPr>
          <w:rFonts w:eastAsia="MS Mincho"/>
          <w:sz w:val="22"/>
          <w:szCs w:val="22"/>
          <w:lang w:val="es-MX"/>
        </w:rPr>
        <w:t>n</w:t>
      </w:r>
      <w:r w:rsidR="00547844" w:rsidRPr="002A6E19">
        <w:rPr>
          <w:rFonts w:eastAsia="MS Mincho"/>
          <w:sz w:val="22"/>
          <w:szCs w:val="22"/>
          <w:lang w:val="es-MX"/>
        </w:rPr>
        <w:t xml:space="preserve"> intensificado las desigualdades ya existentes en términos de accesibilidad digital para poder </w:t>
      </w:r>
      <w:r w:rsidR="00573F8F" w:rsidRPr="002A6E19">
        <w:rPr>
          <w:rFonts w:eastAsia="MS Mincho"/>
          <w:sz w:val="22"/>
          <w:szCs w:val="22"/>
          <w:lang w:val="es-MX"/>
        </w:rPr>
        <w:t xml:space="preserve">garantizar </w:t>
      </w:r>
      <w:r w:rsidR="00547844" w:rsidRPr="002A6E19">
        <w:rPr>
          <w:rFonts w:eastAsia="MS Mincho"/>
          <w:sz w:val="22"/>
          <w:szCs w:val="22"/>
          <w:lang w:val="es-MX"/>
        </w:rPr>
        <w:t xml:space="preserve">el acceso </w:t>
      </w:r>
      <w:r w:rsidR="003D1DB5" w:rsidRPr="002A6E19">
        <w:rPr>
          <w:rFonts w:eastAsia="MS Mincho"/>
          <w:sz w:val="22"/>
          <w:szCs w:val="22"/>
          <w:lang w:val="es-MX"/>
        </w:rPr>
        <w:t>a</w:t>
      </w:r>
      <w:r w:rsidR="00547844" w:rsidRPr="002A6E19">
        <w:rPr>
          <w:rFonts w:eastAsia="MS Mincho"/>
          <w:sz w:val="22"/>
          <w:szCs w:val="22"/>
          <w:lang w:val="es-MX"/>
        </w:rPr>
        <w:t xml:space="preserve"> una educación inclusiva y de calidad para personas con discapacidad. </w:t>
      </w:r>
      <w:r w:rsidR="00127C6A" w:rsidRPr="002A6E19">
        <w:rPr>
          <w:rFonts w:eastAsia="MS Mincho"/>
          <w:sz w:val="22"/>
          <w:szCs w:val="22"/>
          <w:lang w:val="es-MX"/>
        </w:rPr>
        <w:t xml:space="preserve">La perspectiva multidimensional para garantizar la continuidad educativa es necesaria para ejercer en plenitud el derecho a la </w:t>
      </w:r>
      <w:r w:rsidRPr="002A6E19">
        <w:rPr>
          <w:rFonts w:eastAsia="MS Mincho"/>
          <w:sz w:val="22"/>
          <w:szCs w:val="22"/>
          <w:lang w:val="es-MX"/>
        </w:rPr>
        <w:t>educación</w:t>
      </w:r>
      <w:r w:rsidR="00127C6A" w:rsidRPr="002A6E19">
        <w:rPr>
          <w:rFonts w:eastAsia="MS Mincho"/>
          <w:sz w:val="22"/>
          <w:szCs w:val="22"/>
          <w:lang w:val="es-MX"/>
        </w:rPr>
        <w:t xml:space="preserve">. </w:t>
      </w:r>
      <w:r w:rsidRPr="002A6E19">
        <w:rPr>
          <w:rFonts w:eastAsia="MS Mincho"/>
          <w:sz w:val="22"/>
          <w:szCs w:val="22"/>
          <w:lang w:val="es-MX"/>
        </w:rPr>
        <w:t>Se debe s</w:t>
      </w:r>
      <w:r w:rsidR="00F971E9" w:rsidRPr="002A6E19">
        <w:rPr>
          <w:rFonts w:eastAsia="MS Mincho"/>
          <w:sz w:val="22"/>
          <w:szCs w:val="22"/>
          <w:lang w:val="es-MX"/>
        </w:rPr>
        <w:t xml:space="preserve">uperar el paradigma de la integración adaptativa </w:t>
      </w:r>
      <w:r w:rsidR="00127C6A" w:rsidRPr="002A6E19">
        <w:rPr>
          <w:rFonts w:eastAsia="MS Mincho"/>
          <w:sz w:val="22"/>
          <w:szCs w:val="22"/>
          <w:lang w:val="es-MX"/>
        </w:rPr>
        <w:t>por un enfoque de creaci</w:t>
      </w:r>
      <w:r w:rsidRPr="002A6E19">
        <w:rPr>
          <w:rFonts w:eastAsia="MS Mincho"/>
          <w:sz w:val="22"/>
          <w:szCs w:val="22"/>
          <w:lang w:val="es-MX"/>
        </w:rPr>
        <w:t>ó</w:t>
      </w:r>
      <w:r w:rsidR="00127C6A" w:rsidRPr="002A6E19">
        <w:rPr>
          <w:rFonts w:eastAsia="MS Mincho"/>
          <w:sz w:val="22"/>
          <w:szCs w:val="22"/>
          <w:lang w:val="es-MX"/>
        </w:rPr>
        <w:t>n</w:t>
      </w:r>
      <w:r w:rsidRPr="002A6E19">
        <w:rPr>
          <w:rFonts w:eastAsia="MS Mincho"/>
          <w:sz w:val="22"/>
          <w:szCs w:val="22"/>
          <w:lang w:val="es-MX"/>
        </w:rPr>
        <w:t xml:space="preserve"> conjunta (cocreación)</w:t>
      </w:r>
      <w:r w:rsidR="00127C6A" w:rsidRPr="002A6E19">
        <w:rPr>
          <w:rFonts w:eastAsia="MS Mincho"/>
          <w:sz w:val="22"/>
          <w:szCs w:val="22"/>
          <w:lang w:val="es-MX"/>
        </w:rPr>
        <w:t xml:space="preserve"> de </w:t>
      </w:r>
      <w:r w:rsidR="00F971E9" w:rsidRPr="002A6E19">
        <w:rPr>
          <w:rFonts w:eastAsia="MS Mincho"/>
          <w:sz w:val="22"/>
          <w:szCs w:val="22"/>
          <w:lang w:val="es-MX"/>
        </w:rPr>
        <w:t xml:space="preserve">conocimientos y saberes. </w:t>
      </w:r>
      <w:r w:rsidR="00127C6A" w:rsidRPr="002A6E19">
        <w:rPr>
          <w:rFonts w:eastAsia="MS Mincho"/>
          <w:sz w:val="22"/>
          <w:szCs w:val="22"/>
          <w:lang w:val="es-MX"/>
        </w:rPr>
        <w:t>Se solicit</w:t>
      </w:r>
      <w:r w:rsidRPr="002A6E19">
        <w:rPr>
          <w:rFonts w:eastAsia="MS Mincho"/>
          <w:sz w:val="22"/>
          <w:szCs w:val="22"/>
          <w:lang w:val="es-MX"/>
        </w:rPr>
        <w:t>ó</w:t>
      </w:r>
      <w:r w:rsidR="00F971E9" w:rsidRPr="002A6E19">
        <w:rPr>
          <w:rFonts w:eastAsia="MS Mincho"/>
          <w:sz w:val="22"/>
          <w:szCs w:val="22"/>
          <w:lang w:val="es-MX"/>
        </w:rPr>
        <w:t xml:space="preserve"> formal</w:t>
      </w:r>
      <w:r w:rsidR="00127C6A" w:rsidRPr="002A6E19">
        <w:rPr>
          <w:rFonts w:eastAsia="MS Mincho"/>
          <w:sz w:val="22"/>
          <w:szCs w:val="22"/>
          <w:lang w:val="es-MX"/>
        </w:rPr>
        <w:t xml:space="preserve">mente el apoyo de </w:t>
      </w:r>
      <w:r w:rsidR="00F971E9" w:rsidRPr="002A6E19">
        <w:rPr>
          <w:rFonts w:eastAsia="MS Mincho"/>
          <w:sz w:val="22"/>
          <w:szCs w:val="22"/>
          <w:lang w:val="es-MX"/>
        </w:rPr>
        <w:t xml:space="preserve">la </w:t>
      </w:r>
      <w:r w:rsidRPr="002A6E19">
        <w:rPr>
          <w:rFonts w:eastAsia="MS Mincho"/>
          <w:sz w:val="22"/>
          <w:szCs w:val="22"/>
          <w:lang w:val="es-MX"/>
        </w:rPr>
        <w:t>OEA</w:t>
      </w:r>
      <w:r w:rsidR="00F971E9" w:rsidRPr="002A6E19">
        <w:rPr>
          <w:rFonts w:eastAsia="MS Mincho"/>
          <w:sz w:val="22"/>
          <w:szCs w:val="22"/>
          <w:lang w:val="es-MX"/>
        </w:rPr>
        <w:t xml:space="preserve"> para el desarrollo </w:t>
      </w:r>
      <w:r w:rsidR="00127C6A" w:rsidRPr="002A6E19">
        <w:rPr>
          <w:rFonts w:eastAsia="MS Mincho"/>
          <w:sz w:val="22"/>
          <w:szCs w:val="22"/>
          <w:lang w:val="es-MX"/>
        </w:rPr>
        <w:t xml:space="preserve">de </w:t>
      </w:r>
      <w:r w:rsidR="00F971E9" w:rsidRPr="002A6E19">
        <w:rPr>
          <w:rFonts w:eastAsia="MS Mincho"/>
          <w:sz w:val="22"/>
          <w:szCs w:val="22"/>
          <w:lang w:val="es-MX"/>
        </w:rPr>
        <w:t>un espacio virtual que concentre recursos educativos accesibles y que contenga espacios de formación para los docentes del área</w:t>
      </w:r>
      <w:r w:rsidR="00F971E9" w:rsidRPr="002A6E19">
        <w:rPr>
          <w:lang w:val="es-MX"/>
        </w:rPr>
        <w:t xml:space="preserve">. </w:t>
      </w:r>
      <w:r w:rsidR="000766FE" w:rsidRPr="002A6E19">
        <w:rPr>
          <w:rStyle w:val="FootnoteReference"/>
          <w:lang w:val="es-MX"/>
        </w:rPr>
        <w:footnoteReference w:id="5"/>
      </w:r>
    </w:p>
    <w:p w14:paraId="324FA59F" w14:textId="77777777" w:rsidR="00E30399" w:rsidRPr="002A6E19" w:rsidRDefault="00E30399" w:rsidP="00343BDB">
      <w:pPr>
        <w:tabs>
          <w:tab w:val="left" w:pos="720"/>
          <w:tab w:val="left" w:pos="1530"/>
          <w:tab w:val="left" w:pos="7380"/>
        </w:tabs>
        <w:jc w:val="both"/>
        <w:rPr>
          <w:rFonts w:eastAsia="Arial Unicode MS"/>
          <w:sz w:val="24"/>
          <w:szCs w:val="24"/>
          <w:lang w:val="es-MX"/>
        </w:rPr>
      </w:pPr>
    </w:p>
    <w:p w14:paraId="0E7F648F" w14:textId="50EE9308" w:rsidR="00B61F97" w:rsidRPr="0004395F" w:rsidRDefault="00E30399" w:rsidP="0004395F">
      <w:pPr>
        <w:tabs>
          <w:tab w:val="left" w:pos="720"/>
          <w:tab w:val="left" w:pos="1530"/>
          <w:tab w:val="left" w:pos="7380"/>
        </w:tabs>
        <w:ind w:firstLine="720"/>
        <w:jc w:val="both"/>
        <w:rPr>
          <w:rFonts w:eastAsia="MS Mincho"/>
          <w:sz w:val="22"/>
          <w:szCs w:val="22"/>
          <w:lang w:val="es-MX"/>
        </w:rPr>
      </w:pPr>
      <w:r w:rsidRPr="0004395F">
        <w:rPr>
          <w:rFonts w:eastAsia="MS Mincho"/>
          <w:sz w:val="22"/>
          <w:szCs w:val="22"/>
          <w:lang w:val="es-MX"/>
        </w:rPr>
        <w:t xml:space="preserve">A medida que los </w:t>
      </w:r>
      <w:r w:rsidR="0024253A">
        <w:rPr>
          <w:rFonts w:eastAsia="MS Mincho"/>
          <w:sz w:val="22"/>
          <w:szCs w:val="22"/>
          <w:lang w:val="es-MX"/>
        </w:rPr>
        <w:t>G</w:t>
      </w:r>
      <w:r w:rsidRPr="0004395F">
        <w:rPr>
          <w:rFonts w:eastAsia="MS Mincho"/>
          <w:sz w:val="22"/>
          <w:szCs w:val="22"/>
          <w:lang w:val="es-MX"/>
        </w:rPr>
        <w:t xml:space="preserve">obiernos de los Estados </w:t>
      </w:r>
      <w:r w:rsidR="00637A96" w:rsidRPr="0004395F">
        <w:rPr>
          <w:rFonts w:eastAsia="MS Mincho"/>
          <w:sz w:val="22"/>
          <w:szCs w:val="22"/>
          <w:lang w:val="es-MX"/>
        </w:rPr>
        <w:t>M</w:t>
      </w:r>
      <w:r w:rsidRPr="0004395F">
        <w:rPr>
          <w:rFonts w:eastAsia="MS Mincho"/>
          <w:sz w:val="22"/>
          <w:szCs w:val="22"/>
          <w:lang w:val="es-MX"/>
        </w:rPr>
        <w:t>iembro</w:t>
      </w:r>
      <w:r w:rsidR="0024253A">
        <w:rPr>
          <w:rFonts w:eastAsia="MS Mincho"/>
          <w:sz w:val="22"/>
          <w:szCs w:val="22"/>
          <w:lang w:val="es-MX"/>
        </w:rPr>
        <w:t>s</w:t>
      </w:r>
      <w:r w:rsidRPr="0004395F">
        <w:rPr>
          <w:rFonts w:eastAsia="MS Mincho"/>
          <w:sz w:val="22"/>
          <w:szCs w:val="22"/>
          <w:lang w:val="es-MX"/>
        </w:rPr>
        <w:t xml:space="preserve"> </w:t>
      </w:r>
      <w:r w:rsidR="00BA50F6" w:rsidRPr="0004395F">
        <w:rPr>
          <w:rFonts w:eastAsia="MS Mincho"/>
          <w:sz w:val="22"/>
          <w:szCs w:val="22"/>
          <w:lang w:val="es-MX"/>
        </w:rPr>
        <w:t>implementa</w:t>
      </w:r>
      <w:r w:rsidR="0037036B" w:rsidRPr="0004395F">
        <w:rPr>
          <w:rFonts w:eastAsia="MS Mincho"/>
          <w:sz w:val="22"/>
          <w:szCs w:val="22"/>
          <w:lang w:val="es-MX"/>
        </w:rPr>
        <w:t>n su estrategia</w:t>
      </w:r>
      <w:r w:rsidRPr="0004395F">
        <w:rPr>
          <w:rFonts w:eastAsia="MS Mincho"/>
          <w:sz w:val="22"/>
          <w:szCs w:val="22"/>
          <w:lang w:val="es-MX"/>
        </w:rPr>
        <w:t xml:space="preserve"> para </w:t>
      </w:r>
      <w:r w:rsidR="0037036B" w:rsidRPr="0004395F">
        <w:rPr>
          <w:rFonts w:eastAsia="MS Mincho"/>
          <w:sz w:val="22"/>
          <w:szCs w:val="22"/>
          <w:lang w:val="es-MX"/>
        </w:rPr>
        <w:t>lograr la</w:t>
      </w:r>
      <w:r w:rsidRPr="0004395F">
        <w:rPr>
          <w:rFonts w:eastAsia="MS Mincho"/>
          <w:sz w:val="22"/>
          <w:szCs w:val="22"/>
          <w:lang w:val="es-MX"/>
        </w:rPr>
        <w:t xml:space="preserve"> recuperación y </w:t>
      </w:r>
      <w:r w:rsidR="0002462D" w:rsidRPr="0004395F">
        <w:rPr>
          <w:rFonts w:eastAsia="MS Mincho"/>
          <w:sz w:val="22"/>
          <w:szCs w:val="22"/>
          <w:lang w:val="es-MX"/>
        </w:rPr>
        <w:t>enfrentar la</w:t>
      </w:r>
      <w:r w:rsidRPr="0004395F">
        <w:rPr>
          <w:rFonts w:eastAsia="MS Mincho"/>
          <w:sz w:val="22"/>
          <w:szCs w:val="22"/>
          <w:lang w:val="es-MX"/>
        </w:rPr>
        <w:t xml:space="preserve"> era posterior a la COVID-19</w:t>
      </w:r>
      <w:r w:rsidR="0002462D" w:rsidRPr="0004395F">
        <w:rPr>
          <w:rFonts w:eastAsia="MS Mincho"/>
          <w:sz w:val="22"/>
          <w:szCs w:val="22"/>
          <w:lang w:val="es-MX"/>
        </w:rPr>
        <w:t>,</w:t>
      </w:r>
      <w:r w:rsidRPr="0004395F">
        <w:rPr>
          <w:rFonts w:eastAsia="MS Mincho"/>
          <w:sz w:val="22"/>
          <w:szCs w:val="22"/>
          <w:lang w:val="es-MX"/>
        </w:rPr>
        <w:t xml:space="preserve"> en medio de una plétora de desafíos sociales</w:t>
      </w:r>
      <w:r w:rsidR="0002462D" w:rsidRPr="0004395F">
        <w:rPr>
          <w:rFonts w:eastAsia="MS Mincho"/>
          <w:sz w:val="22"/>
          <w:szCs w:val="22"/>
          <w:lang w:val="es-MX"/>
        </w:rPr>
        <w:t>,</w:t>
      </w:r>
      <w:r w:rsidRPr="0004395F">
        <w:rPr>
          <w:rFonts w:eastAsia="MS Mincho"/>
          <w:sz w:val="22"/>
          <w:szCs w:val="22"/>
          <w:lang w:val="es-MX"/>
        </w:rPr>
        <w:t xml:space="preserve"> económicos y </w:t>
      </w:r>
      <w:r w:rsidR="0015451F" w:rsidRPr="0004395F">
        <w:rPr>
          <w:rFonts w:eastAsia="MS Mincho"/>
          <w:sz w:val="22"/>
          <w:szCs w:val="22"/>
          <w:lang w:val="es-MX"/>
        </w:rPr>
        <w:t xml:space="preserve">con </w:t>
      </w:r>
      <w:r w:rsidRPr="0004395F">
        <w:rPr>
          <w:rFonts w:eastAsia="MS Mincho"/>
          <w:sz w:val="22"/>
          <w:szCs w:val="22"/>
          <w:lang w:val="es-MX"/>
        </w:rPr>
        <w:t xml:space="preserve">recursos escasos, el impacto multidimensional de la educación en el desarrollo sostenible significa que debe priorizarse </w:t>
      </w:r>
      <w:r w:rsidR="00AD6D1A" w:rsidRPr="0004395F">
        <w:rPr>
          <w:rFonts w:eastAsia="MS Mincho"/>
          <w:sz w:val="22"/>
          <w:szCs w:val="22"/>
          <w:lang w:val="es-MX"/>
        </w:rPr>
        <w:t>con un enfoque</w:t>
      </w:r>
      <w:r w:rsidRPr="0004395F">
        <w:rPr>
          <w:rFonts w:eastAsia="MS Mincho"/>
          <w:sz w:val="22"/>
          <w:szCs w:val="22"/>
          <w:lang w:val="es-MX"/>
        </w:rPr>
        <w:t xml:space="preserve"> de "</w:t>
      </w:r>
      <w:r w:rsidR="00340F13" w:rsidRPr="0004395F">
        <w:rPr>
          <w:rFonts w:eastAsia="MS Mincho"/>
          <w:sz w:val="22"/>
          <w:szCs w:val="22"/>
          <w:lang w:val="es-MX"/>
        </w:rPr>
        <w:t>Re</w:t>
      </w:r>
      <w:r w:rsidRPr="0004395F">
        <w:rPr>
          <w:rFonts w:eastAsia="MS Mincho"/>
          <w:sz w:val="22"/>
          <w:szCs w:val="22"/>
          <w:lang w:val="es-MX"/>
        </w:rPr>
        <w:t xml:space="preserve">construir </w:t>
      </w:r>
      <w:r w:rsidR="002401B7" w:rsidRPr="0004395F">
        <w:rPr>
          <w:rFonts w:eastAsia="MS Mincho"/>
          <w:sz w:val="22"/>
          <w:szCs w:val="22"/>
          <w:lang w:val="es-MX"/>
        </w:rPr>
        <w:t>M</w:t>
      </w:r>
      <w:r w:rsidRPr="0004395F">
        <w:rPr>
          <w:rFonts w:eastAsia="MS Mincho"/>
          <w:sz w:val="22"/>
          <w:szCs w:val="22"/>
          <w:lang w:val="es-MX"/>
        </w:rPr>
        <w:t>ejor". La crisis presenta una oportunidad única para repensar el futuro de los sistemas educativos para garantizar que sean más eficaces, equitativos y resilientes.</w:t>
      </w:r>
    </w:p>
    <w:p w14:paraId="5C14AE07" w14:textId="0ACE6E4C" w:rsidR="00B27CD7" w:rsidRPr="002A6E19" w:rsidRDefault="00B27CD7" w:rsidP="00C82FD3">
      <w:pPr>
        <w:jc w:val="both"/>
        <w:rPr>
          <w:b/>
          <w:sz w:val="22"/>
          <w:szCs w:val="22"/>
          <w:u w:val="single"/>
          <w:lang w:val="es-MX"/>
        </w:rPr>
      </w:pPr>
    </w:p>
    <w:p w14:paraId="3E6CC441" w14:textId="41495E29" w:rsidR="0040128C" w:rsidRPr="002A6E19" w:rsidRDefault="00817CD6" w:rsidP="00A6571D">
      <w:pPr>
        <w:pStyle w:val="ListParagraph0"/>
        <w:numPr>
          <w:ilvl w:val="0"/>
          <w:numId w:val="16"/>
        </w:numPr>
        <w:ind w:left="720" w:hanging="720"/>
        <w:jc w:val="both"/>
        <w:rPr>
          <w:b/>
          <w:sz w:val="22"/>
          <w:lang w:val="es-MX"/>
        </w:rPr>
      </w:pPr>
      <w:r w:rsidRPr="002A6E19">
        <w:rPr>
          <w:b/>
          <w:sz w:val="22"/>
          <w:lang w:val="es-MX"/>
        </w:rPr>
        <w:lastRenderedPageBreak/>
        <w:t>Objetivo</w:t>
      </w:r>
      <w:r w:rsidR="00A6571D" w:rsidRPr="002A6E19">
        <w:rPr>
          <w:b/>
          <w:sz w:val="22"/>
          <w:lang w:val="es-MX"/>
        </w:rPr>
        <w:t xml:space="preserve"> de la reunión</w:t>
      </w:r>
    </w:p>
    <w:p w14:paraId="7EB6D8AF" w14:textId="77777777" w:rsidR="00A6571D" w:rsidRPr="002A6E19" w:rsidRDefault="00A6571D" w:rsidP="0040128C">
      <w:pPr>
        <w:jc w:val="both"/>
        <w:rPr>
          <w:bCs/>
          <w:iCs/>
          <w:sz w:val="22"/>
          <w:szCs w:val="22"/>
          <w:lang w:val="es-MX"/>
        </w:rPr>
      </w:pPr>
    </w:p>
    <w:p w14:paraId="2FA99B8D" w14:textId="5590AE41" w:rsidR="00705293" w:rsidRPr="002A6E19" w:rsidRDefault="00705293" w:rsidP="0024253A">
      <w:pPr>
        <w:pStyle w:val="ListParagraph0"/>
        <w:numPr>
          <w:ilvl w:val="0"/>
          <w:numId w:val="26"/>
        </w:numPr>
        <w:ind w:hanging="720"/>
        <w:jc w:val="both"/>
        <w:rPr>
          <w:bCs/>
          <w:iCs/>
          <w:sz w:val="22"/>
          <w:szCs w:val="22"/>
          <w:lang w:val="es-MX"/>
        </w:rPr>
      </w:pPr>
      <w:r w:rsidRPr="002A6E19">
        <w:rPr>
          <w:bCs/>
          <w:iCs/>
          <w:sz w:val="22"/>
          <w:szCs w:val="22"/>
          <w:lang w:val="es-MX"/>
        </w:rPr>
        <w:t xml:space="preserve">Debatir las medidas adoptadas en el ámbito regional y nacional para garantizar la continuidad y fomentar el progreso en el </w:t>
      </w:r>
      <w:r w:rsidR="00887BB1" w:rsidRPr="002A6E19">
        <w:rPr>
          <w:bCs/>
          <w:iCs/>
          <w:sz w:val="22"/>
          <w:szCs w:val="22"/>
          <w:lang w:val="es-MX"/>
        </w:rPr>
        <w:t>ámbito de la educación</w:t>
      </w:r>
      <w:r w:rsidRPr="002A6E19">
        <w:rPr>
          <w:bCs/>
          <w:iCs/>
          <w:sz w:val="22"/>
          <w:szCs w:val="22"/>
          <w:lang w:val="es-MX"/>
        </w:rPr>
        <w:t xml:space="preserve"> y el desarrollo humano </w:t>
      </w:r>
      <w:r w:rsidR="005A38CA">
        <w:rPr>
          <w:bCs/>
          <w:iCs/>
          <w:sz w:val="22"/>
          <w:szCs w:val="22"/>
          <w:lang w:val="es-MX"/>
        </w:rPr>
        <w:t xml:space="preserve">considerando </w:t>
      </w:r>
      <w:r w:rsidRPr="002A6E19">
        <w:rPr>
          <w:bCs/>
          <w:iCs/>
          <w:sz w:val="22"/>
          <w:szCs w:val="22"/>
          <w:lang w:val="es-MX"/>
        </w:rPr>
        <w:t>los desafíos planteados por la Pandemia COVID-19.</w:t>
      </w:r>
    </w:p>
    <w:p w14:paraId="6318DF05" w14:textId="77777777" w:rsidR="007C551F" w:rsidRPr="002A6E19" w:rsidRDefault="007C551F" w:rsidP="0040128C">
      <w:pPr>
        <w:jc w:val="both"/>
        <w:rPr>
          <w:b/>
          <w:sz w:val="22"/>
          <w:lang w:val="es-MX"/>
        </w:rPr>
      </w:pPr>
    </w:p>
    <w:p w14:paraId="546BF836" w14:textId="0CD1761F" w:rsidR="0040128C" w:rsidRPr="002A6E19" w:rsidRDefault="004B4DCA" w:rsidP="00A6571D">
      <w:pPr>
        <w:pStyle w:val="ListParagraph0"/>
        <w:numPr>
          <w:ilvl w:val="0"/>
          <w:numId w:val="16"/>
        </w:numPr>
        <w:ind w:left="720" w:hanging="720"/>
        <w:jc w:val="both"/>
        <w:rPr>
          <w:b/>
          <w:sz w:val="22"/>
          <w:szCs w:val="22"/>
          <w:lang w:val="es-MX"/>
        </w:rPr>
      </w:pPr>
      <w:r w:rsidRPr="002A6E19">
        <w:rPr>
          <w:b/>
          <w:sz w:val="22"/>
          <w:lang w:val="es-MX"/>
        </w:rPr>
        <w:t xml:space="preserve">Relevancia </w:t>
      </w:r>
      <w:r w:rsidR="0040128C" w:rsidRPr="002A6E19">
        <w:rPr>
          <w:b/>
          <w:sz w:val="22"/>
          <w:lang w:val="es-MX"/>
        </w:rPr>
        <w:t>para el CIDI</w:t>
      </w:r>
      <w:r w:rsidRPr="002A6E19">
        <w:rPr>
          <w:b/>
          <w:sz w:val="22"/>
          <w:lang w:val="es-MX"/>
        </w:rPr>
        <w:t xml:space="preserve"> y la labor de la </w:t>
      </w:r>
      <w:r w:rsidR="0024253A">
        <w:rPr>
          <w:b/>
          <w:sz w:val="22"/>
          <w:lang w:val="es-MX"/>
        </w:rPr>
        <w:t>Secretaría Ejecutiva para el Desarrollo Integral (</w:t>
      </w:r>
      <w:r w:rsidRPr="002A6E19">
        <w:rPr>
          <w:b/>
          <w:sz w:val="22"/>
          <w:lang w:val="es-MX"/>
        </w:rPr>
        <w:t>SEDI</w:t>
      </w:r>
      <w:r w:rsidR="0024253A">
        <w:rPr>
          <w:b/>
          <w:sz w:val="22"/>
          <w:lang w:val="es-MX"/>
        </w:rPr>
        <w:t>)</w:t>
      </w:r>
    </w:p>
    <w:p w14:paraId="6049B8DF" w14:textId="0852F63F" w:rsidR="0040128C" w:rsidRPr="002A6E19" w:rsidRDefault="0040128C" w:rsidP="00A6571D">
      <w:pPr>
        <w:ind w:left="720"/>
        <w:jc w:val="both"/>
        <w:rPr>
          <w:sz w:val="22"/>
          <w:szCs w:val="22"/>
          <w:lang w:val="es-MX"/>
        </w:rPr>
      </w:pPr>
    </w:p>
    <w:p w14:paraId="203F12FF" w14:textId="5565CBEC" w:rsidR="007A4BB0" w:rsidRPr="0004395F" w:rsidRDefault="00D754D6" w:rsidP="0004395F">
      <w:pPr>
        <w:tabs>
          <w:tab w:val="left" w:pos="720"/>
          <w:tab w:val="left" w:pos="1530"/>
          <w:tab w:val="left" w:pos="7380"/>
        </w:tabs>
        <w:ind w:firstLine="720"/>
        <w:jc w:val="both"/>
        <w:rPr>
          <w:rFonts w:eastAsia="MS Mincho"/>
          <w:sz w:val="22"/>
          <w:szCs w:val="22"/>
          <w:lang w:val="es-MX"/>
        </w:rPr>
      </w:pPr>
      <w:r w:rsidRPr="0004395F">
        <w:rPr>
          <w:rFonts w:eastAsia="MS Mincho"/>
          <w:sz w:val="22"/>
          <w:szCs w:val="22"/>
          <w:lang w:val="es-MX"/>
        </w:rPr>
        <w:t xml:space="preserve">En la resolución </w:t>
      </w:r>
      <w:hyperlink r:id="rId11" w:history="1">
        <w:r w:rsidR="00B8176F" w:rsidRPr="0004395F">
          <w:rPr>
            <w:rFonts w:eastAsia="MS Mincho"/>
          </w:rPr>
          <w:t>AG/RES.2955 (L-O/20)</w:t>
        </w:r>
      </w:hyperlink>
      <w:r w:rsidR="00870C42" w:rsidRPr="0004395F">
        <w:rPr>
          <w:rFonts w:eastAsia="MS Mincho"/>
          <w:sz w:val="22"/>
          <w:szCs w:val="22"/>
          <w:lang w:val="es-MX"/>
        </w:rPr>
        <w:t xml:space="preserve"> </w:t>
      </w:r>
      <w:r w:rsidRPr="0004395F">
        <w:rPr>
          <w:rFonts w:eastAsia="MS Mincho"/>
          <w:sz w:val="22"/>
          <w:szCs w:val="22"/>
          <w:lang w:val="es-MX"/>
        </w:rPr>
        <w:t xml:space="preserve">“Impulsando </w:t>
      </w:r>
      <w:r w:rsidR="003F4428" w:rsidRPr="0004395F">
        <w:rPr>
          <w:rFonts w:eastAsia="MS Mincho"/>
          <w:sz w:val="22"/>
          <w:szCs w:val="22"/>
          <w:lang w:val="es-MX"/>
        </w:rPr>
        <w:t>I</w:t>
      </w:r>
      <w:r w:rsidRPr="0004395F">
        <w:rPr>
          <w:rFonts w:eastAsia="MS Mincho"/>
          <w:sz w:val="22"/>
          <w:szCs w:val="22"/>
          <w:lang w:val="es-MX"/>
        </w:rPr>
        <w:t xml:space="preserve">niciativas </w:t>
      </w:r>
      <w:r w:rsidR="003F4428" w:rsidRPr="0004395F">
        <w:rPr>
          <w:rFonts w:eastAsia="MS Mincho"/>
          <w:sz w:val="22"/>
          <w:szCs w:val="22"/>
          <w:lang w:val="es-MX"/>
        </w:rPr>
        <w:t>H</w:t>
      </w:r>
      <w:r w:rsidRPr="0004395F">
        <w:rPr>
          <w:rFonts w:eastAsia="MS Mincho"/>
          <w:sz w:val="22"/>
          <w:szCs w:val="22"/>
          <w:lang w:val="es-MX"/>
        </w:rPr>
        <w:t>emisféricas en</w:t>
      </w:r>
      <w:r w:rsidR="003F4428" w:rsidRPr="0004395F">
        <w:rPr>
          <w:rFonts w:eastAsia="MS Mincho"/>
          <w:sz w:val="22"/>
          <w:szCs w:val="22"/>
          <w:lang w:val="es-MX"/>
        </w:rPr>
        <w:t xml:space="preserve"> M</w:t>
      </w:r>
      <w:r w:rsidRPr="0004395F">
        <w:rPr>
          <w:rFonts w:eastAsia="MS Mincho"/>
          <w:sz w:val="22"/>
          <w:szCs w:val="22"/>
          <w:lang w:val="es-MX"/>
        </w:rPr>
        <w:t xml:space="preserve">ateria de </w:t>
      </w:r>
      <w:r w:rsidR="003F4428" w:rsidRPr="0004395F">
        <w:rPr>
          <w:rFonts w:eastAsia="MS Mincho"/>
          <w:sz w:val="22"/>
          <w:szCs w:val="22"/>
          <w:lang w:val="es-MX"/>
        </w:rPr>
        <w:t>D</w:t>
      </w:r>
      <w:r w:rsidRPr="0004395F">
        <w:rPr>
          <w:rFonts w:eastAsia="MS Mincho"/>
          <w:sz w:val="22"/>
          <w:szCs w:val="22"/>
          <w:lang w:val="es-MX"/>
        </w:rPr>
        <w:t xml:space="preserve">esarrollo </w:t>
      </w:r>
      <w:r w:rsidR="003F4428" w:rsidRPr="0004395F">
        <w:rPr>
          <w:rFonts w:eastAsia="MS Mincho"/>
          <w:sz w:val="22"/>
          <w:szCs w:val="22"/>
          <w:lang w:val="es-MX"/>
        </w:rPr>
        <w:t>I</w:t>
      </w:r>
      <w:r w:rsidRPr="0004395F">
        <w:rPr>
          <w:rFonts w:eastAsia="MS Mincho"/>
          <w:sz w:val="22"/>
          <w:szCs w:val="22"/>
          <w:lang w:val="es-MX"/>
        </w:rPr>
        <w:t xml:space="preserve">ntegral: </w:t>
      </w:r>
      <w:r w:rsidR="003F4428" w:rsidRPr="0004395F">
        <w:rPr>
          <w:rFonts w:eastAsia="MS Mincho"/>
          <w:sz w:val="22"/>
          <w:szCs w:val="22"/>
          <w:lang w:val="es-MX"/>
        </w:rPr>
        <w:t>P</w:t>
      </w:r>
      <w:r w:rsidRPr="0004395F">
        <w:rPr>
          <w:rFonts w:eastAsia="MS Mincho"/>
          <w:sz w:val="22"/>
          <w:szCs w:val="22"/>
          <w:lang w:val="es-MX"/>
        </w:rPr>
        <w:t xml:space="preserve">romoción de la </w:t>
      </w:r>
      <w:r w:rsidR="003F4428" w:rsidRPr="0004395F">
        <w:rPr>
          <w:rFonts w:eastAsia="MS Mincho"/>
          <w:sz w:val="22"/>
          <w:szCs w:val="22"/>
          <w:lang w:val="es-MX"/>
        </w:rPr>
        <w:t>R</w:t>
      </w:r>
      <w:r w:rsidRPr="0004395F">
        <w:rPr>
          <w:rFonts w:eastAsia="MS Mincho"/>
          <w:sz w:val="22"/>
          <w:szCs w:val="22"/>
          <w:lang w:val="es-MX"/>
        </w:rPr>
        <w:t xml:space="preserve">esiliencia”, </w:t>
      </w:r>
      <w:r w:rsidR="00870C42" w:rsidRPr="0004395F">
        <w:rPr>
          <w:rFonts w:eastAsia="MS Mincho"/>
          <w:sz w:val="22"/>
          <w:szCs w:val="22"/>
          <w:lang w:val="es-MX"/>
        </w:rPr>
        <w:t>sección III “</w:t>
      </w:r>
      <w:r w:rsidR="003F4428" w:rsidRPr="0004395F">
        <w:rPr>
          <w:rFonts w:eastAsia="MS Mincho"/>
          <w:sz w:val="22"/>
          <w:szCs w:val="22"/>
          <w:lang w:val="es-MX"/>
        </w:rPr>
        <w:t>P</w:t>
      </w:r>
      <w:r w:rsidR="00870C42" w:rsidRPr="0004395F">
        <w:rPr>
          <w:rFonts w:eastAsia="MS Mincho"/>
          <w:sz w:val="22"/>
          <w:szCs w:val="22"/>
          <w:lang w:val="es-MX"/>
        </w:rPr>
        <w:t xml:space="preserve">romover la </w:t>
      </w:r>
      <w:r w:rsidR="003F4428" w:rsidRPr="0004395F">
        <w:rPr>
          <w:rFonts w:eastAsia="MS Mincho"/>
          <w:sz w:val="22"/>
          <w:szCs w:val="22"/>
          <w:lang w:val="es-MX"/>
        </w:rPr>
        <w:t>E</w:t>
      </w:r>
      <w:r w:rsidR="00870C42" w:rsidRPr="0004395F">
        <w:rPr>
          <w:rFonts w:eastAsia="MS Mincho"/>
          <w:sz w:val="22"/>
          <w:szCs w:val="22"/>
          <w:lang w:val="es-MX"/>
        </w:rPr>
        <w:t xml:space="preserve">ducación y el </w:t>
      </w:r>
      <w:r w:rsidR="003F4428" w:rsidRPr="0004395F">
        <w:rPr>
          <w:rFonts w:eastAsia="MS Mincho"/>
          <w:sz w:val="22"/>
          <w:szCs w:val="22"/>
          <w:lang w:val="es-MX"/>
        </w:rPr>
        <w:t>D</w:t>
      </w:r>
      <w:r w:rsidR="00870C42" w:rsidRPr="0004395F">
        <w:rPr>
          <w:rFonts w:eastAsia="MS Mincho"/>
          <w:sz w:val="22"/>
          <w:szCs w:val="22"/>
          <w:lang w:val="es-MX"/>
        </w:rPr>
        <w:t xml:space="preserve">esarrollo </w:t>
      </w:r>
      <w:r w:rsidR="003F4428" w:rsidRPr="0004395F">
        <w:rPr>
          <w:rFonts w:eastAsia="MS Mincho"/>
          <w:sz w:val="22"/>
          <w:szCs w:val="22"/>
          <w:lang w:val="es-MX"/>
        </w:rPr>
        <w:t>H</w:t>
      </w:r>
      <w:r w:rsidR="00870C42" w:rsidRPr="0004395F">
        <w:rPr>
          <w:rFonts w:eastAsia="MS Mincho"/>
          <w:sz w:val="22"/>
          <w:szCs w:val="22"/>
          <w:lang w:val="es-MX"/>
        </w:rPr>
        <w:t xml:space="preserve">umano en las </w:t>
      </w:r>
      <w:r w:rsidR="003F4428" w:rsidRPr="0004395F">
        <w:rPr>
          <w:rFonts w:eastAsia="MS Mincho"/>
          <w:sz w:val="22"/>
          <w:szCs w:val="22"/>
          <w:lang w:val="es-MX"/>
        </w:rPr>
        <w:t>A</w:t>
      </w:r>
      <w:r w:rsidR="00870C42" w:rsidRPr="0004395F">
        <w:rPr>
          <w:rFonts w:eastAsia="MS Mincho"/>
          <w:sz w:val="22"/>
          <w:szCs w:val="22"/>
          <w:lang w:val="es-MX"/>
        </w:rPr>
        <w:t>méricas”</w:t>
      </w:r>
      <w:r w:rsidR="001F6B2A" w:rsidRPr="0004395F">
        <w:rPr>
          <w:rFonts w:eastAsia="MS Mincho"/>
          <w:sz w:val="22"/>
          <w:szCs w:val="22"/>
          <w:lang w:val="es-MX"/>
        </w:rPr>
        <w:t>,</w:t>
      </w:r>
      <w:r w:rsidR="00870C42" w:rsidRPr="0004395F">
        <w:rPr>
          <w:rFonts w:eastAsia="MS Mincho"/>
          <w:sz w:val="22"/>
          <w:szCs w:val="22"/>
          <w:lang w:val="es-MX"/>
        </w:rPr>
        <w:t xml:space="preserve"> </w:t>
      </w:r>
      <w:r w:rsidRPr="0004395F">
        <w:rPr>
          <w:rFonts w:eastAsia="MS Mincho"/>
          <w:sz w:val="22"/>
          <w:szCs w:val="22"/>
          <w:lang w:val="es-MX"/>
        </w:rPr>
        <w:t>se encomienda a la SEDI</w:t>
      </w:r>
      <w:r w:rsidR="001E7F13" w:rsidRPr="0004395F">
        <w:rPr>
          <w:rFonts w:eastAsia="MS Mincho"/>
          <w:sz w:val="22"/>
          <w:szCs w:val="22"/>
          <w:lang w:val="es-MX"/>
        </w:rPr>
        <w:t xml:space="preserve"> a</w:t>
      </w:r>
      <w:r w:rsidR="00783A92" w:rsidRPr="0004395F">
        <w:rPr>
          <w:rFonts w:eastAsia="MS Mincho"/>
          <w:sz w:val="22"/>
          <w:szCs w:val="22"/>
          <w:lang w:val="es-MX"/>
        </w:rPr>
        <w:t>poyar</w:t>
      </w:r>
      <w:r w:rsidR="0052375C" w:rsidRPr="0004395F">
        <w:rPr>
          <w:rFonts w:eastAsia="MS Mincho"/>
          <w:sz w:val="22"/>
          <w:szCs w:val="22"/>
          <w:lang w:val="es-MX"/>
        </w:rPr>
        <w:t>:</w:t>
      </w:r>
    </w:p>
    <w:p w14:paraId="274FDF54" w14:textId="77777777" w:rsidR="0052375C" w:rsidRPr="002A6E19" w:rsidRDefault="0052375C" w:rsidP="003D1DB5">
      <w:pPr>
        <w:tabs>
          <w:tab w:val="left" w:pos="360"/>
        </w:tabs>
        <w:contextualSpacing/>
        <w:jc w:val="both"/>
        <w:rPr>
          <w:color w:val="202124"/>
          <w:sz w:val="22"/>
          <w:szCs w:val="22"/>
          <w:lang w:val="es-MX"/>
        </w:rPr>
      </w:pPr>
    </w:p>
    <w:p w14:paraId="1CBFAABA" w14:textId="2C8590A2" w:rsidR="0070608C" w:rsidRPr="002A6E19" w:rsidRDefault="00783A92" w:rsidP="0024253A">
      <w:pPr>
        <w:pStyle w:val="ListParagraph0"/>
        <w:numPr>
          <w:ilvl w:val="0"/>
          <w:numId w:val="23"/>
        </w:numPr>
        <w:tabs>
          <w:tab w:val="left" w:pos="720"/>
        </w:tabs>
        <w:ind w:left="1440" w:hanging="720"/>
        <w:contextualSpacing/>
        <w:jc w:val="both"/>
        <w:rPr>
          <w:color w:val="202124"/>
          <w:sz w:val="22"/>
          <w:szCs w:val="22"/>
          <w:lang w:val="es-MX"/>
        </w:rPr>
      </w:pPr>
      <w:r w:rsidRPr="002A6E19">
        <w:rPr>
          <w:color w:val="202124"/>
          <w:sz w:val="22"/>
          <w:szCs w:val="22"/>
          <w:lang w:val="es-MX"/>
        </w:rPr>
        <w:t>E</w:t>
      </w:r>
      <w:r w:rsidR="0070608C" w:rsidRPr="002A6E19">
        <w:rPr>
          <w:color w:val="202124"/>
          <w:sz w:val="22"/>
          <w:szCs w:val="22"/>
          <w:lang w:val="es-MX"/>
        </w:rPr>
        <w:t xml:space="preserve">l </w:t>
      </w:r>
      <w:hyperlink r:id="rId12" w:history="1">
        <w:r w:rsidR="001E7F13" w:rsidRPr="002A6E19">
          <w:rPr>
            <w:rStyle w:val="Hyperlink"/>
            <w:sz w:val="22"/>
            <w:szCs w:val="22"/>
            <w:lang w:val="es-MX"/>
          </w:rPr>
          <w:t>Plan de Trabajo 2019-2022 de la CIE</w:t>
        </w:r>
      </w:hyperlink>
      <w:r w:rsidR="0015277A" w:rsidRPr="002A6E19">
        <w:rPr>
          <w:color w:val="202124"/>
          <w:sz w:val="22"/>
          <w:szCs w:val="22"/>
          <w:lang w:val="es-MX"/>
        </w:rPr>
        <w:t xml:space="preserve"> </w:t>
      </w:r>
      <w:r w:rsidR="0070608C" w:rsidRPr="002A6E19">
        <w:rPr>
          <w:color w:val="202124"/>
          <w:sz w:val="22"/>
          <w:szCs w:val="22"/>
          <w:lang w:val="es-MX"/>
        </w:rPr>
        <w:t xml:space="preserve">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para el Desarrollo Sostenible y contribuyan a reducir las desigualdades exacerbadas por la pandemia. </w:t>
      </w:r>
    </w:p>
    <w:p w14:paraId="1ACF07E8" w14:textId="77777777" w:rsidR="00577812" w:rsidRPr="002A6E19" w:rsidRDefault="00577812" w:rsidP="0040128C">
      <w:pPr>
        <w:jc w:val="both"/>
        <w:rPr>
          <w:rFonts w:eastAsia="Calibri"/>
          <w:sz w:val="22"/>
          <w:szCs w:val="22"/>
          <w:lang w:val="es-MX"/>
        </w:rPr>
      </w:pPr>
    </w:p>
    <w:p w14:paraId="49B9791A" w14:textId="6B998508" w:rsidR="00A6571D" w:rsidRPr="002A6E19" w:rsidRDefault="00A6571D" w:rsidP="00545543">
      <w:pPr>
        <w:pStyle w:val="ListParagraph0"/>
        <w:numPr>
          <w:ilvl w:val="0"/>
          <w:numId w:val="16"/>
        </w:numPr>
        <w:ind w:left="720" w:hanging="720"/>
        <w:jc w:val="both"/>
        <w:rPr>
          <w:b/>
          <w:sz w:val="22"/>
          <w:lang w:val="es-MX"/>
        </w:rPr>
      </w:pPr>
      <w:r w:rsidRPr="002A6E19">
        <w:rPr>
          <w:b/>
          <w:sz w:val="22"/>
          <w:lang w:val="es-MX"/>
        </w:rPr>
        <w:t xml:space="preserve">Estructura de la reunión </w:t>
      </w:r>
    </w:p>
    <w:p w14:paraId="6B67A61F" w14:textId="77777777" w:rsidR="00A6571D" w:rsidRPr="002A6E19" w:rsidRDefault="00A6571D" w:rsidP="00545543">
      <w:pPr>
        <w:jc w:val="both"/>
        <w:rPr>
          <w:bCs/>
          <w:iCs/>
          <w:sz w:val="22"/>
          <w:szCs w:val="22"/>
          <w:lang w:val="es-MX"/>
        </w:rPr>
      </w:pPr>
    </w:p>
    <w:p w14:paraId="09B6CD26" w14:textId="08A13391" w:rsidR="00BE73B2" w:rsidRPr="0024253A" w:rsidRDefault="00EC382C" w:rsidP="00E54422">
      <w:pPr>
        <w:pStyle w:val="ListParagraph0"/>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US"/>
        </w:rPr>
      </w:pPr>
      <w:r w:rsidRPr="0024253A">
        <w:rPr>
          <w:color w:val="202124"/>
          <w:sz w:val="22"/>
          <w:szCs w:val="22"/>
          <w:lang w:val="es-US"/>
        </w:rPr>
        <w:t>Panel</w:t>
      </w:r>
      <w:r w:rsidR="003A0998" w:rsidRPr="0024253A">
        <w:rPr>
          <w:color w:val="202124"/>
          <w:sz w:val="22"/>
          <w:szCs w:val="22"/>
          <w:lang w:val="es-US"/>
        </w:rPr>
        <w:t>:</w:t>
      </w:r>
      <w:r w:rsidRPr="0024253A">
        <w:rPr>
          <w:color w:val="202124"/>
          <w:sz w:val="22"/>
          <w:szCs w:val="22"/>
          <w:lang w:val="es-US"/>
        </w:rPr>
        <w:t xml:space="preserve"> Promoviendo la Educación y el Desarrollo Humano en las Américas: </w:t>
      </w:r>
    </w:p>
    <w:p w14:paraId="2B43E9FD" w14:textId="77777777" w:rsidR="00994879" w:rsidRPr="0024253A" w:rsidRDefault="00994879" w:rsidP="00994879">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color w:val="202124"/>
          <w:sz w:val="22"/>
          <w:szCs w:val="22"/>
          <w:lang w:val="es-US"/>
        </w:rPr>
      </w:pPr>
    </w:p>
    <w:p w14:paraId="54F455EE" w14:textId="77777777" w:rsidR="00BB73E1" w:rsidRPr="002A6E19" w:rsidRDefault="00BB73E1" w:rsidP="0024253A">
      <w:pPr>
        <w:pStyle w:val="ListParagraph0"/>
        <w:numPr>
          <w:ilvl w:val="1"/>
          <w:numId w:val="23"/>
        </w:numPr>
        <w:tabs>
          <w:tab w:val="left" w:pos="360"/>
        </w:tabs>
        <w:contextualSpacing/>
        <w:jc w:val="both"/>
        <w:rPr>
          <w:color w:val="202124"/>
          <w:sz w:val="22"/>
          <w:szCs w:val="22"/>
          <w:lang w:val="es-MX"/>
        </w:rPr>
      </w:pPr>
      <w:r w:rsidRPr="002A6E19">
        <w:rPr>
          <w:color w:val="202124"/>
          <w:sz w:val="22"/>
          <w:szCs w:val="22"/>
          <w:lang w:val="es-MX"/>
        </w:rPr>
        <w:t xml:space="preserve">Claudia Uribe, </w:t>
      </w:r>
      <w:proofErr w:type="gramStart"/>
      <w:r w:rsidRPr="002A6E19">
        <w:rPr>
          <w:color w:val="202124"/>
          <w:sz w:val="22"/>
          <w:szCs w:val="22"/>
          <w:lang w:val="es-MX"/>
        </w:rPr>
        <w:t>Directora</w:t>
      </w:r>
      <w:proofErr w:type="gramEnd"/>
      <w:r w:rsidRPr="002A6E19">
        <w:rPr>
          <w:color w:val="202124"/>
          <w:sz w:val="22"/>
          <w:szCs w:val="22"/>
          <w:lang w:val="es-MX"/>
        </w:rPr>
        <w:t xml:space="preserve"> de la Oficina Regional de Educación de la UNESCO en América Latina y el Caribe</w:t>
      </w:r>
    </w:p>
    <w:p w14:paraId="680F15FD" w14:textId="41F029ED" w:rsidR="00BB73E1" w:rsidRPr="002A6E19" w:rsidRDefault="00E54422" w:rsidP="0024253A">
      <w:pPr>
        <w:pStyle w:val="ListParagraph0"/>
        <w:tabs>
          <w:tab w:val="left" w:pos="360"/>
        </w:tabs>
        <w:ind w:hanging="360"/>
        <w:contextualSpacing/>
        <w:jc w:val="both"/>
        <w:rPr>
          <w:color w:val="202124"/>
          <w:sz w:val="22"/>
          <w:szCs w:val="22"/>
          <w:lang w:val="es-MX"/>
        </w:rPr>
      </w:pPr>
      <w:r w:rsidRPr="002A6E19">
        <w:rPr>
          <w:color w:val="202124"/>
          <w:sz w:val="22"/>
          <w:szCs w:val="22"/>
          <w:lang w:val="es-MX"/>
        </w:rPr>
        <w:tab/>
      </w:r>
      <w:r w:rsidR="0024253A">
        <w:rPr>
          <w:color w:val="202124"/>
          <w:sz w:val="22"/>
          <w:szCs w:val="22"/>
          <w:lang w:val="es-MX"/>
        </w:rPr>
        <w:tab/>
      </w:r>
    </w:p>
    <w:p w14:paraId="5DBCC1DD" w14:textId="77777777" w:rsidR="00994879" w:rsidRPr="002A6E19" w:rsidRDefault="00BB73E1" w:rsidP="0024253A">
      <w:pPr>
        <w:pStyle w:val="ListParagraph0"/>
        <w:numPr>
          <w:ilvl w:val="1"/>
          <w:numId w:val="23"/>
        </w:numPr>
        <w:tabs>
          <w:tab w:val="left" w:pos="360"/>
        </w:tabs>
        <w:contextualSpacing/>
        <w:jc w:val="both"/>
        <w:rPr>
          <w:color w:val="202124"/>
          <w:sz w:val="22"/>
          <w:szCs w:val="22"/>
          <w:lang w:val="es-MX"/>
        </w:rPr>
      </w:pPr>
      <w:r w:rsidRPr="002A6E19">
        <w:rPr>
          <w:color w:val="202124"/>
          <w:sz w:val="22"/>
          <w:szCs w:val="22"/>
          <w:lang w:val="es-MX"/>
        </w:rPr>
        <w:t>Laurette S.M Bristol, Directora de Programas de Desarrollo de Recursos Humanos de la Secretaría de la CARICOM</w:t>
      </w:r>
    </w:p>
    <w:p w14:paraId="1392234F" w14:textId="5274793B" w:rsidR="00047B78" w:rsidRPr="002A6E19" w:rsidRDefault="0024253A" w:rsidP="00CD0BF8">
      <w:pPr>
        <w:pStyle w:val="ListParagraph0"/>
        <w:tabs>
          <w:tab w:val="left" w:pos="360"/>
        </w:tabs>
        <w:ind w:left="1440" w:hanging="360"/>
        <w:contextualSpacing/>
        <w:jc w:val="both"/>
        <w:rPr>
          <w:color w:val="202124"/>
          <w:sz w:val="22"/>
          <w:szCs w:val="22"/>
          <w:lang w:val="es-MX"/>
        </w:rPr>
      </w:pPr>
      <w:r>
        <w:rPr>
          <w:color w:val="202124"/>
          <w:sz w:val="22"/>
          <w:szCs w:val="22"/>
          <w:lang w:val="es-MX"/>
        </w:rPr>
        <w:tab/>
      </w:r>
    </w:p>
    <w:p w14:paraId="7ED9CC51" w14:textId="77777777" w:rsidR="00994879" w:rsidRPr="002A6E19" w:rsidRDefault="00BB73E1" w:rsidP="0024253A">
      <w:pPr>
        <w:pStyle w:val="ListParagraph0"/>
        <w:numPr>
          <w:ilvl w:val="1"/>
          <w:numId w:val="23"/>
        </w:numPr>
        <w:tabs>
          <w:tab w:val="left" w:pos="360"/>
        </w:tabs>
        <w:contextualSpacing/>
        <w:jc w:val="both"/>
        <w:rPr>
          <w:color w:val="202124"/>
          <w:sz w:val="22"/>
          <w:szCs w:val="22"/>
          <w:lang w:val="es-MX"/>
        </w:rPr>
      </w:pPr>
      <w:r w:rsidRPr="002A6E19">
        <w:rPr>
          <w:color w:val="202124"/>
          <w:sz w:val="22"/>
          <w:szCs w:val="22"/>
          <w:lang w:val="es-MX"/>
        </w:rPr>
        <w:t xml:space="preserve">Carlos Staff, </w:t>
      </w:r>
      <w:proofErr w:type="gramStart"/>
      <w:r w:rsidRPr="002A6E19">
        <w:rPr>
          <w:color w:val="202124"/>
          <w:sz w:val="22"/>
          <w:szCs w:val="22"/>
          <w:lang w:val="es-MX"/>
        </w:rPr>
        <w:t>Secretario</w:t>
      </w:r>
      <w:proofErr w:type="gramEnd"/>
      <w:r w:rsidRPr="002A6E19">
        <w:rPr>
          <w:color w:val="202124"/>
          <w:sz w:val="22"/>
          <w:szCs w:val="22"/>
          <w:lang w:val="es-MX"/>
        </w:rPr>
        <w:t xml:space="preserve"> del Consejo de Ministros de Educación y Ministros de Cultura del SICA - SE-CECC</w:t>
      </w:r>
    </w:p>
    <w:p w14:paraId="55E86DA4" w14:textId="48E7F661" w:rsidR="00BE73B2" w:rsidRPr="002A6E19" w:rsidRDefault="0024253A" w:rsidP="00CD0BF8">
      <w:pPr>
        <w:pStyle w:val="ListParagraph0"/>
        <w:tabs>
          <w:tab w:val="left" w:pos="360"/>
        </w:tabs>
        <w:ind w:left="1440" w:hanging="360"/>
        <w:contextualSpacing/>
        <w:jc w:val="both"/>
        <w:rPr>
          <w:bCs/>
          <w:iCs/>
          <w:sz w:val="22"/>
          <w:szCs w:val="22"/>
          <w:lang w:val="es-MX"/>
        </w:rPr>
      </w:pPr>
      <w:r>
        <w:rPr>
          <w:color w:val="202124"/>
          <w:sz w:val="22"/>
          <w:szCs w:val="22"/>
          <w:lang w:val="es-MX"/>
        </w:rPr>
        <w:tab/>
      </w:r>
    </w:p>
    <w:p w14:paraId="3FD5D1EE" w14:textId="4964CFA3" w:rsidR="00A6571D" w:rsidRPr="002A6E19" w:rsidRDefault="00BE73B2" w:rsidP="00E54422">
      <w:pPr>
        <w:pStyle w:val="ListParagraph0"/>
        <w:numPr>
          <w:ilvl w:val="0"/>
          <w:numId w:val="2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2"/>
          <w:szCs w:val="22"/>
          <w:lang w:val="es-MX"/>
        </w:rPr>
      </w:pPr>
      <w:r w:rsidRPr="002A6E19">
        <w:rPr>
          <w:color w:val="202124"/>
          <w:sz w:val="22"/>
          <w:szCs w:val="22"/>
          <w:lang w:val="es-MX"/>
        </w:rPr>
        <w:t>E</w:t>
      </w:r>
      <w:r w:rsidR="00046A4E" w:rsidRPr="002A6E19">
        <w:rPr>
          <w:color w:val="202124"/>
          <w:sz w:val="22"/>
          <w:szCs w:val="22"/>
          <w:lang w:val="es-MX"/>
        </w:rPr>
        <w:t>xperiencias nacionales en el marco del PHACE</w:t>
      </w:r>
    </w:p>
    <w:p w14:paraId="3B7E81D9" w14:textId="77777777" w:rsidR="00994879" w:rsidRPr="002A6E19" w:rsidRDefault="00994879" w:rsidP="00994879">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color w:val="202124"/>
          <w:sz w:val="22"/>
          <w:szCs w:val="22"/>
          <w:lang w:val="es-MX"/>
        </w:rPr>
      </w:pPr>
    </w:p>
    <w:p w14:paraId="2C94BF8C" w14:textId="466C8437" w:rsidR="00D8670F" w:rsidRPr="002A6E19" w:rsidRDefault="00D8670F" w:rsidP="00E54422">
      <w:pPr>
        <w:pStyle w:val="ListParagraph0"/>
        <w:numPr>
          <w:ilvl w:val="1"/>
          <w:numId w:val="23"/>
        </w:numPr>
        <w:tabs>
          <w:tab w:val="left" w:pos="360"/>
        </w:tabs>
        <w:contextualSpacing/>
        <w:jc w:val="both"/>
        <w:rPr>
          <w:color w:val="202124"/>
          <w:sz w:val="22"/>
          <w:szCs w:val="22"/>
          <w:lang w:val="es-MX"/>
        </w:rPr>
      </w:pPr>
      <w:r w:rsidRPr="002A6E19">
        <w:rPr>
          <w:color w:val="202124"/>
          <w:sz w:val="22"/>
          <w:szCs w:val="22"/>
          <w:lang w:val="es-MX"/>
        </w:rPr>
        <w:t>Alessandra Molina Alfaro, Directora de la Unidad para la Permanencia, Reincorporación y Éxito Educativo del Viceministerio de Planificación Institucional y Coordinación Regional del M</w:t>
      </w:r>
      <w:r w:rsidR="00E560BD">
        <w:rPr>
          <w:color w:val="202124"/>
          <w:sz w:val="22"/>
          <w:szCs w:val="22"/>
          <w:lang w:val="es-MX"/>
        </w:rPr>
        <w:t>inisterio de Educación Pública de</w:t>
      </w:r>
      <w:r w:rsidRPr="002A6E19">
        <w:rPr>
          <w:color w:val="202124"/>
          <w:sz w:val="22"/>
          <w:szCs w:val="22"/>
          <w:lang w:val="es-MX"/>
        </w:rPr>
        <w:t xml:space="preserve"> Costa Rica.</w:t>
      </w:r>
    </w:p>
    <w:p w14:paraId="6185232B" w14:textId="0BB7F532" w:rsidR="00D8670F" w:rsidRPr="002A6E19" w:rsidRDefault="00D8670F" w:rsidP="001944BA">
      <w:pPr>
        <w:pStyle w:val="ListParagraph0"/>
        <w:numPr>
          <w:ilvl w:val="2"/>
          <w:numId w:val="23"/>
        </w:numPr>
        <w:tabs>
          <w:tab w:val="left" w:pos="360"/>
        </w:tabs>
        <w:ind w:left="1620" w:hanging="180"/>
        <w:contextualSpacing/>
        <w:jc w:val="both"/>
        <w:rPr>
          <w:color w:val="202124"/>
          <w:sz w:val="22"/>
          <w:szCs w:val="22"/>
          <w:lang w:val="es-MX"/>
        </w:rPr>
      </w:pPr>
      <w:r w:rsidRPr="002A6E19">
        <w:rPr>
          <w:color w:val="202124"/>
          <w:sz w:val="22"/>
          <w:szCs w:val="22"/>
          <w:lang w:val="es-MX"/>
        </w:rPr>
        <w:t>Acciones realizadas y desafíos en materia de Permanencia y Exclusión Educativa en Costa Rica.</w:t>
      </w:r>
    </w:p>
    <w:p w14:paraId="4BA30EA3" w14:textId="77777777" w:rsidR="00D8670F" w:rsidRPr="002A6E19" w:rsidRDefault="00D8670F" w:rsidP="00D8670F">
      <w:pPr>
        <w:ind w:left="720"/>
        <w:rPr>
          <w:sz w:val="22"/>
          <w:szCs w:val="22"/>
          <w:lang w:val="es-MX"/>
        </w:rPr>
      </w:pPr>
    </w:p>
    <w:p w14:paraId="4975557C" w14:textId="56E99316" w:rsidR="00D8670F" w:rsidRPr="002A6E19" w:rsidRDefault="00D8670F" w:rsidP="00E54422">
      <w:pPr>
        <w:pStyle w:val="ListParagraph0"/>
        <w:numPr>
          <w:ilvl w:val="1"/>
          <w:numId w:val="23"/>
        </w:numPr>
        <w:tabs>
          <w:tab w:val="left" w:pos="360"/>
        </w:tabs>
        <w:contextualSpacing/>
        <w:jc w:val="both"/>
        <w:rPr>
          <w:color w:val="202124"/>
          <w:sz w:val="22"/>
          <w:szCs w:val="22"/>
          <w:lang w:val="es-MX"/>
        </w:rPr>
      </w:pPr>
      <w:r w:rsidRPr="002A6E19">
        <w:rPr>
          <w:color w:val="202124"/>
          <w:sz w:val="22"/>
          <w:szCs w:val="22"/>
          <w:lang w:val="es-MX"/>
        </w:rPr>
        <w:t>Danit María Torres Fuentes,</w:t>
      </w:r>
      <w:r w:rsidR="00BA03CE">
        <w:rPr>
          <w:color w:val="202124"/>
          <w:sz w:val="22"/>
          <w:szCs w:val="22"/>
          <w:lang w:val="es-MX"/>
        </w:rPr>
        <w:t xml:space="preserve"> </w:t>
      </w:r>
      <w:r w:rsidRPr="002A6E19">
        <w:rPr>
          <w:color w:val="202124"/>
          <w:sz w:val="22"/>
          <w:szCs w:val="22"/>
          <w:lang w:val="es-MX"/>
        </w:rPr>
        <w:t>Directora de Calidad para la Educación Preescolar, Básica y Media. Ministerio de Educación de Colombia</w:t>
      </w:r>
    </w:p>
    <w:p w14:paraId="355D60D2" w14:textId="429B2043" w:rsidR="00D8670F" w:rsidRPr="002A6E19" w:rsidRDefault="00D8670F" w:rsidP="001944BA">
      <w:pPr>
        <w:pStyle w:val="ListParagraph0"/>
        <w:numPr>
          <w:ilvl w:val="2"/>
          <w:numId w:val="23"/>
        </w:numPr>
        <w:tabs>
          <w:tab w:val="left" w:pos="360"/>
        </w:tabs>
        <w:ind w:left="1620" w:hanging="180"/>
        <w:contextualSpacing/>
        <w:jc w:val="both"/>
        <w:rPr>
          <w:color w:val="202124"/>
          <w:sz w:val="22"/>
          <w:szCs w:val="22"/>
          <w:lang w:val="es-MX"/>
        </w:rPr>
      </w:pPr>
      <w:r w:rsidRPr="002A6E19">
        <w:rPr>
          <w:color w:val="202124"/>
          <w:sz w:val="22"/>
          <w:szCs w:val="22"/>
          <w:lang w:val="es-MX"/>
        </w:rPr>
        <w:t>Gestión pedagógica en el marco de la alternancia</w:t>
      </w:r>
      <w:r w:rsidR="0024253A">
        <w:rPr>
          <w:color w:val="202124"/>
          <w:sz w:val="22"/>
          <w:szCs w:val="22"/>
          <w:lang w:val="es-MX"/>
        </w:rPr>
        <w:t>.</w:t>
      </w:r>
    </w:p>
    <w:p w14:paraId="72B4ED48" w14:textId="3B1F8836" w:rsidR="007C551F" w:rsidRDefault="007C551F" w:rsidP="00A6571D">
      <w:pPr>
        <w:tabs>
          <w:tab w:val="left" w:pos="720"/>
          <w:tab w:val="left" w:pos="1440"/>
          <w:tab w:val="left" w:pos="2160"/>
        </w:tabs>
        <w:ind w:firstLine="720"/>
        <w:jc w:val="both"/>
        <w:rPr>
          <w:bCs/>
          <w:sz w:val="22"/>
          <w:szCs w:val="22"/>
          <w:lang w:val="es-MX"/>
        </w:rPr>
      </w:pPr>
    </w:p>
    <w:p w14:paraId="43B963CC" w14:textId="3A365D54" w:rsidR="00CD0BF8" w:rsidRDefault="00CD0BF8" w:rsidP="00A6571D">
      <w:pPr>
        <w:tabs>
          <w:tab w:val="left" w:pos="720"/>
          <w:tab w:val="left" w:pos="1440"/>
          <w:tab w:val="left" w:pos="2160"/>
        </w:tabs>
        <w:ind w:firstLine="720"/>
        <w:jc w:val="both"/>
        <w:rPr>
          <w:bCs/>
          <w:sz w:val="22"/>
          <w:szCs w:val="22"/>
          <w:lang w:val="es-MX"/>
        </w:rPr>
      </w:pPr>
    </w:p>
    <w:p w14:paraId="52A73FA6" w14:textId="75419EDD" w:rsidR="00CD0BF8" w:rsidRDefault="00CD0BF8" w:rsidP="00A6571D">
      <w:pPr>
        <w:tabs>
          <w:tab w:val="left" w:pos="720"/>
          <w:tab w:val="left" w:pos="1440"/>
          <w:tab w:val="left" w:pos="2160"/>
        </w:tabs>
        <w:ind w:firstLine="720"/>
        <w:jc w:val="both"/>
        <w:rPr>
          <w:bCs/>
          <w:sz w:val="22"/>
          <w:szCs w:val="22"/>
          <w:lang w:val="es-MX"/>
        </w:rPr>
      </w:pPr>
    </w:p>
    <w:p w14:paraId="71788323" w14:textId="77777777" w:rsidR="00CD0BF8" w:rsidRDefault="00CD0BF8" w:rsidP="00A6571D">
      <w:pPr>
        <w:tabs>
          <w:tab w:val="left" w:pos="720"/>
          <w:tab w:val="left" w:pos="1440"/>
          <w:tab w:val="left" w:pos="2160"/>
        </w:tabs>
        <w:ind w:firstLine="720"/>
        <w:jc w:val="both"/>
        <w:rPr>
          <w:bCs/>
          <w:sz w:val="22"/>
          <w:szCs w:val="22"/>
          <w:lang w:val="es-MX"/>
        </w:rPr>
      </w:pPr>
    </w:p>
    <w:p w14:paraId="56A5487A" w14:textId="10117EB4" w:rsidR="00A6571D" w:rsidRPr="002A6E19" w:rsidRDefault="007C551F" w:rsidP="007C551F">
      <w:pPr>
        <w:pStyle w:val="ListParagraph0"/>
        <w:numPr>
          <w:ilvl w:val="0"/>
          <w:numId w:val="16"/>
        </w:numPr>
        <w:ind w:left="720" w:hanging="720"/>
        <w:jc w:val="both"/>
        <w:rPr>
          <w:b/>
          <w:sz w:val="22"/>
          <w:szCs w:val="22"/>
          <w:lang w:val="es-MX"/>
        </w:rPr>
      </w:pPr>
      <w:r w:rsidRPr="002A6E19">
        <w:rPr>
          <w:b/>
          <w:sz w:val="22"/>
          <w:szCs w:val="22"/>
          <w:lang w:val="es-MX"/>
        </w:rPr>
        <w:lastRenderedPageBreak/>
        <w:t>Resultado de la reunión</w:t>
      </w:r>
    </w:p>
    <w:p w14:paraId="33F6E21B" w14:textId="40F5063A" w:rsidR="00A6571D" w:rsidRPr="002A6E19" w:rsidRDefault="00A6571D" w:rsidP="007C551F">
      <w:pPr>
        <w:jc w:val="both"/>
        <w:rPr>
          <w:rFonts w:eastAsia="Calibri"/>
          <w:sz w:val="22"/>
          <w:szCs w:val="22"/>
          <w:lang w:val="es-MX"/>
        </w:rPr>
      </w:pPr>
    </w:p>
    <w:p w14:paraId="28745953" w14:textId="2DC20169" w:rsidR="00364F06" w:rsidRPr="005B5472" w:rsidRDefault="00350927" w:rsidP="005B5472">
      <w:pPr>
        <w:tabs>
          <w:tab w:val="left" w:pos="720"/>
          <w:tab w:val="left" w:pos="1530"/>
          <w:tab w:val="left" w:pos="7380"/>
        </w:tabs>
        <w:ind w:firstLine="720"/>
        <w:jc w:val="both"/>
        <w:rPr>
          <w:rFonts w:eastAsia="MS Mincho"/>
          <w:sz w:val="22"/>
          <w:szCs w:val="22"/>
          <w:lang w:val="es-MX"/>
        </w:rPr>
      </w:pPr>
      <w:r w:rsidRPr="005B5472">
        <w:rPr>
          <w:rFonts w:eastAsia="MS Mincho"/>
          <w:sz w:val="22"/>
          <w:szCs w:val="22"/>
          <w:lang w:val="es-MX"/>
        </w:rPr>
        <w:t xml:space="preserve">Sinergias y oportunidades identificadas para la colaboración y cooperación entre los </w:t>
      </w:r>
      <w:r w:rsidR="0024253A">
        <w:rPr>
          <w:rFonts w:eastAsia="MS Mincho"/>
          <w:sz w:val="22"/>
          <w:szCs w:val="22"/>
          <w:lang w:val="es-MX"/>
        </w:rPr>
        <w:t>Estados M</w:t>
      </w:r>
      <w:r w:rsidRPr="005B5472">
        <w:rPr>
          <w:rFonts w:eastAsia="MS Mincho"/>
          <w:sz w:val="22"/>
          <w:szCs w:val="22"/>
          <w:lang w:val="es-MX"/>
        </w:rPr>
        <w:t xml:space="preserve">iembros, así como </w:t>
      </w:r>
      <w:r w:rsidR="0087653A" w:rsidRPr="005B5472">
        <w:rPr>
          <w:rFonts w:eastAsia="MS Mincho"/>
          <w:sz w:val="22"/>
          <w:szCs w:val="22"/>
          <w:lang w:val="es-MX"/>
        </w:rPr>
        <w:t xml:space="preserve">con las </w:t>
      </w:r>
      <w:r w:rsidRPr="005B5472">
        <w:rPr>
          <w:rFonts w:eastAsia="MS Mincho"/>
          <w:sz w:val="22"/>
          <w:szCs w:val="22"/>
          <w:lang w:val="es-MX"/>
        </w:rPr>
        <w:t xml:space="preserve">instituciones </w:t>
      </w:r>
      <w:r w:rsidR="0087653A" w:rsidRPr="005B5472">
        <w:rPr>
          <w:rFonts w:eastAsia="MS Mincho"/>
          <w:sz w:val="22"/>
          <w:szCs w:val="22"/>
          <w:lang w:val="es-MX"/>
        </w:rPr>
        <w:t>regionales</w:t>
      </w:r>
      <w:r w:rsidRPr="005B5472">
        <w:rPr>
          <w:rFonts w:eastAsia="MS Mincho"/>
          <w:sz w:val="22"/>
          <w:szCs w:val="22"/>
          <w:lang w:val="es-MX"/>
        </w:rPr>
        <w:t xml:space="preserve"> para la implementación de las iniciativas en educación y desarrollo humano, de conformidad con la resolución de la Asamblea General de la OEA AG/RES.2955 (L-O/20), </w:t>
      </w:r>
      <w:r w:rsidR="00330906" w:rsidRPr="005B5472">
        <w:rPr>
          <w:rFonts w:eastAsia="MS Mincho"/>
          <w:sz w:val="22"/>
          <w:szCs w:val="22"/>
          <w:lang w:val="es-MX"/>
        </w:rPr>
        <w:t xml:space="preserve">“Impulsando Iniciativas Hemisféricas en Materia de Desarrollo Integral: Promoción de la Resiliencia”, </w:t>
      </w:r>
      <w:r w:rsidR="0004395F" w:rsidRPr="005B5472">
        <w:rPr>
          <w:rFonts w:eastAsia="MS Mincho"/>
          <w:sz w:val="22"/>
          <w:szCs w:val="22"/>
          <w:lang w:val="es-MX"/>
        </w:rPr>
        <w:t>en</w:t>
      </w:r>
      <w:r w:rsidRPr="005B5472">
        <w:rPr>
          <w:rFonts w:eastAsia="MS Mincho"/>
          <w:sz w:val="22"/>
          <w:szCs w:val="22"/>
          <w:lang w:val="es-MX"/>
        </w:rPr>
        <w:t xml:space="preserve"> el marco del Plan de Trabajo CIE 2019-2022.</w:t>
      </w:r>
      <w:r w:rsidR="004A4EF0">
        <w:rPr>
          <w:rFonts w:eastAsia="MS Mincho"/>
          <w:noProof/>
          <w:sz w:val="22"/>
          <w:szCs w:val="22"/>
          <w:lang w:val="es-MX"/>
        </w:rPr>
        <mc:AlternateContent>
          <mc:Choice Requires="wps">
            <w:drawing>
              <wp:anchor distT="0" distB="0" distL="114300" distR="114300" simplePos="0" relativeHeight="251659264" behindDoc="0" locked="1" layoutInCell="1" allowOverlap="1" wp14:anchorId="06BCF23D" wp14:editId="2D7B25B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BFDF" w14:textId="77688E91" w:rsidR="004A4EF0" w:rsidRPr="004A4EF0" w:rsidRDefault="004A4EF0">
                            <w:pPr>
                              <w:rPr>
                                <w:sz w:val="18"/>
                              </w:rPr>
                            </w:pPr>
                            <w:r>
                              <w:rPr>
                                <w:sz w:val="18"/>
                              </w:rPr>
                              <w:fldChar w:fldCharType="begin"/>
                            </w:r>
                            <w:r>
                              <w:rPr>
                                <w:sz w:val="18"/>
                              </w:rPr>
                              <w:instrText xml:space="preserve"> FILENAME  \* MERGEFORMAT </w:instrText>
                            </w:r>
                            <w:r>
                              <w:rPr>
                                <w:sz w:val="18"/>
                              </w:rPr>
                              <w:fldChar w:fldCharType="separate"/>
                            </w:r>
                            <w:r>
                              <w:rPr>
                                <w:noProof/>
                                <w:sz w:val="18"/>
                              </w:rPr>
                              <w:t>CIDRP03186S01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BCF23D"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1BD3BFDF" w14:textId="77688E91" w:rsidR="004A4EF0" w:rsidRPr="004A4EF0" w:rsidRDefault="004A4EF0">
                      <w:pPr>
                        <w:rPr>
                          <w:sz w:val="18"/>
                        </w:rPr>
                      </w:pPr>
                      <w:r>
                        <w:rPr>
                          <w:sz w:val="18"/>
                        </w:rPr>
                        <w:fldChar w:fldCharType="begin"/>
                      </w:r>
                      <w:r>
                        <w:rPr>
                          <w:sz w:val="18"/>
                        </w:rPr>
                        <w:instrText xml:space="preserve"> FILENAME  \* MERGEFORMAT </w:instrText>
                      </w:r>
                      <w:r>
                        <w:rPr>
                          <w:sz w:val="18"/>
                        </w:rPr>
                        <w:fldChar w:fldCharType="separate"/>
                      </w:r>
                      <w:r>
                        <w:rPr>
                          <w:noProof/>
                          <w:sz w:val="18"/>
                        </w:rPr>
                        <w:t>CIDRP03186S01</w:t>
                      </w:r>
                      <w:r>
                        <w:rPr>
                          <w:sz w:val="18"/>
                        </w:rPr>
                        <w:fldChar w:fldCharType="end"/>
                      </w:r>
                    </w:p>
                  </w:txbxContent>
                </v:textbox>
                <w10:wrap anchory="page"/>
                <w10:anchorlock/>
              </v:shape>
            </w:pict>
          </mc:Fallback>
        </mc:AlternateContent>
      </w:r>
    </w:p>
    <w:sectPr w:rsidR="00364F06" w:rsidRPr="005B5472" w:rsidSect="00A870BA">
      <w:headerReference w:type="default" r:id="rId13"/>
      <w:headerReference w:type="first" r:id="rId14"/>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952D4" w14:textId="77777777" w:rsidR="00347A1D" w:rsidRPr="0040128C" w:rsidRDefault="00347A1D">
      <w:pPr>
        <w:rPr>
          <w:noProof/>
        </w:rPr>
      </w:pPr>
      <w:r w:rsidRPr="0040128C">
        <w:rPr>
          <w:noProof/>
        </w:rPr>
        <w:separator/>
      </w:r>
    </w:p>
  </w:endnote>
  <w:endnote w:type="continuationSeparator" w:id="0">
    <w:p w14:paraId="60296A32" w14:textId="77777777" w:rsidR="00347A1D" w:rsidRPr="0040128C" w:rsidRDefault="00347A1D">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7D06" w14:textId="77777777" w:rsidR="00347A1D" w:rsidRPr="0040128C" w:rsidRDefault="00347A1D">
      <w:pPr>
        <w:rPr>
          <w:noProof/>
        </w:rPr>
      </w:pPr>
      <w:r w:rsidRPr="0040128C">
        <w:rPr>
          <w:noProof/>
        </w:rPr>
        <w:separator/>
      </w:r>
    </w:p>
  </w:footnote>
  <w:footnote w:type="continuationSeparator" w:id="0">
    <w:p w14:paraId="58F9929C" w14:textId="77777777" w:rsidR="00347A1D" w:rsidRPr="0040128C" w:rsidRDefault="00347A1D">
      <w:pPr>
        <w:rPr>
          <w:noProof/>
        </w:rPr>
      </w:pPr>
      <w:r w:rsidRPr="0040128C">
        <w:rPr>
          <w:noProof/>
        </w:rPr>
        <w:continuationSeparator/>
      </w:r>
    </w:p>
  </w:footnote>
  <w:footnote w:id="1">
    <w:p w14:paraId="5783D17E" w14:textId="0926B6A0" w:rsidR="002A5B0E" w:rsidRDefault="002A5B0E" w:rsidP="0024253A">
      <w:pPr>
        <w:pStyle w:val="FootnoteText"/>
        <w:ind w:left="720" w:hanging="360"/>
      </w:pPr>
      <w:r w:rsidRPr="0024253A">
        <w:rPr>
          <w:rStyle w:val="FootnoteReference"/>
          <w:vertAlign w:val="baseline"/>
        </w:rPr>
        <w:footnoteRef/>
      </w:r>
      <w:r w:rsidR="0024253A">
        <w:t>.</w:t>
      </w:r>
      <w:r w:rsidR="0024253A">
        <w:tab/>
      </w:r>
      <w:r w:rsidRPr="0024253A">
        <w:t xml:space="preserve"> </w:t>
      </w:r>
      <w:hyperlink r:id="rId1" w:history="1">
        <w:r w:rsidR="006D2739" w:rsidRPr="00E26001">
          <w:rPr>
            <w:rStyle w:val="Hyperlink"/>
          </w:rPr>
          <w:t>https://openknowledge.worldbank.org/bitstream/handle/10986/35276/Acting%20now-SP.pdf?sequence=15&amp;isAllowed=y</w:t>
        </w:r>
      </w:hyperlink>
    </w:p>
    <w:p w14:paraId="0CAF5252" w14:textId="77777777" w:rsidR="006D2739" w:rsidRPr="002A5B0E" w:rsidRDefault="006D2739">
      <w:pPr>
        <w:pStyle w:val="FootnoteText"/>
      </w:pPr>
    </w:p>
  </w:footnote>
  <w:footnote w:id="2">
    <w:p w14:paraId="033F4D8E" w14:textId="7BAFE278" w:rsidR="005F48F0" w:rsidRPr="0024253A" w:rsidRDefault="005F48F0" w:rsidP="0024253A">
      <w:pPr>
        <w:pStyle w:val="FootnoteText"/>
        <w:ind w:left="720" w:hanging="360"/>
      </w:pPr>
      <w:r w:rsidRPr="0024253A">
        <w:rPr>
          <w:rStyle w:val="FootnoteReference"/>
          <w:vertAlign w:val="baseline"/>
        </w:rPr>
        <w:footnoteRef/>
      </w:r>
      <w:r w:rsidR="0024253A">
        <w:t>.</w:t>
      </w:r>
      <w:r w:rsidR="0024253A">
        <w:tab/>
      </w:r>
      <w:hyperlink r:id="rId2" w:history="1">
        <w:r w:rsidR="009B6F89" w:rsidRPr="0024253A">
          <w:rPr>
            <w:rStyle w:val="Hyperlink"/>
            <w:lang w:val="es-MX"/>
          </w:rPr>
          <w:t>Plan de Trabajo 2019-2022 de la CIE</w:t>
        </w:r>
      </w:hyperlink>
    </w:p>
  </w:footnote>
  <w:footnote w:id="3">
    <w:p w14:paraId="3CE88498" w14:textId="68823F19" w:rsidR="00B61F97" w:rsidRPr="0024253A" w:rsidRDefault="00B61F97" w:rsidP="0024253A">
      <w:pPr>
        <w:pStyle w:val="FootnoteText"/>
        <w:ind w:left="720" w:hanging="360"/>
        <w:jc w:val="both"/>
      </w:pPr>
      <w:r w:rsidRPr="0024253A">
        <w:rPr>
          <w:rStyle w:val="FootnoteReference"/>
          <w:vertAlign w:val="baseline"/>
        </w:rPr>
        <w:footnoteRef/>
      </w:r>
      <w:r w:rsidR="0024253A">
        <w:t>.</w:t>
      </w:r>
      <w:r w:rsidR="0024253A">
        <w:tab/>
      </w:r>
      <w:r w:rsidR="006A760C" w:rsidRPr="0024253A">
        <w:rPr>
          <w:rFonts w:eastAsia="MS Mincho"/>
        </w:rPr>
        <w:t>Reconsiderar</w:t>
      </w:r>
      <w:r w:rsidRPr="0024253A">
        <w:rPr>
          <w:rFonts w:eastAsia="MS Mincho"/>
        </w:rPr>
        <w:t xml:space="preserve"> la educación para crear sistemas resilientes y receptivos. Dialogo virtual en colaboración entre la OEA/CIE y </w:t>
      </w:r>
      <w:r w:rsidRPr="0024253A">
        <w:rPr>
          <w:rFonts w:eastAsia="MS Mincho"/>
          <w:lang w:val="es-AR"/>
        </w:rPr>
        <w:t xml:space="preserve">J-Wel/ MIT. 12 de </w:t>
      </w:r>
      <w:r w:rsidR="006A760C" w:rsidRPr="0024253A">
        <w:rPr>
          <w:rFonts w:eastAsia="MS Mincho"/>
          <w:lang w:val="es-AR"/>
        </w:rPr>
        <w:t>agosto</w:t>
      </w:r>
      <w:r w:rsidRPr="0024253A">
        <w:rPr>
          <w:rFonts w:eastAsia="MS Mincho"/>
          <w:lang w:val="es-AR"/>
        </w:rPr>
        <w:t>, 2020</w:t>
      </w:r>
    </w:p>
  </w:footnote>
  <w:footnote w:id="4">
    <w:p w14:paraId="00859E3F" w14:textId="4392B0AA" w:rsidR="006545B0" w:rsidRPr="0024253A" w:rsidRDefault="006545B0" w:rsidP="0024253A">
      <w:pPr>
        <w:pStyle w:val="FootnoteText"/>
        <w:ind w:left="720" w:hanging="360"/>
        <w:jc w:val="both"/>
      </w:pPr>
      <w:r w:rsidRPr="0024253A">
        <w:rPr>
          <w:rStyle w:val="FootnoteReference"/>
          <w:vertAlign w:val="baseline"/>
        </w:rPr>
        <w:footnoteRef/>
      </w:r>
      <w:r w:rsidR="0024253A">
        <w:t>.</w:t>
      </w:r>
      <w:r w:rsidR="0024253A">
        <w:tab/>
      </w:r>
      <w:r w:rsidRPr="0024253A">
        <w:rPr>
          <w:lang w:val="es-DO"/>
        </w:rPr>
        <w:t xml:space="preserve">Mesa de Diálogo: Intercambio y Reflexión sobre Fase de Retorno a la Educación Presencial. 4 de </w:t>
      </w:r>
      <w:r w:rsidR="00837F1C" w:rsidRPr="0024253A">
        <w:rPr>
          <w:lang w:val="es-DO"/>
        </w:rPr>
        <w:t>diciembre</w:t>
      </w:r>
      <w:r w:rsidRPr="0024253A">
        <w:rPr>
          <w:lang w:val="es-DO"/>
        </w:rPr>
        <w:t>, 2020.</w:t>
      </w:r>
    </w:p>
  </w:footnote>
  <w:footnote w:id="5">
    <w:p w14:paraId="1CD98924" w14:textId="0F8560C6" w:rsidR="000766FE" w:rsidRPr="00155B37" w:rsidRDefault="000766FE" w:rsidP="0024253A">
      <w:pPr>
        <w:pStyle w:val="FootnoteText"/>
        <w:ind w:left="720" w:hanging="360"/>
        <w:jc w:val="both"/>
      </w:pPr>
      <w:r w:rsidRPr="0024253A">
        <w:rPr>
          <w:rStyle w:val="FootnoteReference"/>
          <w:vertAlign w:val="baseline"/>
        </w:rPr>
        <w:footnoteRef/>
      </w:r>
      <w:r w:rsidR="0024253A">
        <w:t>.</w:t>
      </w:r>
      <w:r w:rsidR="0024253A">
        <w:tab/>
      </w:r>
      <w:r w:rsidRPr="0024253A">
        <w:rPr>
          <w:rFonts w:cstheme="minorHAnsi"/>
          <w:lang w:val="es-DO"/>
        </w:rPr>
        <w:t>Hacia</w:t>
      </w:r>
      <w:r w:rsidRPr="00155B37">
        <w:rPr>
          <w:rFonts w:cstheme="minorHAnsi"/>
          <w:lang w:val="es-DO"/>
        </w:rPr>
        <w:t xml:space="preserve"> una Cultura de Accesibilidad Digital: Experiencias y Desafíos Educativos en Periodo de Pandemia para las Personas con Discapacidad. Dialogo Virtual de la CIE. 9 de diciembre,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72775D">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s-CO" w:eastAsia="es-CO"/>
      </w:rPr>
      <mc:AlternateContent>
        <mc:Choice Requires="wps">
          <w:drawing>
            <wp:anchor distT="0" distB="0" distL="114300" distR="114300" simplePos="0" relativeHeight="251658752" behindDoc="0" locked="0" layoutInCell="1" allowOverlap="1" wp14:anchorId="091C525B" wp14:editId="1E901A8B">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34EEDD8A" w14:textId="77777777" w:rsidR="00921E9E" w:rsidRPr="0040128C"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4AB5B8C5"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6608"/>
    <w:multiLevelType w:val="hybridMultilevel"/>
    <w:tmpl w:val="7C206D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8"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3D06D4"/>
    <w:multiLevelType w:val="hybridMultilevel"/>
    <w:tmpl w:val="64581C26"/>
    <w:numStyleLink w:val="Dash"/>
  </w:abstractNum>
  <w:abstractNum w:abstractNumId="20" w15:restartNumberingAfterBreak="0">
    <w:nsid w:val="75005F34"/>
    <w:multiLevelType w:val="hybridMultilevel"/>
    <w:tmpl w:val="568A8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2C07DEE">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22"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3"/>
  </w:num>
  <w:num w:numId="4">
    <w:abstractNumId w:val="21"/>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
  </w:num>
  <w:num w:numId="10">
    <w:abstractNumId w:val="13"/>
  </w:num>
  <w:num w:numId="11">
    <w:abstractNumId w:val="15"/>
  </w:num>
  <w:num w:numId="12">
    <w:abstractNumId w:val="22"/>
  </w:num>
  <w:num w:numId="13">
    <w:abstractNumId w:val="10"/>
  </w:num>
  <w:num w:numId="14">
    <w:abstractNumId w:val="4"/>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5"/>
  </w:num>
  <w:num w:numId="20">
    <w:abstractNumId w:val="19"/>
  </w:num>
  <w:num w:numId="21">
    <w:abstractNumId w:val="11"/>
  </w:num>
  <w:num w:numId="22">
    <w:abstractNumId w:val="12"/>
  </w:num>
  <w:num w:numId="23">
    <w:abstractNumId w:val="20"/>
  </w:num>
  <w:num w:numId="24">
    <w:abstractNumId w:val="9"/>
  </w:num>
  <w:num w:numId="25">
    <w:abstractNumId w:val="18"/>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14D10"/>
    <w:rsid w:val="000205EC"/>
    <w:rsid w:val="00023A84"/>
    <w:rsid w:val="0002462D"/>
    <w:rsid w:val="000358FD"/>
    <w:rsid w:val="000427B5"/>
    <w:rsid w:val="00042B84"/>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C8E"/>
    <w:rsid w:val="000F19C2"/>
    <w:rsid w:val="00100FE1"/>
    <w:rsid w:val="001069A4"/>
    <w:rsid w:val="00106D57"/>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80746"/>
    <w:rsid w:val="00183C2C"/>
    <w:rsid w:val="001842C2"/>
    <w:rsid w:val="00187D59"/>
    <w:rsid w:val="00191034"/>
    <w:rsid w:val="001944BA"/>
    <w:rsid w:val="001B0828"/>
    <w:rsid w:val="001B0AB0"/>
    <w:rsid w:val="001B467F"/>
    <w:rsid w:val="001B57D9"/>
    <w:rsid w:val="001C16D7"/>
    <w:rsid w:val="001C6DC5"/>
    <w:rsid w:val="001D0039"/>
    <w:rsid w:val="001D0221"/>
    <w:rsid w:val="001D0261"/>
    <w:rsid w:val="001D738C"/>
    <w:rsid w:val="001E3150"/>
    <w:rsid w:val="001E3C78"/>
    <w:rsid w:val="001E7F13"/>
    <w:rsid w:val="001F2739"/>
    <w:rsid w:val="001F6B2A"/>
    <w:rsid w:val="0020227F"/>
    <w:rsid w:val="002024FE"/>
    <w:rsid w:val="00203839"/>
    <w:rsid w:val="0020460C"/>
    <w:rsid w:val="00204C14"/>
    <w:rsid w:val="002050F0"/>
    <w:rsid w:val="00222AFE"/>
    <w:rsid w:val="00224C3F"/>
    <w:rsid w:val="00225597"/>
    <w:rsid w:val="00227068"/>
    <w:rsid w:val="00234996"/>
    <w:rsid w:val="00235CB9"/>
    <w:rsid w:val="002401B7"/>
    <w:rsid w:val="00240AE1"/>
    <w:rsid w:val="0024253A"/>
    <w:rsid w:val="002550FB"/>
    <w:rsid w:val="00264202"/>
    <w:rsid w:val="0026449A"/>
    <w:rsid w:val="00267DA2"/>
    <w:rsid w:val="00267E1B"/>
    <w:rsid w:val="00270D70"/>
    <w:rsid w:val="002711DD"/>
    <w:rsid w:val="00273C45"/>
    <w:rsid w:val="0027412E"/>
    <w:rsid w:val="00277682"/>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C2704"/>
    <w:rsid w:val="002C53EF"/>
    <w:rsid w:val="002C6B0D"/>
    <w:rsid w:val="002D37F0"/>
    <w:rsid w:val="002D412D"/>
    <w:rsid w:val="002D4979"/>
    <w:rsid w:val="002E2CC7"/>
    <w:rsid w:val="002E609F"/>
    <w:rsid w:val="002E6DC6"/>
    <w:rsid w:val="002F0A27"/>
    <w:rsid w:val="002F0AF9"/>
    <w:rsid w:val="002F25F2"/>
    <w:rsid w:val="002F5352"/>
    <w:rsid w:val="00305E93"/>
    <w:rsid w:val="0031130C"/>
    <w:rsid w:val="003116AC"/>
    <w:rsid w:val="0032233E"/>
    <w:rsid w:val="0032630F"/>
    <w:rsid w:val="0032713A"/>
    <w:rsid w:val="003302CF"/>
    <w:rsid w:val="00330906"/>
    <w:rsid w:val="003342EF"/>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A0998"/>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4428"/>
    <w:rsid w:val="003F4FA0"/>
    <w:rsid w:val="003F6D44"/>
    <w:rsid w:val="003F6FF7"/>
    <w:rsid w:val="0040128C"/>
    <w:rsid w:val="00407B3A"/>
    <w:rsid w:val="00413FE5"/>
    <w:rsid w:val="004147A7"/>
    <w:rsid w:val="00414A9D"/>
    <w:rsid w:val="0041583C"/>
    <w:rsid w:val="00421AA1"/>
    <w:rsid w:val="004279F5"/>
    <w:rsid w:val="004332C6"/>
    <w:rsid w:val="00457B19"/>
    <w:rsid w:val="00461F49"/>
    <w:rsid w:val="0046301C"/>
    <w:rsid w:val="00463A6B"/>
    <w:rsid w:val="0046512F"/>
    <w:rsid w:val="00465CE9"/>
    <w:rsid w:val="00467A8F"/>
    <w:rsid w:val="00472111"/>
    <w:rsid w:val="00476255"/>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2279"/>
    <w:rsid w:val="004D44C9"/>
    <w:rsid w:val="004D45B1"/>
    <w:rsid w:val="004E0B5A"/>
    <w:rsid w:val="004F0EF3"/>
    <w:rsid w:val="004F4571"/>
    <w:rsid w:val="004F6805"/>
    <w:rsid w:val="0050011F"/>
    <w:rsid w:val="00502854"/>
    <w:rsid w:val="0050667F"/>
    <w:rsid w:val="00506BBD"/>
    <w:rsid w:val="005112C3"/>
    <w:rsid w:val="00513B4E"/>
    <w:rsid w:val="00514EDB"/>
    <w:rsid w:val="0052375C"/>
    <w:rsid w:val="00531AE5"/>
    <w:rsid w:val="005336D0"/>
    <w:rsid w:val="0053678B"/>
    <w:rsid w:val="00540938"/>
    <w:rsid w:val="00545543"/>
    <w:rsid w:val="005462E3"/>
    <w:rsid w:val="00547844"/>
    <w:rsid w:val="0055186F"/>
    <w:rsid w:val="00564C90"/>
    <w:rsid w:val="00564FA3"/>
    <w:rsid w:val="005679D8"/>
    <w:rsid w:val="00573F8F"/>
    <w:rsid w:val="00575576"/>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5832"/>
    <w:rsid w:val="00675F54"/>
    <w:rsid w:val="00680EA5"/>
    <w:rsid w:val="006839FF"/>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739"/>
    <w:rsid w:val="006D7239"/>
    <w:rsid w:val="006E20F9"/>
    <w:rsid w:val="006F0712"/>
    <w:rsid w:val="006F0B87"/>
    <w:rsid w:val="006F4488"/>
    <w:rsid w:val="00704D55"/>
    <w:rsid w:val="00704F54"/>
    <w:rsid w:val="00705293"/>
    <w:rsid w:val="0070608C"/>
    <w:rsid w:val="00721843"/>
    <w:rsid w:val="00722693"/>
    <w:rsid w:val="00723DE2"/>
    <w:rsid w:val="00723EE9"/>
    <w:rsid w:val="0072562F"/>
    <w:rsid w:val="00726331"/>
    <w:rsid w:val="0072775D"/>
    <w:rsid w:val="00730E0A"/>
    <w:rsid w:val="00731A03"/>
    <w:rsid w:val="007325A6"/>
    <w:rsid w:val="0073480E"/>
    <w:rsid w:val="00743DD7"/>
    <w:rsid w:val="007443E9"/>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C254E"/>
    <w:rsid w:val="008C43DE"/>
    <w:rsid w:val="008D0EFB"/>
    <w:rsid w:val="008D2C52"/>
    <w:rsid w:val="008D57AD"/>
    <w:rsid w:val="008D6F7B"/>
    <w:rsid w:val="008F514A"/>
    <w:rsid w:val="008F747C"/>
    <w:rsid w:val="00900498"/>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71C8"/>
    <w:rsid w:val="0096142F"/>
    <w:rsid w:val="00962EF0"/>
    <w:rsid w:val="00965A6D"/>
    <w:rsid w:val="0097131C"/>
    <w:rsid w:val="00986E8C"/>
    <w:rsid w:val="00991E5C"/>
    <w:rsid w:val="00993F57"/>
    <w:rsid w:val="00994879"/>
    <w:rsid w:val="009979A7"/>
    <w:rsid w:val="009A194A"/>
    <w:rsid w:val="009A2844"/>
    <w:rsid w:val="009B2AE9"/>
    <w:rsid w:val="009B2F59"/>
    <w:rsid w:val="009B307F"/>
    <w:rsid w:val="009B6F89"/>
    <w:rsid w:val="009C2D70"/>
    <w:rsid w:val="009C3474"/>
    <w:rsid w:val="009C3EA4"/>
    <w:rsid w:val="009C4754"/>
    <w:rsid w:val="009C6F26"/>
    <w:rsid w:val="009C75F5"/>
    <w:rsid w:val="009C7AAB"/>
    <w:rsid w:val="009D5FBE"/>
    <w:rsid w:val="009E628C"/>
    <w:rsid w:val="009F0791"/>
    <w:rsid w:val="00A00402"/>
    <w:rsid w:val="00A06676"/>
    <w:rsid w:val="00A06AF5"/>
    <w:rsid w:val="00A06FE9"/>
    <w:rsid w:val="00A115F5"/>
    <w:rsid w:val="00A12EA0"/>
    <w:rsid w:val="00A136BD"/>
    <w:rsid w:val="00A13E2C"/>
    <w:rsid w:val="00A232CD"/>
    <w:rsid w:val="00A256AB"/>
    <w:rsid w:val="00A323C5"/>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F06BC"/>
    <w:rsid w:val="00AF0C03"/>
    <w:rsid w:val="00AF77E9"/>
    <w:rsid w:val="00B040D8"/>
    <w:rsid w:val="00B112B4"/>
    <w:rsid w:val="00B16016"/>
    <w:rsid w:val="00B22BF3"/>
    <w:rsid w:val="00B234AF"/>
    <w:rsid w:val="00B27CD7"/>
    <w:rsid w:val="00B27F1B"/>
    <w:rsid w:val="00B3526C"/>
    <w:rsid w:val="00B43107"/>
    <w:rsid w:val="00B439EC"/>
    <w:rsid w:val="00B45EBD"/>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4C7D"/>
    <w:rsid w:val="00B97D8D"/>
    <w:rsid w:val="00BA03CE"/>
    <w:rsid w:val="00BA3604"/>
    <w:rsid w:val="00BA50F6"/>
    <w:rsid w:val="00BB0341"/>
    <w:rsid w:val="00BB0755"/>
    <w:rsid w:val="00BB4A78"/>
    <w:rsid w:val="00BB5066"/>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223D4"/>
    <w:rsid w:val="00C26144"/>
    <w:rsid w:val="00C26CF5"/>
    <w:rsid w:val="00C304B0"/>
    <w:rsid w:val="00C41591"/>
    <w:rsid w:val="00C4312C"/>
    <w:rsid w:val="00C450B0"/>
    <w:rsid w:val="00C45F98"/>
    <w:rsid w:val="00C46BCF"/>
    <w:rsid w:val="00C51DDA"/>
    <w:rsid w:val="00C52216"/>
    <w:rsid w:val="00C607E3"/>
    <w:rsid w:val="00C61825"/>
    <w:rsid w:val="00C62C07"/>
    <w:rsid w:val="00C6456D"/>
    <w:rsid w:val="00C81A83"/>
    <w:rsid w:val="00C82FD3"/>
    <w:rsid w:val="00C83711"/>
    <w:rsid w:val="00C8384A"/>
    <w:rsid w:val="00C8592B"/>
    <w:rsid w:val="00C878A5"/>
    <w:rsid w:val="00C90BA2"/>
    <w:rsid w:val="00C91821"/>
    <w:rsid w:val="00C92468"/>
    <w:rsid w:val="00C92818"/>
    <w:rsid w:val="00C93A89"/>
    <w:rsid w:val="00C962B2"/>
    <w:rsid w:val="00CA12D4"/>
    <w:rsid w:val="00CA2349"/>
    <w:rsid w:val="00CA4F6C"/>
    <w:rsid w:val="00CA6D0B"/>
    <w:rsid w:val="00CB0A35"/>
    <w:rsid w:val="00CB2F2F"/>
    <w:rsid w:val="00CC49AE"/>
    <w:rsid w:val="00CC550E"/>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7730"/>
    <w:rsid w:val="00D643E9"/>
    <w:rsid w:val="00D64EA6"/>
    <w:rsid w:val="00D6769E"/>
    <w:rsid w:val="00D676CC"/>
    <w:rsid w:val="00D74898"/>
    <w:rsid w:val="00D754D6"/>
    <w:rsid w:val="00D75FC3"/>
    <w:rsid w:val="00D80335"/>
    <w:rsid w:val="00D8670F"/>
    <w:rsid w:val="00D8755F"/>
    <w:rsid w:val="00DA35E0"/>
    <w:rsid w:val="00DA67FE"/>
    <w:rsid w:val="00DB2D3F"/>
    <w:rsid w:val="00DB360D"/>
    <w:rsid w:val="00DB36EA"/>
    <w:rsid w:val="00DB3B6E"/>
    <w:rsid w:val="00DB5D3D"/>
    <w:rsid w:val="00DC24A9"/>
    <w:rsid w:val="00DC33BC"/>
    <w:rsid w:val="00DC4BF4"/>
    <w:rsid w:val="00DC520A"/>
    <w:rsid w:val="00DD0139"/>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5047"/>
    <w:rsid w:val="00E55B8A"/>
    <w:rsid w:val="00E560BD"/>
    <w:rsid w:val="00E574B3"/>
    <w:rsid w:val="00E61585"/>
    <w:rsid w:val="00E83BE7"/>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31B9A"/>
    <w:rsid w:val="00F43206"/>
    <w:rsid w:val="00F4449C"/>
    <w:rsid w:val="00F469CE"/>
    <w:rsid w:val="00F4735E"/>
    <w:rsid w:val="00F5197F"/>
    <w:rsid w:val="00F524DB"/>
    <w:rsid w:val="00F530B2"/>
    <w:rsid w:val="00F53223"/>
    <w:rsid w:val="00F663E8"/>
    <w:rsid w:val="00F67D46"/>
    <w:rsid w:val="00F71307"/>
    <w:rsid w:val="00F73BF2"/>
    <w:rsid w:val="00F76DC9"/>
    <w:rsid w:val="00F773E4"/>
    <w:rsid w:val="00F8041D"/>
    <w:rsid w:val="00F8105E"/>
    <w:rsid w:val="00F87541"/>
    <w:rsid w:val="00F91F7C"/>
    <w:rsid w:val="00F93ADE"/>
    <w:rsid w:val="00F971E9"/>
    <w:rsid w:val="00F97525"/>
    <w:rsid w:val="00FA607C"/>
    <w:rsid w:val="00FA61C9"/>
    <w:rsid w:val="00FA6A04"/>
    <w:rsid w:val="00FA7103"/>
    <w:rsid w:val="00FA76F8"/>
    <w:rsid w:val="00FB0853"/>
    <w:rsid w:val="00FB3DE1"/>
    <w:rsid w:val="00FB6445"/>
    <w:rsid w:val="00FC16EC"/>
    <w:rsid w:val="00FC559E"/>
    <w:rsid w:val="00FC73C7"/>
    <w:rsid w:val="00FD02D9"/>
    <w:rsid w:val="00FD4F65"/>
    <w:rsid w:val="00FE356F"/>
    <w:rsid w:val="00FE404F"/>
    <w:rsid w:val="00FE7AA0"/>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styleId="UnresolvedMention">
    <w:name w:val="Unresolved Mention"/>
    <w:basedOn w:val="DefaultParagraphFont"/>
    <w:uiPriority w:val="99"/>
    <w:semiHidden/>
    <w:unhideWhenUsed/>
    <w:rsid w:val="006D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sedi/dhdee/CIE/PLAN%20TRABAJO%20CIE%202019-2022-APR0BADO-CIDED00212-ESP.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AG/doc.&amp;classNum=5717&amp;la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s/sedi/dhdee/CIE/PLAN%20TRABAJO%20CIE%202019-2022-APR0BADO-CIDED00212-ESP.docx" TargetMode="External"/><Relationship Id="rId1" Type="http://schemas.openxmlformats.org/officeDocument/2006/relationships/hyperlink" Target="https://openknowledge.worldbank.org/bitstream/handle/10986/35276/Acting%20now-SP.pdf?sequence=15&amp;isAllowed=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8AB5F-6C09-4665-81C0-F36A146E100B}">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89f4cd83-a2d3-4405-9b45-6aff5241ff8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9A468-2D67-4CA2-AEA0-1BDC37590E32}">
  <ds:schemaRefs>
    <ds:schemaRef ds:uri="http://schemas.openxmlformats.org/officeDocument/2006/bibliography"/>
  </ds:schemaRefs>
</ds:datastoreItem>
</file>

<file path=customXml/itemProps4.xml><?xml version="1.0" encoding="utf-8"?>
<ds:datastoreItem xmlns:ds="http://schemas.openxmlformats.org/officeDocument/2006/customXml" ds:itemID="{66501F12-2F2D-496D-80CC-DA608B19F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0</TotalTime>
  <Pages>4</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7839</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3</cp:revision>
  <cp:lastPrinted>2018-08-24T16:52:00Z</cp:lastPrinted>
  <dcterms:created xsi:type="dcterms:W3CDTF">2021-05-14T19:56:00Z</dcterms:created>
  <dcterms:modified xsi:type="dcterms:W3CDTF">2021-05-14T19:57:00Z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0x01010076D035A163BC0046A41C2EBE1E58AFFF</vt:lpwstr>
  </property>
</Properties>
</file>