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723EE9" w:rsidRDefault="00FA607C" w:rsidP="000B6478">
      <w:pPr>
        <w:tabs>
          <w:tab w:val="left" w:pos="7200"/>
        </w:tabs>
        <w:ind w:right="-1080"/>
        <w:rPr>
          <w:sz w:val="22"/>
          <w:szCs w:val="22"/>
          <w:lang w:val="pt-BR"/>
        </w:rPr>
      </w:pPr>
      <w:bookmarkStart w:id="0" w:name="_top"/>
      <w:bookmarkEnd w:id="0"/>
      <w:r w:rsidRPr="00723EE9">
        <w:rPr>
          <w:sz w:val="22"/>
          <w:szCs w:val="22"/>
        </w:rPr>
        <w:tab/>
      </w:r>
      <w:r w:rsidRPr="00723EE9">
        <w:rPr>
          <w:sz w:val="22"/>
          <w:szCs w:val="22"/>
          <w:lang w:val="pt-BR"/>
        </w:rPr>
        <w:t>OEA/Ser.W</w:t>
      </w:r>
    </w:p>
    <w:p w14:paraId="47887D17" w14:textId="4F97E71E" w:rsidR="00722693" w:rsidRPr="00A61DEB" w:rsidRDefault="00FA607C" w:rsidP="000B6478">
      <w:pPr>
        <w:tabs>
          <w:tab w:val="left" w:pos="7200"/>
        </w:tabs>
        <w:ind w:right="-1080"/>
        <w:rPr>
          <w:sz w:val="22"/>
          <w:szCs w:val="22"/>
          <w:lang w:val="pt-BR"/>
        </w:rPr>
      </w:pPr>
      <w:r w:rsidRPr="00723EE9">
        <w:rPr>
          <w:sz w:val="22"/>
          <w:szCs w:val="22"/>
          <w:lang w:val="pt-BR"/>
        </w:rPr>
        <w:tab/>
      </w:r>
      <w:r w:rsidRPr="00ED5D59">
        <w:rPr>
          <w:sz w:val="22"/>
          <w:szCs w:val="22"/>
          <w:lang w:val="pt-BR"/>
        </w:rPr>
        <w:t>CIDI/INF.</w:t>
      </w:r>
      <w:r w:rsidR="00292E95">
        <w:rPr>
          <w:sz w:val="22"/>
          <w:szCs w:val="22"/>
          <w:lang w:val="pt-BR"/>
        </w:rPr>
        <w:t>432</w:t>
      </w:r>
      <w:r w:rsidRPr="00A61DEB">
        <w:rPr>
          <w:sz w:val="22"/>
          <w:szCs w:val="22"/>
          <w:lang w:val="pt-BR"/>
        </w:rPr>
        <w:t>/</w:t>
      </w:r>
      <w:r w:rsidR="002B44E1" w:rsidRPr="00A61DEB">
        <w:rPr>
          <w:sz w:val="22"/>
          <w:szCs w:val="22"/>
          <w:lang w:val="pt-BR"/>
        </w:rPr>
        <w:t>21</w:t>
      </w:r>
    </w:p>
    <w:p w14:paraId="5A33C6A7" w14:textId="57EAE106" w:rsidR="00921E9E" w:rsidRPr="00723EE9" w:rsidRDefault="00FA607C" w:rsidP="000B6478">
      <w:pPr>
        <w:tabs>
          <w:tab w:val="left" w:pos="7200"/>
        </w:tabs>
        <w:ind w:right="-1080"/>
        <w:rPr>
          <w:sz w:val="22"/>
          <w:szCs w:val="22"/>
        </w:rPr>
      </w:pPr>
      <w:r w:rsidRPr="00A61DEB">
        <w:rPr>
          <w:sz w:val="22"/>
          <w:szCs w:val="22"/>
          <w:lang w:val="pt-BR"/>
        </w:rPr>
        <w:tab/>
      </w:r>
      <w:r w:rsidR="00723EE9">
        <w:rPr>
          <w:sz w:val="22"/>
          <w:szCs w:val="22"/>
        </w:rPr>
        <w:t>1</w:t>
      </w:r>
      <w:r w:rsidR="00292E95">
        <w:rPr>
          <w:sz w:val="22"/>
          <w:szCs w:val="22"/>
        </w:rPr>
        <w:t>7</w:t>
      </w:r>
      <w:r w:rsidR="00723EE9">
        <w:rPr>
          <w:sz w:val="22"/>
          <w:szCs w:val="22"/>
        </w:rPr>
        <w:t xml:space="preserve"> </w:t>
      </w:r>
      <w:r w:rsidR="002B44E1">
        <w:rPr>
          <w:sz w:val="22"/>
          <w:szCs w:val="22"/>
        </w:rPr>
        <w:t xml:space="preserve">June </w:t>
      </w:r>
      <w:r w:rsidR="004A7C48" w:rsidRPr="00723EE9">
        <w:rPr>
          <w:sz w:val="22"/>
          <w:szCs w:val="22"/>
        </w:rPr>
        <w:t>20</w:t>
      </w:r>
      <w:r w:rsidR="000B6478" w:rsidRPr="00723EE9">
        <w:rPr>
          <w:sz w:val="22"/>
          <w:szCs w:val="22"/>
        </w:rPr>
        <w:t>2</w:t>
      </w:r>
      <w:r w:rsidR="002B44E1">
        <w:rPr>
          <w:sz w:val="22"/>
          <w:szCs w:val="22"/>
        </w:rPr>
        <w:t>1</w:t>
      </w:r>
    </w:p>
    <w:p w14:paraId="0F58D2B5" w14:textId="77777777" w:rsidR="00921E9E" w:rsidRPr="00723EE9" w:rsidRDefault="00FA607C" w:rsidP="000B6478">
      <w:pPr>
        <w:pBdr>
          <w:bottom w:val="single" w:sz="12" w:space="1" w:color="auto"/>
        </w:pBdr>
        <w:tabs>
          <w:tab w:val="left" w:pos="7200"/>
        </w:tabs>
        <w:ind w:right="-389"/>
        <w:rPr>
          <w:sz w:val="22"/>
          <w:szCs w:val="22"/>
        </w:rPr>
      </w:pPr>
      <w:r w:rsidRPr="00723EE9">
        <w:rPr>
          <w:sz w:val="22"/>
          <w:szCs w:val="22"/>
        </w:rPr>
        <w:tab/>
        <w:t xml:space="preserve">Original: </w:t>
      </w:r>
      <w:r w:rsidR="000B6478" w:rsidRPr="00723EE9">
        <w:rPr>
          <w:sz w:val="22"/>
          <w:szCs w:val="22"/>
        </w:rPr>
        <w:t>English</w:t>
      </w:r>
    </w:p>
    <w:p w14:paraId="5D981BA8" w14:textId="77777777" w:rsidR="00921E9E" w:rsidRPr="00723EE9" w:rsidRDefault="00921E9E" w:rsidP="000B6478">
      <w:pPr>
        <w:pBdr>
          <w:bottom w:val="single" w:sz="12" w:space="1" w:color="auto"/>
        </w:pBdr>
        <w:tabs>
          <w:tab w:val="left" w:pos="7200"/>
        </w:tabs>
        <w:ind w:right="-389"/>
        <w:rPr>
          <w:sz w:val="22"/>
          <w:szCs w:val="22"/>
        </w:rPr>
      </w:pPr>
    </w:p>
    <w:p w14:paraId="2F69D4D3" w14:textId="77777777" w:rsidR="00722693" w:rsidRPr="00723EE9" w:rsidRDefault="00722693" w:rsidP="000B6478">
      <w:pPr>
        <w:tabs>
          <w:tab w:val="left" w:pos="7200"/>
        </w:tabs>
        <w:ind w:right="-1080"/>
        <w:rPr>
          <w:sz w:val="22"/>
          <w:szCs w:val="22"/>
        </w:rPr>
      </w:pPr>
    </w:p>
    <w:p w14:paraId="0A165F7F" w14:textId="77777777" w:rsidR="00AB7175" w:rsidRPr="00723EE9" w:rsidRDefault="00AB7175" w:rsidP="000B6478">
      <w:pPr>
        <w:jc w:val="both"/>
        <w:outlineLvl w:val="0"/>
        <w:rPr>
          <w:sz w:val="22"/>
          <w:szCs w:val="22"/>
        </w:rPr>
      </w:pPr>
    </w:p>
    <w:p w14:paraId="175A517F" w14:textId="177E4B3A" w:rsidR="00921E9E" w:rsidRPr="00723EE9" w:rsidRDefault="00FA607C" w:rsidP="000B6478">
      <w:pPr>
        <w:jc w:val="center"/>
        <w:rPr>
          <w:rFonts w:eastAsia="Calibri"/>
          <w:sz w:val="22"/>
          <w:szCs w:val="22"/>
        </w:rPr>
      </w:pPr>
      <w:r w:rsidRPr="00723EE9">
        <w:rPr>
          <w:sz w:val="22"/>
          <w:szCs w:val="22"/>
        </w:rPr>
        <w:t xml:space="preserve">CONCEPT </w:t>
      </w:r>
      <w:r w:rsidR="00281CAA">
        <w:rPr>
          <w:sz w:val="22"/>
          <w:szCs w:val="22"/>
        </w:rPr>
        <w:t>NOTE</w:t>
      </w:r>
    </w:p>
    <w:p w14:paraId="13A22CB2" w14:textId="77777777" w:rsidR="00791388" w:rsidRDefault="00791388" w:rsidP="000B6478">
      <w:pPr>
        <w:jc w:val="center"/>
        <w:rPr>
          <w:caps/>
          <w:sz w:val="22"/>
          <w:szCs w:val="22"/>
        </w:rPr>
      </w:pPr>
    </w:p>
    <w:p w14:paraId="215CDB98" w14:textId="32E33758" w:rsidR="00DD0DD6" w:rsidRPr="00723EE9" w:rsidRDefault="00FA607C" w:rsidP="000B6478">
      <w:pPr>
        <w:jc w:val="center"/>
        <w:rPr>
          <w:rFonts w:eastAsia="Calibri"/>
          <w:caps/>
          <w:sz w:val="22"/>
          <w:szCs w:val="22"/>
        </w:rPr>
      </w:pPr>
      <w:r w:rsidRPr="00723EE9">
        <w:rPr>
          <w:caps/>
          <w:sz w:val="22"/>
          <w:szCs w:val="22"/>
        </w:rPr>
        <w:t xml:space="preserve">Regular meeting of </w:t>
      </w:r>
      <w:r w:rsidR="00CA266B">
        <w:rPr>
          <w:caps/>
          <w:sz w:val="22"/>
          <w:szCs w:val="22"/>
        </w:rPr>
        <w:t>THE</w:t>
      </w:r>
    </w:p>
    <w:p w14:paraId="02610FD8" w14:textId="77777777" w:rsidR="00921E9E" w:rsidRPr="00723EE9" w:rsidRDefault="00FA607C" w:rsidP="000B6478">
      <w:pPr>
        <w:jc w:val="center"/>
        <w:rPr>
          <w:rFonts w:eastAsia="Calibri"/>
          <w:caps/>
          <w:sz w:val="22"/>
          <w:szCs w:val="22"/>
        </w:rPr>
      </w:pPr>
      <w:r w:rsidRPr="00723EE9">
        <w:rPr>
          <w:caps/>
          <w:sz w:val="22"/>
          <w:szCs w:val="22"/>
        </w:rPr>
        <w:t xml:space="preserve">Inter-American Council for Integral Development (CIDI) </w:t>
      </w:r>
    </w:p>
    <w:p w14:paraId="60A978BB" w14:textId="77777777" w:rsidR="00921E9E" w:rsidRPr="00723EE9" w:rsidRDefault="002B44E1" w:rsidP="000B6478">
      <w:pPr>
        <w:jc w:val="center"/>
        <w:rPr>
          <w:rFonts w:eastAsia="Calibri"/>
          <w:caps/>
          <w:sz w:val="22"/>
          <w:szCs w:val="22"/>
        </w:rPr>
      </w:pPr>
      <w:r>
        <w:rPr>
          <w:caps/>
          <w:sz w:val="22"/>
          <w:szCs w:val="22"/>
        </w:rPr>
        <w:t>29</w:t>
      </w:r>
      <w:r w:rsidR="000B6478" w:rsidRPr="00723EE9">
        <w:rPr>
          <w:caps/>
          <w:sz w:val="22"/>
          <w:szCs w:val="22"/>
        </w:rPr>
        <w:t xml:space="preserve"> </w:t>
      </w:r>
      <w:r>
        <w:rPr>
          <w:caps/>
          <w:sz w:val="22"/>
          <w:szCs w:val="22"/>
        </w:rPr>
        <w:t xml:space="preserve">JUNE </w:t>
      </w:r>
      <w:r w:rsidR="00FA607C" w:rsidRPr="00723EE9">
        <w:rPr>
          <w:caps/>
          <w:sz w:val="22"/>
          <w:szCs w:val="22"/>
        </w:rPr>
        <w:t>20</w:t>
      </w:r>
      <w:r w:rsidR="000B6478" w:rsidRPr="00723EE9">
        <w:rPr>
          <w:caps/>
          <w:sz w:val="22"/>
          <w:szCs w:val="22"/>
        </w:rPr>
        <w:t>2</w:t>
      </w:r>
      <w:r>
        <w:rPr>
          <w:caps/>
          <w:sz w:val="22"/>
          <w:szCs w:val="22"/>
        </w:rPr>
        <w:t>1</w:t>
      </w:r>
    </w:p>
    <w:p w14:paraId="15CD43B6" w14:textId="77777777" w:rsidR="007A307C" w:rsidRPr="00723EE9" w:rsidRDefault="00FA607C" w:rsidP="000B6478">
      <w:pPr>
        <w:jc w:val="center"/>
        <w:rPr>
          <w:rFonts w:eastAsia="Calibri"/>
          <w:sz w:val="22"/>
          <w:szCs w:val="22"/>
        </w:rPr>
      </w:pPr>
      <w:r w:rsidRPr="00723EE9">
        <w:rPr>
          <w:sz w:val="22"/>
          <w:szCs w:val="22"/>
        </w:rPr>
        <w:t xml:space="preserve">(Prepared by the </w:t>
      </w:r>
      <w:r w:rsidR="000B6478" w:rsidRPr="00723EE9">
        <w:rPr>
          <w:sz w:val="22"/>
          <w:szCs w:val="22"/>
        </w:rPr>
        <w:t>Executive Secretariat for Integral Development</w:t>
      </w:r>
      <w:r w:rsidRPr="00723EE9">
        <w:rPr>
          <w:sz w:val="22"/>
          <w:szCs w:val="22"/>
        </w:rPr>
        <w:t>)</w:t>
      </w:r>
    </w:p>
    <w:p w14:paraId="7EAB4B92" w14:textId="77777777" w:rsidR="00DB5D3D" w:rsidRPr="00723EE9" w:rsidRDefault="00DB5D3D" w:rsidP="000B6478">
      <w:pPr>
        <w:rPr>
          <w:rFonts w:eastAsia="Calibri"/>
          <w:sz w:val="22"/>
          <w:szCs w:val="22"/>
        </w:rPr>
      </w:pPr>
    </w:p>
    <w:p w14:paraId="0C7F118F" w14:textId="77777777" w:rsidR="007A307C" w:rsidRPr="00723EE9" w:rsidRDefault="007A307C" w:rsidP="000B6478">
      <w:pPr>
        <w:rPr>
          <w:rFonts w:eastAsia="Calibri"/>
          <w:sz w:val="22"/>
          <w:szCs w:val="22"/>
        </w:rPr>
      </w:pPr>
    </w:p>
    <w:p w14:paraId="01D1559F" w14:textId="77777777" w:rsidR="00723EE9" w:rsidRPr="00723EE9" w:rsidRDefault="000B6478" w:rsidP="00723EE9">
      <w:pPr>
        <w:ind w:left="1440" w:hanging="1440"/>
        <w:jc w:val="center"/>
        <w:rPr>
          <w:rFonts w:eastAsia="Calibri"/>
          <w:bCs/>
          <w:sz w:val="22"/>
          <w:szCs w:val="22"/>
        </w:rPr>
      </w:pPr>
      <w:r w:rsidRPr="00723EE9">
        <w:rPr>
          <w:sz w:val="22"/>
          <w:szCs w:val="22"/>
        </w:rPr>
        <w:t>THEME</w:t>
      </w:r>
      <w:r w:rsidR="00FA607C" w:rsidRPr="00723EE9">
        <w:rPr>
          <w:sz w:val="22"/>
          <w:szCs w:val="22"/>
        </w:rPr>
        <w:t>:</w:t>
      </w:r>
      <w:r w:rsidR="00FA607C" w:rsidRPr="00723EE9">
        <w:rPr>
          <w:b/>
          <w:sz w:val="22"/>
          <w:szCs w:val="22"/>
        </w:rPr>
        <w:t xml:space="preserve"> </w:t>
      </w:r>
      <w:r w:rsidR="002B44E1">
        <w:rPr>
          <w:rFonts w:eastAsia="Calibri"/>
          <w:b/>
          <w:bCs/>
          <w:sz w:val="22"/>
          <w:szCs w:val="22"/>
        </w:rPr>
        <w:t xml:space="preserve">DIGITAL TRANSFORMATION </w:t>
      </w:r>
      <w:r w:rsidR="00723EE9" w:rsidRPr="00723EE9">
        <w:rPr>
          <w:rFonts w:eastAsia="Calibri"/>
          <w:b/>
          <w:bCs/>
          <w:sz w:val="22"/>
          <w:szCs w:val="22"/>
        </w:rPr>
        <w:t>IN THE AMERICAS</w:t>
      </w:r>
    </w:p>
    <w:p w14:paraId="56CE70DA" w14:textId="77777777" w:rsidR="00723EE9" w:rsidRPr="00723EE9" w:rsidRDefault="00723EE9" w:rsidP="00723EE9">
      <w:pPr>
        <w:ind w:left="1440" w:hanging="1440"/>
        <w:jc w:val="center"/>
        <w:rPr>
          <w:rFonts w:eastAsia="Calibri"/>
          <w:bCs/>
          <w:sz w:val="22"/>
          <w:szCs w:val="22"/>
        </w:rPr>
      </w:pPr>
    </w:p>
    <w:p w14:paraId="48CC4EF6" w14:textId="77777777" w:rsidR="00723EE9" w:rsidRPr="00723EE9" w:rsidRDefault="00723EE9" w:rsidP="00723EE9">
      <w:pPr>
        <w:ind w:left="1440" w:hanging="1440"/>
        <w:jc w:val="both"/>
        <w:rPr>
          <w:rFonts w:eastAsia="Calibri"/>
          <w:bCs/>
          <w:sz w:val="22"/>
          <w:szCs w:val="22"/>
        </w:rPr>
      </w:pPr>
      <w:r w:rsidRPr="00723EE9">
        <w:rPr>
          <w:rFonts w:eastAsia="Calibri"/>
          <w:bCs/>
          <w:sz w:val="22"/>
          <w:szCs w:val="22"/>
        </w:rPr>
        <w:t>INTRODUCTION</w:t>
      </w:r>
    </w:p>
    <w:p w14:paraId="60FE1632" w14:textId="77777777" w:rsidR="00723EE9" w:rsidRPr="00723EE9" w:rsidRDefault="00723EE9" w:rsidP="00723EE9">
      <w:pPr>
        <w:tabs>
          <w:tab w:val="left" w:pos="720"/>
          <w:tab w:val="left" w:pos="1440"/>
        </w:tabs>
        <w:jc w:val="both"/>
        <w:rPr>
          <w:sz w:val="22"/>
          <w:szCs w:val="22"/>
        </w:rPr>
      </w:pPr>
    </w:p>
    <w:p w14:paraId="0EA66C69" w14:textId="69DB327F" w:rsidR="00723EE9" w:rsidRPr="00723EE9" w:rsidRDefault="00723EE9" w:rsidP="00723EE9">
      <w:pPr>
        <w:tabs>
          <w:tab w:val="left" w:pos="720"/>
          <w:tab w:val="left" w:pos="1440"/>
        </w:tabs>
        <w:jc w:val="both"/>
        <w:rPr>
          <w:sz w:val="22"/>
          <w:szCs w:val="22"/>
        </w:rPr>
      </w:pPr>
      <w:r>
        <w:rPr>
          <w:sz w:val="22"/>
          <w:szCs w:val="22"/>
        </w:rPr>
        <w:tab/>
      </w:r>
      <w:r w:rsidRPr="00723EE9">
        <w:rPr>
          <w:sz w:val="22"/>
          <w:szCs w:val="22"/>
        </w:rPr>
        <w:t xml:space="preserve">This regular meeting of the Inter-American Council for Integral Development </w:t>
      </w:r>
      <w:r w:rsidR="003B0B19">
        <w:rPr>
          <w:sz w:val="22"/>
          <w:szCs w:val="22"/>
        </w:rPr>
        <w:t xml:space="preserve">(CIDI) </w:t>
      </w:r>
      <w:r w:rsidRPr="00723EE9">
        <w:rPr>
          <w:sz w:val="22"/>
          <w:szCs w:val="22"/>
        </w:rPr>
        <w:t xml:space="preserve">will consider the theme of </w:t>
      </w:r>
      <w:r w:rsidR="003614A1">
        <w:rPr>
          <w:sz w:val="22"/>
          <w:szCs w:val="22"/>
        </w:rPr>
        <w:t>“</w:t>
      </w:r>
      <w:r w:rsidR="002B44E1">
        <w:rPr>
          <w:sz w:val="22"/>
          <w:szCs w:val="22"/>
        </w:rPr>
        <w:t xml:space="preserve">Digital Transformation </w:t>
      </w:r>
      <w:r w:rsidRPr="00723EE9">
        <w:rPr>
          <w:sz w:val="22"/>
          <w:szCs w:val="22"/>
        </w:rPr>
        <w:t>in the Americas</w:t>
      </w:r>
      <w:r w:rsidR="003614A1">
        <w:rPr>
          <w:sz w:val="22"/>
          <w:szCs w:val="22"/>
        </w:rPr>
        <w:t>.”</w:t>
      </w:r>
      <w:r w:rsidR="002B44E1">
        <w:rPr>
          <w:sz w:val="22"/>
          <w:szCs w:val="22"/>
        </w:rPr>
        <w:t xml:space="preserve"> </w:t>
      </w:r>
      <w:r w:rsidR="003614A1">
        <w:rPr>
          <w:sz w:val="22"/>
          <w:szCs w:val="22"/>
        </w:rPr>
        <w:t xml:space="preserve">It will address </w:t>
      </w:r>
      <w:r w:rsidR="002B44E1">
        <w:rPr>
          <w:sz w:val="22"/>
          <w:szCs w:val="22"/>
        </w:rPr>
        <w:t xml:space="preserve">the main challenges and opportunities </w:t>
      </w:r>
      <w:r w:rsidR="00281CAA">
        <w:rPr>
          <w:sz w:val="22"/>
          <w:szCs w:val="22"/>
        </w:rPr>
        <w:t>arising from</w:t>
      </w:r>
      <w:r w:rsidR="002B44E1">
        <w:rPr>
          <w:sz w:val="22"/>
          <w:szCs w:val="22"/>
        </w:rPr>
        <w:t xml:space="preserve"> </w:t>
      </w:r>
      <w:r w:rsidR="00281CAA">
        <w:rPr>
          <w:sz w:val="22"/>
          <w:szCs w:val="22"/>
        </w:rPr>
        <w:t xml:space="preserve">the increased </w:t>
      </w:r>
      <w:r w:rsidR="004732D7">
        <w:rPr>
          <w:sz w:val="22"/>
          <w:szCs w:val="22"/>
        </w:rPr>
        <w:t>pace</w:t>
      </w:r>
      <w:r w:rsidR="00281CAA">
        <w:rPr>
          <w:sz w:val="22"/>
          <w:szCs w:val="22"/>
        </w:rPr>
        <w:t xml:space="preserve"> </w:t>
      </w:r>
      <w:r w:rsidR="003614A1">
        <w:rPr>
          <w:sz w:val="22"/>
          <w:szCs w:val="22"/>
        </w:rPr>
        <w:t>o</w:t>
      </w:r>
      <w:r w:rsidR="00281CAA">
        <w:rPr>
          <w:sz w:val="22"/>
          <w:szCs w:val="22"/>
        </w:rPr>
        <w:t xml:space="preserve">f </w:t>
      </w:r>
      <w:r w:rsidR="002B44E1">
        <w:rPr>
          <w:sz w:val="22"/>
          <w:szCs w:val="22"/>
        </w:rPr>
        <w:t xml:space="preserve">digitalization </w:t>
      </w:r>
      <w:r w:rsidR="004732D7">
        <w:rPr>
          <w:sz w:val="22"/>
          <w:szCs w:val="22"/>
        </w:rPr>
        <w:t>in</w:t>
      </w:r>
      <w:r w:rsidR="002B44E1">
        <w:rPr>
          <w:sz w:val="22"/>
          <w:szCs w:val="22"/>
        </w:rPr>
        <w:t xml:space="preserve"> all aspects of society </w:t>
      </w:r>
      <w:r w:rsidR="003614A1">
        <w:rPr>
          <w:sz w:val="22"/>
          <w:szCs w:val="22"/>
        </w:rPr>
        <w:t xml:space="preserve">in response to </w:t>
      </w:r>
      <w:r w:rsidR="002B44E1">
        <w:rPr>
          <w:sz w:val="22"/>
          <w:szCs w:val="22"/>
        </w:rPr>
        <w:t xml:space="preserve">COVID-19. The session will also highlight options to </w:t>
      </w:r>
      <w:r w:rsidR="003614A1">
        <w:rPr>
          <w:sz w:val="22"/>
          <w:szCs w:val="22"/>
        </w:rPr>
        <w:t xml:space="preserve">close </w:t>
      </w:r>
      <w:r w:rsidR="002B44E1">
        <w:rPr>
          <w:sz w:val="22"/>
          <w:szCs w:val="22"/>
        </w:rPr>
        <w:t xml:space="preserve">the widening digital and opportunity gaps deepened by the pandemic and how to leverage </w:t>
      </w:r>
      <w:r w:rsidR="009B7761">
        <w:rPr>
          <w:sz w:val="22"/>
          <w:szCs w:val="22"/>
        </w:rPr>
        <w:t>digital</w:t>
      </w:r>
      <w:r w:rsidR="002B44E1">
        <w:rPr>
          <w:sz w:val="22"/>
          <w:szCs w:val="22"/>
        </w:rPr>
        <w:t xml:space="preserve"> technology </w:t>
      </w:r>
      <w:r w:rsidRPr="00723EE9">
        <w:rPr>
          <w:sz w:val="22"/>
          <w:szCs w:val="22"/>
        </w:rPr>
        <w:t xml:space="preserve">in the </w:t>
      </w:r>
      <w:r w:rsidR="002B44E1">
        <w:rPr>
          <w:sz w:val="22"/>
          <w:szCs w:val="22"/>
        </w:rPr>
        <w:t>economic recovery</w:t>
      </w:r>
      <w:r w:rsidRPr="00723EE9">
        <w:rPr>
          <w:sz w:val="22"/>
          <w:szCs w:val="22"/>
        </w:rPr>
        <w:t xml:space="preserve"> </w:t>
      </w:r>
      <w:r w:rsidR="003614A1">
        <w:rPr>
          <w:sz w:val="22"/>
          <w:szCs w:val="22"/>
        </w:rPr>
        <w:t xml:space="preserve">and resiliency </w:t>
      </w:r>
      <w:r w:rsidRPr="00723EE9">
        <w:rPr>
          <w:sz w:val="22"/>
          <w:szCs w:val="22"/>
        </w:rPr>
        <w:t xml:space="preserve">agendas of </w:t>
      </w:r>
      <w:r w:rsidR="00ED5D59">
        <w:rPr>
          <w:sz w:val="22"/>
          <w:szCs w:val="22"/>
        </w:rPr>
        <w:t xml:space="preserve">the </w:t>
      </w:r>
      <w:r>
        <w:rPr>
          <w:sz w:val="22"/>
          <w:szCs w:val="22"/>
        </w:rPr>
        <w:t>m</w:t>
      </w:r>
      <w:r w:rsidRPr="00723EE9">
        <w:rPr>
          <w:sz w:val="22"/>
          <w:szCs w:val="22"/>
        </w:rPr>
        <w:t xml:space="preserve">ember </w:t>
      </w:r>
      <w:r>
        <w:rPr>
          <w:sz w:val="22"/>
          <w:szCs w:val="22"/>
        </w:rPr>
        <w:t>s</w:t>
      </w:r>
      <w:r w:rsidRPr="00723EE9">
        <w:rPr>
          <w:sz w:val="22"/>
          <w:szCs w:val="22"/>
        </w:rPr>
        <w:t>tate</w:t>
      </w:r>
      <w:r w:rsidR="00ED5D59">
        <w:rPr>
          <w:sz w:val="22"/>
          <w:szCs w:val="22"/>
        </w:rPr>
        <w:t>s of the Organization of American States (OAS).</w:t>
      </w:r>
      <w:r w:rsidRPr="00723EE9">
        <w:rPr>
          <w:sz w:val="22"/>
          <w:szCs w:val="22"/>
        </w:rPr>
        <w:t xml:space="preserve"> </w:t>
      </w:r>
    </w:p>
    <w:p w14:paraId="2199AF5E" w14:textId="77777777" w:rsidR="00723EE9" w:rsidRPr="00723EE9" w:rsidRDefault="00723EE9" w:rsidP="00723EE9">
      <w:pPr>
        <w:ind w:left="1440" w:hanging="1440"/>
        <w:jc w:val="center"/>
        <w:rPr>
          <w:rFonts w:eastAsia="Calibri"/>
          <w:bCs/>
          <w:sz w:val="22"/>
          <w:szCs w:val="22"/>
        </w:rPr>
      </w:pPr>
    </w:p>
    <w:p w14:paraId="1FE97DF8" w14:textId="77777777" w:rsidR="00723EE9" w:rsidRPr="00723EE9" w:rsidRDefault="00723EE9" w:rsidP="00723EE9">
      <w:pPr>
        <w:numPr>
          <w:ilvl w:val="0"/>
          <w:numId w:val="10"/>
        </w:numPr>
        <w:ind w:left="0" w:firstLine="0"/>
        <w:rPr>
          <w:rFonts w:eastAsia="Calibri"/>
          <w:b/>
          <w:sz w:val="22"/>
          <w:szCs w:val="22"/>
        </w:rPr>
      </w:pPr>
      <w:r w:rsidRPr="00723EE9">
        <w:rPr>
          <w:rFonts w:eastAsia="Calibri"/>
          <w:b/>
          <w:sz w:val="22"/>
          <w:szCs w:val="22"/>
        </w:rPr>
        <w:t>Background</w:t>
      </w:r>
    </w:p>
    <w:p w14:paraId="6DD6009E" w14:textId="77777777" w:rsidR="00A21F96" w:rsidRPr="00A21F96" w:rsidRDefault="00A21F96" w:rsidP="00A21F96">
      <w:pPr>
        <w:ind w:left="1440" w:hanging="1440"/>
        <w:jc w:val="both"/>
        <w:rPr>
          <w:rFonts w:eastAsia="Calibri"/>
          <w:bCs/>
          <w:sz w:val="22"/>
          <w:szCs w:val="22"/>
        </w:rPr>
      </w:pPr>
    </w:p>
    <w:p w14:paraId="4C6478A4" w14:textId="45D35743" w:rsidR="00A21F96" w:rsidRDefault="00A21F96" w:rsidP="00ED5D59">
      <w:pPr>
        <w:ind w:firstLine="720"/>
        <w:jc w:val="both"/>
        <w:rPr>
          <w:rFonts w:eastAsia="Calibri"/>
          <w:bCs/>
          <w:sz w:val="22"/>
          <w:szCs w:val="22"/>
        </w:rPr>
      </w:pPr>
      <w:r w:rsidRPr="00A21F96">
        <w:rPr>
          <w:rFonts w:eastAsia="Calibri"/>
          <w:bCs/>
          <w:sz w:val="22"/>
          <w:szCs w:val="22"/>
        </w:rPr>
        <w:t xml:space="preserve">The COVID-19 pandemic has </w:t>
      </w:r>
      <w:r>
        <w:rPr>
          <w:rFonts w:eastAsia="Calibri"/>
          <w:bCs/>
          <w:sz w:val="22"/>
          <w:szCs w:val="22"/>
        </w:rPr>
        <w:t xml:space="preserve">continued to </w:t>
      </w:r>
      <w:r w:rsidRPr="00A21F96">
        <w:rPr>
          <w:rFonts w:eastAsia="Calibri"/>
          <w:bCs/>
          <w:sz w:val="22"/>
          <w:szCs w:val="22"/>
        </w:rPr>
        <w:t xml:space="preserve">affect the health, economic, and social structures of OAS member states. According to </w:t>
      </w:r>
      <w:r w:rsidR="00EE1EC8">
        <w:rPr>
          <w:rFonts w:eastAsia="Calibri"/>
          <w:bCs/>
          <w:sz w:val="22"/>
          <w:szCs w:val="22"/>
        </w:rPr>
        <w:t>U.N. Economic Commission for Latin America and the Caribbean (</w:t>
      </w:r>
      <w:r w:rsidRPr="00A21F96">
        <w:rPr>
          <w:rFonts w:eastAsia="Calibri"/>
          <w:bCs/>
          <w:sz w:val="22"/>
          <w:szCs w:val="22"/>
        </w:rPr>
        <w:t>ECLAC</w:t>
      </w:r>
      <w:r w:rsidR="00C611B0">
        <w:rPr>
          <w:rFonts w:eastAsia="Calibri"/>
          <w:bCs/>
          <w:sz w:val="22"/>
          <w:szCs w:val="22"/>
        </w:rPr>
        <w:t>)</w:t>
      </w:r>
      <w:r w:rsidRPr="00A21F96">
        <w:rPr>
          <w:rFonts w:eastAsia="Calibri"/>
          <w:bCs/>
          <w:sz w:val="22"/>
          <w:szCs w:val="22"/>
        </w:rPr>
        <w:t>, Latin America and the Caribbean</w:t>
      </w:r>
      <w:r w:rsidR="006D1E13">
        <w:rPr>
          <w:rFonts w:eastAsia="Calibri"/>
          <w:bCs/>
          <w:sz w:val="22"/>
          <w:szCs w:val="22"/>
        </w:rPr>
        <w:t xml:space="preserve"> (LAC)</w:t>
      </w:r>
      <w:r w:rsidRPr="00A21F96">
        <w:rPr>
          <w:rFonts w:eastAsia="Calibri"/>
          <w:bCs/>
          <w:sz w:val="22"/>
          <w:szCs w:val="22"/>
        </w:rPr>
        <w:t xml:space="preserve"> suffered the worst average regional contraction </w:t>
      </w:r>
      <w:r w:rsidR="00791388">
        <w:rPr>
          <w:rFonts w:eastAsia="Calibri"/>
          <w:bCs/>
          <w:sz w:val="22"/>
          <w:szCs w:val="22"/>
        </w:rPr>
        <w:t xml:space="preserve">ever, </w:t>
      </w:r>
      <w:r w:rsidRPr="00A21F96">
        <w:rPr>
          <w:rFonts w:eastAsia="Calibri"/>
          <w:bCs/>
          <w:sz w:val="22"/>
          <w:szCs w:val="22"/>
        </w:rPr>
        <w:t>reaching -</w:t>
      </w:r>
      <w:r w:rsidR="00EE1EC8">
        <w:rPr>
          <w:rFonts w:eastAsia="Calibri"/>
          <w:bCs/>
          <w:sz w:val="22"/>
          <w:szCs w:val="22"/>
        </w:rPr>
        <w:t>7.1</w:t>
      </w:r>
      <w:r w:rsidRPr="00A21F96">
        <w:rPr>
          <w:rFonts w:eastAsia="Calibri"/>
          <w:bCs/>
          <w:sz w:val="22"/>
          <w:szCs w:val="22"/>
        </w:rPr>
        <w:t>% for 2020</w:t>
      </w:r>
      <w:r w:rsidR="003614A1">
        <w:rPr>
          <w:rFonts w:eastAsia="Calibri"/>
          <w:bCs/>
          <w:sz w:val="22"/>
          <w:szCs w:val="22"/>
        </w:rPr>
        <w:t>.</w:t>
      </w:r>
      <w:r w:rsidRPr="00ED5D59">
        <w:rPr>
          <w:rStyle w:val="FootnoteReference"/>
          <w:rFonts w:eastAsia="Calibri"/>
          <w:bCs/>
          <w:sz w:val="22"/>
          <w:szCs w:val="22"/>
          <w:u w:val="single"/>
        </w:rPr>
        <w:footnoteReference w:id="1"/>
      </w:r>
      <w:r w:rsidR="00ED5D59" w:rsidRPr="00ED5D59">
        <w:rPr>
          <w:rFonts w:eastAsia="Calibri"/>
          <w:bCs/>
          <w:sz w:val="22"/>
          <w:szCs w:val="22"/>
          <w:vertAlign w:val="superscript"/>
        </w:rPr>
        <w:t>/</w:t>
      </w:r>
      <w:r>
        <w:rPr>
          <w:rFonts w:eastAsia="Calibri"/>
          <w:bCs/>
          <w:sz w:val="22"/>
          <w:szCs w:val="22"/>
        </w:rPr>
        <w:t xml:space="preserve"> </w:t>
      </w:r>
      <w:r w:rsidRPr="00A21F96">
        <w:rPr>
          <w:rFonts w:eastAsia="Calibri"/>
          <w:bCs/>
          <w:sz w:val="22"/>
          <w:szCs w:val="22"/>
        </w:rPr>
        <w:t>Poverty is estimated to have increased by 29 million people, and inequality, as measured by the Gini coefficient, worsened by 5 percent compared to pre-crisis levels, per the IMF calculations.</w:t>
      </w:r>
      <w:r w:rsidRPr="00ED5D59">
        <w:rPr>
          <w:rStyle w:val="FootnoteReference"/>
          <w:rFonts w:eastAsia="Calibri"/>
          <w:bCs/>
          <w:sz w:val="22"/>
          <w:szCs w:val="22"/>
          <w:u w:val="single"/>
        </w:rPr>
        <w:footnoteReference w:id="2"/>
      </w:r>
      <w:r w:rsidR="00ED5D59" w:rsidRPr="00ED5D59">
        <w:rPr>
          <w:rFonts w:eastAsia="Calibri"/>
          <w:bCs/>
          <w:sz w:val="22"/>
          <w:szCs w:val="22"/>
          <w:vertAlign w:val="superscript"/>
        </w:rPr>
        <w:t>/</w:t>
      </w:r>
      <w:r w:rsidRPr="00ED5D59">
        <w:rPr>
          <w:rFonts w:eastAsia="Calibri"/>
          <w:bCs/>
          <w:sz w:val="22"/>
          <w:szCs w:val="22"/>
          <w:vertAlign w:val="superscript"/>
        </w:rPr>
        <w:t xml:space="preserve"> </w:t>
      </w:r>
    </w:p>
    <w:p w14:paraId="566578D3" w14:textId="0DD90BB3" w:rsidR="009B7761" w:rsidRDefault="009B7761" w:rsidP="00A21F96">
      <w:pPr>
        <w:jc w:val="both"/>
        <w:rPr>
          <w:rFonts w:eastAsia="Calibri"/>
          <w:bCs/>
          <w:sz w:val="22"/>
          <w:szCs w:val="22"/>
        </w:rPr>
      </w:pPr>
    </w:p>
    <w:p w14:paraId="28D70CCE" w14:textId="026B6F88" w:rsidR="009B7761" w:rsidRPr="009B7761" w:rsidRDefault="009B7761" w:rsidP="00ED5D59">
      <w:pPr>
        <w:shd w:val="clear" w:color="auto" w:fill="FFFFFF"/>
        <w:ind w:firstLine="720"/>
        <w:jc w:val="both"/>
        <w:rPr>
          <w:rFonts w:eastAsia="Calibri"/>
          <w:bCs/>
          <w:sz w:val="22"/>
          <w:szCs w:val="22"/>
        </w:rPr>
      </w:pPr>
      <w:r w:rsidRPr="009B7761">
        <w:rPr>
          <w:rFonts w:eastAsia="Calibri"/>
          <w:bCs/>
          <w:sz w:val="22"/>
          <w:szCs w:val="22"/>
        </w:rPr>
        <w:t xml:space="preserve">Among the main challenges looming ahead for OAS </w:t>
      </w:r>
      <w:r w:rsidR="00EE1EC8">
        <w:rPr>
          <w:rFonts w:eastAsia="Calibri"/>
          <w:bCs/>
          <w:sz w:val="22"/>
          <w:szCs w:val="22"/>
        </w:rPr>
        <w:t>m</w:t>
      </w:r>
      <w:r w:rsidRPr="009B7761">
        <w:rPr>
          <w:rFonts w:eastAsia="Calibri"/>
          <w:bCs/>
          <w:sz w:val="22"/>
          <w:szCs w:val="22"/>
        </w:rPr>
        <w:t xml:space="preserve">ember </w:t>
      </w:r>
      <w:r w:rsidR="00EE1EC8">
        <w:rPr>
          <w:rFonts w:eastAsia="Calibri"/>
          <w:bCs/>
          <w:sz w:val="22"/>
          <w:szCs w:val="22"/>
        </w:rPr>
        <w:t>s</w:t>
      </w:r>
      <w:r w:rsidRPr="009B7761">
        <w:rPr>
          <w:rFonts w:eastAsia="Calibri"/>
          <w:bCs/>
          <w:sz w:val="22"/>
          <w:szCs w:val="22"/>
        </w:rPr>
        <w:t>tates are the prospects of uneven recovery among countries and between different sectors of society within each nation. Economic declines in 2020 markedly affected certain sectors</w:t>
      </w:r>
      <w:r>
        <w:rPr>
          <w:rFonts w:eastAsia="Calibri"/>
          <w:bCs/>
          <w:sz w:val="22"/>
          <w:szCs w:val="22"/>
        </w:rPr>
        <w:t>,</w:t>
      </w:r>
      <w:r w:rsidRPr="009B7761">
        <w:rPr>
          <w:rFonts w:eastAsia="Calibri"/>
          <w:bCs/>
          <w:sz w:val="22"/>
          <w:szCs w:val="22"/>
        </w:rPr>
        <w:t xml:space="preserve"> such as tourism, entertainment, sharing and informal economies, small and medium-sized-enterprises (SMEs). Unemployment was unequally concentrated in women, minorities, and less skilled workers. The unemployment rate increased 3.4 percentage points versus 2019 (reaching 11.5%, or 37.7 million unemployed persons).</w:t>
      </w:r>
      <w:r w:rsidR="00791388">
        <w:rPr>
          <w:rFonts w:eastAsia="Calibri"/>
          <w:bCs/>
          <w:sz w:val="22"/>
          <w:szCs w:val="22"/>
        </w:rPr>
        <w:t xml:space="preserve"> For instance, in the United States, the labor participation of women in 2020 was at its lowest point in more than 30 years.</w:t>
      </w:r>
      <w:r w:rsidR="00C7616A" w:rsidRPr="00ED5D59">
        <w:rPr>
          <w:rStyle w:val="FootnoteReference"/>
          <w:rFonts w:eastAsia="Calibri"/>
          <w:bCs/>
          <w:sz w:val="22"/>
          <w:szCs w:val="22"/>
          <w:u w:val="single"/>
        </w:rPr>
        <w:footnoteReference w:id="3"/>
      </w:r>
      <w:r w:rsidR="00ED5D59" w:rsidRPr="00ED5D59">
        <w:rPr>
          <w:rFonts w:eastAsia="Calibri"/>
          <w:bCs/>
          <w:sz w:val="22"/>
          <w:szCs w:val="22"/>
          <w:vertAlign w:val="superscript"/>
        </w:rPr>
        <w:t>/</w:t>
      </w:r>
      <w:r w:rsidR="00C7616A" w:rsidRPr="00ED5D59">
        <w:rPr>
          <w:rFonts w:eastAsia="Calibri"/>
          <w:bCs/>
          <w:sz w:val="22"/>
          <w:szCs w:val="22"/>
          <w:vertAlign w:val="superscript"/>
        </w:rPr>
        <w:t xml:space="preserve"> </w:t>
      </w:r>
      <w:r w:rsidR="00C7616A">
        <w:rPr>
          <w:rFonts w:eastAsia="Calibri"/>
          <w:bCs/>
          <w:sz w:val="22"/>
          <w:szCs w:val="22"/>
        </w:rPr>
        <w:t xml:space="preserve">Job losses have </w:t>
      </w:r>
      <w:r w:rsidR="00C7616A">
        <w:rPr>
          <w:rFonts w:eastAsia="Calibri"/>
          <w:bCs/>
          <w:sz w:val="22"/>
          <w:szCs w:val="22"/>
        </w:rPr>
        <w:lastRenderedPageBreak/>
        <w:t>been particularly pronounced among minorities and working mothers. Across the developing world, women have bor</w:t>
      </w:r>
      <w:r w:rsidR="003614A1">
        <w:rPr>
          <w:rFonts w:eastAsia="Calibri"/>
          <w:bCs/>
          <w:sz w:val="22"/>
          <w:szCs w:val="22"/>
        </w:rPr>
        <w:t>ne</w:t>
      </w:r>
      <w:r w:rsidR="00C7616A">
        <w:rPr>
          <w:rFonts w:eastAsia="Calibri"/>
          <w:bCs/>
          <w:sz w:val="22"/>
          <w:szCs w:val="22"/>
        </w:rPr>
        <w:t xml:space="preserve"> the brunt of the pandemic challenges</w:t>
      </w:r>
      <w:r w:rsidR="003614A1">
        <w:rPr>
          <w:rFonts w:eastAsia="Calibri"/>
          <w:bCs/>
          <w:sz w:val="22"/>
          <w:szCs w:val="22"/>
        </w:rPr>
        <w:t xml:space="preserve"> in a disproportioned percentage.</w:t>
      </w:r>
      <w:r w:rsidR="003614A1" w:rsidRPr="00ED5D59">
        <w:rPr>
          <w:rStyle w:val="FootnoteReference"/>
          <w:rFonts w:eastAsia="Calibri"/>
          <w:bCs/>
          <w:sz w:val="22"/>
          <w:szCs w:val="22"/>
          <w:u w:val="single"/>
        </w:rPr>
        <w:footnoteReference w:id="4"/>
      </w:r>
      <w:r w:rsidR="00ED5D59" w:rsidRPr="00ED5D59">
        <w:rPr>
          <w:rFonts w:eastAsia="Calibri"/>
          <w:bCs/>
          <w:sz w:val="22"/>
          <w:szCs w:val="22"/>
          <w:vertAlign w:val="superscript"/>
        </w:rPr>
        <w:t>/</w:t>
      </w:r>
      <w:r w:rsidR="00C7616A">
        <w:rPr>
          <w:rFonts w:eastAsia="Calibri"/>
          <w:bCs/>
          <w:sz w:val="22"/>
          <w:szCs w:val="22"/>
        </w:rPr>
        <w:t xml:space="preserve"> </w:t>
      </w:r>
    </w:p>
    <w:p w14:paraId="5D12F115" w14:textId="77777777" w:rsidR="009B7761" w:rsidRDefault="009B7761" w:rsidP="009B7761">
      <w:pPr>
        <w:jc w:val="both"/>
        <w:rPr>
          <w:sz w:val="24"/>
          <w:szCs w:val="24"/>
        </w:rPr>
      </w:pPr>
    </w:p>
    <w:p w14:paraId="3AB79FF3" w14:textId="11F23968" w:rsidR="009B7761" w:rsidRPr="009B7761" w:rsidRDefault="009B7761" w:rsidP="00ED5D59">
      <w:pPr>
        <w:pStyle w:val="NormalWeb"/>
        <w:shd w:val="clear" w:color="auto" w:fill="FFFFFF"/>
        <w:spacing w:before="0" w:beforeAutospacing="0" w:after="270" w:afterAutospacing="0"/>
        <w:ind w:firstLine="720"/>
        <w:jc w:val="both"/>
        <w:rPr>
          <w:rFonts w:eastAsia="Calibri"/>
          <w:bCs/>
          <w:sz w:val="22"/>
          <w:szCs w:val="22"/>
        </w:rPr>
      </w:pPr>
      <w:bookmarkStart w:id="1" w:name="_Hlk74654614"/>
      <w:r w:rsidRPr="009B7761">
        <w:rPr>
          <w:rFonts w:eastAsia="Calibri"/>
          <w:bCs/>
          <w:sz w:val="22"/>
          <w:szCs w:val="22"/>
        </w:rPr>
        <w:t xml:space="preserve">Although most of LAC </w:t>
      </w:r>
      <w:r w:rsidR="00F41616">
        <w:rPr>
          <w:rFonts w:eastAsia="Calibri"/>
          <w:bCs/>
          <w:sz w:val="22"/>
          <w:szCs w:val="22"/>
        </w:rPr>
        <w:t xml:space="preserve">is </w:t>
      </w:r>
      <w:r w:rsidRPr="009B7761">
        <w:rPr>
          <w:rFonts w:eastAsia="Calibri"/>
          <w:bCs/>
          <w:sz w:val="22"/>
          <w:szCs w:val="22"/>
        </w:rPr>
        <w:t xml:space="preserve">expected to </w:t>
      </w:r>
      <w:r>
        <w:rPr>
          <w:rFonts w:eastAsia="Calibri"/>
          <w:bCs/>
          <w:sz w:val="22"/>
          <w:szCs w:val="22"/>
        </w:rPr>
        <w:t xml:space="preserve">start the </w:t>
      </w:r>
      <w:r w:rsidRPr="009B7761">
        <w:rPr>
          <w:rFonts w:eastAsia="Calibri"/>
          <w:bCs/>
          <w:sz w:val="22"/>
          <w:szCs w:val="22"/>
        </w:rPr>
        <w:t>recover</w:t>
      </w:r>
      <w:r>
        <w:rPr>
          <w:rFonts w:eastAsia="Calibri"/>
          <w:bCs/>
          <w:sz w:val="22"/>
          <w:szCs w:val="22"/>
        </w:rPr>
        <w:t>y</w:t>
      </w:r>
      <w:r w:rsidRPr="009B7761">
        <w:rPr>
          <w:rFonts w:eastAsia="Calibri"/>
          <w:bCs/>
          <w:sz w:val="22"/>
          <w:szCs w:val="22"/>
        </w:rPr>
        <w:t xml:space="preserve"> in 2021, the IMF</w:t>
      </w:r>
      <w:r>
        <w:rPr>
          <w:rFonts w:eastAsia="Calibri"/>
          <w:bCs/>
          <w:sz w:val="22"/>
          <w:szCs w:val="22"/>
        </w:rPr>
        <w:t>’s</w:t>
      </w:r>
      <w:r w:rsidRPr="009B7761">
        <w:rPr>
          <w:rFonts w:eastAsia="Calibri"/>
          <w:bCs/>
          <w:sz w:val="22"/>
          <w:szCs w:val="22"/>
        </w:rPr>
        <w:t xml:space="preserve"> 4.6% growth projection</w:t>
      </w:r>
      <w:r>
        <w:rPr>
          <w:rFonts w:eastAsia="Calibri"/>
          <w:bCs/>
          <w:sz w:val="22"/>
          <w:szCs w:val="22"/>
        </w:rPr>
        <w:t xml:space="preserve"> for the region</w:t>
      </w:r>
      <w:r w:rsidRPr="009B7761">
        <w:rPr>
          <w:rFonts w:eastAsia="Calibri"/>
          <w:bCs/>
          <w:sz w:val="22"/>
          <w:szCs w:val="22"/>
        </w:rPr>
        <w:t xml:space="preserve"> lags behind the expectations for other </w:t>
      </w:r>
      <w:r>
        <w:rPr>
          <w:rFonts w:eastAsia="Calibri"/>
          <w:bCs/>
          <w:sz w:val="22"/>
          <w:szCs w:val="22"/>
        </w:rPr>
        <w:t xml:space="preserve">areas </w:t>
      </w:r>
      <w:r w:rsidRPr="009B7761">
        <w:rPr>
          <w:rFonts w:eastAsia="Calibri"/>
          <w:bCs/>
          <w:sz w:val="22"/>
          <w:szCs w:val="22"/>
        </w:rPr>
        <w:t xml:space="preserve">of the world. </w:t>
      </w:r>
      <w:bookmarkEnd w:id="1"/>
      <w:r w:rsidRPr="009B7761">
        <w:rPr>
          <w:rFonts w:eastAsia="Calibri"/>
          <w:bCs/>
          <w:sz w:val="22"/>
          <w:szCs w:val="22"/>
        </w:rPr>
        <w:t xml:space="preserve">The World Bank </w:t>
      </w:r>
      <w:r w:rsidR="00F41616">
        <w:rPr>
          <w:rFonts w:eastAsia="Calibri"/>
          <w:bCs/>
          <w:sz w:val="22"/>
          <w:szCs w:val="22"/>
        </w:rPr>
        <w:t xml:space="preserve">projects </w:t>
      </w:r>
      <w:r w:rsidRPr="009B7761">
        <w:rPr>
          <w:rFonts w:eastAsia="Calibri"/>
          <w:bCs/>
          <w:sz w:val="22"/>
          <w:szCs w:val="22"/>
        </w:rPr>
        <w:t>that only about one-third of developing nations will be able to regain their pre-pandemic per-capita income levels by 2022, in part because of uneven access to C</w:t>
      </w:r>
      <w:r w:rsidR="006D1E13">
        <w:rPr>
          <w:rFonts w:eastAsia="Calibri"/>
          <w:bCs/>
          <w:sz w:val="22"/>
          <w:szCs w:val="22"/>
        </w:rPr>
        <w:t>OVID</w:t>
      </w:r>
      <w:r w:rsidRPr="009B7761">
        <w:rPr>
          <w:rFonts w:eastAsia="Calibri"/>
          <w:bCs/>
          <w:sz w:val="22"/>
          <w:szCs w:val="22"/>
        </w:rPr>
        <w:t xml:space="preserve">-19 vaccines. Income per capita may not return to pre-COVID levels </w:t>
      </w:r>
      <w:r>
        <w:rPr>
          <w:rFonts w:eastAsia="Calibri"/>
          <w:bCs/>
          <w:sz w:val="22"/>
          <w:szCs w:val="22"/>
        </w:rPr>
        <w:t xml:space="preserve">for several developing countries </w:t>
      </w:r>
      <w:r w:rsidRPr="009B7761">
        <w:rPr>
          <w:rFonts w:eastAsia="Calibri"/>
          <w:bCs/>
          <w:sz w:val="22"/>
          <w:szCs w:val="22"/>
        </w:rPr>
        <w:t>before 2024.</w:t>
      </w:r>
    </w:p>
    <w:p w14:paraId="7EDD4723" w14:textId="309EE22F" w:rsidR="00F41616" w:rsidRDefault="009B7761" w:rsidP="00ED5D59">
      <w:pPr>
        <w:shd w:val="clear" w:color="auto" w:fill="FFFFFF"/>
        <w:ind w:firstLine="720"/>
        <w:jc w:val="both"/>
        <w:rPr>
          <w:rFonts w:eastAsia="Calibri"/>
          <w:bCs/>
          <w:sz w:val="22"/>
          <w:szCs w:val="22"/>
        </w:rPr>
      </w:pPr>
      <w:r>
        <w:rPr>
          <w:rFonts w:eastAsia="Calibri"/>
          <w:bCs/>
          <w:sz w:val="22"/>
          <w:szCs w:val="22"/>
        </w:rPr>
        <w:t xml:space="preserve">One of the </w:t>
      </w:r>
      <w:r w:rsidR="00F82046">
        <w:rPr>
          <w:rFonts w:eastAsia="Calibri"/>
          <w:bCs/>
          <w:sz w:val="22"/>
          <w:szCs w:val="22"/>
        </w:rPr>
        <w:t xml:space="preserve">most influential </w:t>
      </w:r>
      <w:r w:rsidRPr="009B7761">
        <w:rPr>
          <w:rFonts w:eastAsia="Calibri"/>
          <w:bCs/>
          <w:sz w:val="22"/>
          <w:szCs w:val="22"/>
        </w:rPr>
        <w:t>transformation</w:t>
      </w:r>
      <w:r w:rsidR="00F82046">
        <w:rPr>
          <w:rFonts w:eastAsia="Calibri"/>
          <w:bCs/>
          <w:sz w:val="22"/>
          <w:szCs w:val="22"/>
        </w:rPr>
        <w:t xml:space="preserve">s for </w:t>
      </w:r>
      <w:r w:rsidRPr="009B7761">
        <w:rPr>
          <w:rFonts w:eastAsia="Calibri"/>
          <w:bCs/>
          <w:sz w:val="22"/>
          <w:szCs w:val="22"/>
        </w:rPr>
        <w:t xml:space="preserve">LAC may result from the accelerated digitization brought on by the pandemic, which </w:t>
      </w:r>
      <w:r w:rsidR="00F82046">
        <w:rPr>
          <w:rFonts w:eastAsia="Calibri"/>
          <w:bCs/>
          <w:sz w:val="22"/>
          <w:szCs w:val="22"/>
        </w:rPr>
        <w:t>covered all sectors of the economy and society</w:t>
      </w:r>
      <w:r w:rsidR="00F41616">
        <w:rPr>
          <w:rFonts w:eastAsia="Calibri"/>
          <w:bCs/>
          <w:sz w:val="22"/>
          <w:szCs w:val="22"/>
        </w:rPr>
        <w:t>. Every activity and function that was able to pivot to an online environment did. From education, health, professional services, commerce, governments and companies</w:t>
      </w:r>
      <w:r w:rsidR="00103208">
        <w:rPr>
          <w:rFonts w:eastAsia="Calibri"/>
          <w:bCs/>
          <w:sz w:val="22"/>
          <w:szCs w:val="22"/>
        </w:rPr>
        <w:t xml:space="preserve"> (large and SMES)</w:t>
      </w:r>
      <w:r w:rsidR="00F41616">
        <w:rPr>
          <w:rFonts w:eastAsia="Calibri"/>
          <w:bCs/>
          <w:sz w:val="22"/>
          <w:szCs w:val="22"/>
        </w:rPr>
        <w:t>, moved as fast as possible to use digital tools and technologies. The transitions were 20 to 25 times faster than previously thought possible.</w:t>
      </w:r>
      <w:r w:rsidR="00F41616" w:rsidRPr="00ED5D59">
        <w:rPr>
          <w:rStyle w:val="FootnoteReference"/>
          <w:rFonts w:eastAsia="Calibri"/>
          <w:bCs/>
          <w:sz w:val="22"/>
          <w:szCs w:val="22"/>
          <w:u w:val="single"/>
        </w:rPr>
        <w:footnoteReference w:id="5"/>
      </w:r>
      <w:r w:rsidR="00ED5D59" w:rsidRPr="00ED5D59">
        <w:rPr>
          <w:rFonts w:eastAsia="Calibri"/>
          <w:bCs/>
          <w:sz w:val="22"/>
          <w:szCs w:val="22"/>
          <w:vertAlign w:val="superscript"/>
        </w:rPr>
        <w:t>/</w:t>
      </w:r>
      <w:r w:rsidR="00ED5D59">
        <w:rPr>
          <w:rFonts w:eastAsia="Calibri"/>
          <w:bCs/>
          <w:sz w:val="22"/>
          <w:szCs w:val="22"/>
          <w:vertAlign w:val="superscript"/>
        </w:rPr>
        <w:t xml:space="preserve"> </w:t>
      </w:r>
      <w:r w:rsidR="00F41616">
        <w:rPr>
          <w:rFonts w:eastAsia="Calibri"/>
          <w:bCs/>
          <w:sz w:val="22"/>
          <w:szCs w:val="22"/>
        </w:rPr>
        <w:t>E-commerce grew 2 to 5 times faster than before the pandemic</w:t>
      </w:r>
      <w:r w:rsidR="00103208">
        <w:rPr>
          <w:rFonts w:eastAsia="Calibri"/>
          <w:bCs/>
          <w:sz w:val="22"/>
          <w:szCs w:val="22"/>
        </w:rPr>
        <w:t xml:space="preserve"> with a strong focus on the delivery economy</w:t>
      </w:r>
      <w:r w:rsidR="00F41616">
        <w:rPr>
          <w:rFonts w:eastAsia="Calibri"/>
          <w:bCs/>
          <w:sz w:val="22"/>
          <w:szCs w:val="22"/>
        </w:rPr>
        <w:t xml:space="preserve">. </w:t>
      </w:r>
      <w:r w:rsidR="00103208">
        <w:rPr>
          <w:rFonts w:eastAsia="Calibri"/>
          <w:bCs/>
          <w:sz w:val="22"/>
          <w:szCs w:val="22"/>
        </w:rPr>
        <w:t xml:space="preserve">The transitions in every sector were focused on technology (Internet connectivity, equipment (devices), software, platforms) but the changes also required significant upgrades in new ecosystems, skills, training and plenty of adaptation by necessity. Not all sectors or people achieved the same level of access, support or capabilities. Lower income households and disadvantaged communities faced more financial, health, learning, social and emotional hardship and uncertainties. </w:t>
      </w:r>
    </w:p>
    <w:p w14:paraId="1A70F3FF" w14:textId="77777777" w:rsidR="00F41616" w:rsidRDefault="00F41616" w:rsidP="009B7761">
      <w:pPr>
        <w:shd w:val="clear" w:color="auto" w:fill="FFFFFF"/>
        <w:jc w:val="both"/>
        <w:rPr>
          <w:rFonts w:eastAsia="Calibri"/>
          <w:bCs/>
          <w:sz w:val="22"/>
          <w:szCs w:val="22"/>
        </w:rPr>
      </w:pPr>
    </w:p>
    <w:p w14:paraId="318007A4" w14:textId="4FB07248" w:rsidR="009B7761" w:rsidRPr="00103208" w:rsidRDefault="00F82046" w:rsidP="00ED5D59">
      <w:pPr>
        <w:shd w:val="clear" w:color="auto" w:fill="FFFFFF"/>
        <w:ind w:firstLine="720"/>
        <w:jc w:val="both"/>
        <w:rPr>
          <w:rFonts w:eastAsia="Calibri"/>
          <w:bCs/>
          <w:sz w:val="22"/>
          <w:szCs w:val="22"/>
        </w:rPr>
      </w:pPr>
      <w:r>
        <w:rPr>
          <w:rFonts w:eastAsia="Calibri"/>
          <w:bCs/>
          <w:sz w:val="22"/>
          <w:szCs w:val="22"/>
        </w:rPr>
        <w:t xml:space="preserve">As countries recover from the pandemic, leveraging the accelerated digitization and the digital economy can make an important difference for OAS member </w:t>
      </w:r>
      <w:r w:rsidR="00103208">
        <w:rPr>
          <w:rFonts w:eastAsia="Calibri"/>
          <w:bCs/>
          <w:sz w:val="22"/>
          <w:szCs w:val="22"/>
        </w:rPr>
        <w:t>s</w:t>
      </w:r>
      <w:r>
        <w:rPr>
          <w:rFonts w:eastAsia="Calibri"/>
          <w:bCs/>
          <w:sz w:val="22"/>
          <w:szCs w:val="22"/>
        </w:rPr>
        <w:t xml:space="preserve">tates to achieve a faster and more inclusive recovery. Furthermore, </w:t>
      </w:r>
      <w:r w:rsidR="00103208">
        <w:rPr>
          <w:rFonts w:eastAsia="Calibri"/>
          <w:bCs/>
          <w:sz w:val="22"/>
          <w:szCs w:val="22"/>
        </w:rPr>
        <w:t xml:space="preserve">it is a unique opportunity </w:t>
      </w:r>
      <w:r>
        <w:rPr>
          <w:rFonts w:eastAsia="Calibri"/>
          <w:bCs/>
          <w:sz w:val="22"/>
          <w:szCs w:val="22"/>
        </w:rPr>
        <w:t xml:space="preserve">to address </w:t>
      </w:r>
      <w:r w:rsidR="00103208">
        <w:rPr>
          <w:rFonts w:eastAsia="Calibri"/>
          <w:bCs/>
          <w:sz w:val="22"/>
          <w:szCs w:val="22"/>
        </w:rPr>
        <w:t xml:space="preserve">historic and new </w:t>
      </w:r>
      <w:r>
        <w:rPr>
          <w:rFonts w:eastAsia="Calibri"/>
          <w:bCs/>
          <w:sz w:val="22"/>
          <w:szCs w:val="22"/>
        </w:rPr>
        <w:t xml:space="preserve">widening gaps on access to technology, skills for the jobs of the future, social </w:t>
      </w:r>
      <w:proofErr w:type="gramStart"/>
      <w:r>
        <w:rPr>
          <w:rFonts w:eastAsia="Calibri"/>
          <w:bCs/>
          <w:sz w:val="22"/>
          <w:szCs w:val="22"/>
        </w:rPr>
        <w:t>mobility</w:t>
      </w:r>
      <w:proofErr w:type="gramEnd"/>
      <w:r>
        <w:rPr>
          <w:rFonts w:eastAsia="Calibri"/>
          <w:bCs/>
          <w:sz w:val="22"/>
          <w:szCs w:val="22"/>
        </w:rPr>
        <w:t xml:space="preserve"> and economic opportunities</w:t>
      </w:r>
      <w:r w:rsidRPr="00ED5D59">
        <w:rPr>
          <w:rFonts w:eastAsia="Calibri"/>
          <w:bCs/>
          <w:sz w:val="22"/>
          <w:szCs w:val="22"/>
        </w:rPr>
        <w:t>.</w:t>
      </w:r>
      <w:r w:rsidR="009B7761" w:rsidRPr="00ED5D59">
        <w:rPr>
          <w:rStyle w:val="FootnoteReference"/>
          <w:color w:val="333333"/>
          <w:sz w:val="22"/>
          <w:szCs w:val="22"/>
          <w:u w:val="single"/>
          <w:shd w:val="clear" w:color="auto" w:fill="FFFFFF"/>
        </w:rPr>
        <w:footnoteReference w:id="6"/>
      </w:r>
      <w:r w:rsidR="00ED5D59" w:rsidRPr="00ED5D59">
        <w:rPr>
          <w:rFonts w:eastAsia="Calibri"/>
          <w:bCs/>
          <w:sz w:val="22"/>
          <w:szCs w:val="22"/>
          <w:vertAlign w:val="superscript"/>
        </w:rPr>
        <w:t>/</w:t>
      </w:r>
    </w:p>
    <w:p w14:paraId="5AA28BB9" w14:textId="77777777" w:rsidR="009B7761" w:rsidRPr="00A21F96" w:rsidRDefault="009B7761" w:rsidP="00A21F96">
      <w:pPr>
        <w:jc w:val="both"/>
        <w:rPr>
          <w:rFonts w:eastAsia="Calibri"/>
          <w:bCs/>
          <w:sz w:val="22"/>
          <w:szCs w:val="22"/>
        </w:rPr>
      </w:pPr>
    </w:p>
    <w:p w14:paraId="59A074F4" w14:textId="0209734C" w:rsidR="00723EE9" w:rsidRPr="00723EE9" w:rsidRDefault="00723EE9" w:rsidP="00723EE9">
      <w:pPr>
        <w:numPr>
          <w:ilvl w:val="0"/>
          <w:numId w:val="10"/>
        </w:numPr>
        <w:ind w:left="0" w:firstLine="0"/>
        <w:rPr>
          <w:rFonts w:eastAsia="Calibri"/>
          <w:b/>
          <w:sz w:val="22"/>
          <w:szCs w:val="22"/>
        </w:rPr>
      </w:pPr>
      <w:r w:rsidRPr="00723EE9">
        <w:rPr>
          <w:rFonts w:eastAsia="Calibri"/>
          <w:b/>
          <w:sz w:val="22"/>
          <w:szCs w:val="22"/>
        </w:rPr>
        <w:t xml:space="preserve">The OAS and </w:t>
      </w:r>
      <w:r w:rsidR="002E1F2D">
        <w:rPr>
          <w:rFonts w:eastAsia="Calibri"/>
          <w:b/>
          <w:sz w:val="22"/>
          <w:szCs w:val="22"/>
        </w:rPr>
        <w:t>the Inter-American Committee on Science and Technology (</w:t>
      </w:r>
      <w:r w:rsidRPr="00723EE9">
        <w:rPr>
          <w:rFonts w:eastAsia="Calibri"/>
          <w:b/>
          <w:sz w:val="22"/>
          <w:szCs w:val="22"/>
        </w:rPr>
        <w:t>COMCYT</w:t>
      </w:r>
      <w:r w:rsidR="002E1F2D">
        <w:rPr>
          <w:rFonts w:eastAsia="Calibri"/>
          <w:b/>
          <w:sz w:val="22"/>
          <w:szCs w:val="22"/>
        </w:rPr>
        <w:t>)</w:t>
      </w:r>
    </w:p>
    <w:p w14:paraId="7BB3AC86" w14:textId="77777777" w:rsidR="00723EE9" w:rsidRPr="00723EE9" w:rsidRDefault="00723EE9" w:rsidP="00723EE9">
      <w:pPr>
        <w:jc w:val="both"/>
        <w:rPr>
          <w:sz w:val="22"/>
          <w:szCs w:val="22"/>
        </w:rPr>
      </w:pPr>
    </w:p>
    <w:p w14:paraId="36EE827F" w14:textId="66164EA1" w:rsidR="00E65892" w:rsidRDefault="00723EE9" w:rsidP="00E65892">
      <w:pPr>
        <w:ind w:firstLine="720"/>
        <w:jc w:val="both"/>
        <w:rPr>
          <w:sz w:val="22"/>
          <w:szCs w:val="22"/>
        </w:rPr>
      </w:pPr>
      <w:r w:rsidRPr="00723EE9">
        <w:rPr>
          <w:sz w:val="22"/>
          <w:szCs w:val="22"/>
        </w:rPr>
        <w:t xml:space="preserve">COMCYT and the Meeting of Ministers and High Authorities of Science and Technology (REMCYT) serve as the highest hemispheric fora on issues related to Science, Technology and Innovation. </w:t>
      </w:r>
      <w:r w:rsidRPr="00723EE9">
        <w:rPr>
          <w:color w:val="404040"/>
          <w:sz w:val="22"/>
          <w:szCs w:val="22"/>
          <w:shd w:val="clear" w:color="auto" w:fill="FFFFFF"/>
        </w:rPr>
        <w:t xml:space="preserve">At the last Ministerial Meeting, which took place in Medellin, Colombia, </w:t>
      </w:r>
      <w:r w:rsidR="006D1E13" w:rsidRPr="00723EE9">
        <w:rPr>
          <w:color w:val="404040"/>
          <w:sz w:val="22"/>
          <w:szCs w:val="22"/>
          <w:shd w:val="clear" w:color="auto" w:fill="FFFFFF"/>
        </w:rPr>
        <w:t>in</w:t>
      </w:r>
      <w:r w:rsidRPr="00723EE9">
        <w:rPr>
          <w:color w:val="404040"/>
          <w:sz w:val="22"/>
          <w:szCs w:val="22"/>
          <w:shd w:val="clear" w:color="auto" w:fill="FFFFFF"/>
        </w:rPr>
        <w:t xml:space="preserve"> November 2017, Ministers and High Authorities adopted the Declaration of Medellin</w:t>
      </w:r>
      <w:r w:rsidR="00E65892">
        <w:rPr>
          <w:color w:val="404040"/>
          <w:sz w:val="22"/>
          <w:szCs w:val="22"/>
          <w:shd w:val="clear" w:color="auto" w:fill="FFFFFF"/>
        </w:rPr>
        <w:t xml:space="preserve">, recognizing that </w:t>
      </w:r>
      <w:r w:rsidR="00E65892" w:rsidRPr="005E45F9">
        <w:rPr>
          <w:sz w:val="22"/>
          <w:szCs w:val="22"/>
        </w:rPr>
        <w:t>science, technology, and innovation are essential elements for improving the quality of life of people and the economic performance of member states in an inclusive, enduring, and environmentally sustainable way, as well as a solution to the great challenges that we face as a societ</w:t>
      </w:r>
      <w:r w:rsidR="00E65892">
        <w:rPr>
          <w:sz w:val="22"/>
          <w:szCs w:val="22"/>
        </w:rPr>
        <w:t xml:space="preserve">y. </w:t>
      </w:r>
    </w:p>
    <w:p w14:paraId="771118AD" w14:textId="77777777" w:rsidR="00E65892" w:rsidRPr="005E45F9" w:rsidRDefault="00E65892" w:rsidP="00E65892">
      <w:pPr>
        <w:ind w:firstLine="720"/>
        <w:jc w:val="both"/>
        <w:rPr>
          <w:sz w:val="22"/>
          <w:szCs w:val="22"/>
        </w:rPr>
      </w:pPr>
    </w:p>
    <w:p w14:paraId="4156E320" w14:textId="77777777" w:rsidR="00723EE9" w:rsidRPr="00723EE9" w:rsidRDefault="00723EE9" w:rsidP="00E65892">
      <w:pPr>
        <w:tabs>
          <w:tab w:val="left" w:pos="720"/>
          <w:tab w:val="left" w:pos="2955"/>
        </w:tabs>
        <w:jc w:val="both"/>
        <w:rPr>
          <w:rFonts w:eastAsia="Calibri"/>
          <w:b/>
          <w:sz w:val="22"/>
          <w:szCs w:val="22"/>
        </w:rPr>
      </w:pPr>
      <w:r>
        <w:rPr>
          <w:sz w:val="22"/>
          <w:szCs w:val="22"/>
        </w:rPr>
        <w:tab/>
      </w:r>
      <w:r w:rsidRPr="00723EE9">
        <w:rPr>
          <w:rFonts w:eastAsia="Calibri"/>
          <w:b/>
          <w:sz w:val="22"/>
          <w:szCs w:val="22"/>
        </w:rPr>
        <w:t>Relevance to CIDI</w:t>
      </w:r>
    </w:p>
    <w:p w14:paraId="3D540E4E" w14:textId="77777777" w:rsidR="00723EE9" w:rsidRPr="00723EE9" w:rsidRDefault="00723EE9" w:rsidP="00723EE9">
      <w:pPr>
        <w:rPr>
          <w:rFonts w:eastAsia="Calibri"/>
          <w:b/>
          <w:sz w:val="22"/>
          <w:szCs w:val="22"/>
        </w:rPr>
      </w:pPr>
    </w:p>
    <w:p w14:paraId="5CB58B58" w14:textId="77777777" w:rsidR="00723EE9" w:rsidRPr="00103208" w:rsidRDefault="00723EE9" w:rsidP="003B0B19">
      <w:pPr>
        <w:ind w:firstLine="720"/>
        <w:jc w:val="both"/>
        <w:rPr>
          <w:bCs/>
          <w:sz w:val="22"/>
          <w:szCs w:val="22"/>
        </w:rPr>
      </w:pPr>
      <w:r w:rsidRPr="00723EE9">
        <w:rPr>
          <w:sz w:val="22"/>
          <w:szCs w:val="22"/>
        </w:rPr>
        <w:t xml:space="preserve">“Promoting inclusive and competitive economies” is one of the strategic lines for Integral Development in the OAS Comprehensive Strategic Plan. </w:t>
      </w:r>
      <w:r w:rsidRPr="00723EE9">
        <w:rPr>
          <w:b/>
          <w:color w:val="171717"/>
          <w:sz w:val="22"/>
          <w:szCs w:val="22"/>
        </w:rPr>
        <w:t>(AG/RES.1 (LI-E/16)</w:t>
      </w:r>
      <w:r w:rsidRPr="00723EE9">
        <w:rPr>
          <w:color w:val="171717"/>
          <w:sz w:val="22"/>
          <w:szCs w:val="22"/>
        </w:rPr>
        <w:t xml:space="preserve">. One of its </w:t>
      </w:r>
      <w:r w:rsidRPr="00723EE9">
        <w:rPr>
          <w:sz w:val="22"/>
          <w:szCs w:val="22"/>
        </w:rPr>
        <w:t xml:space="preserve">Strategic Objectives (1.3) is to: “Increase cooperation for strengthening member States institutional capacities </w:t>
      </w:r>
      <w:r w:rsidRPr="00723EE9">
        <w:rPr>
          <w:sz w:val="22"/>
          <w:szCs w:val="22"/>
        </w:rPr>
        <w:lastRenderedPageBreak/>
        <w:t>on</w:t>
      </w:r>
      <w:r w:rsidRPr="00723EE9">
        <w:rPr>
          <w:b/>
          <w:sz w:val="22"/>
          <w:szCs w:val="22"/>
        </w:rPr>
        <w:t xml:space="preserve"> </w:t>
      </w:r>
      <w:r w:rsidRPr="00103208">
        <w:rPr>
          <w:bCs/>
          <w:sz w:val="22"/>
          <w:szCs w:val="22"/>
        </w:rPr>
        <w:t>incorporating innovation and transformative technology to create added value and diversification in their economies in a sustainable and inclusive fashion.”</w:t>
      </w:r>
    </w:p>
    <w:p w14:paraId="3BAF93F9" w14:textId="77777777" w:rsidR="00723EE9" w:rsidRPr="00723EE9" w:rsidRDefault="00723EE9" w:rsidP="00723EE9">
      <w:pPr>
        <w:jc w:val="both"/>
        <w:rPr>
          <w:sz w:val="22"/>
          <w:szCs w:val="22"/>
        </w:rPr>
      </w:pPr>
    </w:p>
    <w:p w14:paraId="59CC8B9A" w14:textId="264F147B" w:rsidR="00723EE9" w:rsidRPr="00723EE9" w:rsidRDefault="00723EE9" w:rsidP="003B0B19">
      <w:pPr>
        <w:ind w:firstLine="720"/>
        <w:jc w:val="both"/>
        <w:rPr>
          <w:sz w:val="22"/>
          <w:szCs w:val="22"/>
        </w:rPr>
      </w:pPr>
      <w:r w:rsidRPr="00723EE9">
        <w:rPr>
          <w:b/>
          <w:color w:val="171717"/>
          <w:sz w:val="22"/>
          <w:szCs w:val="22"/>
        </w:rPr>
        <w:t xml:space="preserve">Resolution "Advancing Hemispheric Initiatives on Integral Development" (AG/RES.2916 (XLVIII-O/18) </w:t>
      </w:r>
      <w:r w:rsidRPr="00723EE9">
        <w:rPr>
          <w:color w:val="171717"/>
          <w:sz w:val="22"/>
          <w:szCs w:val="22"/>
        </w:rPr>
        <w:t>instructs member states to: “Endorse the Declaration of Medellín, "Science, Technology, and Innovation as Pillars of Transformation in the Americas" (CIDI/REMCYT-V/DEC.1/17 rev.1), adopted at the Fifth Meeting of Ministers and High of Authorities on Science and Technology in the framework of CIDI, held in Medellin, Colombia. T</w:t>
      </w:r>
      <w:r w:rsidRPr="00723EE9">
        <w:rPr>
          <w:sz w:val="22"/>
          <w:szCs w:val="22"/>
        </w:rPr>
        <w:t xml:space="preserve">he </w:t>
      </w:r>
      <w:r w:rsidR="00ED5D59">
        <w:rPr>
          <w:sz w:val="22"/>
          <w:szCs w:val="22"/>
        </w:rPr>
        <w:t>“</w:t>
      </w:r>
      <w:r w:rsidRPr="00ED5D59">
        <w:rPr>
          <w:iCs/>
          <w:sz w:val="22"/>
          <w:szCs w:val="22"/>
        </w:rPr>
        <w:t>Declaration of Medellin</w:t>
      </w:r>
      <w:r w:rsidR="00ED5D59">
        <w:rPr>
          <w:iCs/>
          <w:sz w:val="22"/>
          <w:szCs w:val="22"/>
        </w:rPr>
        <w:t>”</w:t>
      </w:r>
      <w:r w:rsidRPr="00723EE9">
        <w:rPr>
          <w:sz w:val="22"/>
          <w:szCs w:val="22"/>
        </w:rPr>
        <w:t xml:space="preserve"> recommends to “incorporate into the work of the four Working Groups the value of the impact of transformative technologies in the economic and social development of the Americas, as a commitment to allow the member states to face the main challenges and opportunities of our region.” </w:t>
      </w:r>
    </w:p>
    <w:p w14:paraId="61E7367C" w14:textId="5F851383" w:rsidR="00723EE9" w:rsidRPr="00723EE9" w:rsidRDefault="00723EE9" w:rsidP="00ED5D59">
      <w:pPr>
        <w:tabs>
          <w:tab w:val="num" w:pos="360"/>
        </w:tabs>
        <w:jc w:val="both"/>
        <w:rPr>
          <w:bCs/>
          <w:sz w:val="22"/>
          <w:szCs w:val="22"/>
        </w:rPr>
      </w:pPr>
    </w:p>
    <w:p w14:paraId="7E220C95" w14:textId="77777777" w:rsidR="00723EE9" w:rsidRPr="00723EE9" w:rsidRDefault="003B0B19" w:rsidP="00723EE9">
      <w:pPr>
        <w:numPr>
          <w:ilvl w:val="0"/>
          <w:numId w:val="10"/>
        </w:numPr>
        <w:ind w:left="0" w:firstLine="0"/>
        <w:rPr>
          <w:rFonts w:eastAsia="Calibri"/>
          <w:b/>
          <w:sz w:val="22"/>
          <w:szCs w:val="22"/>
        </w:rPr>
      </w:pPr>
      <w:r>
        <w:rPr>
          <w:rFonts w:eastAsia="Calibri"/>
          <w:b/>
          <w:sz w:val="22"/>
          <w:szCs w:val="22"/>
        </w:rPr>
        <w:t>Purpose of the m</w:t>
      </w:r>
      <w:r w:rsidR="00723EE9" w:rsidRPr="00723EE9">
        <w:rPr>
          <w:rFonts w:eastAsia="Calibri"/>
          <w:b/>
          <w:sz w:val="22"/>
          <w:szCs w:val="22"/>
        </w:rPr>
        <w:t xml:space="preserve">eeting </w:t>
      </w:r>
    </w:p>
    <w:p w14:paraId="7B49B2A7" w14:textId="77777777" w:rsidR="00723EE9" w:rsidRPr="00723EE9" w:rsidRDefault="00723EE9" w:rsidP="00723EE9">
      <w:pPr>
        <w:rPr>
          <w:rFonts w:eastAsia="Calibri"/>
          <w:b/>
          <w:sz w:val="22"/>
          <w:szCs w:val="22"/>
        </w:rPr>
      </w:pPr>
    </w:p>
    <w:p w14:paraId="55579AB1" w14:textId="30FEE63E" w:rsidR="003B0B19" w:rsidRDefault="00723EE9" w:rsidP="003B0B19">
      <w:pPr>
        <w:ind w:firstLine="720"/>
        <w:jc w:val="both"/>
        <w:rPr>
          <w:rFonts w:eastAsia="Calibri"/>
          <w:sz w:val="22"/>
          <w:szCs w:val="22"/>
        </w:rPr>
      </w:pPr>
      <w:r w:rsidRPr="00723EE9">
        <w:rPr>
          <w:rFonts w:eastAsia="Calibri"/>
          <w:sz w:val="22"/>
          <w:szCs w:val="22"/>
        </w:rPr>
        <w:t>The purpose of the meeting is to review the</w:t>
      </w:r>
      <w:r w:rsidR="001B193D">
        <w:rPr>
          <w:rFonts w:eastAsia="Calibri"/>
          <w:sz w:val="22"/>
          <w:szCs w:val="22"/>
        </w:rPr>
        <w:t xml:space="preserve"> main challenges and opportunities provided by the digital transformation in the Americas and to </w:t>
      </w:r>
      <w:r w:rsidRPr="00723EE9">
        <w:rPr>
          <w:rFonts w:eastAsia="Calibri"/>
          <w:sz w:val="22"/>
          <w:szCs w:val="22"/>
        </w:rPr>
        <w:t xml:space="preserve">share recommendations </w:t>
      </w:r>
      <w:r w:rsidR="001B193D">
        <w:rPr>
          <w:rFonts w:eastAsia="Calibri"/>
          <w:sz w:val="22"/>
          <w:szCs w:val="22"/>
        </w:rPr>
        <w:t>to advance</w:t>
      </w:r>
      <w:r w:rsidRPr="00723EE9">
        <w:rPr>
          <w:rFonts w:eastAsia="Calibri"/>
          <w:sz w:val="22"/>
          <w:szCs w:val="22"/>
        </w:rPr>
        <w:t xml:space="preserve"> collaboration </w:t>
      </w:r>
      <w:r w:rsidR="001B193D">
        <w:rPr>
          <w:rFonts w:eastAsia="Calibri"/>
          <w:sz w:val="22"/>
          <w:szCs w:val="22"/>
        </w:rPr>
        <w:t xml:space="preserve">among member states </w:t>
      </w:r>
      <w:r w:rsidR="00194B58">
        <w:rPr>
          <w:rFonts w:eastAsia="Calibri"/>
          <w:sz w:val="22"/>
          <w:szCs w:val="22"/>
        </w:rPr>
        <w:t xml:space="preserve">on digital transformation, closing the digital and opportunity gaps, </w:t>
      </w:r>
      <w:r w:rsidRPr="00723EE9">
        <w:rPr>
          <w:rFonts w:eastAsia="Calibri"/>
          <w:sz w:val="22"/>
          <w:szCs w:val="22"/>
        </w:rPr>
        <w:t xml:space="preserve">leading to the VI REMCYT to be held </w:t>
      </w:r>
      <w:r w:rsidR="006D1E13">
        <w:rPr>
          <w:rFonts w:eastAsia="Calibri"/>
          <w:sz w:val="22"/>
          <w:szCs w:val="22"/>
        </w:rPr>
        <w:t xml:space="preserve">virtually under the leadership of </w:t>
      </w:r>
      <w:r w:rsidRPr="00723EE9">
        <w:rPr>
          <w:rFonts w:eastAsia="Calibri"/>
          <w:sz w:val="22"/>
          <w:szCs w:val="22"/>
        </w:rPr>
        <w:t xml:space="preserve">Jamaica in </w:t>
      </w:r>
      <w:r w:rsidR="006D1E13">
        <w:rPr>
          <w:rFonts w:eastAsia="Calibri"/>
          <w:sz w:val="22"/>
          <w:szCs w:val="22"/>
        </w:rPr>
        <w:t>Dec</w:t>
      </w:r>
      <w:r w:rsidRPr="00723EE9">
        <w:rPr>
          <w:rFonts w:eastAsia="Calibri"/>
          <w:sz w:val="22"/>
          <w:szCs w:val="22"/>
        </w:rPr>
        <w:t>ember 202</w:t>
      </w:r>
      <w:r w:rsidR="006D1E13">
        <w:rPr>
          <w:rFonts w:eastAsia="Calibri"/>
          <w:sz w:val="22"/>
          <w:szCs w:val="22"/>
        </w:rPr>
        <w:t>1</w:t>
      </w:r>
      <w:r w:rsidRPr="00723EE9">
        <w:rPr>
          <w:rFonts w:eastAsia="Calibri"/>
          <w:sz w:val="22"/>
          <w:szCs w:val="22"/>
        </w:rPr>
        <w:t>.</w:t>
      </w:r>
    </w:p>
    <w:p w14:paraId="1CD6530B" w14:textId="2DA17F24" w:rsidR="00723EE9" w:rsidRPr="00723EE9" w:rsidRDefault="00723EE9" w:rsidP="00ED5D59">
      <w:pPr>
        <w:jc w:val="both"/>
        <w:rPr>
          <w:rFonts w:eastAsia="Calibri"/>
          <w:sz w:val="22"/>
          <w:szCs w:val="22"/>
        </w:rPr>
      </w:pPr>
    </w:p>
    <w:p w14:paraId="653C7F32" w14:textId="7D03CD29" w:rsidR="00723EE9" w:rsidRPr="00723EE9" w:rsidRDefault="00723EE9" w:rsidP="003B0B19">
      <w:pPr>
        <w:ind w:firstLine="720"/>
        <w:jc w:val="both"/>
        <w:rPr>
          <w:rFonts w:eastAsia="Calibri"/>
          <w:sz w:val="22"/>
          <w:szCs w:val="22"/>
        </w:rPr>
      </w:pPr>
      <w:r w:rsidRPr="00723EE9">
        <w:rPr>
          <w:rFonts w:eastAsia="Calibri"/>
          <w:sz w:val="22"/>
          <w:szCs w:val="22"/>
        </w:rPr>
        <w:t>The session will include present</w:t>
      </w:r>
      <w:r w:rsidR="003B0B19">
        <w:rPr>
          <w:rFonts w:eastAsia="Calibri"/>
          <w:sz w:val="22"/>
          <w:szCs w:val="22"/>
        </w:rPr>
        <w:t xml:space="preserve">ations from </w:t>
      </w:r>
      <w:r w:rsidRPr="00723EE9">
        <w:rPr>
          <w:rFonts w:eastAsia="Calibri"/>
          <w:sz w:val="22"/>
          <w:szCs w:val="22"/>
        </w:rPr>
        <w:t xml:space="preserve">regional experts to share visions, </w:t>
      </w:r>
      <w:proofErr w:type="gramStart"/>
      <w:r w:rsidRPr="00723EE9">
        <w:rPr>
          <w:rFonts w:eastAsia="Calibri"/>
          <w:sz w:val="22"/>
          <w:szCs w:val="22"/>
        </w:rPr>
        <w:t>experienc</w:t>
      </w:r>
      <w:r w:rsidR="003B0B19">
        <w:rPr>
          <w:rFonts w:eastAsia="Calibri"/>
          <w:sz w:val="22"/>
          <w:szCs w:val="22"/>
        </w:rPr>
        <w:t>es</w:t>
      </w:r>
      <w:proofErr w:type="gramEnd"/>
      <w:r w:rsidR="003B0B19">
        <w:rPr>
          <w:rFonts w:eastAsia="Calibri"/>
          <w:sz w:val="22"/>
          <w:szCs w:val="22"/>
        </w:rPr>
        <w:t xml:space="preserve"> and good practices </w:t>
      </w:r>
      <w:r w:rsidR="001B193D">
        <w:rPr>
          <w:rFonts w:eastAsia="Calibri"/>
          <w:sz w:val="22"/>
          <w:szCs w:val="22"/>
        </w:rPr>
        <w:t xml:space="preserve">in the Americas </w:t>
      </w:r>
      <w:r w:rsidRPr="00723EE9">
        <w:rPr>
          <w:rFonts w:eastAsia="Calibri"/>
          <w:sz w:val="22"/>
          <w:szCs w:val="22"/>
        </w:rPr>
        <w:t xml:space="preserve">with respect to </w:t>
      </w:r>
      <w:r w:rsidR="001B193D">
        <w:rPr>
          <w:rFonts w:eastAsia="Calibri"/>
          <w:sz w:val="22"/>
          <w:szCs w:val="22"/>
        </w:rPr>
        <w:t>digital transform</w:t>
      </w:r>
      <w:r w:rsidR="00194B58">
        <w:rPr>
          <w:rFonts w:eastAsia="Calibri"/>
          <w:sz w:val="22"/>
          <w:szCs w:val="22"/>
        </w:rPr>
        <w:t>a</w:t>
      </w:r>
      <w:r w:rsidR="001B193D">
        <w:rPr>
          <w:rFonts w:eastAsia="Calibri"/>
          <w:sz w:val="22"/>
          <w:szCs w:val="22"/>
        </w:rPr>
        <w:t>tion</w:t>
      </w:r>
      <w:r w:rsidRPr="00723EE9">
        <w:rPr>
          <w:rFonts w:eastAsia="Calibri"/>
          <w:sz w:val="22"/>
          <w:szCs w:val="22"/>
        </w:rPr>
        <w:t>.</w:t>
      </w:r>
    </w:p>
    <w:p w14:paraId="2EC17A52" w14:textId="29FD175C" w:rsidR="00194B58" w:rsidRDefault="00194B58" w:rsidP="00ED5D59">
      <w:pPr>
        <w:ind w:left="720"/>
        <w:jc w:val="both"/>
        <w:rPr>
          <w:rFonts w:eastAsia="Calibri"/>
          <w:sz w:val="22"/>
          <w:szCs w:val="22"/>
        </w:rPr>
      </w:pPr>
    </w:p>
    <w:p w14:paraId="6C63F284" w14:textId="040218C7" w:rsidR="003B0B19" w:rsidRDefault="001B193D" w:rsidP="00ED5D59">
      <w:pPr>
        <w:numPr>
          <w:ilvl w:val="0"/>
          <w:numId w:val="14"/>
        </w:numPr>
        <w:ind w:hanging="720"/>
        <w:jc w:val="both"/>
        <w:rPr>
          <w:rFonts w:eastAsia="Calibri"/>
          <w:sz w:val="22"/>
          <w:szCs w:val="22"/>
        </w:rPr>
      </w:pPr>
      <w:r w:rsidRPr="001B193D">
        <w:rPr>
          <w:rFonts w:eastAsia="Calibri"/>
          <w:sz w:val="22"/>
          <w:szCs w:val="22"/>
        </w:rPr>
        <w:t>Jos</w:t>
      </w:r>
      <w:r>
        <w:rPr>
          <w:rFonts w:eastAsia="Calibri"/>
          <w:sz w:val="22"/>
          <w:szCs w:val="22"/>
        </w:rPr>
        <w:t>é</w:t>
      </w:r>
      <w:r w:rsidRPr="001B193D">
        <w:rPr>
          <w:rFonts w:eastAsia="Calibri"/>
          <w:sz w:val="22"/>
          <w:szCs w:val="22"/>
        </w:rPr>
        <w:t xml:space="preserve"> Manuel Salazar-</w:t>
      </w:r>
      <w:proofErr w:type="spellStart"/>
      <w:r w:rsidRPr="001B193D">
        <w:rPr>
          <w:rFonts w:eastAsia="Calibri"/>
          <w:sz w:val="22"/>
          <w:szCs w:val="22"/>
        </w:rPr>
        <w:t>Xirinachs</w:t>
      </w:r>
      <w:proofErr w:type="spellEnd"/>
      <w:r w:rsidRPr="001B193D">
        <w:rPr>
          <w:rFonts w:eastAsia="Calibri"/>
          <w:sz w:val="22"/>
          <w:szCs w:val="22"/>
        </w:rPr>
        <w:t xml:space="preserve">, </w:t>
      </w:r>
      <w:r w:rsidR="00194B58">
        <w:rPr>
          <w:rFonts w:eastAsia="Calibri"/>
          <w:sz w:val="22"/>
          <w:szCs w:val="22"/>
        </w:rPr>
        <w:t>I</w:t>
      </w:r>
      <w:r>
        <w:rPr>
          <w:rFonts w:eastAsia="Calibri"/>
          <w:sz w:val="22"/>
          <w:szCs w:val="22"/>
        </w:rPr>
        <w:t xml:space="preserve">nternational </w:t>
      </w:r>
      <w:r w:rsidR="00194B58">
        <w:rPr>
          <w:rFonts w:eastAsia="Calibri"/>
          <w:sz w:val="22"/>
          <w:szCs w:val="22"/>
        </w:rPr>
        <w:t>C</w:t>
      </w:r>
      <w:r>
        <w:rPr>
          <w:rFonts w:eastAsia="Calibri"/>
          <w:sz w:val="22"/>
          <w:szCs w:val="22"/>
        </w:rPr>
        <w:t xml:space="preserve">ompetitiveness </w:t>
      </w:r>
      <w:r w:rsidR="00194B58">
        <w:rPr>
          <w:rFonts w:eastAsia="Calibri"/>
          <w:sz w:val="22"/>
          <w:szCs w:val="22"/>
        </w:rPr>
        <w:t>E</w:t>
      </w:r>
      <w:r>
        <w:rPr>
          <w:rFonts w:eastAsia="Calibri"/>
          <w:sz w:val="22"/>
          <w:szCs w:val="22"/>
        </w:rPr>
        <w:t>xpert</w:t>
      </w:r>
      <w:r w:rsidR="00194B58">
        <w:rPr>
          <w:rFonts w:eastAsia="Calibri"/>
          <w:sz w:val="22"/>
          <w:szCs w:val="22"/>
        </w:rPr>
        <w:t>, C</w:t>
      </w:r>
      <w:r>
        <w:rPr>
          <w:rFonts w:eastAsia="Calibri"/>
          <w:sz w:val="22"/>
          <w:szCs w:val="22"/>
        </w:rPr>
        <w:t>osta Rica, “</w:t>
      </w:r>
      <w:r w:rsidRPr="001B193D">
        <w:rPr>
          <w:rFonts w:eastAsia="Calibri"/>
          <w:sz w:val="22"/>
          <w:szCs w:val="22"/>
        </w:rPr>
        <w:t>Digital Transformation</w:t>
      </w:r>
      <w:r>
        <w:rPr>
          <w:rFonts w:eastAsia="Calibri"/>
          <w:sz w:val="22"/>
          <w:szCs w:val="22"/>
        </w:rPr>
        <w:t xml:space="preserve"> and </w:t>
      </w:r>
      <w:r w:rsidRPr="001B193D">
        <w:rPr>
          <w:rFonts w:eastAsia="Calibri"/>
          <w:sz w:val="22"/>
          <w:szCs w:val="22"/>
        </w:rPr>
        <w:t>Economic Recove</w:t>
      </w:r>
      <w:r>
        <w:rPr>
          <w:rFonts w:eastAsia="Calibri"/>
          <w:sz w:val="22"/>
          <w:szCs w:val="22"/>
        </w:rPr>
        <w:t>ry in Latin America and the Caribbean</w:t>
      </w:r>
      <w:r w:rsidR="0076198A">
        <w:rPr>
          <w:rFonts w:eastAsia="Calibri"/>
          <w:sz w:val="22"/>
          <w:szCs w:val="22"/>
        </w:rPr>
        <w:t>;</w:t>
      </w:r>
      <w:r>
        <w:rPr>
          <w:rFonts w:eastAsia="Calibri"/>
          <w:sz w:val="22"/>
          <w:szCs w:val="22"/>
        </w:rPr>
        <w:t>”</w:t>
      </w:r>
    </w:p>
    <w:p w14:paraId="6EA5A146" w14:textId="08AD8633" w:rsidR="001B193D" w:rsidRPr="001B193D" w:rsidRDefault="001B193D" w:rsidP="00ED5D59">
      <w:pPr>
        <w:numPr>
          <w:ilvl w:val="0"/>
          <w:numId w:val="14"/>
        </w:numPr>
        <w:ind w:hanging="720"/>
        <w:jc w:val="both"/>
        <w:rPr>
          <w:rFonts w:eastAsia="Calibri"/>
          <w:sz w:val="22"/>
          <w:szCs w:val="22"/>
        </w:rPr>
      </w:pPr>
      <w:r>
        <w:rPr>
          <w:rFonts w:eastAsia="Calibri"/>
          <w:sz w:val="22"/>
          <w:szCs w:val="22"/>
        </w:rPr>
        <w:t xml:space="preserve">Jaime Díaz, </w:t>
      </w:r>
      <w:r w:rsidR="00194B58">
        <w:rPr>
          <w:rFonts w:eastAsia="Calibri"/>
          <w:sz w:val="22"/>
          <w:szCs w:val="22"/>
        </w:rPr>
        <w:t xml:space="preserve">Executive </w:t>
      </w:r>
      <w:r>
        <w:rPr>
          <w:rFonts w:eastAsia="Calibri"/>
          <w:sz w:val="22"/>
          <w:szCs w:val="22"/>
        </w:rPr>
        <w:t>Vice-President, Central American Bank for Economic Integration (CABEI)</w:t>
      </w:r>
      <w:r w:rsidR="00194B58">
        <w:rPr>
          <w:rFonts w:eastAsia="Calibri"/>
          <w:sz w:val="22"/>
          <w:szCs w:val="22"/>
        </w:rPr>
        <w:t xml:space="preserve">: “Digital Transformation Priorities in Central </w:t>
      </w:r>
      <w:proofErr w:type="gramStart"/>
      <w:r w:rsidR="00194B58">
        <w:rPr>
          <w:rFonts w:eastAsia="Calibri"/>
          <w:sz w:val="22"/>
          <w:szCs w:val="22"/>
        </w:rPr>
        <w:t>America</w:t>
      </w:r>
      <w:r w:rsidR="006D1E13">
        <w:rPr>
          <w:rFonts w:eastAsia="Calibri"/>
          <w:sz w:val="22"/>
          <w:szCs w:val="22"/>
        </w:rPr>
        <w:t>;</w:t>
      </w:r>
      <w:proofErr w:type="gramEnd"/>
    </w:p>
    <w:p w14:paraId="23A9A02F" w14:textId="0AB571BE" w:rsidR="00194B58" w:rsidRDefault="00194B58" w:rsidP="00ED5D59">
      <w:pPr>
        <w:numPr>
          <w:ilvl w:val="0"/>
          <w:numId w:val="14"/>
        </w:numPr>
        <w:ind w:hanging="720"/>
        <w:jc w:val="both"/>
        <w:rPr>
          <w:rFonts w:eastAsia="Calibri"/>
          <w:sz w:val="22"/>
          <w:szCs w:val="22"/>
        </w:rPr>
      </w:pPr>
      <w:r w:rsidRPr="00194B58">
        <w:rPr>
          <w:rFonts w:eastAsia="Calibri"/>
          <w:sz w:val="22"/>
          <w:szCs w:val="22"/>
        </w:rPr>
        <w:t xml:space="preserve">Kim </w:t>
      </w:r>
      <w:proofErr w:type="spellStart"/>
      <w:r w:rsidRPr="00194B58">
        <w:rPr>
          <w:rFonts w:eastAsia="Calibri"/>
          <w:sz w:val="22"/>
          <w:szCs w:val="22"/>
        </w:rPr>
        <w:t>Malialieu</w:t>
      </w:r>
      <w:proofErr w:type="spellEnd"/>
      <w:r w:rsidRPr="00194B58">
        <w:rPr>
          <w:rFonts w:eastAsia="Calibri"/>
          <w:sz w:val="22"/>
          <w:szCs w:val="22"/>
        </w:rPr>
        <w:t xml:space="preserve">, Senior Lecturer and Principal Investigator of the Caribbean ICT Research </w:t>
      </w:r>
      <w:proofErr w:type="spellStart"/>
      <w:r w:rsidRPr="00194B58">
        <w:rPr>
          <w:rFonts w:eastAsia="Calibri"/>
          <w:sz w:val="22"/>
          <w:szCs w:val="22"/>
        </w:rPr>
        <w:t>Programme</w:t>
      </w:r>
      <w:proofErr w:type="spellEnd"/>
      <w:r w:rsidRPr="00194B58">
        <w:rPr>
          <w:rFonts w:eastAsia="Calibri"/>
          <w:sz w:val="22"/>
          <w:szCs w:val="22"/>
        </w:rPr>
        <w:t>, The University of the West Indies, St. Augustine Campus</w:t>
      </w:r>
      <w:r w:rsidR="00203F80">
        <w:rPr>
          <w:rFonts w:eastAsia="Calibri"/>
          <w:sz w:val="22"/>
          <w:szCs w:val="22"/>
        </w:rPr>
        <w:t>,</w:t>
      </w:r>
      <w:r w:rsidRPr="00194B58">
        <w:rPr>
          <w:rFonts w:eastAsia="Calibri"/>
          <w:sz w:val="22"/>
          <w:szCs w:val="22"/>
        </w:rPr>
        <w:t xml:space="preserve"> </w:t>
      </w:r>
      <w:proofErr w:type="gramStart"/>
      <w:r w:rsidRPr="00194B58">
        <w:rPr>
          <w:rFonts w:eastAsia="Calibri"/>
          <w:sz w:val="22"/>
          <w:szCs w:val="22"/>
        </w:rPr>
        <w:t>Trinidad</w:t>
      </w:r>
      <w:proofErr w:type="gramEnd"/>
      <w:r w:rsidRPr="00194B58">
        <w:rPr>
          <w:rFonts w:eastAsia="Calibri"/>
          <w:sz w:val="22"/>
          <w:szCs w:val="22"/>
        </w:rPr>
        <w:t xml:space="preserve"> and Tobago, W.I.</w:t>
      </w:r>
      <w:r>
        <w:rPr>
          <w:rFonts w:eastAsia="Calibri"/>
          <w:sz w:val="22"/>
          <w:szCs w:val="22"/>
        </w:rPr>
        <w:t>, “Future of Digital Transformation in the Caribbean.”</w:t>
      </w:r>
    </w:p>
    <w:p w14:paraId="7DF574AE" w14:textId="77777777" w:rsidR="00194B58" w:rsidRDefault="00194B58" w:rsidP="00203F80">
      <w:pPr>
        <w:ind w:left="360" w:hanging="180"/>
        <w:jc w:val="both"/>
        <w:rPr>
          <w:rFonts w:eastAsia="Calibri"/>
          <w:sz w:val="22"/>
          <w:szCs w:val="22"/>
        </w:rPr>
      </w:pPr>
    </w:p>
    <w:p w14:paraId="412B4FC4" w14:textId="77777777" w:rsidR="00723EE9" w:rsidRPr="00723EE9" w:rsidRDefault="00723EE9" w:rsidP="00723EE9">
      <w:pPr>
        <w:numPr>
          <w:ilvl w:val="0"/>
          <w:numId w:val="10"/>
        </w:numPr>
        <w:ind w:left="0" w:firstLine="0"/>
        <w:rPr>
          <w:rFonts w:eastAsia="Calibri"/>
          <w:b/>
          <w:sz w:val="22"/>
          <w:szCs w:val="22"/>
        </w:rPr>
      </w:pPr>
      <w:r w:rsidRPr="00723EE9">
        <w:rPr>
          <w:rFonts w:eastAsia="Calibri"/>
          <w:b/>
          <w:sz w:val="22"/>
          <w:szCs w:val="22"/>
        </w:rPr>
        <w:t>Outcome of the</w:t>
      </w:r>
      <w:r w:rsidR="003B0B19">
        <w:rPr>
          <w:rFonts w:eastAsia="Calibri"/>
          <w:b/>
          <w:sz w:val="22"/>
          <w:szCs w:val="22"/>
        </w:rPr>
        <w:t xml:space="preserve"> meeting</w:t>
      </w:r>
      <w:r w:rsidRPr="00723EE9">
        <w:rPr>
          <w:rFonts w:eastAsia="Calibri"/>
          <w:b/>
          <w:sz w:val="22"/>
          <w:szCs w:val="22"/>
        </w:rPr>
        <w:t xml:space="preserve"> </w:t>
      </w:r>
    </w:p>
    <w:p w14:paraId="359FE12E" w14:textId="77777777" w:rsidR="00723EE9" w:rsidRPr="00723EE9" w:rsidRDefault="00723EE9" w:rsidP="00723EE9">
      <w:pPr>
        <w:jc w:val="both"/>
        <w:rPr>
          <w:rFonts w:eastAsia="Calibri"/>
          <w:b/>
          <w:sz w:val="22"/>
          <w:szCs w:val="22"/>
        </w:rPr>
      </w:pPr>
    </w:p>
    <w:p w14:paraId="518E666B" w14:textId="77777777" w:rsidR="00723EE9" w:rsidRPr="00723EE9" w:rsidRDefault="00723EE9" w:rsidP="00723EE9">
      <w:pPr>
        <w:ind w:firstLine="720"/>
        <w:jc w:val="both"/>
        <w:rPr>
          <w:rFonts w:eastAsia="Calibri"/>
          <w:sz w:val="22"/>
          <w:szCs w:val="22"/>
        </w:rPr>
      </w:pPr>
      <w:r w:rsidRPr="00723EE9">
        <w:rPr>
          <w:rFonts w:eastAsia="Calibri"/>
          <w:sz w:val="22"/>
          <w:szCs w:val="22"/>
        </w:rPr>
        <w:t>It is expected that the session will contribute to:</w:t>
      </w:r>
    </w:p>
    <w:p w14:paraId="5EFC065D" w14:textId="77777777" w:rsidR="00723EE9" w:rsidRPr="00723EE9" w:rsidRDefault="00723EE9" w:rsidP="00723EE9">
      <w:pPr>
        <w:ind w:firstLine="720"/>
        <w:jc w:val="both"/>
        <w:rPr>
          <w:rFonts w:eastAsia="Calibri"/>
          <w:sz w:val="22"/>
          <w:szCs w:val="22"/>
        </w:rPr>
      </w:pPr>
    </w:p>
    <w:p w14:paraId="058D026B" w14:textId="331EB6F5" w:rsidR="00723EE9" w:rsidRPr="00723EE9" w:rsidRDefault="00723EE9" w:rsidP="00723EE9">
      <w:pPr>
        <w:numPr>
          <w:ilvl w:val="0"/>
          <w:numId w:val="11"/>
        </w:numPr>
        <w:ind w:left="1440" w:hanging="720"/>
        <w:jc w:val="both"/>
        <w:rPr>
          <w:rFonts w:eastAsia="Calibri"/>
          <w:sz w:val="22"/>
          <w:szCs w:val="22"/>
        </w:rPr>
      </w:pPr>
      <w:r w:rsidRPr="00723EE9">
        <w:rPr>
          <w:rFonts w:eastAsia="Calibri"/>
          <w:sz w:val="22"/>
          <w:szCs w:val="22"/>
        </w:rPr>
        <w:t xml:space="preserve">Providing information on </w:t>
      </w:r>
      <w:r w:rsidR="00194B58">
        <w:rPr>
          <w:rFonts w:eastAsia="Calibri"/>
          <w:sz w:val="22"/>
          <w:szCs w:val="22"/>
        </w:rPr>
        <w:t xml:space="preserve">main trends, challenges and opportunities on </w:t>
      </w:r>
      <w:r w:rsidR="00984C5A">
        <w:rPr>
          <w:rFonts w:eastAsia="Calibri"/>
          <w:sz w:val="22"/>
          <w:szCs w:val="22"/>
        </w:rPr>
        <w:t>d</w:t>
      </w:r>
      <w:r w:rsidR="00194B58">
        <w:rPr>
          <w:rFonts w:eastAsia="Calibri"/>
          <w:sz w:val="22"/>
          <w:szCs w:val="22"/>
        </w:rPr>
        <w:t xml:space="preserve">igital </w:t>
      </w:r>
      <w:r w:rsidR="00984C5A">
        <w:rPr>
          <w:rFonts w:eastAsia="Calibri"/>
          <w:sz w:val="22"/>
          <w:szCs w:val="22"/>
        </w:rPr>
        <w:t>t</w:t>
      </w:r>
      <w:r w:rsidR="00194B58">
        <w:rPr>
          <w:rFonts w:eastAsia="Calibri"/>
          <w:sz w:val="22"/>
          <w:szCs w:val="22"/>
        </w:rPr>
        <w:t xml:space="preserve">ransformation for OAS </w:t>
      </w:r>
      <w:r w:rsidR="006D1E13">
        <w:rPr>
          <w:rFonts w:eastAsia="Calibri"/>
          <w:sz w:val="22"/>
          <w:szCs w:val="22"/>
        </w:rPr>
        <w:t>m</w:t>
      </w:r>
      <w:r w:rsidR="00194B58">
        <w:rPr>
          <w:rFonts w:eastAsia="Calibri"/>
          <w:sz w:val="22"/>
          <w:szCs w:val="22"/>
        </w:rPr>
        <w:t xml:space="preserve">ember </w:t>
      </w:r>
      <w:r w:rsidR="006D1E13">
        <w:rPr>
          <w:rFonts w:eastAsia="Calibri"/>
          <w:sz w:val="22"/>
          <w:szCs w:val="22"/>
        </w:rPr>
        <w:t>s</w:t>
      </w:r>
      <w:r w:rsidR="00194B58">
        <w:rPr>
          <w:rFonts w:eastAsia="Calibri"/>
          <w:sz w:val="22"/>
          <w:szCs w:val="22"/>
        </w:rPr>
        <w:t>tates</w:t>
      </w:r>
      <w:r w:rsidRPr="00723EE9">
        <w:rPr>
          <w:rFonts w:eastAsia="Calibri"/>
          <w:sz w:val="22"/>
          <w:szCs w:val="22"/>
        </w:rPr>
        <w:t>;</w:t>
      </w:r>
    </w:p>
    <w:p w14:paraId="68986623" w14:textId="1C956800" w:rsidR="00194B58" w:rsidRDefault="00194B58" w:rsidP="00723EE9">
      <w:pPr>
        <w:numPr>
          <w:ilvl w:val="0"/>
          <w:numId w:val="11"/>
        </w:numPr>
        <w:ind w:left="1440" w:hanging="720"/>
        <w:jc w:val="both"/>
        <w:rPr>
          <w:rFonts w:eastAsia="Calibri"/>
          <w:sz w:val="22"/>
          <w:szCs w:val="22"/>
        </w:rPr>
      </w:pPr>
      <w:r>
        <w:rPr>
          <w:rFonts w:eastAsia="Calibri"/>
          <w:sz w:val="22"/>
          <w:szCs w:val="22"/>
        </w:rPr>
        <w:t>Identify</w:t>
      </w:r>
      <w:r w:rsidR="00984C5A">
        <w:rPr>
          <w:rFonts w:eastAsia="Calibri"/>
          <w:sz w:val="22"/>
          <w:szCs w:val="22"/>
        </w:rPr>
        <w:t>ing</w:t>
      </w:r>
      <w:r>
        <w:rPr>
          <w:rFonts w:eastAsia="Calibri"/>
          <w:sz w:val="22"/>
          <w:szCs w:val="22"/>
        </w:rPr>
        <w:t xml:space="preserve"> priorities and areas of regional cooperation on digital transformation for COVID-19 recovery; </w:t>
      </w:r>
    </w:p>
    <w:p w14:paraId="0DA2742D" w14:textId="3C5DA2DB" w:rsidR="00723EE9" w:rsidRPr="00723EE9" w:rsidRDefault="003B0B19" w:rsidP="00723EE9">
      <w:pPr>
        <w:numPr>
          <w:ilvl w:val="0"/>
          <w:numId w:val="11"/>
        </w:numPr>
        <w:ind w:left="1440" w:hanging="720"/>
        <w:jc w:val="both"/>
        <w:rPr>
          <w:rFonts w:eastAsia="Calibri"/>
          <w:sz w:val="22"/>
          <w:szCs w:val="22"/>
        </w:rPr>
      </w:pPr>
      <w:r>
        <w:rPr>
          <w:rFonts w:eastAsia="Calibri"/>
          <w:sz w:val="22"/>
          <w:szCs w:val="22"/>
        </w:rPr>
        <w:t>Encourag</w:t>
      </w:r>
      <w:r w:rsidR="00984C5A">
        <w:rPr>
          <w:rFonts w:eastAsia="Calibri"/>
          <w:sz w:val="22"/>
          <w:szCs w:val="22"/>
        </w:rPr>
        <w:t>ing</w:t>
      </w:r>
      <w:r>
        <w:rPr>
          <w:rFonts w:eastAsia="Calibri"/>
          <w:sz w:val="22"/>
          <w:szCs w:val="22"/>
        </w:rPr>
        <w:t xml:space="preserve"> m</w:t>
      </w:r>
      <w:r w:rsidR="00723EE9" w:rsidRPr="00723EE9">
        <w:rPr>
          <w:rFonts w:eastAsia="Calibri"/>
          <w:sz w:val="22"/>
          <w:szCs w:val="22"/>
        </w:rPr>
        <w:t xml:space="preserve">ember </w:t>
      </w:r>
      <w:r>
        <w:rPr>
          <w:rFonts w:eastAsia="Calibri"/>
          <w:sz w:val="22"/>
          <w:szCs w:val="22"/>
        </w:rPr>
        <w:t>s</w:t>
      </w:r>
      <w:r w:rsidR="00723EE9" w:rsidRPr="00723EE9">
        <w:rPr>
          <w:rFonts w:eastAsia="Calibri"/>
          <w:sz w:val="22"/>
          <w:szCs w:val="22"/>
        </w:rPr>
        <w:t xml:space="preserve">tates </w:t>
      </w:r>
      <w:r>
        <w:rPr>
          <w:rFonts w:eastAsia="Calibri"/>
          <w:sz w:val="22"/>
          <w:szCs w:val="22"/>
        </w:rPr>
        <w:t xml:space="preserve">to </w:t>
      </w:r>
      <w:r w:rsidR="00723EE9" w:rsidRPr="00723EE9">
        <w:rPr>
          <w:rFonts w:eastAsia="Calibri"/>
          <w:sz w:val="22"/>
          <w:szCs w:val="22"/>
        </w:rPr>
        <w:t>pr</w:t>
      </w:r>
      <w:r>
        <w:rPr>
          <w:rFonts w:eastAsia="Calibri"/>
          <w:sz w:val="22"/>
          <w:szCs w:val="22"/>
        </w:rPr>
        <w:t xml:space="preserve">esent good practices </w:t>
      </w:r>
      <w:r w:rsidR="00194B58">
        <w:rPr>
          <w:rFonts w:eastAsia="Calibri"/>
          <w:sz w:val="22"/>
          <w:szCs w:val="22"/>
        </w:rPr>
        <w:t xml:space="preserve">with opportunities for cooperation </w:t>
      </w:r>
      <w:r w:rsidR="00203F80">
        <w:rPr>
          <w:rFonts w:eastAsia="Calibri"/>
          <w:sz w:val="22"/>
          <w:szCs w:val="22"/>
        </w:rPr>
        <w:t xml:space="preserve">to reduce existing gaps </w:t>
      </w:r>
      <w:r w:rsidR="00723EE9" w:rsidRPr="00723EE9">
        <w:rPr>
          <w:rFonts w:eastAsia="Calibri"/>
          <w:sz w:val="22"/>
          <w:szCs w:val="22"/>
        </w:rPr>
        <w:t xml:space="preserve">on </w:t>
      </w:r>
      <w:r w:rsidR="00194B58">
        <w:rPr>
          <w:rFonts w:eastAsia="Calibri"/>
          <w:sz w:val="22"/>
          <w:szCs w:val="22"/>
        </w:rPr>
        <w:t>digital transformation</w:t>
      </w:r>
      <w:r w:rsidR="00723EE9" w:rsidRPr="00723EE9">
        <w:rPr>
          <w:rFonts w:eastAsia="Calibri"/>
          <w:sz w:val="22"/>
          <w:szCs w:val="22"/>
        </w:rPr>
        <w:t xml:space="preserve">;  </w:t>
      </w:r>
    </w:p>
    <w:p w14:paraId="2C4FA9C1" w14:textId="4A89F683" w:rsidR="00723EE9" w:rsidRPr="00723EE9" w:rsidRDefault="00723EE9" w:rsidP="00723EE9">
      <w:pPr>
        <w:numPr>
          <w:ilvl w:val="0"/>
          <w:numId w:val="11"/>
        </w:numPr>
        <w:ind w:left="1440" w:hanging="720"/>
        <w:jc w:val="both"/>
        <w:rPr>
          <w:rFonts w:eastAsia="Calibri"/>
          <w:sz w:val="22"/>
          <w:szCs w:val="22"/>
        </w:rPr>
      </w:pPr>
      <w:r w:rsidRPr="00723EE9">
        <w:rPr>
          <w:rFonts w:eastAsia="Calibri"/>
          <w:sz w:val="22"/>
          <w:szCs w:val="22"/>
        </w:rPr>
        <w:t>Receiv</w:t>
      </w:r>
      <w:r w:rsidR="00984C5A">
        <w:rPr>
          <w:rFonts w:eastAsia="Calibri"/>
          <w:sz w:val="22"/>
          <w:szCs w:val="22"/>
        </w:rPr>
        <w:t>ing</w:t>
      </w:r>
      <w:r w:rsidRPr="00723EE9">
        <w:rPr>
          <w:rFonts w:eastAsia="Calibri"/>
          <w:sz w:val="22"/>
          <w:szCs w:val="22"/>
        </w:rPr>
        <w:t xml:space="preserve"> feedback and recommendations</w:t>
      </w:r>
      <w:r w:rsidR="003B0B19">
        <w:rPr>
          <w:rFonts w:eastAsia="Calibri"/>
          <w:sz w:val="22"/>
          <w:szCs w:val="22"/>
        </w:rPr>
        <w:t xml:space="preserve"> of m</w:t>
      </w:r>
      <w:r w:rsidRPr="00723EE9">
        <w:rPr>
          <w:rFonts w:eastAsia="Calibri"/>
          <w:sz w:val="22"/>
          <w:szCs w:val="22"/>
        </w:rPr>
        <w:t xml:space="preserve">ember </w:t>
      </w:r>
      <w:r w:rsidR="003B0B19">
        <w:rPr>
          <w:rFonts w:eastAsia="Calibri"/>
          <w:sz w:val="22"/>
          <w:szCs w:val="22"/>
        </w:rPr>
        <w:t>s</w:t>
      </w:r>
      <w:r w:rsidRPr="00723EE9">
        <w:rPr>
          <w:rFonts w:eastAsia="Calibri"/>
          <w:sz w:val="22"/>
          <w:szCs w:val="22"/>
        </w:rPr>
        <w:t xml:space="preserve">tates for strengthening the work of </w:t>
      </w:r>
      <w:r w:rsidR="006D1E13">
        <w:rPr>
          <w:rFonts w:eastAsia="Calibri"/>
          <w:sz w:val="22"/>
          <w:szCs w:val="22"/>
        </w:rPr>
        <w:t>the Executive Secretariat for Integral Development (</w:t>
      </w:r>
      <w:r w:rsidRPr="00723EE9">
        <w:rPr>
          <w:rFonts w:eastAsia="Calibri"/>
          <w:sz w:val="22"/>
          <w:szCs w:val="22"/>
        </w:rPr>
        <w:t>SEDI</w:t>
      </w:r>
      <w:r w:rsidR="006D1E13">
        <w:rPr>
          <w:rFonts w:eastAsia="Calibri"/>
          <w:sz w:val="22"/>
          <w:szCs w:val="22"/>
        </w:rPr>
        <w:t>)</w:t>
      </w:r>
      <w:r w:rsidRPr="00723EE9">
        <w:rPr>
          <w:rFonts w:eastAsia="Calibri"/>
          <w:sz w:val="22"/>
          <w:szCs w:val="22"/>
        </w:rPr>
        <w:t xml:space="preserve"> in the area of </w:t>
      </w:r>
      <w:r w:rsidR="00194B58">
        <w:rPr>
          <w:rFonts w:eastAsia="Calibri"/>
          <w:sz w:val="22"/>
          <w:szCs w:val="22"/>
        </w:rPr>
        <w:t xml:space="preserve">digital transformation </w:t>
      </w:r>
      <w:r w:rsidR="00203F80">
        <w:rPr>
          <w:rFonts w:eastAsia="Calibri"/>
          <w:sz w:val="22"/>
          <w:szCs w:val="22"/>
        </w:rPr>
        <w:t>and pursu</w:t>
      </w:r>
      <w:r w:rsidR="00984C5A">
        <w:rPr>
          <w:rFonts w:eastAsia="Calibri"/>
          <w:sz w:val="22"/>
          <w:szCs w:val="22"/>
        </w:rPr>
        <w:t>ing</w:t>
      </w:r>
      <w:r w:rsidR="00203F80">
        <w:rPr>
          <w:rFonts w:eastAsia="Calibri"/>
          <w:sz w:val="22"/>
          <w:szCs w:val="22"/>
        </w:rPr>
        <w:t xml:space="preserve"> concrete actions and proposals </w:t>
      </w:r>
      <w:r w:rsidR="00194B58">
        <w:rPr>
          <w:rFonts w:eastAsia="Calibri"/>
          <w:sz w:val="22"/>
          <w:szCs w:val="22"/>
        </w:rPr>
        <w:t xml:space="preserve">leading to </w:t>
      </w:r>
      <w:r w:rsidRPr="00723EE9">
        <w:rPr>
          <w:rFonts w:eastAsia="Calibri"/>
          <w:sz w:val="22"/>
          <w:szCs w:val="22"/>
        </w:rPr>
        <w:t>the VI REMCYT</w:t>
      </w:r>
      <w:r w:rsidR="003B0B19">
        <w:rPr>
          <w:rFonts w:eastAsia="Calibri"/>
          <w:sz w:val="22"/>
          <w:szCs w:val="22"/>
        </w:rPr>
        <w:t>.</w:t>
      </w:r>
      <w:r w:rsidRPr="00723EE9">
        <w:rPr>
          <w:rFonts w:eastAsia="Calibri"/>
          <w:sz w:val="22"/>
          <w:szCs w:val="22"/>
        </w:rPr>
        <w:t xml:space="preserve"> </w:t>
      </w:r>
      <w:r w:rsidR="00597477">
        <w:rPr>
          <w:rFonts w:eastAsia="Calibri"/>
          <w:sz w:val="22"/>
          <w:szCs w:val="22"/>
        </w:rPr>
        <w:t xml:space="preserve"> </w:t>
      </w:r>
    </w:p>
    <w:p w14:paraId="07302EED" w14:textId="1A8BDDD0" w:rsidR="00723EE9" w:rsidRPr="00723EE9" w:rsidRDefault="00C611B0" w:rsidP="00723EE9">
      <w:pPr>
        <w:jc w:val="both"/>
        <w:rPr>
          <w:sz w:val="22"/>
          <w:szCs w:val="22"/>
        </w:rPr>
      </w:pPr>
      <w:r>
        <w:rPr>
          <w:noProof/>
          <w:sz w:val="22"/>
          <w:szCs w:val="22"/>
        </w:rPr>
        <mc:AlternateContent>
          <mc:Choice Requires="wps">
            <w:drawing>
              <wp:anchor distT="0" distB="0" distL="114300" distR="114300" simplePos="0" relativeHeight="251657728" behindDoc="0" locked="1" layoutInCell="1" allowOverlap="1" wp14:anchorId="77BC2274" wp14:editId="043258F8">
                <wp:simplePos x="0" y="0"/>
                <wp:positionH relativeFrom="column">
                  <wp:posOffset>-91440</wp:posOffset>
                </wp:positionH>
                <wp:positionV relativeFrom="page">
                  <wp:posOffset>9144000</wp:posOffset>
                </wp:positionV>
                <wp:extent cx="338328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1416" w14:textId="77777777" w:rsidR="00100FE1" w:rsidRPr="00100FE1" w:rsidRDefault="00100FE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227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wZ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bsIwZ8gEAAMYDAAAOAAAAAAAAAAAAAAAAAC4CAABkcnMv&#10;ZTJvRG9jLnhtbFBLAQItABQABgAIAAAAIQCiImOP3gAAAA0BAAAPAAAAAAAAAAAAAAAAAEwEAABk&#10;cnMvZG93bnJldi54bWxQSwUGAAAAAAQABADzAAAAVwUAAAAA&#10;" filled="f" stroked="f">
                <v:textbox>
                  <w:txbxContent>
                    <w:p w14:paraId="287A1416" w14:textId="77777777" w:rsidR="00100FE1" w:rsidRPr="00100FE1" w:rsidRDefault="00100FE1">
                      <w:pPr>
                        <w:rPr>
                          <w:sz w:val="18"/>
                        </w:rPr>
                      </w:pPr>
                    </w:p>
                  </w:txbxContent>
                </v:textbox>
                <w10:wrap anchory="page"/>
                <w10:anchorlock/>
              </v:shape>
            </w:pict>
          </mc:Fallback>
        </mc:AlternateContent>
      </w:r>
      <w:r w:rsidR="00723EE9" w:rsidRPr="00723EE9">
        <w:rPr>
          <w:sz w:val="22"/>
          <w:szCs w:val="22"/>
        </w:rPr>
        <w:t xml:space="preserve"> </w:t>
      </w:r>
    </w:p>
    <w:p w14:paraId="21954D1D" w14:textId="5F6F5E80" w:rsidR="000B6478" w:rsidRPr="00723EE9" w:rsidRDefault="00A61DEB" w:rsidP="0076198A">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4E8939F4" wp14:editId="4075CBBF">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4B473C" w14:textId="6DE2A013" w:rsidR="00A61DEB" w:rsidRPr="00A61DEB" w:rsidRDefault="00A61DEB">
                            <w:pPr>
                              <w:rPr>
                                <w:sz w:val="18"/>
                              </w:rPr>
                            </w:pPr>
                            <w:r>
                              <w:rPr>
                                <w:sz w:val="18"/>
                              </w:rPr>
                              <w:fldChar w:fldCharType="begin"/>
                            </w:r>
                            <w:r>
                              <w:rPr>
                                <w:sz w:val="18"/>
                              </w:rPr>
                              <w:instrText xml:space="preserve"> FILENAME  \* MERGEFORMAT </w:instrText>
                            </w:r>
                            <w:r>
                              <w:rPr>
                                <w:sz w:val="18"/>
                              </w:rPr>
                              <w:fldChar w:fldCharType="separate"/>
                            </w:r>
                            <w:r>
                              <w:rPr>
                                <w:noProof/>
                                <w:sz w:val="18"/>
                              </w:rPr>
                              <w:t>CIDRP03218E01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939F4" id="_x0000_t202" coordsize="21600,21600" o:spt="202" path="m,l,21600r21600,l21600,xe">
                <v:stroke joinstyle="miter"/>
                <v:path gradientshapeok="t" o:connecttype="rect"/>
              </v:shapetype>
              <v:shape id="Text Box 8" o:spid="_x0000_s1027"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u2Bq&#10;ggIAAAkFAAAOAAAAAAAAAAAAAAAAAC4CAABkcnMvZTJvRG9jLnhtbFBLAQItABQABgAIAAAAIQCi&#10;ImOP3gAAAA0BAAAPAAAAAAAAAAAAAAAAANwEAABkcnMvZG93bnJldi54bWxQSwUGAAAAAAQABADz&#10;AAAA5wUAAAAA&#10;" filled="f" stroked="f">
                <v:stroke joinstyle="round"/>
                <v:textbox>
                  <w:txbxContent>
                    <w:p w14:paraId="514B473C" w14:textId="6DE2A013" w:rsidR="00A61DEB" w:rsidRPr="00A61DEB" w:rsidRDefault="00A61DEB">
                      <w:pPr>
                        <w:rPr>
                          <w:sz w:val="18"/>
                        </w:rPr>
                      </w:pPr>
                      <w:r>
                        <w:rPr>
                          <w:sz w:val="18"/>
                        </w:rPr>
                        <w:fldChar w:fldCharType="begin"/>
                      </w:r>
                      <w:r>
                        <w:rPr>
                          <w:sz w:val="18"/>
                        </w:rPr>
                        <w:instrText xml:space="preserve"> FILENAME  \* MERGEFORMAT </w:instrText>
                      </w:r>
                      <w:r>
                        <w:rPr>
                          <w:sz w:val="18"/>
                        </w:rPr>
                        <w:fldChar w:fldCharType="separate"/>
                      </w:r>
                      <w:r>
                        <w:rPr>
                          <w:noProof/>
                          <w:sz w:val="18"/>
                        </w:rPr>
                        <w:t>CIDRP03218E01</w:t>
                      </w:r>
                      <w:r>
                        <w:rPr>
                          <w:sz w:val="18"/>
                        </w:rPr>
                        <w:fldChar w:fldCharType="end"/>
                      </w:r>
                    </w:p>
                  </w:txbxContent>
                </v:textbox>
                <w10:wrap anchory="page"/>
                <w10:anchorlock/>
              </v:shape>
            </w:pict>
          </mc:Fallback>
        </mc:AlternateContent>
      </w:r>
    </w:p>
    <w:sectPr w:rsidR="000B6478" w:rsidRPr="00723EE9"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5D08" w14:textId="77777777" w:rsidR="00836740" w:rsidRDefault="00836740">
      <w:r>
        <w:separator/>
      </w:r>
    </w:p>
  </w:endnote>
  <w:endnote w:type="continuationSeparator" w:id="0">
    <w:p w14:paraId="25727F2E" w14:textId="77777777" w:rsidR="00836740" w:rsidRDefault="0083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4842" w14:textId="77777777" w:rsidR="00836740" w:rsidRDefault="00836740">
      <w:r>
        <w:separator/>
      </w:r>
    </w:p>
  </w:footnote>
  <w:footnote w:type="continuationSeparator" w:id="0">
    <w:p w14:paraId="1AB896EE" w14:textId="77777777" w:rsidR="00836740" w:rsidRDefault="00836740">
      <w:r>
        <w:continuationSeparator/>
      </w:r>
    </w:p>
  </w:footnote>
  <w:footnote w:id="1">
    <w:p w14:paraId="697CDB4D" w14:textId="51CEF2E6" w:rsidR="00ED5D59" w:rsidRPr="00C7616A" w:rsidRDefault="00A21F96" w:rsidP="00CA266B">
      <w:pPr>
        <w:pStyle w:val="FootnoteText"/>
        <w:ind w:left="720" w:hanging="360"/>
      </w:pPr>
      <w:r w:rsidRPr="00ED5D59">
        <w:rPr>
          <w:rStyle w:val="FootnoteReference"/>
          <w:vertAlign w:val="baseline"/>
        </w:rPr>
        <w:footnoteRef/>
      </w:r>
      <w:r w:rsidR="00ED5D59">
        <w:t>.</w:t>
      </w:r>
      <w:r w:rsidR="00ED5D59">
        <w:tab/>
      </w:r>
      <w:hyperlink r:id="rId1" w:history="1">
        <w:r w:rsidR="00ED5D59" w:rsidRPr="00F57CB6">
          <w:rPr>
            <w:rStyle w:val="Hyperlink"/>
          </w:rPr>
          <w:t>https://www.cepal.org/en/pressreleases/labor-markets-region-will-be-slow-recover-severe-impact-covid-19-pandemic-2020</w:t>
        </w:r>
      </w:hyperlink>
    </w:p>
  </w:footnote>
  <w:footnote w:id="2">
    <w:p w14:paraId="3F362085" w14:textId="0B4949C9" w:rsidR="00ED5D59" w:rsidRPr="00ED5D59" w:rsidRDefault="00A21F96" w:rsidP="00CA266B">
      <w:pPr>
        <w:pStyle w:val="FootnoteText"/>
        <w:ind w:left="720" w:hanging="360"/>
        <w:rPr>
          <w:color w:val="000000"/>
        </w:rPr>
      </w:pPr>
      <w:r w:rsidRPr="00ED5D59">
        <w:rPr>
          <w:rStyle w:val="FootnoteReference"/>
          <w:vertAlign w:val="baseline"/>
        </w:rPr>
        <w:footnoteRef/>
      </w:r>
      <w:r w:rsidR="00ED5D59">
        <w:t>.</w:t>
      </w:r>
      <w:r w:rsidR="00ED5D59">
        <w:tab/>
      </w:r>
      <w:hyperlink r:id="rId2" w:history="1">
        <w:r w:rsidR="00ED5D59" w:rsidRPr="00F57CB6">
          <w:rPr>
            <w:rStyle w:val="Hyperlink"/>
          </w:rPr>
          <w:t>https://blogs.imf.org/2021/04/15/short-term-shot-and-long-term-healing-for-latin-america-and-the-caribbean/</w:t>
        </w:r>
      </w:hyperlink>
    </w:p>
  </w:footnote>
  <w:footnote w:id="3">
    <w:p w14:paraId="45E23A2F" w14:textId="579DDC8D" w:rsidR="00C7616A" w:rsidRPr="00C7616A" w:rsidRDefault="00C7616A" w:rsidP="00ED5D59">
      <w:pPr>
        <w:pStyle w:val="FootnoteText"/>
        <w:ind w:left="720" w:hanging="360"/>
      </w:pPr>
      <w:r w:rsidRPr="00ED5D59">
        <w:rPr>
          <w:rStyle w:val="FootnoteReference"/>
          <w:color w:val="000000"/>
          <w:vertAlign w:val="baseline"/>
        </w:rPr>
        <w:footnoteRef/>
      </w:r>
      <w:r w:rsidR="00ED5D59">
        <w:rPr>
          <w:color w:val="000000"/>
        </w:rPr>
        <w:t>.</w:t>
      </w:r>
      <w:r w:rsidR="00ED5D59">
        <w:rPr>
          <w:color w:val="000000"/>
        </w:rPr>
        <w:tab/>
      </w:r>
      <w:r w:rsidRPr="009C0065">
        <w:rPr>
          <w:color w:val="000000"/>
        </w:rPr>
        <w:t xml:space="preserve"> </w:t>
      </w:r>
      <w:r w:rsidRPr="009C0065">
        <w:rPr>
          <w:color w:val="000000"/>
          <w:shd w:val="clear" w:color="auto" w:fill="FAFAFA"/>
        </w:rPr>
        <w:t xml:space="preserve">National Women’s Law Center, </w:t>
      </w:r>
      <w:hyperlink r:id="rId3" w:history="1">
        <w:r w:rsidRPr="00C25F49">
          <w:rPr>
            <w:rStyle w:val="Hyperlink"/>
            <w:shd w:val="clear" w:color="auto" w:fill="FAFAFA"/>
          </w:rPr>
          <w:t>https://nwlc.org/resources/january-jobs-day-2021/</w:t>
        </w:r>
      </w:hyperlink>
      <w:r>
        <w:rPr>
          <w:color w:val="000000"/>
          <w:shd w:val="clear" w:color="auto" w:fill="FAFAFA"/>
        </w:rPr>
        <w:t xml:space="preserve"> </w:t>
      </w:r>
    </w:p>
  </w:footnote>
  <w:footnote w:id="4">
    <w:p w14:paraId="750D4FD3" w14:textId="76832DBD" w:rsidR="003614A1" w:rsidRPr="00ED5D59" w:rsidRDefault="003614A1" w:rsidP="00ED5D59">
      <w:pPr>
        <w:pStyle w:val="FootnoteText"/>
        <w:ind w:left="720" w:hanging="360"/>
      </w:pPr>
      <w:r w:rsidRPr="00ED5D59">
        <w:rPr>
          <w:rStyle w:val="FootnoteReference"/>
          <w:vertAlign w:val="baseline"/>
        </w:rPr>
        <w:footnoteRef/>
      </w:r>
      <w:r w:rsidR="00ED5D59">
        <w:t>.</w:t>
      </w:r>
      <w:r w:rsidR="00ED5D59">
        <w:tab/>
      </w:r>
      <w:r w:rsidRPr="00ED5D59">
        <w:t xml:space="preserve">McKinsey Global Institute, March 2021.  </w:t>
      </w:r>
    </w:p>
  </w:footnote>
  <w:footnote w:id="5">
    <w:p w14:paraId="5079B04C" w14:textId="0EDC9443" w:rsidR="00F41616" w:rsidRPr="00ED5D59" w:rsidRDefault="00F41616" w:rsidP="00ED5D59">
      <w:pPr>
        <w:pStyle w:val="FootnoteText"/>
        <w:ind w:left="720" w:hanging="360"/>
      </w:pPr>
      <w:r w:rsidRPr="00ED5D59">
        <w:rPr>
          <w:rStyle w:val="FootnoteReference"/>
          <w:vertAlign w:val="baseline"/>
        </w:rPr>
        <w:footnoteRef/>
      </w:r>
      <w:r w:rsidR="00ED5D59">
        <w:t>.</w:t>
      </w:r>
      <w:r w:rsidR="00ED5D59">
        <w:tab/>
      </w:r>
      <w:r w:rsidRPr="00ED5D59">
        <w:t>McKinsey Global Institute, June 2021.</w:t>
      </w:r>
    </w:p>
  </w:footnote>
  <w:footnote w:id="6">
    <w:p w14:paraId="17B1FAAB" w14:textId="268CBFF3" w:rsidR="009B7761" w:rsidRPr="00C7616A" w:rsidRDefault="009B7761" w:rsidP="00ED5D59">
      <w:pPr>
        <w:pStyle w:val="FootnoteText"/>
        <w:ind w:left="720" w:hanging="360"/>
        <w:jc w:val="both"/>
      </w:pPr>
      <w:r w:rsidRPr="00ED5D59">
        <w:rPr>
          <w:rStyle w:val="FootnoteReference"/>
          <w:vertAlign w:val="baseline"/>
        </w:rPr>
        <w:footnoteRef/>
      </w:r>
      <w:r w:rsidR="00ED5D59">
        <w:t>.</w:t>
      </w:r>
      <w:r w:rsidR="00ED5D59">
        <w:tab/>
      </w:r>
      <w:hyperlink r:id="rId4" w:history="1">
        <w:r w:rsidR="00103208" w:rsidRPr="00ED5D59">
          <w:rPr>
            <w:rStyle w:val="Hyperlink"/>
          </w:rPr>
          <w:t>https://www.worldbank.org/en/region/lac/overview</w:t>
        </w:r>
      </w:hyperlink>
      <w:r w:rsidR="00103208" w:rsidRPr="00ED5D59">
        <w:t xml:space="preserve">. </w:t>
      </w:r>
      <w:r w:rsidR="00103208" w:rsidRPr="00ED5D59">
        <w:rPr>
          <w:rFonts w:eastAsia="Calibri"/>
          <w:bCs/>
        </w:rPr>
        <w:t>Pursuant to the World Bank’s analysis, digitization could boost financial</w:t>
      </w:r>
      <w:r w:rsidR="00103208" w:rsidRPr="00103208">
        <w:rPr>
          <w:rFonts w:eastAsia="Calibri"/>
          <w:bCs/>
        </w:rPr>
        <w:t xml:space="preserve"> services, job opportunities for workers through </w:t>
      </w:r>
      <w:r w:rsidR="00103208">
        <w:rPr>
          <w:rFonts w:eastAsia="Calibri"/>
          <w:bCs/>
        </w:rPr>
        <w:t>e</w:t>
      </w:r>
      <w:r w:rsidR="00103208" w:rsidRPr="00103208">
        <w:rPr>
          <w:rFonts w:eastAsia="Calibri"/>
          <w:bCs/>
        </w:rPr>
        <w:t>lectronic platforms and support job formalization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6"/>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3208"/>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4B58"/>
    <w:rsid w:val="001B0828"/>
    <w:rsid w:val="001B0AB0"/>
    <w:rsid w:val="001B193D"/>
    <w:rsid w:val="001C6DC5"/>
    <w:rsid w:val="001D0221"/>
    <w:rsid w:val="001D738C"/>
    <w:rsid w:val="001E3150"/>
    <w:rsid w:val="001E3C78"/>
    <w:rsid w:val="001F2739"/>
    <w:rsid w:val="0020227F"/>
    <w:rsid w:val="002024FE"/>
    <w:rsid w:val="00203839"/>
    <w:rsid w:val="00203F80"/>
    <w:rsid w:val="0020460C"/>
    <w:rsid w:val="002050F0"/>
    <w:rsid w:val="00222AFE"/>
    <w:rsid w:val="00224C3F"/>
    <w:rsid w:val="00225597"/>
    <w:rsid w:val="00234996"/>
    <w:rsid w:val="00235CB9"/>
    <w:rsid w:val="00264202"/>
    <w:rsid w:val="0026449A"/>
    <w:rsid w:val="00267E1B"/>
    <w:rsid w:val="0027412E"/>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32D7"/>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94069"/>
    <w:rsid w:val="00597477"/>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1FB8"/>
    <w:rsid w:val="00634E7B"/>
    <w:rsid w:val="006374D0"/>
    <w:rsid w:val="00642E66"/>
    <w:rsid w:val="0064648A"/>
    <w:rsid w:val="00650EFA"/>
    <w:rsid w:val="00655B90"/>
    <w:rsid w:val="00656B5A"/>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C7485"/>
    <w:rsid w:val="006D11BB"/>
    <w:rsid w:val="006D1E13"/>
    <w:rsid w:val="006D5A66"/>
    <w:rsid w:val="006D7239"/>
    <w:rsid w:val="006F0712"/>
    <w:rsid w:val="006F4488"/>
    <w:rsid w:val="007026A5"/>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740"/>
    <w:rsid w:val="00836CCC"/>
    <w:rsid w:val="0084046A"/>
    <w:rsid w:val="00860083"/>
    <w:rsid w:val="00860DE1"/>
    <w:rsid w:val="00865686"/>
    <w:rsid w:val="00865B5C"/>
    <w:rsid w:val="008814B8"/>
    <w:rsid w:val="008819DA"/>
    <w:rsid w:val="00887A65"/>
    <w:rsid w:val="0089063B"/>
    <w:rsid w:val="00890C34"/>
    <w:rsid w:val="008917B9"/>
    <w:rsid w:val="00896014"/>
    <w:rsid w:val="008A2F14"/>
    <w:rsid w:val="008B4134"/>
    <w:rsid w:val="008B5AF8"/>
    <w:rsid w:val="008C254E"/>
    <w:rsid w:val="008D2C52"/>
    <w:rsid w:val="008D487B"/>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4C5A"/>
    <w:rsid w:val="00986E8C"/>
    <w:rsid w:val="009979A7"/>
    <w:rsid w:val="009A194A"/>
    <w:rsid w:val="009B2AE9"/>
    <w:rsid w:val="009B2F59"/>
    <w:rsid w:val="009B307F"/>
    <w:rsid w:val="009B7761"/>
    <w:rsid w:val="009C0065"/>
    <w:rsid w:val="009C3EA4"/>
    <w:rsid w:val="009C6F26"/>
    <w:rsid w:val="009C75F5"/>
    <w:rsid w:val="009C7AAB"/>
    <w:rsid w:val="009E628C"/>
    <w:rsid w:val="009F0791"/>
    <w:rsid w:val="009F392F"/>
    <w:rsid w:val="00A06676"/>
    <w:rsid w:val="00A06AF5"/>
    <w:rsid w:val="00A06FE9"/>
    <w:rsid w:val="00A115F5"/>
    <w:rsid w:val="00A12EA0"/>
    <w:rsid w:val="00A13E2C"/>
    <w:rsid w:val="00A21F96"/>
    <w:rsid w:val="00A232CD"/>
    <w:rsid w:val="00A256AB"/>
    <w:rsid w:val="00A323C5"/>
    <w:rsid w:val="00A34777"/>
    <w:rsid w:val="00A36552"/>
    <w:rsid w:val="00A5263A"/>
    <w:rsid w:val="00A52CAE"/>
    <w:rsid w:val="00A61635"/>
    <w:rsid w:val="00A61DEB"/>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1B0"/>
    <w:rsid w:val="00C61825"/>
    <w:rsid w:val="00C6456D"/>
    <w:rsid w:val="00C7616A"/>
    <w:rsid w:val="00C81A83"/>
    <w:rsid w:val="00C83711"/>
    <w:rsid w:val="00C8384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5E91"/>
    <w:rsid w:val="00EC7711"/>
    <w:rsid w:val="00ED2AF4"/>
    <w:rsid w:val="00ED2DE0"/>
    <w:rsid w:val="00ED5D59"/>
    <w:rsid w:val="00ED7C6A"/>
    <w:rsid w:val="00EE1EC8"/>
    <w:rsid w:val="00EE29AE"/>
    <w:rsid w:val="00EE51B7"/>
    <w:rsid w:val="00EE7D67"/>
    <w:rsid w:val="00EF5709"/>
    <w:rsid w:val="00F013AE"/>
    <w:rsid w:val="00F0248D"/>
    <w:rsid w:val="00F0479A"/>
    <w:rsid w:val="00F103CE"/>
    <w:rsid w:val="00F213D6"/>
    <w:rsid w:val="00F256C7"/>
    <w:rsid w:val="00F31B9A"/>
    <w:rsid w:val="00F41616"/>
    <w:rsid w:val="00F4735E"/>
    <w:rsid w:val="00F5197F"/>
    <w:rsid w:val="00F524DB"/>
    <w:rsid w:val="00F530B2"/>
    <w:rsid w:val="00F53223"/>
    <w:rsid w:val="00F663E8"/>
    <w:rsid w:val="00F76DC9"/>
    <w:rsid w:val="00F773E4"/>
    <w:rsid w:val="00F8041D"/>
    <w:rsid w:val="00F8105E"/>
    <w:rsid w:val="00F82046"/>
    <w:rsid w:val="00F87541"/>
    <w:rsid w:val="00F91F7C"/>
    <w:rsid w:val="00FA607C"/>
    <w:rsid w:val="00FA61C9"/>
    <w:rsid w:val="00FA6A04"/>
    <w:rsid w:val="00FB085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wlc.org/resources/january-jobs-day-2021/" TargetMode="External"/><Relationship Id="rId2" Type="http://schemas.openxmlformats.org/officeDocument/2006/relationships/hyperlink" Target="https://blogs.imf.org/2021/04/15/short-term-shot-and-long-term-healing-for-latin-america-and-the-caribbean/" TargetMode="External"/><Relationship Id="rId1" Type="http://schemas.openxmlformats.org/officeDocument/2006/relationships/hyperlink" Target="https://www.cepal.org/en/pressreleases/labor-markets-region-will-be-slow-recover-severe-impact-covid-19-pandemic-2020" TargetMode="External"/><Relationship Id="rId4" Type="http://schemas.openxmlformats.org/officeDocument/2006/relationships/hyperlink" Target="https://www.worldbank.org/en/region/lac/overview"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d96ab0fc-bb98-41ac-b264-64d49f623ac2"/>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2021-06-17T20:07:00Z</dcterms:created>
  <dcterms:modified xsi:type="dcterms:W3CDTF">2021-06-17T20:08:00Z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