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034C31" w:rsidRDefault="00FA607C" w:rsidP="000B6478">
      <w:pPr>
        <w:tabs>
          <w:tab w:val="left" w:pos="7200"/>
        </w:tabs>
        <w:ind w:right="-1080"/>
        <w:rPr>
          <w:sz w:val="22"/>
          <w:szCs w:val="22"/>
          <w:lang w:val="pt-BR"/>
        </w:rPr>
      </w:pPr>
      <w:bookmarkStart w:id="0" w:name="_top"/>
      <w:bookmarkEnd w:id="0"/>
      <w:r>
        <w:rPr>
          <w:sz w:val="22"/>
        </w:rPr>
        <w:tab/>
      </w:r>
      <w:r w:rsidRPr="00034C31">
        <w:rPr>
          <w:sz w:val="22"/>
          <w:lang w:val="pt-BR"/>
        </w:rPr>
        <w:t>OEA/Ser.W</w:t>
      </w:r>
    </w:p>
    <w:p w14:paraId="47887D17" w14:textId="4A57A10F" w:rsidR="00722693" w:rsidRPr="00034C31" w:rsidRDefault="00FA607C" w:rsidP="000B6478">
      <w:pPr>
        <w:tabs>
          <w:tab w:val="left" w:pos="7200"/>
        </w:tabs>
        <w:ind w:right="-1080"/>
        <w:rPr>
          <w:sz w:val="22"/>
          <w:szCs w:val="22"/>
          <w:lang w:val="pt-BR"/>
        </w:rPr>
      </w:pPr>
      <w:r w:rsidRPr="00034C31">
        <w:rPr>
          <w:sz w:val="22"/>
          <w:lang w:val="pt-BR"/>
        </w:rPr>
        <w:tab/>
        <w:t>CIDI/INF.</w:t>
      </w:r>
      <w:r w:rsidR="00DB0B8F">
        <w:rPr>
          <w:sz w:val="22"/>
          <w:lang w:val="pt-BR"/>
        </w:rPr>
        <w:t>432</w:t>
      </w:r>
      <w:r w:rsidRPr="00034C31">
        <w:rPr>
          <w:sz w:val="22"/>
          <w:lang w:val="pt-BR"/>
        </w:rPr>
        <w:t>/21</w:t>
      </w:r>
    </w:p>
    <w:p w14:paraId="5A33C6A7" w14:textId="5E9813AC" w:rsidR="00921E9E" w:rsidRPr="00723EE9" w:rsidRDefault="00FA607C" w:rsidP="000B6478">
      <w:pPr>
        <w:tabs>
          <w:tab w:val="left" w:pos="7200"/>
        </w:tabs>
        <w:ind w:right="-1080"/>
        <w:rPr>
          <w:sz w:val="22"/>
          <w:szCs w:val="22"/>
        </w:rPr>
      </w:pPr>
      <w:r w:rsidRPr="00034C31">
        <w:rPr>
          <w:sz w:val="22"/>
          <w:lang w:val="pt-BR"/>
        </w:rPr>
        <w:tab/>
      </w:r>
      <w:r>
        <w:rPr>
          <w:sz w:val="22"/>
        </w:rPr>
        <w:t>1</w:t>
      </w:r>
      <w:r w:rsidR="00DB0B8F">
        <w:rPr>
          <w:sz w:val="22"/>
        </w:rPr>
        <w:t>7</w:t>
      </w:r>
      <w:r>
        <w:rPr>
          <w:sz w:val="22"/>
        </w:rPr>
        <w:t xml:space="preserve"> juin 2021</w:t>
      </w:r>
    </w:p>
    <w:p w14:paraId="0F58D2B5" w14:textId="77777777" w:rsidR="00921E9E" w:rsidRPr="00723EE9" w:rsidRDefault="00FA607C" w:rsidP="000B6478">
      <w:pPr>
        <w:pBdr>
          <w:bottom w:val="single" w:sz="12" w:space="1" w:color="auto"/>
        </w:pBdr>
        <w:tabs>
          <w:tab w:val="left" w:pos="7200"/>
        </w:tabs>
        <w:ind w:right="-389"/>
        <w:rPr>
          <w:sz w:val="22"/>
          <w:szCs w:val="22"/>
        </w:rPr>
      </w:pPr>
      <w:r>
        <w:rPr>
          <w:sz w:val="22"/>
        </w:rPr>
        <w:tab/>
        <w:t>Original: anglais</w:t>
      </w:r>
    </w:p>
    <w:p w14:paraId="5D981BA8" w14:textId="77777777" w:rsidR="00921E9E" w:rsidRPr="00723EE9" w:rsidRDefault="00921E9E" w:rsidP="000B6478">
      <w:pPr>
        <w:pBdr>
          <w:bottom w:val="single" w:sz="12" w:space="1" w:color="auto"/>
        </w:pBdr>
        <w:tabs>
          <w:tab w:val="left" w:pos="7200"/>
        </w:tabs>
        <w:ind w:right="-389"/>
        <w:rPr>
          <w:sz w:val="22"/>
          <w:szCs w:val="22"/>
        </w:rPr>
      </w:pPr>
    </w:p>
    <w:p w14:paraId="2F69D4D3" w14:textId="77777777" w:rsidR="00722693" w:rsidRPr="00723EE9" w:rsidRDefault="00722693" w:rsidP="000B6478">
      <w:pPr>
        <w:tabs>
          <w:tab w:val="left" w:pos="7200"/>
        </w:tabs>
        <w:ind w:right="-1080"/>
        <w:rPr>
          <w:sz w:val="22"/>
          <w:szCs w:val="22"/>
        </w:rPr>
      </w:pPr>
    </w:p>
    <w:p w14:paraId="0A165F7F" w14:textId="77777777" w:rsidR="00AB7175" w:rsidRPr="00723EE9" w:rsidRDefault="00AB7175" w:rsidP="000B6478">
      <w:pPr>
        <w:jc w:val="both"/>
        <w:outlineLvl w:val="0"/>
        <w:rPr>
          <w:sz w:val="22"/>
          <w:szCs w:val="22"/>
        </w:rPr>
      </w:pPr>
    </w:p>
    <w:p w14:paraId="175A517F" w14:textId="177E4B3A" w:rsidR="00921E9E" w:rsidRPr="00723EE9" w:rsidRDefault="00FA607C" w:rsidP="000B6478">
      <w:pPr>
        <w:jc w:val="center"/>
        <w:rPr>
          <w:rFonts w:eastAsia="Calibri"/>
          <w:sz w:val="22"/>
          <w:szCs w:val="22"/>
        </w:rPr>
      </w:pPr>
      <w:r>
        <w:rPr>
          <w:sz w:val="22"/>
        </w:rPr>
        <w:t>DOCUMENT DE RÉFLEXION</w:t>
      </w:r>
    </w:p>
    <w:p w14:paraId="13A22CB2" w14:textId="77777777" w:rsidR="00791388" w:rsidRDefault="00791388" w:rsidP="000B6478">
      <w:pPr>
        <w:jc w:val="center"/>
        <w:rPr>
          <w:caps/>
          <w:sz w:val="22"/>
          <w:szCs w:val="22"/>
        </w:rPr>
      </w:pPr>
    </w:p>
    <w:p w14:paraId="215CDB98" w14:textId="32E33758" w:rsidR="00DD0DD6" w:rsidRPr="00723EE9" w:rsidRDefault="00FA607C" w:rsidP="000B6478">
      <w:pPr>
        <w:jc w:val="center"/>
        <w:rPr>
          <w:rFonts w:eastAsia="Calibri"/>
          <w:caps/>
          <w:sz w:val="22"/>
          <w:szCs w:val="22"/>
        </w:rPr>
      </w:pPr>
      <w:r>
        <w:rPr>
          <w:caps/>
          <w:sz w:val="22"/>
        </w:rPr>
        <w:t>Réunion ordinaire du</w:t>
      </w:r>
    </w:p>
    <w:p w14:paraId="02610FD8" w14:textId="77777777" w:rsidR="00921E9E" w:rsidRPr="00723EE9" w:rsidRDefault="00FA607C" w:rsidP="000B6478">
      <w:pPr>
        <w:jc w:val="center"/>
        <w:rPr>
          <w:rFonts w:eastAsia="Calibri"/>
          <w:caps/>
          <w:sz w:val="22"/>
          <w:szCs w:val="22"/>
        </w:rPr>
      </w:pPr>
      <w:r>
        <w:rPr>
          <w:caps/>
          <w:sz w:val="22"/>
        </w:rPr>
        <w:t xml:space="preserve">Conseil interaméricain pour le développement intégré (CIDI) </w:t>
      </w:r>
    </w:p>
    <w:p w14:paraId="60A978BB" w14:textId="77777777" w:rsidR="00921E9E" w:rsidRPr="00723EE9" w:rsidRDefault="002B44E1" w:rsidP="000B6478">
      <w:pPr>
        <w:jc w:val="center"/>
        <w:rPr>
          <w:rFonts w:eastAsia="Calibri"/>
          <w:caps/>
          <w:sz w:val="22"/>
          <w:szCs w:val="22"/>
        </w:rPr>
      </w:pPr>
      <w:r>
        <w:rPr>
          <w:caps/>
          <w:sz w:val="22"/>
        </w:rPr>
        <w:t>29 JUIN 2021</w:t>
      </w:r>
    </w:p>
    <w:p w14:paraId="15CD43B6" w14:textId="77777777" w:rsidR="007A307C" w:rsidRPr="00723EE9" w:rsidRDefault="00FA607C" w:rsidP="000B6478">
      <w:pPr>
        <w:jc w:val="center"/>
        <w:rPr>
          <w:rFonts w:eastAsia="Calibri"/>
          <w:sz w:val="22"/>
          <w:szCs w:val="22"/>
        </w:rPr>
      </w:pPr>
      <w:r>
        <w:rPr>
          <w:sz w:val="22"/>
        </w:rPr>
        <w:t>(Élaboré par le Secrétariat exécutif au développement intégré)</w:t>
      </w:r>
    </w:p>
    <w:p w14:paraId="7EAB4B92" w14:textId="77777777" w:rsidR="00DB5D3D" w:rsidRPr="00723EE9" w:rsidRDefault="00DB5D3D" w:rsidP="000B6478">
      <w:pPr>
        <w:rPr>
          <w:rFonts w:eastAsia="Calibri"/>
          <w:sz w:val="22"/>
          <w:szCs w:val="22"/>
        </w:rPr>
      </w:pPr>
    </w:p>
    <w:p w14:paraId="0C7F118F" w14:textId="77777777" w:rsidR="007A307C" w:rsidRPr="00723EE9" w:rsidRDefault="007A307C" w:rsidP="000B6478">
      <w:pPr>
        <w:rPr>
          <w:rFonts w:eastAsia="Calibri"/>
          <w:sz w:val="22"/>
          <w:szCs w:val="22"/>
        </w:rPr>
      </w:pPr>
    </w:p>
    <w:p w14:paraId="01D1559F" w14:textId="77777777" w:rsidR="00723EE9" w:rsidRPr="00723EE9" w:rsidRDefault="000B6478" w:rsidP="00723EE9">
      <w:pPr>
        <w:ind w:left="1440" w:hanging="1440"/>
        <w:jc w:val="center"/>
        <w:rPr>
          <w:rFonts w:eastAsia="Calibri"/>
          <w:bCs/>
          <w:sz w:val="22"/>
          <w:szCs w:val="22"/>
        </w:rPr>
      </w:pPr>
      <w:r>
        <w:rPr>
          <w:sz w:val="22"/>
        </w:rPr>
        <w:t>THÈME :</w:t>
      </w:r>
      <w:r>
        <w:rPr>
          <w:b/>
          <w:sz w:val="22"/>
        </w:rPr>
        <w:t xml:space="preserve"> LA TRANSFORMATION NUMÉRIQUE DANS LES AMÉRIQUES</w:t>
      </w:r>
    </w:p>
    <w:p w14:paraId="56CE70DA" w14:textId="77777777" w:rsidR="00723EE9" w:rsidRPr="00723EE9" w:rsidRDefault="00723EE9" w:rsidP="00723EE9">
      <w:pPr>
        <w:ind w:left="1440" w:hanging="1440"/>
        <w:jc w:val="center"/>
        <w:rPr>
          <w:rFonts w:eastAsia="Calibri"/>
          <w:bCs/>
          <w:sz w:val="22"/>
          <w:szCs w:val="22"/>
        </w:rPr>
      </w:pPr>
    </w:p>
    <w:p w14:paraId="48CC4EF6" w14:textId="77777777" w:rsidR="00723EE9" w:rsidRPr="00723EE9" w:rsidRDefault="00723EE9" w:rsidP="00723EE9">
      <w:pPr>
        <w:ind w:left="1440" w:hanging="1440"/>
        <w:jc w:val="both"/>
        <w:rPr>
          <w:rFonts w:eastAsia="Calibri"/>
          <w:bCs/>
          <w:sz w:val="22"/>
          <w:szCs w:val="22"/>
        </w:rPr>
      </w:pPr>
      <w:r>
        <w:rPr>
          <w:sz w:val="22"/>
        </w:rPr>
        <w:t>INTRODUCTION</w:t>
      </w:r>
    </w:p>
    <w:p w14:paraId="60FE1632" w14:textId="77777777" w:rsidR="00723EE9" w:rsidRPr="00723EE9" w:rsidRDefault="00723EE9" w:rsidP="00723EE9">
      <w:pPr>
        <w:tabs>
          <w:tab w:val="left" w:pos="720"/>
          <w:tab w:val="left" w:pos="1440"/>
        </w:tabs>
        <w:jc w:val="both"/>
        <w:rPr>
          <w:sz w:val="22"/>
          <w:szCs w:val="22"/>
        </w:rPr>
      </w:pPr>
    </w:p>
    <w:p w14:paraId="0EA66C69" w14:textId="69DB327F" w:rsidR="00723EE9" w:rsidRPr="00723EE9" w:rsidRDefault="00723EE9" w:rsidP="00723EE9">
      <w:pPr>
        <w:tabs>
          <w:tab w:val="left" w:pos="720"/>
          <w:tab w:val="left" w:pos="1440"/>
        </w:tabs>
        <w:jc w:val="both"/>
        <w:rPr>
          <w:sz w:val="22"/>
          <w:szCs w:val="22"/>
        </w:rPr>
      </w:pPr>
      <w:r>
        <w:rPr>
          <w:sz w:val="22"/>
        </w:rPr>
        <w:tab/>
        <w:t xml:space="preserve">Cette réunion ordinaire du Conseil interaméricain pour le développement intégré (CIDI) examinera le thème « La transformation numérique dans les Amériques ». Il abordera les principaux défis et opportunités découlant du rythme accru de la numérisation dans tous les aspects de la société en réponse à la COVID-19. La réunion mettra également en évidence les options permettant de combler le fossé numérique et le fossé des opportunités qui se creusent à cause de la pandémie, ainsi que la manière de tirer parti de la technologie numérique dans les programmes de relance économique et de résilience des États membres de l'Organisation des États Américains (OEA). </w:t>
      </w:r>
    </w:p>
    <w:p w14:paraId="2199AF5E" w14:textId="77777777" w:rsidR="00723EE9" w:rsidRPr="00723EE9" w:rsidRDefault="00723EE9" w:rsidP="00723EE9">
      <w:pPr>
        <w:ind w:left="1440" w:hanging="1440"/>
        <w:jc w:val="center"/>
        <w:rPr>
          <w:rFonts w:eastAsia="Calibri"/>
          <w:bCs/>
          <w:sz w:val="22"/>
          <w:szCs w:val="22"/>
        </w:rPr>
      </w:pPr>
    </w:p>
    <w:p w14:paraId="1FE97DF8" w14:textId="77777777" w:rsidR="00723EE9" w:rsidRPr="00723EE9" w:rsidRDefault="00723EE9" w:rsidP="00723EE9">
      <w:pPr>
        <w:numPr>
          <w:ilvl w:val="0"/>
          <w:numId w:val="10"/>
        </w:numPr>
        <w:ind w:left="0" w:firstLine="0"/>
        <w:rPr>
          <w:rFonts w:eastAsia="Calibri"/>
          <w:b/>
          <w:sz w:val="22"/>
          <w:szCs w:val="22"/>
        </w:rPr>
      </w:pPr>
      <w:r>
        <w:rPr>
          <w:b/>
          <w:sz w:val="22"/>
        </w:rPr>
        <w:t>Contexte</w:t>
      </w:r>
    </w:p>
    <w:p w14:paraId="6DD6009E" w14:textId="77777777" w:rsidR="00A21F96" w:rsidRPr="00A21F96" w:rsidRDefault="00A21F96" w:rsidP="00A21F96">
      <w:pPr>
        <w:ind w:left="1440" w:hanging="1440"/>
        <w:jc w:val="both"/>
        <w:rPr>
          <w:rFonts w:eastAsia="Calibri"/>
          <w:bCs/>
          <w:sz w:val="22"/>
          <w:szCs w:val="22"/>
        </w:rPr>
      </w:pPr>
    </w:p>
    <w:p w14:paraId="4C6478A4" w14:textId="45D35743" w:rsidR="00A21F96" w:rsidRDefault="00A21F96" w:rsidP="00ED5D59">
      <w:pPr>
        <w:ind w:firstLine="720"/>
        <w:jc w:val="both"/>
        <w:rPr>
          <w:rFonts w:eastAsia="Calibri"/>
          <w:bCs/>
          <w:sz w:val="22"/>
          <w:szCs w:val="22"/>
        </w:rPr>
      </w:pPr>
      <w:r>
        <w:rPr>
          <w:sz w:val="22"/>
        </w:rPr>
        <w:t>La pandémie de COVID-19 a continué à affecter les structures sanitaires, économiques et sociales des États membres de l'OEA. Selon la Commission économique des Nations Unies pour l'Amérique latine et les Caraïbes (CEPALC), la région Amérique latine et Caraïbes (ALC) a subi la pire contraction régionale moyenne jamais enregistrée, atteignant -7,1 % pour 2020.</w:t>
      </w:r>
      <w:r w:rsidRPr="00ED5D59">
        <w:rPr>
          <w:rStyle w:val="FootnoteReference"/>
          <w:rFonts w:eastAsia="Calibri"/>
          <w:bCs/>
          <w:sz w:val="22"/>
          <w:szCs w:val="22"/>
          <w:u w:val="single"/>
        </w:rPr>
        <w:footnoteReference w:id="1"/>
      </w:r>
      <w:r>
        <w:rPr>
          <w:sz w:val="22"/>
          <w:vertAlign w:val="superscript"/>
        </w:rPr>
        <w:t>/</w:t>
      </w:r>
      <w:r>
        <w:rPr>
          <w:sz w:val="22"/>
        </w:rPr>
        <w:t xml:space="preserve"> Selon les calculs du FMI, la pauvreté aurait augmenté de 29 millions de personnes et les inégalités, mesurées par le coefficient de Gini, se seraient aggravées de 5 % par rapport aux niveaux d'avant la crise.</w:t>
      </w:r>
      <w:r w:rsidRPr="00ED5D59">
        <w:rPr>
          <w:rStyle w:val="FootnoteReference"/>
          <w:rFonts w:eastAsia="Calibri"/>
          <w:bCs/>
          <w:sz w:val="22"/>
          <w:szCs w:val="22"/>
          <w:u w:val="single"/>
        </w:rPr>
        <w:footnoteReference w:id="2"/>
      </w:r>
      <w:r>
        <w:rPr>
          <w:sz w:val="22"/>
          <w:vertAlign w:val="superscript"/>
        </w:rPr>
        <w:t xml:space="preserve">/ </w:t>
      </w:r>
    </w:p>
    <w:p w14:paraId="566578D3" w14:textId="0DD90BB3" w:rsidR="009B7761" w:rsidRDefault="009B7761" w:rsidP="00A21F96">
      <w:pPr>
        <w:jc w:val="both"/>
        <w:rPr>
          <w:rFonts w:eastAsia="Calibri"/>
          <w:bCs/>
          <w:sz w:val="22"/>
          <w:szCs w:val="22"/>
        </w:rPr>
      </w:pPr>
    </w:p>
    <w:p w14:paraId="28D70CCE" w14:textId="026B6F88" w:rsidR="009B7761" w:rsidRPr="009B7761" w:rsidRDefault="009B7761" w:rsidP="00ED5D59">
      <w:pPr>
        <w:shd w:val="clear" w:color="auto" w:fill="FFFFFF"/>
        <w:ind w:firstLine="720"/>
        <w:jc w:val="both"/>
        <w:rPr>
          <w:rFonts w:eastAsia="Calibri"/>
          <w:bCs/>
          <w:sz w:val="22"/>
          <w:szCs w:val="22"/>
        </w:rPr>
      </w:pPr>
      <w:r>
        <w:rPr>
          <w:sz w:val="22"/>
        </w:rPr>
        <w:t xml:space="preserve">Parmi les principaux défis qui se profilent pour les États membres de l'OEA figurent les perspectives d'une reprise inégale entre les pays et entre les différents secteurs de la société au sein de chaque nation. Le déclin économique en 2020 a touché de façon marquée certains secteurs, tels que le tourisme, les spectacles, les économies de partage et informelles, de même que les petites et moyennes entreprises (PME). Le chômage touche de manière inégale les femmes, les minorités et les travailleurs moins qualifiés. Le taux de chômage a augmenté de 3,4 points de pourcentage par rapport à 2019 (atteignant 11,5 %, soit 37,7 millions de chômeurs). Par exemple, aux États-Unis, la participation des </w:t>
      </w:r>
      <w:r>
        <w:rPr>
          <w:sz w:val="22"/>
        </w:rPr>
        <w:lastRenderedPageBreak/>
        <w:t>femmes au travail en 2020 était à son point le plus bas depuis plus de 30 ans.</w:t>
      </w:r>
      <w:r w:rsidR="00C7616A" w:rsidRPr="00ED5D59">
        <w:rPr>
          <w:rStyle w:val="FootnoteReference"/>
          <w:rFonts w:eastAsia="Calibri"/>
          <w:bCs/>
          <w:sz w:val="22"/>
          <w:szCs w:val="22"/>
          <w:u w:val="single"/>
        </w:rPr>
        <w:footnoteReference w:id="3"/>
      </w:r>
      <w:r>
        <w:rPr>
          <w:sz w:val="22"/>
          <w:vertAlign w:val="superscript"/>
        </w:rPr>
        <w:t xml:space="preserve">/ </w:t>
      </w:r>
      <w:r>
        <w:rPr>
          <w:sz w:val="22"/>
        </w:rPr>
        <w:t>Les pertes d'emploi ont été particulièrement prononcées parmi les minorités et les mères qui travaillent. Dans l'ensemble du monde en développement, les femmes ont supporté le poids des défis de la pandémie dans un pourcentage disproportionné.</w:t>
      </w:r>
      <w:r w:rsidR="003614A1" w:rsidRPr="00ED5D59">
        <w:rPr>
          <w:rStyle w:val="FootnoteReference"/>
          <w:rFonts w:eastAsia="Calibri"/>
          <w:bCs/>
          <w:sz w:val="22"/>
          <w:szCs w:val="22"/>
          <w:u w:val="single"/>
        </w:rPr>
        <w:footnoteReference w:id="4"/>
      </w:r>
      <w:r>
        <w:rPr>
          <w:sz w:val="22"/>
          <w:vertAlign w:val="superscript"/>
        </w:rPr>
        <w:t>/</w:t>
      </w:r>
      <w:r>
        <w:rPr>
          <w:sz w:val="22"/>
        </w:rPr>
        <w:t xml:space="preserve"> </w:t>
      </w:r>
    </w:p>
    <w:p w14:paraId="5D12F115" w14:textId="77777777" w:rsidR="009B7761" w:rsidRDefault="009B7761" w:rsidP="009B7761">
      <w:pPr>
        <w:jc w:val="both"/>
        <w:rPr>
          <w:sz w:val="24"/>
          <w:szCs w:val="24"/>
        </w:rPr>
      </w:pPr>
    </w:p>
    <w:p w14:paraId="3AB79FF3" w14:textId="11F23968" w:rsidR="009B7761" w:rsidRPr="009B7761" w:rsidRDefault="009B7761" w:rsidP="00ED5D59">
      <w:pPr>
        <w:pStyle w:val="NormalWeb"/>
        <w:shd w:val="clear" w:color="auto" w:fill="FFFFFF"/>
        <w:spacing w:before="0" w:beforeAutospacing="0" w:after="270" w:afterAutospacing="0"/>
        <w:ind w:firstLine="720"/>
        <w:jc w:val="both"/>
        <w:rPr>
          <w:rFonts w:eastAsia="Calibri"/>
          <w:bCs/>
          <w:sz w:val="22"/>
          <w:szCs w:val="22"/>
        </w:rPr>
      </w:pPr>
      <w:bookmarkStart w:id="1" w:name="_Hlk74654614"/>
      <w:r>
        <w:rPr>
          <w:sz w:val="22"/>
        </w:rPr>
        <w:t xml:space="preserve">Bien que la plupart des pays de la région ALC devraient amorcer la reprise en 2021, la projection de croissance de 4,6 % du FMI pour cette région est en retard sur les attentes pour les autres régions du monde. </w:t>
      </w:r>
      <w:bookmarkEnd w:id="1"/>
      <w:r>
        <w:rPr>
          <w:sz w:val="22"/>
        </w:rPr>
        <w:t>La Banque mondiale prévoit qu'un tiers seulement des pays en développement seront en mesure de retrouver leur niveau de revenu par habitant d'avant la pandémie d'ici 2022, en partie à cause de l'accès inégal aux vaccins contre la COVID-19. Pour plusieurs pays en développement, le revenu par habitant pourrait ne pas retrouver les niveaux antérieurs à la pandémie de COVID-19 avant 2024.</w:t>
      </w:r>
    </w:p>
    <w:p w14:paraId="7EDD4723" w14:textId="309EE22F" w:rsidR="00F41616" w:rsidRDefault="009B7761" w:rsidP="00ED5D59">
      <w:pPr>
        <w:shd w:val="clear" w:color="auto" w:fill="FFFFFF"/>
        <w:ind w:firstLine="720"/>
        <w:jc w:val="both"/>
        <w:rPr>
          <w:rFonts w:eastAsia="Calibri"/>
          <w:bCs/>
          <w:sz w:val="22"/>
          <w:szCs w:val="22"/>
        </w:rPr>
      </w:pPr>
      <w:r>
        <w:rPr>
          <w:sz w:val="22"/>
        </w:rPr>
        <w:t>L'une des transformations les plus marquantes pour la région ALC pourrait résulter de l'accélération de la numérisation induite par la pandémie, qui a touché tous les secteurs de l'économie et de la société. Toutes les activités et fonctions qui pouvaient être adaptées à un environnement en ligne l'ont été. Qu'il s'agisse de l'éducation, de la santé, des services professionnels ou du commerce, les gouvernements et les entreprises (grandes et PME) ont adopté le plus rapidement possible les outils et technologies numériques. Les transitions étaient 20 à 25 fois plus rapides que ce que l'on croyait possible.</w:t>
      </w:r>
      <w:r w:rsidR="00F41616" w:rsidRPr="00ED5D59">
        <w:rPr>
          <w:rStyle w:val="FootnoteReference"/>
          <w:rFonts w:eastAsia="Calibri"/>
          <w:bCs/>
          <w:sz w:val="22"/>
          <w:szCs w:val="22"/>
          <w:u w:val="single"/>
        </w:rPr>
        <w:footnoteReference w:id="5"/>
      </w:r>
      <w:r>
        <w:rPr>
          <w:sz w:val="22"/>
          <w:vertAlign w:val="superscript"/>
        </w:rPr>
        <w:t xml:space="preserve">/ </w:t>
      </w:r>
      <w:r>
        <w:rPr>
          <w:sz w:val="22"/>
        </w:rPr>
        <w:t xml:space="preserve">Le commerce électronique s'est développé 2 à 5 fois plus vite qu'avant la pandémie, avec un accent particulier sur l'économie de la livraison. Dans tous les secteurs, les transitions étaient axées sur la technologie (connectivité à l'internet, équipements (dispositifs), logiciels, plateformes), mais les changements ont également nécessité des mises à niveau importantes dans de nouveaux écosystèmes, des compétences, des formations et beaucoup d'adaptation par nécessité. Tous les secteurs ou toutes les personnes n'ont pas atteint le même niveau d'accès, de soutien ou de capacités. Les ménages à faibles revenus et les communautés défavorisées ont été confrontés à davantage de difficultés et d'incertitudes sur le plan financier, sanitaire, éducatif, social et émotionnel. </w:t>
      </w:r>
    </w:p>
    <w:p w14:paraId="1A70F3FF" w14:textId="77777777" w:rsidR="00F41616" w:rsidRDefault="00F41616" w:rsidP="009B7761">
      <w:pPr>
        <w:shd w:val="clear" w:color="auto" w:fill="FFFFFF"/>
        <w:jc w:val="both"/>
        <w:rPr>
          <w:rFonts w:eastAsia="Calibri"/>
          <w:bCs/>
          <w:sz w:val="22"/>
          <w:szCs w:val="22"/>
        </w:rPr>
      </w:pPr>
    </w:p>
    <w:p w14:paraId="318007A4" w14:textId="4FB07248" w:rsidR="009B7761" w:rsidRPr="00103208" w:rsidRDefault="00F82046" w:rsidP="00ED5D59">
      <w:pPr>
        <w:shd w:val="clear" w:color="auto" w:fill="FFFFFF"/>
        <w:ind w:firstLine="720"/>
        <w:jc w:val="both"/>
        <w:rPr>
          <w:rFonts w:eastAsia="Calibri"/>
          <w:bCs/>
          <w:sz w:val="22"/>
          <w:szCs w:val="22"/>
        </w:rPr>
      </w:pPr>
      <w:r>
        <w:rPr>
          <w:sz w:val="22"/>
        </w:rPr>
        <w:t>Alors que les pays se remettent de la pandémie, tirer parti de la numérisation accélérée et de l'économie numérique peut faire une différence importante pour les États membres de l'OEA afin de parvenir à une reprise plus rapide et plus inclusive. En outre, il s'agit d'une occasion unique de combler les écarts historiques et nouveaux qui se creusent en matière d'accès aux technologies, de compétences pour les emplois du futur, de mobilité sociale et d'opportunités économiques.</w:t>
      </w:r>
      <w:r w:rsidR="009B7761" w:rsidRPr="00ED5D59">
        <w:rPr>
          <w:rStyle w:val="FootnoteReference"/>
          <w:color w:val="333333"/>
          <w:sz w:val="22"/>
          <w:szCs w:val="22"/>
          <w:u w:val="single"/>
          <w:shd w:val="clear" w:color="auto" w:fill="FFFFFF"/>
        </w:rPr>
        <w:footnoteReference w:id="6"/>
      </w:r>
      <w:r>
        <w:rPr>
          <w:sz w:val="22"/>
          <w:vertAlign w:val="superscript"/>
        </w:rPr>
        <w:t>/</w:t>
      </w:r>
    </w:p>
    <w:p w14:paraId="5AA28BB9" w14:textId="77777777" w:rsidR="009B7761" w:rsidRPr="00A21F96" w:rsidRDefault="009B7761" w:rsidP="00A21F96">
      <w:pPr>
        <w:jc w:val="both"/>
        <w:rPr>
          <w:rFonts w:eastAsia="Calibri"/>
          <w:bCs/>
          <w:sz w:val="22"/>
          <w:szCs w:val="22"/>
        </w:rPr>
      </w:pPr>
    </w:p>
    <w:p w14:paraId="59A074F4" w14:textId="0209734C" w:rsidR="00723EE9" w:rsidRPr="00723EE9" w:rsidRDefault="00723EE9" w:rsidP="00723EE9">
      <w:pPr>
        <w:numPr>
          <w:ilvl w:val="0"/>
          <w:numId w:val="10"/>
        </w:numPr>
        <w:ind w:left="0" w:firstLine="0"/>
        <w:rPr>
          <w:rFonts w:eastAsia="Calibri"/>
          <w:b/>
          <w:sz w:val="22"/>
          <w:szCs w:val="22"/>
        </w:rPr>
      </w:pPr>
      <w:r>
        <w:rPr>
          <w:b/>
          <w:sz w:val="22"/>
        </w:rPr>
        <w:t>L’OEA et la Commission interaméricaine de la science et de la technologie (COMCYT)</w:t>
      </w:r>
    </w:p>
    <w:p w14:paraId="7BB3AC86" w14:textId="77777777" w:rsidR="00723EE9" w:rsidRPr="00723EE9" w:rsidRDefault="00723EE9" w:rsidP="00723EE9">
      <w:pPr>
        <w:jc w:val="both"/>
        <w:rPr>
          <w:sz w:val="22"/>
          <w:szCs w:val="22"/>
        </w:rPr>
      </w:pPr>
    </w:p>
    <w:p w14:paraId="36EE827F" w14:textId="66164EA1" w:rsidR="00E65892" w:rsidRDefault="00723EE9" w:rsidP="00E65892">
      <w:pPr>
        <w:ind w:firstLine="720"/>
        <w:jc w:val="both"/>
        <w:rPr>
          <w:sz w:val="22"/>
          <w:szCs w:val="22"/>
        </w:rPr>
      </w:pPr>
      <w:r>
        <w:rPr>
          <w:sz w:val="22"/>
        </w:rPr>
        <w:t xml:space="preserve">La COMCYT et la Réunion des ministres et hauts fonctionnaires chargés de la science et de la technologie (REMCYT) constituent la tribune suprême à l’échelle du continent américain pour les questions en rapport avec la science, la technologie et l’innovation. </w:t>
      </w:r>
      <w:r>
        <w:rPr>
          <w:color w:val="404040"/>
          <w:sz w:val="22"/>
          <w:shd w:val="clear" w:color="auto" w:fill="FFFFFF"/>
        </w:rPr>
        <w:t xml:space="preserve">Lors de la dernière réunion ministérielle, qui s'est tenue à Medellín (Colombie) en novembre 2017, les ministres et les hautes responsables ont adopté la déclaration de Medellin, reconnaissant que la </w:t>
      </w:r>
      <w:r>
        <w:rPr>
          <w:sz w:val="22"/>
        </w:rPr>
        <w:t xml:space="preserve">science, la technologie et l'innovation sont des éléments essentiels pour améliorer la qualité de vie des personnes et la </w:t>
      </w:r>
      <w:r>
        <w:rPr>
          <w:sz w:val="22"/>
        </w:rPr>
        <w:lastRenderedPageBreak/>
        <w:t xml:space="preserve">performance économique des États membres de manière inclusive, durable et écologiquement viable, ainsi qu'une solution aux grands défis auxquels nous sommes confrontés en tant que société. </w:t>
      </w:r>
    </w:p>
    <w:p w14:paraId="771118AD" w14:textId="77777777" w:rsidR="00E65892" w:rsidRPr="005E45F9" w:rsidRDefault="00E65892" w:rsidP="00E65892">
      <w:pPr>
        <w:ind w:firstLine="720"/>
        <w:jc w:val="both"/>
        <w:rPr>
          <w:sz w:val="22"/>
          <w:szCs w:val="22"/>
        </w:rPr>
      </w:pPr>
    </w:p>
    <w:p w14:paraId="4156E320" w14:textId="77777777" w:rsidR="00723EE9" w:rsidRPr="00723EE9" w:rsidRDefault="00723EE9" w:rsidP="00E65892">
      <w:pPr>
        <w:tabs>
          <w:tab w:val="left" w:pos="720"/>
          <w:tab w:val="left" w:pos="2955"/>
        </w:tabs>
        <w:jc w:val="both"/>
        <w:rPr>
          <w:rFonts w:eastAsia="Calibri"/>
          <w:b/>
          <w:sz w:val="22"/>
          <w:szCs w:val="22"/>
        </w:rPr>
      </w:pPr>
      <w:r>
        <w:rPr>
          <w:sz w:val="22"/>
        </w:rPr>
        <w:tab/>
      </w:r>
      <w:r>
        <w:rPr>
          <w:b/>
          <w:sz w:val="22"/>
        </w:rPr>
        <w:t>Utilité pour le CIDI</w:t>
      </w:r>
    </w:p>
    <w:p w14:paraId="3D540E4E" w14:textId="77777777" w:rsidR="00723EE9" w:rsidRPr="00723EE9" w:rsidRDefault="00723EE9" w:rsidP="00723EE9">
      <w:pPr>
        <w:rPr>
          <w:rFonts w:eastAsia="Calibri"/>
          <w:b/>
          <w:sz w:val="22"/>
          <w:szCs w:val="22"/>
        </w:rPr>
      </w:pPr>
    </w:p>
    <w:p w14:paraId="5CB58B58" w14:textId="589183E7" w:rsidR="00723EE9" w:rsidRPr="00103208" w:rsidRDefault="00723EE9" w:rsidP="003B0B19">
      <w:pPr>
        <w:ind w:firstLine="720"/>
        <w:jc w:val="both"/>
        <w:rPr>
          <w:bCs/>
          <w:sz w:val="22"/>
          <w:szCs w:val="22"/>
        </w:rPr>
      </w:pPr>
      <w:r>
        <w:rPr>
          <w:sz w:val="22"/>
        </w:rPr>
        <w:t xml:space="preserve">« La promotion d’économies inclusives et compétitives » est l'une des lignes stratégiques du développement intégré qui figurent dans le Plan stratégique intégral de </w:t>
      </w:r>
      <w:r w:rsidRPr="006D61B5">
        <w:rPr>
          <w:sz w:val="22"/>
        </w:rPr>
        <w:t xml:space="preserve">l'OEA </w:t>
      </w:r>
      <w:r w:rsidRPr="006D61B5">
        <w:rPr>
          <w:color w:val="171717"/>
          <w:sz w:val="22"/>
        </w:rPr>
        <w:t>[AG/RES. 1 (LI-E/16)].</w:t>
      </w:r>
      <w:r>
        <w:rPr>
          <w:color w:val="171717"/>
          <w:sz w:val="22"/>
        </w:rPr>
        <w:t xml:space="preserve"> </w:t>
      </w:r>
      <w:r>
        <w:rPr>
          <w:sz w:val="22"/>
        </w:rPr>
        <w:t>L'</w:t>
      </w:r>
      <w:r>
        <w:rPr>
          <w:color w:val="171717"/>
          <w:sz w:val="22"/>
        </w:rPr>
        <w:t xml:space="preserve">un de ses </w:t>
      </w:r>
      <w:r>
        <w:rPr>
          <w:sz w:val="22"/>
        </w:rPr>
        <w:t>objectifs stratégiques (1.3) est de : « Intensifier la coopération en vue renforcer les capacités des institutions des États membres à assimiler l’innovation et les technologies transformatrices afin d’apporter une valeur ajoutée et de diversifier leurs économies de manière durable et inclusive ».</w:t>
      </w:r>
    </w:p>
    <w:p w14:paraId="3BAF93F9" w14:textId="77777777" w:rsidR="00723EE9" w:rsidRPr="00723EE9" w:rsidRDefault="00723EE9" w:rsidP="00723EE9">
      <w:pPr>
        <w:jc w:val="both"/>
        <w:rPr>
          <w:sz w:val="22"/>
          <w:szCs w:val="22"/>
        </w:rPr>
      </w:pPr>
    </w:p>
    <w:p w14:paraId="59CC8B9A" w14:textId="1FA338A9" w:rsidR="00723EE9" w:rsidRPr="00723EE9" w:rsidRDefault="00723EE9" w:rsidP="003B0B19">
      <w:pPr>
        <w:ind w:firstLine="720"/>
        <w:jc w:val="both"/>
        <w:rPr>
          <w:sz w:val="22"/>
          <w:szCs w:val="22"/>
        </w:rPr>
      </w:pPr>
      <w:r>
        <w:rPr>
          <w:color w:val="171717"/>
          <w:sz w:val="22"/>
        </w:rPr>
        <w:t xml:space="preserve">Aux termes de la résolution </w:t>
      </w:r>
      <w:r w:rsidR="00BE30DB">
        <w:rPr>
          <w:color w:val="171717"/>
          <w:sz w:val="22"/>
        </w:rPr>
        <w:t xml:space="preserve">AG/RES. 2916 (XLVIII-O/18), </w:t>
      </w:r>
      <w:r>
        <w:rPr>
          <w:color w:val="171717"/>
          <w:sz w:val="22"/>
        </w:rPr>
        <w:t xml:space="preserve">« Promotion d'initiatives continentales en matière </w:t>
      </w:r>
      <w:r w:rsidR="006D61B5">
        <w:rPr>
          <w:color w:val="171717"/>
          <w:sz w:val="22"/>
        </w:rPr>
        <w:t>de développement</w:t>
      </w:r>
      <w:r>
        <w:rPr>
          <w:color w:val="171717"/>
          <w:sz w:val="22"/>
        </w:rPr>
        <w:t xml:space="preserve"> intégré », les États membres ont été chargés </w:t>
      </w:r>
      <w:r w:rsidR="00BE30DB">
        <w:rPr>
          <w:color w:val="171717"/>
          <w:sz w:val="22"/>
        </w:rPr>
        <w:t>d</w:t>
      </w:r>
      <w:r>
        <w:rPr>
          <w:color w:val="171717"/>
          <w:sz w:val="22"/>
        </w:rPr>
        <w:t xml:space="preserve">’approuver la Déclaration de Medellín : </w:t>
      </w:r>
      <w:r w:rsidR="00BE30DB">
        <w:rPr>
          <w:color w:val="171717"/>
          <w:sz w:val="22"/>
        </w:rPr>
        <w:t>« </w:t>
      </w:r>
      <w:r>
        <w:rPr>
          <w:color w:val="171717"/>
          <w:sz w:val="22"/>
        </w:rPr>
        <w:t>La science, la technologie et l’innovation en tant que piliers de la transformation dans les Amériques</w:t>
      </w:r>
      <w:r w:rsidR="00BE30DB">
        <w:rPr>
          <w:color w:val="171717"/>
          <w:sz w:val="22"/>
        </w:rPr>
        <w:t xml:space="preserve"> » </w:t>
      </w:r>
      <w:r>
        <w:rPr>
          <w:color w:val="171717"/>
          <w:sz w:val="22"/>
        </w:rPr>
        <w:t xml:space="preserve">(CIDI/REMCYT-V/DEC.1/17 rev. 1), adoptée lors de la Cinquième Réunion des ministres et hauts fonctionnaires chargés de la science et de la technologie organisée dans le cadre du CIDI, tenue à Medellín (Colombie). </w:t>
      </w:r>
      <w:r>
        <w:rPr>
          <w:sz w:val="22"/>
        </w:rPr>
        <w:t xml:space="preserve">La Déclaration de Medellín recommande d’« inscrire dans le travail des quatre groupes de travail l’importance de l'impact des technologies transformatrices dans le développement économique et social des Amériques, comme un engagement pour permettre aux États membres de faire face aux principaux défis et opportunités de notre région ». </w:t>
      </w:r>
    </w:p>
    <w:p w14:paraId="61E7367C" w14:textId="5F851383" w:rsidR="00723EE9" w:rsidRPr="00723EE9" w:rsidRDefault="00723EE9" w:rsidP="00ED5D59">
      <w:pPr>
        <w:tabs>
          <w:tab w:val="num" w:pos="360"/>
        </w:tabs>
        <w:jc w:val="both"/>
        <w:rPr>
          <w:bCs/>
          <w:sz w:val="22"/>
          <w:szCs w:val="22"/>
        </w:rPr>
      </w:pPr>
    </w:p>
    <w:p w14:paraId="7E220C95" w14:textId="77777777" w:rsidR="00723EE9" w:rsidRPr="00723EE9" w:rsidRDefault="003B0B19" w:rsidP="00723EE9">
      <w:pPr>
        <w:numPr>
          <w:ilvl w:val="0"/>
          <w:numId w:val="10"/>
        </w:numPr>
        <w:ind w:left="0" w:firstLine="0"/>
        <w:rPr>
          <w:rFonts w:eastAsia="Calibri"/>
          <w:b/>
          <w:sz w:val="22"/>
          <w:szCs w:val="22"/>
        </w:rPr>
      </w:pPr>
      <w:r>
        <w:rPr>
          <w:b/>
          <w:sz w:val="22"/>
        </w:rPr>
        <w:t xml:space="preserve">Objet de la réunion </w:t>
      </w:r>
    </w:p>
    <w:p w14:paraId="7B49B2A7" w14:textId="77777777" w:rsidR="00723EE9" w:rsidRPr="00723EE9" w:rsidRDefault="00723EE9" w:rsidP="00723EE9">
      <w:pPr>
        <w:rPr>
          <w:rFonts w:eastAsia="Calibri"/>
          <w:b/>
          <w:sz w:val="22"/>
          <w:szCs w:val="22"/>
        </w:rPr>
      </w:pPr>
    </w:p>
    <w:p w14:paraId="55579AB1" w14:textId="30FEE63E" w:rsidR="003B0B19" w:rsidRDefault="00723EE9" w:rsidP="003B0B19">
      <w:pPr>
        <w:ind w:firstLine="720"/>
        <w:jc w:val="both"/>
        <w:rPr>
          <w:rFonts w:eastAsia="Calibri"/>
          <w:sz w:val="22"/>
          <w:szCs w:val="22"/>
        </w:rPr>
      </w:pPr>
      <w:r>
        <w:rPr>
          <w:sz w:val="22"/>
        </w:rPr>
        <w:t>La réunion a pour objet d'examiner les principaux défis et opportunités de la transformation numérique dans les Amériques et de partager des recommandations pour faire progresser la collaboration entre les États membres sur la transformation numérique, en comblant les lacunes numériques et d'opportunités, en prévision de la Sixième REMCYT qui se tiendra virtuellement sous la présidence de la Jamaïque en décembre 2021.</w:t>
      </w:r>
    </w:p>
    <w:p w14:paraId="1CD6530B" w14:textId="2DA17F24" w:rsidR="00723EE9" w:rsidRPr="00723EE9" w:rsidRDefault="00723EE9" w:rsidP="00ED5D59">
      <w:pPr>
        <w:jc w:val="both"/>
        <w:rPr>
          <w:rFonts w:eastAsia="Calibri"/>
          <w:sz w:val="22"/>
          <w:szCs w:val="22"/>
        </w:rPr>
      </w:pPr>
    </w:p>
    <w:p w14:paraId="653C7F32" w14:textId="7D03CD29" w:rsidR="00723EE9" w:rsidRPr="00723EE9" w:rsidRDefault="00723EE9" w:rsidP="003B0B19">
      <w:pPr>
        <w:ind w:firstLine="720"/>
        <w:jc w:val="both"/>
        <w:rPr>
          <w:rFonts w:eastAsia="Calibri"/>
          <w:sz w:val="22"/>
          <w:szCs w:val="22"/>
        </w:rPr>
      </w:pPr>
      <w:r>
        <w:rPr>
          <w:sz w:val="22"/>
        </w:rPr>
        <w:t>La réunion comprendra des exposés d'experts de la région qui feront part de leurs perspectives et expériences et des bonnes pratiques dans les Amériques en matière de transformation numérique.</w:t>
      </w:r>
    </w:p>
    <w:p w14:paraId="2EC17A52" w14:textId="29FD175C" w:rsidR="00194B58" w:rsidRDefault="00194B58" w:rsidP="00ED5D59">
      <w:pPr>
        <w:ind w:left="720"/>
        <w:jc w:val="both"/>
        <w:rPr>
          <w:rFonts w:eastAsia="Calibri"/>
          <w:sz w:val="22"/>
          <w:szCs w:val="22"/>
        </w:rPr>
      </w:pPr>
    </w:p>
    <w:p w14:paraId="6C63F284" w14:textId="040218C7" w:rsidR="003B0B19" w:rsidRDefault="001B193D" w:rsidP="00ED5D59">
      <w:pPr>
        <w:numPr>
          <w:ilvl w:val="0"/>
          <w:numId w:val="14"/>
        </w:numPr>
        <w:ind w:hanging="720"/>
        <w:jc w:val="both"/>
        <w:rPr>
          <w:rFonts w:eastAsia="Calibri"/>
          <w:sz w:val="22"/>
          <w:szCs w:val="22"/>
        </w:rPr>
      </w:pPr>
      <w:r>
        <w:rPr>
          <w:sz w:val="22"/>
        </w:rPr>
        <w:t>José Manuel Salazar-</w:t>
      </w:r>
      <w:proofErr w:type="spellStart"/>
      <w:r>
        <w:rPr>
          <w:sz w:val="22"/>
        </w:rPr>
        <w:t>Xirinachs</w:t>
      </w:r>
      <w:proofErr w:type="spellEnd"/>
      <w:r>
        <w:rPr>
          <w:sz w:val="22"/>
        </w:rPr>
        <w:t>, expert en compétitivité internationale (Costa Rica), « La transformation numérique et relance économique en Amérique latine et dans les Caraïbes » ;</w:t>
      </w:r>
    </w:p>
    <w:p w14:paraId="6EA5A146" w14:textId="71A12406" w:rsidR="001B193D" w:rsidRPr="001B193D" w:rsidRDefault="001B193D" w:rsidP="00ED5D59">
      <w:pPr>
        <w:numPr>
          <w:ilvl w:val="0"/>
          <w:numId w:val="14"/>
        </w:numPr>
        <w:ind w:hanging="720"/>
        <w:jc w:val="both"/>
        <w:rPr>
          <w:rFonts w:eastAsia="Calibri"/>
          <w:sz w:val="22"/>
          <w:szCs w:val="22"/>
        </w:rPr>
      </w:pPr>
      <w:r>
        <w:rPr>
          <w:sz w:val="22"/>
        </w:rPr>
        <w:t xml:space="preserve">Jaime </w:t>
      </w:r>
      <w:proofErr w:type="spellStart"/>
      <w:r>
        <w:rPr>
          <w:sz w:val="22"/>
        </w:rPr>
        <w:t>Díaz</w:t>
      </w:r>
      <w:proofErr w:type="spellEnd"/>
      <w:r>
        <w:rPr>
          <w:sz w:val="22"/>
        </w:rPr>
        <w:t>, Vice-président exécutif, Banque centraméricaine d'intégration économique (BCIE) : « Les priorités de la transformation</w:t>
      </w:r>
      <w:r w:rsidR="006D61B5">
        <w:rPr>
          <w:sz w:val="22"/>
        </w:rPr>
        <w:t xml:space="preserve"> </w:t>
      </w:r>
      <w:r>
        <w:rPr>
          <w:sz w:val="22"/>
        </w:rPr>
        <w:t>numérique en Amérique centrale » ;</w:t>
      </w:r>
    </w:p>
    <w:p w14:paraId="23A9A02F" w14:textId="0AB571BE" w:rsidR="00194B58" w:rsidRDefault="00194B58" w:rsidP="00ED5D59">
      <w:pPr>
        <w:numPr>
          <w:ilvl w:val="0"/>
          <w:numId w:val="14"/>
        </w:numPr>
        <w:ind w:hanging="720"/>
        <w:jc w:val="both"/>
        <w:rPr>
          <w:rFonts w:eastAsia="Calibri"/>
          <w:sz w:val="22"/>
          <w:szCs w:val="22"/>
        </w:rPr>
      </w:pPr>
      <w:r>
        <w:rPr>
          <w:sz w:val="22"/>
        </w:rPr>
        <w:t xml:space="preserve">Kim </w:t>
      </w:r>
      <w:proofErr w:type="spellStart"/>
      <w:r>
        <w:rPr>
          <w:sz w:val="22"/>
        </w:rPr>
        <w:t>Malialieu</w:t>
      </w:r>
      <w:proofErr w:type="spellEnd"/>
      <w:r>
        <w:rPr>
          <w:sz w:val="22"/>
        </w:rPr>
        <w:t>, maître de conférences et chercheur principal du programme de recherche sur les TIC dans les Caraïbes, Université des Antilles, Campus St. Augustine, Trinité-et-Tobago, « L’avenir de la transformation numérique dans les Caraïbes ».</w:t>
      </w:r>
    </w:p>
    <w:p w14:paraId="7DF574AE" w14:textId="77777777" w:rsidR="00194B58" w:rsidRDefault="00194B58" w:rsidP="00203F80">
      <w:pPr>
        <w:ind w:left="360" w:hanging="180"/>
        <w:jc w:val="both"/>
        <w:rPr>
          <w:rFonts w:eastAsia="Calibri"/>
          <w:sz w:val="22"/>
          <w:szCs w:val="22"/>
        </w:rPr>
      </w:pPr>
    </w:p>
    <w:p w14:paraId="412B4FC4" w14:textId="77777777" w:rsidR="00723EE9" w:rsidRPr="00723EE9" w:rsidRDefault="00723EE9" w:rsidP="00723EE9">
      <w:pPr>
        <w:numPr>
          <w:ilvl w:val="0"/>
          <w:numId w:val="10"/>
        </w:numPr>
        <w:ind w:left="0" w:firstLine="0"/>
        <w:rPr>
          <w:rFonts w:eastAsia="Calibri"/>
          <w:b/>
          <w:sz w:val="22"/>
          <w:szCs w:val="22"/>
        </w:rPr>
      </w:pPr>
      <w:r>
        <w:rPr>
          <w:b/>
          <w:sz w:val="22"/>
        </w:rPr>
        <w:t xml:space="preserve">Résultat de la réunion </w:t>
      </w:r>
    </w:p>
    <w:p w14:paraId="359FE12E" w14:textId="77777777" w:rsidR="00723EE9" w:rsidRPr="00723EE9" w:rsidRDefault="00723EE9" w:rsidP="00723EE9">
      <w:pPr>
        <w:jc w:val="both"/>
        <w:rPr>
          <w:rFonts w:eastAsia="Calibri"/>
          <w:b/>
          <w:sz w:val="22"/>
          <w:szCs w:val="22"/>
        </w:rPr>
      </w:pPr>
    </w:p>
    <w:p w14:paraId="518E666B" w14:textId="77777777" w:rsidR="00723EE9" w:rsidRPr="00723EE9" w:rsidRDefault="00723EE9" w:rsidP="00723EE9">
      <w:pPr>
        <w:ind w:firstLine="720"/>
        <w:jc w:val="both"/>
        <w:rPr>
          <w:rFonts w:eastAsia="Calibri"/>
          <w:sz w:val="22"/>
          <w:szCs w:val="22"/>
        </w:rPr>
      </w:pPr>
      <w:r>
        <w:rPr>
          <w:sz w:val="22"/>
        </w:rPr>
        <w:t>La réunion devrait contribuer à :</w:t>
      </w:r>
    </w:p>
    <w:p w14:paraId="5EFC065D" w14:textId="77777777" w:rsidR="00723EE9" w:rsidRPr="00723EE9" w:rsidRDefault="00723EE9" w:rsidP="00723EE9">
      <w:pPr>
        <w:ind w:firstLine="720"/>
        <w:jc w:val="both"/>
        <w:rPr>
          <w:rFonts w:eastAsia="Calibri"/>
          <w:sz w:val="22"/>
          <w:szCs w:val="22"/>
        </w:rPr>
      </w:pPr>
    </w:p>
    <w:p w14:paraId="058D026B" w14:textId="331EB6F5" w:rsidR="00723EE9" w:rsidRPr="00723EE9" w:rsidRDefault="00723EE9" w:rsidP="00723EE9">
      <w:pPr>
        <w:numPr>
          <w:ilvl w:val="0"/>
          <w:numId w:val="11"/>
        </w:numPr>
        <w:ind w:left="1440" w:hanging="720"/>
        <w:jc w:val="both"/>
        <w:rPr>
          <w:rFonts w:eastAsia="Calibri"/>
          <w:sz w:val="22"/>
          <w:szCs w:val="22"/>
        </w:rPr>
      </w:pPr>
      <w:r>
        <w:rPr>
          <w:sz w:val="22"/>
        </w:rPr>
        <w:lastRenderedPageBreak/>
        <w:t>fournir des informations sur les principales tendances, les défis et les opportunités en matière de transformation numérique pour les États membres de l'OEA ;</w:t>
      </w:r>
    </w:p>
    <w:p w14:paraId="68986623" w14:textId="1C956800" w:rsidR="00194B58" w:rsidRDefault="00194B58" w:rsidP="00723EE9">
      <w:pPr>
        <w:numPr>
          <w:ilvl w:val="0"/>
          <w:numId w:val="11"/>
        </w:numPr>
        <w:ind w:left="1440" w:hanging="720"/>
        <w:jc w:val="both"/>
        <w:rPr>
          <w:rFonts w:eastAsia="Calibri"/>
          <w:sz w:val="22"/>
          <w:szCs w:val="22"/>
        </w:rPr>
      </w:pPr>
      <w:r>
        <w:rPr>
          <w:sz w:val="22"/>
        </w:rPr>
        <w:t xml:space="preserve">identifier des priorités et des domaines de coopération régionale en matière de transformation numérique pour la relance après la COVID-19 ; </w:t>
      </w:r>
    </w:p>
    <w:p w14:paraId="0DA2742D" w14:textId="07A2332B" w:rsidR="00723EE9" w:rsidRPr="00723EE9" w:rsidRDefault="003B0B19" w:rsidP="00723EE9">
      <w:pPr>
        <w:numPr>
          <w:ilvl w:val="0"/>
          <w:numId w:val="11"/>
        </w:numPr>
        <w:ind w:left="1440" w:hanging="720"/>
        <w:jc w:val="both"/>
        <w:rPr>
          <w:rFonts w:eastAsia="Calibri"/>
          <w:sz w:val="22"/>
          <w:szCs w:val="22"/>
        </w:rPr>
      </w:pPr>
      <w:r>
        <w:rPr>
          <w:sz w:val="22"/>
        </w:rPr>
        <w:t>encourager les États membres à présenter des bonnes pratiques avec des possibilités de coopération pour réduire les lacunes existantes en matière de transformation numérique</w:t>
      </w:r>
      <w:r w:rsidR="006D61B5">
        <w:rPr>
          <w:sz w:val="22"/>
        </w:rPr>
        <w:t> </w:t>
      </w:r>
      <w:r>
        <w:rPr>
          <w:sz w:val="22"/>
        </w:rPr>
        <w:t xml:space="preserve">;  </w:t>
      </w:r>
    </w:p>
    <w:p w14:paraId="2C4FA9C1" w14:textId="3ABCA57D" w:rsidR="00723EE9" w:rsidRPr="00723EE9" w:rsidRDefault="006D61B5" w:rsidP="00723EE9">
      <w:pPr>
        <w:numPr>
          <w:ilvl w:val="0"/>
          <w:numId w:val="11"/>
        </w:numPr>
        <w:ind w:left="1440" w:hanging="720"/>
        <w:jc w:val="both"/>
        <w:rPr>
          <w:rFonts w:eastAsia="Calibri"/>
          <w:sz w:val="22"/>
          <w:szCs w:val="22"/>
        </w:rPr>
      </w:pPr>
      <w:r>
        <w:rPr>
          <w:sz w:val="22"/>
        </w:rPr>
        <w:t xml:space="preserve">prendre connaissance des </w:t>
      </w:r>
      <w:r w:rsidR="00723EE9">
        <w:rPr>
          <w:sz w:val="22"/>
        </w:rPr>
        <w:t xml:space="preserve">commentaires et recommandations des États membres afin de renforcer le travail du Secrétariat exécutif au développement intégré (SEDI) dans le domaine de la transformation numérique et de l’avancement de mesures concrètes en prévision de la Sixième REMCYT.  </w:t>
      </w:r>
    </w:p>
    <w:p w14:paraId="07302EED" w14:textId="1A8BDDD0" w:rsidR="00723EE9" w:rsidRPr="00723EE9" w:rsidRDefault="00C611B0" w:rsidP="00723EE9">
      <w:pPr>
        <w:jc w:val="both"/>
        <w:rPr>
          <w:sz w:val="22"/>
          <w:szCs w:val="22"/>
        </w:rPr>
      </w:pPr>
      <w:r>
        <w:rPr>
          <w:noProof/>
          <w:sz w:val="22"/>
        </w:rPr>
        <mc:AlternateContent>
          <mc:Choice Requires="wps">
            <w:drawing>
              <wp:anchor distT="0" distB="0" distL="114300" distR="114300" simplePos="0" relativeHeight="251657728" behindDoc="0" locked="1" layoutInCell="1" allowOverlap="1" wp14:anchorId="77BC2274" wp14:editId="043258F8">
                <wp:simplePos x="0" y="0"/>
                <wp:positionH relativeFrom="column">
                  <wp:posOffset>-91440</wp:posOffset>
                </wp:positionH>
                <wp:positionV relativeFrom="page">
                  <wp:posOffset>9144000</wp:posOffset>
                </wp:positionV>
                <wp:extent cx="338328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1416" w14:textId="77777777" w:rsidR="00100FE1" w:rsidRPr="00100FE1" w:rsidRDefault="00100FE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227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wZ8gEAAMY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DbsIwZ8gEAAMYDAAAOAAAAAAAAAAAAAAAAAC4CAABkcnMv&#10;ZTJvRG9jLnhtbFBLAQItABQABgAIAAAAIQCiImOP3gAAAA0BAAAPAAAAAAAAAAAAAAAAAEwEAABk&#10;cnMvZG93bnJldi54bWxQSwUGAAAAAAQABADzAAAAVwUAAAAA&#10;" filled="f" stroked="f">
                <v:textbox>
                  <w:txbxContent>
                    <w:p w14:paraId="287A1416" w14:textId="77777777" w:rsidR="00100FE1" w:rsidRPr="00100FE1" w:rsidRDefault="00100FE1">
                      <w:pPr>
                        <w:rPr>
                          <w:sz w:val="18"/>
                        </w:rPr>
                      </w:pPr>
                    </w:p>
                  </w:txbxContent>
                </v:textbox>
                <w10:wrap anchory="page"/>
                <w10:anchorlock/>
              </v:shape>
            </w:pict>
          </mc:Fallback>
        </mc:AlternateContent>
      </w:r>
      <w:r>
        <w:rPr>
          <w:sz w:val="22"/>
        </w:rPr>
        <w:t xml:space="preserve"> </w:t>
      </w:r>
    </w:p>
    <w:p w14:paraId="21954D1D" w14:textId="6304D27F" w:rsidR="000B6478" w:rsidRPr="00723EE9" w:rsidRDefault="00D44295" w:rsidP="0076198A">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4B0C357E" wp14:editId="3D067488">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9AF313B" w14:textId="40A1B9A3" w:rsidR="00D44295" w:rsidRPr="00D44295" w:rsidRDefault="00D44295">
                            <w:pPr>
                              <w:rPr>
                                <w:sz w:val="18"/>
                              </w:rPr>
                            </w:pPr>
                            <w:r>
                              <w:rPr>
                                <w:sz w:val="18"/>
                              </w:rPr>
                              <w:fldChar w:fldCharType="begin"/>
                            </w:r>
                            <w:r>
                              <w:rPr>
                                <w:sz w:val="18"/>
                              </w:rPr>
                              <w:instrText xml:space="preserve"> FILENAME  \* MERGEFORMAT </w:instrText>
                            </w:r>
                            <w:r>
                              <w:rPr>
                                <w:sz w:val="18"/>
                              </w:rPr>
                              <w:fldChar w:fldCharType="separate"/>
                            </w:r>
                            <w:r>
                              <w:rPr>
                                <w:noProof/>
                                <w:sz w:val="18"/>
                              </w:rPr>
                              <w:t>CIDRP03218F01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0C357E" id="_x0000_t202" coordsize="21600,21600" o:spt="202" path="m,l,21600r21600,l21600,xe">
                <v:stroke joinstyle="miter"/>
                <v:path gradientshapeok="t" o:connecttype="rect"/>
              </v:shapetype>
              <v:shape id="Text Box 6" o:spid="_x0000_s1027"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q6ggIAAAk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mnFo0PDVmaaod+ODPo2Vtx2+K9C/LhgRwEDDoxlOEe&#10;S60MHmX2FmeNcT//dB7x0BW8qAIDgaJ/rMmhJvVVQ3EX47OzOEFpc3b+McfGHXuWxx697q4NiBtj&#10;/K1IZsQHdTBrZ7pnzO48ZoWLtEDukqM9g3kdhjHF7As5nycQZsZSWOhHKw4yjH166p/J2b08AoR1&#10;Zw6jQ8UblQzYQSfzdTB1myQUeR5Y3dOPeUvK2v8b4kAf7xPq9Q82+wU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HCBq6&#10;ggIAAAkFAAAOAAAAAAAAAAAAAAAAAC4CAABkcnMvZTJvRG9jLnhtbFBLAQItABQABgAIAAAAIQCi&#10;ImOP3gAAAA0BAAAPAAAAAAAAAAAAAAAAANwEAABkcnMvZG93bnJldi54bWxQSwUGAAAAAAQABADz&#10;AAAA5wUAAAAA&#10;" filled="f" stroked="f">
                <v:stroke joinstyle="round"/>
                <v:textbox>
                  <w:txbxContent>
                    <w:p w14:paraId="69AF313B" w14:textId="40A1B9A3" w:rsidR="00D44295" w:rsidRPr="00D44295" w:rsidRDefault="00D44295">
                      <w:pPr>
                        <w:rPr>
                          <w:sz w:val="18"/>
                        </w:rPr>
                      </w:pPr>
                      <w:r>
                        <w:rPr>
                          <w:sz w:val="18"/>
                        </w:rPr>
                        <w:fldChar w:fldCharType="begin"/>
                      </w:r>
                      <w:r>
                        <w:rPr>
                          <w:sz w:val="18"/>
                        </w:rPr>
                        <w:instrText xml:space="preserve"> FILENAME  \* MERGEFORMAT </w:instrText>
                      </w:r>
                      <w:r>
                        <w:rPr>
                          <w:sz w:val="18"/>
                        </w:rPr>
                        <w:fldChar w:fldCharType="separate"/>
                      </w:r>
                      <w:r>
                        <w:rPr>
                          <w:noProof/>
                          <w:sz w:val="18"/>
                        </w:rPr>
                        <w:t>CIDRP03218F01</w:t>
                      </w:r>
                      <w:r>
                        <w:rPr>
                          <w:sz w:val="18"/>
                        </w:rPr>
                        <w:fldChar w:fldCharType="end"/>
                      </w:r>
                    </w:p>
                  </w:txbxContent>
                </v:textbox>
                <w10:wrap anchory="page"/>
                <w10:anchorlock/>
              </v:shape>
            </w:pict>
          </mc:Fallback>
        </mc:AlternateContent>
      </w:r>
    </w:p>
    <w:sectPr w:rsidR="000B6478" w:rsidRPr="00723EE9"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5D08" w14:textId="77777777" w:rsidR="00836740" w:rsidRDefault="00836740">
      <w:r>
        <w:separator/>
      </w:r>
    </w:p>
  </w:endnote>
  <w:endnote w:type="continuationSeparator" w:id="0">
    <w:p w14:paraId="25727F2E" w14:textId="77777777" w:rsidR="00836740" w:rsidRDefault="0083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4842" w14:textId="77777777" w:rsidR="00836740" w:rsidRDefault="00836740">
      <w:r>
        <w:separator/>
      </w:r>
    </w:p>
  </w:footnote>
  <w:footnote w:type="continuationSeparator" w:id="0">
    <w:p w14:paraId="1AB896EE" w14:textId="77777777" w:rsidR="00836740" w:rsidRDefault="00836740">
      <w:r>
        <w:continuationSeparator/>
      </w:r>
    </w:p>
  </w:footnote>
  <w:footnote w:id="1">
    <w:p w14:paraId="697CDB4D" w14:textId="51CEF2E6" w:rsidR="00ED5D59" w:rsidRPr="00C7616A" w:rsidRDefault="00A21F96" w:rsidP="00CA266B">
      <w:pPr>
        <w:pStyle w:val="FootnoteText"/>
        <w:ind w:left="720" w:hanging="360"/>
      </w:pPr>
      <w:r>
        <w:rPr>
          <w:rStyle w:val="FootnoteReference"/>
          <w:vertAlign w:val="baseline"/>
        </w:rPr>
        <w:footnoteRef/>
      </w:r>
      <w:r>
        <w:t>.</w:t>
      </w:r>
      <w:r>
        <w:tab/>
      </w:r>
      <w:hyperlink r:id="rId1" w:history="1">
        <w:r>
          <w:rPr>
            <w:rStyle w:val="Hyperlink"/>
          </w:rPr>
          <w:t>https://www.cepal.org/en/pressreleases/labor-markets-region-will-be-slow-recover-severe-impact-covid-19-pandemic-2020</w:t>
        </w:r>
      </w:hyperlink>
    </w:p>
  </w:footnote>
  <w:footnote w:id="2">
    <w:p w14:paraId="3F362085" w14:textId="0B4949C9" w:rsidR="00ED5D59" w:rsidRPr="00ED5D59" w:rsidRDefault="00A21F96" w:rsidP="00CA266B">
      <w:pPr>
        <w:pStyle w:val="FootnoteText"/>
        <w:ind w:left="720" w:hanging="360"/>
        <w:rPr>
          <w:color w:val="000000"/>
        </w:rPr>
      </w:pPr>
      <w:r>
        <w:rPr>
          <w:rStyle w:val="FootnoteReference"/>
          <w:vertAlign w:val="baseline"/>
        </w:rPr>
        <w:footnoteRef/>
      </w:r>
      <w:r>
        <w:t>.</w:t>
      </w:r>
      <w:r>
        <w:tab/>
      </w:r>
      <w:hyperlink r:id="rId2" w:history="1">
        <w:r>
          <w:rPr>
            <w:rStyle w:val="Hyperlink"/>
          </w:rPr>
          <w:t>https://blogs.imf.org/2021/04/15/short-term-shot-and-long-term-healing-for-latin-america-and-the-caribbean/</w:t>
        </w:r>
      </w:hyperlink>
    </w:p>
  </w:footnote>
  <w:footnote w:id="3">
    <w:p w14:paraId="45E23A2F" w14:textId="579DDC8D" w:rsidR="00C7616A" w:rsidRPr="00034C31" w:rsidRDefault="00C7616A" w:rsidP="00ED5D59">
      <w:pPr>
        <w:pStyle w:val="FootnoteText"/>
        <w:ind w:left="720" w:hanging="360"/>
        <w:rPr>
          <w:lang w:val="en-US"/>
        </w:rPr>
      </w:pPr>
      <w:r>
        <w:rPr>
          <w:rStyle w:val="FootnoteReference"/>
          <w:color w:val="000000"/>
          <w:vertAlign w:val="baseline"/>
        </w:rPr>
        <w:footnoteRef/>
      </w:r>
      <w:r w:rsidRPr="00034C31">
        <w:rPr>
          <w:color w:val="000000"/>
          <w:lang w:val="en-US"/>
        </w:rPr>
        <w:t>.</w:t>
      </w:r>
      <w:r w:rsidRPr="00034C31">
        <w:rPr>
          <w:color w:val="000000"/>
          <w:lang w:val="en-US"/>
        </w:rPr>
        <w:tab/>
        <w:t xml:space="preserve"> </w:t>
      </w:r>
      <w:r w:rsidRPr="00034C31">
        <w:rPr>
          <w:color w:val="000000"/>
          <w:shd w:val="clear" w:color="auto" w:fill="FAFAFA"/>
          <w:lang w:val="en-US"/>
        </w:rPr>
        <w:t xml:space="preserve">National Women’s Law Center, </w:t>
      </w:r>
      <w:r w:rsidR="00D44295">
        <w:fldChar w:fldCharType="begin"/>
      </w:r>
      <w:r w:rsidR="00D44295" w:rsidRPr="00D44295">
        <w:rPr>
          <w:lang w:val="en-US"/>
        </w:rPr>
        <w:instrText xml:space="preserve"> HYPERLINK "https://nwlc.org/resources/january-jobs-day-2021/" </w:instrText>
      </w:r>
      <w:r w:rsidR="00D44295">
        <w:fldChar w:fldCharType="separate"/>
      </w:r>
      <w:r w:rsidRPr="00034C31">
        <w:rPr>
          <w:rStyle w:val="Hyperlink"/>
          <w:shd w:val="clear" w:color="auto" w:fill="FAFAFA"/>
          <w:lang w:val="en-US"/>
        </w:rPr>
        <w:t>https://nwlc.org/resources/january-jobs-day-2021/</w:t>
      </w:r>
      <w:r w:rsidR="00D44295">
        <w:rPr>
          <w:rStyle w:val="Hyperlink"/>
          <w:shd w:val="clear" w:color="auto" w:fill="FAFAFA"/>
          <w:lang w:val="en-US"/>
        </w:rPr>
        <w:fldChar w:fldCharType="end"/>
      </w:r>
      <w:r w:rsidRPr="00034C31">
        <w:rPr>
          <w:color w:val="000000"/>
          <w:shd w:val="clear" w:color="auto" w:fill="FAFAFA"/>
          <w:lang w:val="en-US"/>
        </w:rPr>
        <w:t xml:space="preserve"> </w:t>
      </w:r>
    </w:p>
  </w:footnote>
  <w:footnote w:id="4">
    <w:p w14:paraId="750D4FD3" w14:textId="76832DBD" w:rsidR="003614A1" w:rsidRPr="00ED5D59" w:rsidRDefault="003614A1" w:rsidP="00ED5D59">
      <w:pPr>
        <w:pStyle w:val="FootnoteText"/>
        <w:ind w:left="720" w:hanging="360"/>
      </w:pPr>
      <w:r>
        <w:rPr>
          <w:rStyle w:val="FootnoteReference"/>
          <w:vertAlign w:val="baseline"/>
        </w:rPr>
        <w:footnoteRef/>
      </w:r>
      <w:r>
        <w:t>.</w:t>
      </w:r>
      <w:r>
        <w:tab/>
        <w:t xml:space="preserve">McKinsey Global Institute, Mars 2021.  </w:t>
      </w:r>
    </w:p>
  </w:footnote>
  <w:footnote w:id="5">
    <w:p w14:paraId="5079B04C" w14:textId="0EDC9443" w:rsidR="00F41616" w:rsidRPr="00ED5D59" w:rsidRDefault="00F41616" w:rsidP="00ED5D59">
      <w:pPr>
        <w:pStyle w:val="FootnoteText"/>
        <w:ind w:left="720" w:hanging="360"/>
      </w:pPr>
      <w:r>
        <w:rPr>
          <w:rStyle w:val="FootnoteReference"/>
          <w:vertAlign w:val="baseline"/>
        </w:rPr>
        <w:footnoteRef/>
      </w:r>
      <w:r>
        <w:t>.</w:t>
      </w:r>
      <w:r>
        <w:tab/>
        <w:t>McKinsey Global Institute, Juin 2021.</w:t>
      </w:r>
    </w:p>
  </w:footnote>
  <w:footnote w:id="6">
    <w:p w14:paraId="17B1FAAB" w14:textId="268CBFF3" w:rsidR="009B7761" w:rsidRPr="00C7616A" w:rsidRDefault="009B7761" w:rsidP="00ED5D59">
      <w:pPr>
        <w:pStyle w:val="FootnoteText"/>
        <w:ind w:left="720" w:hanging="360"/>
        <w:jc w:val="both"/>
      </w:pPr>
      <w:r>
        <w:rPr>
          <w:rStyle w:val="FootnoteReference"/>
          <w:vertAlign w:val="baseline"/>
        </w:rPr>
        <w:footnoteRef/>
      </w:r>
      <w:r>
        <w:t>.</w:t>
      </w:r>
      <w:r>
        <w:tab/>
      </w:r>
      <w:hyperlink r:id="rId3" w:history="1">
        <w:r>
          <w:rPr>
            <w:rStyle w:val="Hyperlink"/>
          </w:rPr>
          <w:t>https://www.worldbank.org/en/region/lac/overview</w:t>
        </w:r>
      </w:hyperlink>
      <w:r>
        <w:t>. Selon l'analyse de la Banque mondiale, la numérisation pourrait stimuler les services financiers, les opportunités d'emploi pour les travailleurs par le biais de plateformes électroniques et soutenir la formalisation des emplois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b/>
                        <w:sz w:val="28"/>
                        <w:rFonts w:ascii="Garamond" w:hAnsi="Garamond"/>
                      </w:rPr>
                    </w:pPr>
                    <w:r>
                      <w:rPr>
                        <w:b/>
                        <w:sz w:val="28"/>
                        <w:rFonts w:ascii="Garamond" w:hAnsi="Garamond"/>
                      </w:rPr>
                      <w:t xml:space="preserve">ORGANISATION DES ÉTATS AMÉRICAINS</w:t>
                    </w:r>
                    <w:r>
                      <w:rPr>
                        <w:b/>
                        <w:sz w:val="28"/>
                        <w:rFonts w:ascii="Garamond" w:hAnsi="Garamond"/>
                      </w:rPr>
                      <w:t xml:space="preserve"> </w:t>
                    </w:r>
                  </w:p>
                  <w:p w14:paraId="2CA4038B" w14:textId="77777777" w:rsidR="00921E9E" w:rsidRPr="00133A15" w:rsidRDefault="00FA607C" w:rsidP="00921E9E">
                    <w:pPr>
                      <w:pStyle w:val="Header"/>
                      <w:tabs>
                        <w:tab w:val="left" w:pos="900"/>
                      </w:tabs>
                      <w:spacing w:line="0" w:lineRule="atLeast"/>
                      <w:jc w:val="center"/>
                      <w:rPr>
                        <w:b/>
                        <w:szCs w:val="22"/>
                        <w:rFonts w:ascii="Garamond" w:hAnsi="Garamond"/>
                      </w:rPr>
                    </w:pPr>
                    <w:r>
                      <w:rPr>
                        <w:b/>
                        <w:rFonts w:ascii="Garamond" w:hAnsi="Garamond"/>
                      </w:rPr>
                      <w:t xml:space="preserve">Conseil interaméricain pour le développement intégré</w:t>
                    </w:r>
                    <w:r>
                      <w:rPr>
                        <w:b/>
                        <w:rFonts w:ascii="Garamond" w:hAnsi="Garamond"/>
                      </w:rPr>
                      <w:t xml:space="preserve"> </w:t>
                    </w:r>
                  </w:p>
                  <w:p w14:paraId="2B28C509" w14:textId="77777777" w:rsidR="00921E9E" w:rsidRPr="00EA7DE7" w:rsidRDefault="00FA607C" w:rsidP="00921E9E">
                    <w:pPr>
                      <w:pStyle w:val="Header"/>
                      <w:tabs>
                        <w:tab w:val="left" w:pos="900"/>
                      </w:tabs>
                      <w:spacing w:line="0" w:lineRule="atLeast"/>
                      <w:jc w:val="center"/>
                      <w:rPr>
                        <w:b/>
                        <w:szCs w:val="22"/>
                      </w:rPr>
                    </w:pPr>
                    <w:r>
                      <w:rPr>
                        <w:b/>
                        <w:rFonts w:ascii="Garamond" w:hAnsi="Garamond"/>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color w:val="000000"/>
                        <w:rFonts w:ascii="News Gothic MT" w:hAnsi="News Gothic MT"/>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6"/>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34C31"/>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3208"/>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4B58"/>
    <w:rsid w:val="001B0828"/>
    <w:rsid w:val="001B0AB0"/>
    <w:rsid w:val="001B193D"/>
    <w:rsid w:val="001C6DC5"/>
    <w:rsid w:val="001D0221"/>
    <w:rsid w:val="001D738C"/>
    <w:rsid w:val="001E3150"/>
    <w:rsid w:val="001E3C78"/>
    <w:rsid w:val="001F2739"/>
    <w:rsid w:val="0020227F"/>
    <w:rsid w:val="002024FE"/>
    <w:rsid w:val="00203839"/>
    <w:rsid w:val="00203F80"/>
    <w:rsid w:val="0020460C"/>
    <w:rsid w:val="002050F0"/>
    <w:rsid w:val="00222AFE"/>
    <w:rsid w:val="00224C3F"/>
    <w:rsid w:val="00225597"/>
    <w:rsid w:val="00234996"/>
    <w:rsid w:val="00235CB9"/>
    <w:rsid w:val="00264202"/>
    <w:rsid w:val="0026449A"/>
    <w:rsid w:val="00267E1B"/>
    <w:rsid w:val="0027412E"/>
    <w:rsid w:val="00277682"/>
    <w:rsid w:val="00281CAA"/>
    <w:rsid w:val="002822E7"/>
    <w:rsid w:val="0028278B"/>
    <w:rsid w:val="00282ED9"/>
    <w:rsid w:val="0028696A"/>
    <w:rsid w:val="00286D8C"/>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43F1"/>
    <w:rsid w:val="0032713A"/>
    <w:rsid w:val="003302CF"/>
    <w:rsid w:val="00335ABE"/>
    <w:rsid w:val="003366D5"/>
    <w:rsid w:val="00345C27"/>
    <w:rsid w:val="00345DCF"/>
    <w:rsid w:val="00350910"/>
    <w:rsid w:val="003529F3"/>
    <w:rsid w:val="00352BB7"/>
    <w:rsid w:val="00353D7A"/>
    <w:rsid w:val="00357684"/>
    <w:rsid w:val="003614A1"/>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79F5"/>
    <w:rsid w:val="00457B19"/>
    <w:rsid w:val="00461F49"/>
    <w:rsid w:val="0046301C"/>
    <w:rsid w:val="00463A6B"/>
    <w:rsid w:val="0046512F"/>
    <w:rsid w:val="00467A8F"/>
    <w:rsid w:val="004732D7"/>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94069"/>
    <w:rsid w:val="00597477"/>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1FB8"/>
    <w:rsid w:val="00634E7B"/>
    <w:rsid w:val="006374D0"/>
    <w:rsid w:val="00642E66"/>
    <w:rsid w:val="0064648A"/>
    <w:rsid w:val="00650EFA"/>
    <w:rsid w:val="00655B90"/>
    <w:rsid w:val="00656B5A"/>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C7485"/>
    <w:rsid w:val="006D11BB"/>
    <w:rsid w:val="006D1E13"/>
    <w:rsid w:val="006D5A66"/>
    <w:rsid w:val="006D61B5"/>
    <w:rsid w:val="006D7239"/>
    <w:rsid w:val="006F0712"/>
    <w:rsid w:val="006F4488"/>
    <w:rsid w:val="007026A5"/>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740"/>
    <w:rsid w:val="00836CCC"/>
    <w:rsid w:val="0084046A"/>
    <w:rsid w:val="0084130A"/>
    <w:rsid w:val="00860083"/>
    <w:rsid w:val="00860DE1"/>
    <w:rsid w:val="00865686"/>
    <w:rsid w:val="00865B5C"/>
    <w:rsid w:val="008814B8"/>
    <w:rsid w:val="008819DA"/>
    <w:rsid w:val="00887A65"/>
    <w:rsid w:val="0089063B"/>
    <w:rsid w:val="00890C34"/>
    <w:rsid w:val="008917B9"/>
    <w:rsid w:val="00896014"/>
    <w:rsid w:val="008A2F14"/>
    <w:rsid w:val="008B4134"/>
    <w:rsid w:val="008B5AF8"/>
    <w:rsid w:val="008C254E"/>
    <w:rsid w:val="008D2C52"/>
    <w:rsid w:val="008D487B"/>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4C5A"/>
    <w:rsid w:val="00986E8C"/>
    <w:rsid w:val="009979A7"/>
    <w:rsid w:val="009A194A"/>
    <w:rsid w:val="009B2AE9"/>
    <w:rsid w:val="009B2F59"/>
    <w:rsid w:val="009B307F"/>
    <w:rsid w:val="009B7761"/>
    <w:rsid w:val="009C0065"/>
    <w:rsid w:val="009C3EA4"/>
    <w:rsid w:val="009C6F26"/>
    <w:rsid w:val="009C75F5"/>
    <w:rsid w:val="009C7AAB"/>
    <w:rsid w:val="009E628C"/>
    <w:rsid w:val="009F0791"/>
    <w:rsid w:val="009F392F"/>
    <w:rsid w:val="00A06676"/>
    <w:rsid w:val="00A06AF5"/>
    <w:rsid w:val="00A06FE9"/>
    <w:rsid w:val="00A115F5"/>
    <w:rsid w:val="00A12EA0"/>
    <w:rsid w:val="00A13E2C"/>
    <w:rsid w:val="00A21F96"/>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E30DB"/>
    <w:rsid w:val="00BF1293"/>
    <w:rsid w:val="00C02DB7"/>
    <w:rsid w:val="00C02DEE"/>
    <w:rsid w:val="00C05556"/>
    <w:rsid w:val="00C11323"/>
    <w:rsid w:val="00C223D4"/>
    <w:rsid w:val="00C41591"/>
    <w:rsid w:val="00C45F98"/>
    <w:rsid w:val="00C46BCF"/>
    <w:rsid w:val="00C51DDA"/>
    <w:rsid w:val="00C52216"/>
    <w:rsid w:val="00C607E3"/>
    <w:rsid w:val="00C611B0"/>
    <w:rsid w:val="00C61825"/>
    <w:rsid w:val="00C6456D"/>
    <w:rsid w:val="00C7616A"/>
    <w:rsid w:val="00C81A83"/>
    <w:rsid w:val="00C83711"/>
    <w:rsid w:val="00C8384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44295"/>
    <w:rsid w:val="00D57730"/>
    <w:rsid w:val="00D643E9"/>
    <w:rsid w:val="00D64EA6"/>
    <w:rsid w:val="00D6769E"/>
    <w:rsid w:val="00D676CC"/>
    <w:rsid w:val="00D80335"/>
    <w:rsid w:val="00D8755F"/>
    <w:rsid w:val="00DA67FE"/>
    <w:rsid w:val="00DB0B8F"/>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83BE7"/>
    <w:rsid w:val="00E90F30"/>
    <w:rsid w:val="00E946CB"/>
    <w:rsid w:val="00EA7DE7"/>
    <w:rsid w:val="00EB09BC"/>
    <w:rsid w:val="00EB69E3"/>
    <w:rsid w:val="00EB7237"/>
    <w:rsid w:val="00EB7C4A"/>
    <w:rsid w:val="00EC00D8"/>
    <w:rsid w:val="00EC5E91"/>
    <w:rsid w:val="00EC7711"/>
    <w:rsid w:val="00ED2AF4"/>
    <w:rsid w:val="00ED2DE0"/>
    <w:rsid w:val="00ED5D59"/>
    <w:rsid w:val="00ED7C6A"/>
    <w:rsid w:val="00EE1EC8"/>
    <w:rsid w:val="00EE29AE"/>
    <w:rsid w:val="00EE51B7"/>
    <w:rsid w:val="00EE7D67"/>
    <w:rsid w:val="00EF5709"/>
    <w:rsid w:val="00F013AE"/>
    <w:rsid w:val="00F0248D"/>
    <w:rsid w:val="00F0479A"/>
    <w:rsid w:val="00F103CE"/>
    <w:rsid w:val="00F213D6"/>
    <w:rsid w:val="00F256C7"/>
    <w:rsid w:val="00F31B9A"/>
    <w:rsid w:val="00F41616"/>
    <w:rsid w:val="00F4735E"/>
    <w:rsid w:val="00F5197F"/>
    <w:rsid w:val="00F524DB"/>
    <w:rsid w:val="00F530B2"/>
    <w:rsid w:val="00F53223"/>
    <w:rsid w:val="00F663E8"/>
    <w:rsid w:val="00F76DC9"/>
    <w:rsid w:val="00F773E4"/>
    <w:rsid w:val="00F8041D"/>
    <w:rsid w:val="00F8105E"/>
    <w:rsid w:val="00F82046"/>
    <w:rsid w:val="00F87541"/>
    <w:rsid w:val="00F91F7C"/>
    <w:rsid w:val="00FA607C"/>
    <w:rsid w:val="00FA61C9"/>
    <w:rsid w:val="00FA6A04"/>
    <w:rsid w:val="00FB0853"/>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region/lac/overview" TargetMode="External"/><Relationship Id="rId2" Type="http://schemas.openxmlformats.org/officeDocument/2006/relationships/hyperlink" Target="https://blogs.imf.org/2021/04/15/short-term-shot-and-long-term-healing-for-latin-america-and-the-caribbean/" TargetMode="External"/><Relationship Id="rId1" Type="http://schemas.openxmlformats.org/officeDocument/2006/relationships/hyperlink" Target="https://www.cepal.org/en/pressreleases/labor-markets-region-will-be-slow-recover-severe-impact-covid-19-pandemic-202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4.xml><?xml version="1.0" encoding="utf-8"?>
<ds:datastoreItem xmlns:ds="http://schemas.openxmlformats.org/officeDocument/2006/customXml" ds:itemID="{046C2610-BCF7-4072-8423-35C735557AB2}">
  <ds:schemaRefs>
    <ds:schemaRef ds:uri="d96ab0fc-bb98-41ac-b264-64d49f623ac2"/>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2021-06-21T22:35:00Z</dcterms:created>
  <dcterms:modified xsi:type="dcterms:W3CDTF">2021-06-21T22:36:00Z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