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5B84" w14:textId="77777777" w:rsidR="00722693" w:rsidRPr="00DE215C" w:rsidRDefault="00FA607C" w:rsidP="00DE215C">
      <w:pPr>
        <w:tabs>
          <w:tab w:val="left" w:pos="7200"/>
        </w:tabs>
        <w:ind w:right="-1080"/>
        <w:rPr>
          <w:sz w:val="22"/>
          <w:szCs w:val="22"/>
          <w:lang w:val="pt-BR"/>
        </w:rPr>
      </w:pPr>
      <w:bookmarkStart w:id="0" w:name="_top"/>
      <w:bookmarkEnd w:id="0"/>
      <w:r w:rsidRPr="00DE215C">
        <w:rPr>
          <w:sz w:val="22"/>
          <w:szCs w:val="22"/>
        </w:rPr>
        <w:tab/>
      </w:r>
      <w:r w:rsidRPr="00DE215C">
        <w:rPr>
          <w:sz w:val="22"/>
          <w:szCs w:val="22"/>
          <w:lang w:val="pt-BR"/>
        </w:rPr>
        <w:t>OEA/Ser.W</w:t>
      </w:r>
    </w:p>
    <w:p w14:paraId="47887D17" w14:textId="70C086C2" w:rsidR="00722693" w:rsidRPr="00DE215C" w:rsidRDefault="00FA607C" w:rsidP="00DE215C">
      <w:pPr>
        <w:tabs>
          <w:tab w:val="left" w:pos="7200"/>
        </w:tabs>
        <w:ind w:right="-1080"/>
        <w:rPr>
          <w:sz w:val="22"/>
          <w:szCs w:val="22"/>
          <w:lang w:val="pt-BR"/>
        </w:rPr>
      </w:pPr>
      <w:r w:rsidRPr="00DE215C">
        <w:rPr>
          <w:sz w:val="22"/>
          <w:szCs w:val="22"/>
          <w:lang w:val="pt-BR"/>
        </w:rPr>
        <w:tab/>
        <w:t>CIDI/INF.445/21</w:t>
      </w:r>
    </w:p>
    <w:p w14:paraId="5A33C6A7" w14:textId="100E547D" w:rsidR="00921E9E" w:rsidRPr="00DE215C" w:rsidRDefault="00FA607C" w:rsidP="00DE215C">
      <w:pPr>
        <w:tabs>
          <w:tab w:val="left" w:pos="7200"/>
        </w:tabs>
        <w:ind w:right="-1080"/>
        <w:rPr>
          <w:sz w:val="22"/>
          <w:szCs w:val="22"/>
        </w:rPr>
      </w:pPr>
      <w:r w:rsidRPr="00DE215C">
        <w:rPr>
          <w:sz w:val="22"/>
          <w:szCs w:val="22"/>
          <w:lang w:val="pt-BR"/>
        </w:rPr>
        <w:tab/>
      </w:r>
      <w:r w:rsidRPr="00DE215C">
        <w:rPr>
          <w:sz w:val="22"/>
          <w:szCs w:val="22"/>
        </w:rPr>
        <w:t>19 aout 2021</w:t>
      </w:r>
    </w:p>
    <w:p w14:paraId="0F58D2B5" w14:textId="77777777" w:rsidR="00921E9E" w:rsidRPr="00DE215C" w:rsidRDefault="00FA607C" w:rsidP="00DE215C">
      <w:pPr>
        <w:pBdr>
          <w:bottom w:val="single" w:sz="12" w:space="1" w:color="auto"/>
        </w:pBdr>
        <w:tabs>
          <w:tab w:val="left" w:pos="7200"/>
        </w:tabs>
        <w:ind w:right="-389"/>
        <w:rPr>
          <w:sz w:val="22"/>
          <w:szCs w:val="22"/>
        </w:rPr>
      </w:pPr>
      <w:r w:rsidRPr="00DE215C">
        <w:rPr>
          <w:sz w:val="22"/>
          <w:szCs w:val="22"/>
        </w:rPr>
        <w:tab/>
        <w:t>Original: anglais</w:t>
      </w:r>
    </w:p>
    <w:p w14:paraId="5D981BA8" w14:textId="77777777" w:rsidR="00921E9E" w:rsidRPr="00DE215C" w:rsidRDefault="00921E9E" w:rsidP="00DE215C">
      <w:pPr>
        <w:pBdr>
          <w:bottom w:val="single" w:sz="12" w:space="1" w:color="auto"/>
        </w:pBdr>
        <w:tabs>
          <w:tab w:val="left" w:pos="7200"/>
        </w:tabs>
        <w:ind w:right="-389"/>
        <w:rPr>
          <w:sz w:val="22"/>
          <w:szCs w:val="22"/>
        </w:rPr>
      </w:pPr>
    </w:p>
    <w:p w14:paraId="2F69D4D3" w14:textId="77777777" w:rsidR="00722693" w:rsidRPr="00DE215C" w:rsidRDefault="00722693" w:rsidP="00DE215C">
      <w:pPr>
        <w:tabs>
          <w:tab w:val="left" w:pos="7200"/>
        </w:tabs>
        <w:ind w:right="-1080"/>
        <w:rPr>
          <w:sz w:val="22"/>
          <w:szCs w:val="22"/>
        </w:rPr>
      </w:pPr>
    </w:p>
    <w:p w14:paraId="0A165F7F" w14:textId="77777777" w:rsidR="00AB7175" w:rsidRPr="00DE215C" w:rsidRDefault="00AB7175" w:rsidP="00DE215C">
      <w:pPr>
        <w:jc w:val="both"/>
        <w:outlineLvl w:val="0"/>
        <w:rPr>
          <w:sz w:val="22"/>
          <w:szCs w:val="22"/>
        </w:rPr>
      </w:pPr>
    </w:p>
    <w:p w14:paraId="175A517F" w14:textId="177E4B3A" w:rsidR="00921E9E" w:rsidRPr="00DE215C" w:rsidRDefault="00FA607C" w:rsidP="00DE215C">
      <w:pPr>
        <w:jc w:val="center"/>
        <w:rPr>
          <w:rFonts w:eastAsia="Calibri"/>
          <w:sz w:val="22"/>
          <w:szCs w:val="22"/>
        </w:rPr>
      </w:pPr>
      <w:r w:rsidRPr="00DE215C">
        <w:rPr>
          <w:sz w:val="22"/>
          <w:szCs w:val="22"/>
        </w:rPr>
        <w:t>DOCUMENT DE RÉFLEXION</w:t>
      </w:r>
    </w:p>
    <w:p w14:paraId="13A22CB2" w14:textId="77777777" w:rsidR="00791388" w:rsidRPr="00DE215C" w:rsidRDefault="00791388" w:rsidP="00DE215C">
      <w:pPr>
        <w:jc w:val="center"/>
        <w:rPr>
          <w:caps/>
          <w:sz w:val="22"/>
          <w:szCs w:val="22"/>
        </w:rPr>
      </w:pPr>
    </w:p>
    <w:p w14:paraId="215CDB98" w14:textId="32E33758" w:rsidR="00DD0DD6" w:rsidRPr="00DE215C" w:rsidRDefault="00FA607C" w:rsidP="00DE215C">
      <w:pPr>
        <w:jc w:val="center"/>
        <w:rPr>
          <w:rFonts w:eastAsia="Calibri"/>
          <w:caps/>
          <w:sz w:val="22"/>
          <w:szCs w:val="22"/>
        </w:rPr>
      </w:pPr>
      <w:r w:rsidRPr="00DE215C">
        <w:rPr>
          <w:caps/>
          <w:sz w:val="22"/>
          <w:szCs w:val="22"/>
        </w:rPr>
        <w:t>Réunion ordinaire du</w:t>
      </w:r>
    </w:p>
    <w:p w14:paraId="02610FD8" w14:textId="77777777" w:rsidR="00921E9E" w:rsidRPr="00DE215C" w:rsidRDefault="00FA607C" w:rsidP="00DE215C">
      <w:pPr>
        <w:jc w:val="center"/>
        <w:rPr>
          <w:rFonts w:eastAsia="Calibri"/>
          <w:caps/>
          <w:sz w:val="22"/>
          <w:szCs w:val="22"/>
        </w:rPr>
      </w:pPr>
      <w:r w:rsidRPr="00DE215C">
        <w:rPr>
          <w:caps/>
          <w:sz w:val="22"/>
          <w:szCs w:val="22"/>
        </w:rPr>
        <w:t xml:space="preserve">Conseil interaméricain pour le développement intégré (CIDI) </w:t>
      </w:r>
    </w:p>
    <w:p w14:paraId="60A978BB" w14:textId="03E69490" w:rsidR="00921E9E" w:rsidRPr="00DE215C" w:rsidRDefault="00902338" w:rsidP="00DE215C">
      <w:pPr>
        <w:jc w:val="center"/>
        <w:rPr>
          <w:rFonts w:eastAsia="Calibri"/>
          <w:caps/>
          <w:sz w:val="22"/>
          <w:szCs w:val="22"/>
        </w:rPr>
      </w:pPr>
      <w:r w:rsidRPr="00DE215C">
        <w:rPr>
          <w:caps/>
          <w:sz w:val="22"/>
          <w:szCs w:val="22"/>
        </w:rPr>
        <w:t>31 aout 2021</w:t>
      </w:r>
    </w:p>
    <w:p w14:paraId="579C1CB4" w14:textId="77777777" w:rsidR="00DE215C" w:rsidRDefault="00DE215C" w:rsidP="00DE215C">
      <w:pPr>
        <w:jc w:val="center"/>
        <w:rPr>
          <w:sz w:val="22"/>
          <w:szCs w:val="22"/>
        </w:rPr>
      </w:pPr>
    </w:p>
    <w:p w14:paraId="15CD43B6" w14:textId="578D023F" w:rsidR="007A307C" w:rsidRPr="00DE215C" w:rsidRDefault="00FA607C" w:rsidP="00DE215C">
      <w:pPr>
        <w:jc w:val="center"/>
        <w:rPr>
          <w:rFonts w:eastAsia="Calibri"/>
          <w:sz w:val="22"/>
          <w:szCs w:val="22"/>
        </w:rPr>
      </w:pPr>
      <w:r w:rsidRPr="00DE215C">
        <w:rPr>
          <w:sz w:val="22"/>
          <w:szCs w:val="22"/>
        </w:rPr>
        <w:t>(Élaboré par le Secrétariat exécutif au développement intégré)</w:t>
      </w:r>
    </w:p>
    <w:p w14:paraId="7EAB4B92" w14:textId="77777777" w:rsidR="00DB5D3D" w:rsidRPr="00DE215C" w:rsidRDefault="00DB5D3D" w:rsidP="00DE215C">
      <w:pPr>
        <w:rPr>
          <w:rFonts w:eastAsia="Calibri"/>
          <w:sz w:val="22"/>
          <w:szCs w:val="22"/>
        </w:rPr>
      </w:pPr>
    </w:p>
    <w:p w14:paraId="0C7F118F" w14:textId="77777777" w:rsidR="007A307C" w:rsidRPr="00DE215C" w:rsidRDefault="007A307C" w:rsidP="00DE215C">
      <w:pPr>
        <w:jc w:val="both"/>
        <w:rPr>
          <w:rFonts w:eastAsia="Calibri"/>
          <w:sz w:val="22"/>
          <w:szCs w:val="22"/>
        </w:rPr>
      </w:pPr>
    </w:p>
    <w:p w14:paraId="70852F0C" w14:textId="00EBB13E" w:rsidR="00902338" w:rsidRPr="00DE215C" w:rsidRDefault="00902338" w:rsidP="00DE215C">
      <w:pPr>
        <w:ind w:left="1350" w:hanging="990"/>
        <w:jc w:val="both"/>
        <w:rPr>
          <w:b/>
          <w:bCs/>
          <w:sz w:val="22"/>
          <w:szCs w:val="22"/>
        </w:rPr>
      </w:pPr>
      <w:r w:rsidRPr="00DE215C">
        <w:rPr>
          <w:sz w:val="22"/>
          <w:szCs w:val="22"/>
        </w:rPr>
        <w:t xml:space="preserve">THÈME : </w:t>
      </w:r>
      <w:r w:rsidRPr="00DE215C">
        <w:rPr>
          <w:b/>
          <w:sz w:val="22"/>
          <w:szCs w:val="22"/>
        </w:rPr>
        <w:t>LES JEUNES : AMÉLIORER LES COMPÉTENCES FONDAMENTALES ET L’ÉTAT DE PRÉPARATION POUR LA 4</w:t>
      </w:r>
      <w:r w:rsidRPr="00DE215C">
        <w:rPr>
          <w:b/>
          <w:sz w:val="22"/>
          <w:szCs w:val="22"/>
          <w:vertAlign w:val="superscript"/>
        </w:rPr>
        <w:t>E</w:t>
      </w:r>
      <w:r w:rsidRPr="00DE215C">
        <w:rPr>
          <w:b/>
          <w:sz w:val="22"/>
          <w:szCs w:val="22"/>
        </w:rPr>
        <w:t xml:space="preserve"> RÉVOLUTION INDUSTRIELLE</w:t>
      </w:r>
    </w:p>
    <w:p w14:paraId="01D1559F" w14:textId="6E0D1A99" w:rsidR="00723EE9" w:rsidRPr="00DE215C" w:rsidRDefault="00723EE9" w:rsidP="00DE215C">
      <w:pPr>
        <w:ind w:left="1440" w:hanging="1440"/>
        <w:jc w:val="both"/>
        <w:rPr>
          <w:rFonts w:eastAsia="Calibri"/>
          <w:sz w:val="22"/>
          <w:szCs w:val="22"/>
        </w:rPr>
      </w:pPr>
    </w:p>
    <w:p w14:paraId="1BC24364" w14:textId="6E9BE780" w:rsidR="00902338" w:rsidRPr="00DE215C" w:rsidRDefault="00902338" w:rsidP="00DE215C">
      <w:pPr>
        <w:jc w:val="both"/>
        <w:rPr>
          <w:sz w:val="22"/>
          <w:szCs w:val="22"/>
        </w:rPr>
      </w:pPr>
    </w:p>
    <w:p w14:paraId="1FE97DF8" w14:textId="62E82B9C" w:rsidR="00723EE9" w:rsidRPr="00DE215C" w:rsidRDefault="00723EE9" w:rsidP="00DE215C">
      <w:pPr>
        <w:numPr>
          <w:ilvl w:val="0"/>
          <w:numId w:val="10"/>
        </w:numPr>
        <w:ind w:left="0" w:firstLine="0"/>
        <w:rPr>
          <w:rFonts w:eastAsia="Calibri"/>
          <w:b/>
          <w:sz w:val="22"/>
          <w:szCs w:val="22"/>
        </w:rPr>
      </w:pPr>
      <w:r w:rsidRPr="00DE215C">
        <w:rPr>
          <w:b/>
          <w:sz w:val="22"/>
          <w:szCs w:val="22"/>
        </w:rPr>
        <w:t>Contexte et justification</w:t>
      </w:r>
    </w:p>
    <w:p w14:paraId="6DD6009E" w14:textId="5190BC8B" w:rsidR="00A21F96" w:rsidRPr="00DE215C" w:rsidRDefault="00A21F96" w:rsidP="00DE215C">
      <w:pPr>
        <w:ind w:left="1440" w:hanging="1440"/>
        <w:jc w:val="both"/>
        <w:rPr>
          <w:rFonts w:eastAsia="Calibri"/>
          <w:bCs/>
          <w:sz w:val="22"/>
          <w:szCs w:val="22"/>
        </w:rPr>
      </w:pPr>
    </w:p>
    <w:p w14:paraId="36399726" w14:textId="36F14FA6" w:rsidR="00DD505E" w:rsidRPr="00DE215C" w:rsidRDefault="005D1D57" w:rsidP="00DE215C">
      <w:pPr>
        <w:ind w:firstLine="720"/>
        <w:jc w:val="both"/>
        <w:rPr>
          <w:rFonts w:eastAsia="Calibri"/>
          <w:bCs/>
          <w:sz w:val="22"/>
          <w:szCs w:val="22"/>
        </w:rPr>
      </w:pPr>
      <w:r w:rsidRPr="00DE215C">
        <w:rPr>
          <w:sz w:val="22"/>
          <w:szCs w:val="22"/>
        </w:rPr>
        <w:t xml:space="preserve">La pandémie de COVID-19, l'accélération de l'économie numérique qui en découle et le remodelage des chaînes de valeur mondiales ont souligné la nécessité pour les États membres de l'OEA de s'attaquer au déficit de compétences et à l'état de préparation de leur main-d'œuvre afin de tirer parti des avantages de l'économie portée par l'innovation. La pandémie a entraîné une augmentation de la pauvreté et des inégalités, ainsi qu'une diminution des possibilités de mobilité sociale. Les femmes, les minorités et les travailleurs non qualifiés des secteurs liés aux services, tels que le tourisme et le divertissement, ainsi que les professions présentant des taux d'informalité élevés ont été particulièrement touchés. La crise a également accentué les défis liés à la participation productive des jeunes au marché du travail. Ses principaux effets ont été des pertes d'emplois et l'exode de la main-d'œuvre jeune vers l'inactivité. D'autre part, les industries, les entrepreneurs et les travailleurs liés à l'innovation et à l'économie numérique, qu'il s'agisse de logiciels, de commerce électronique, d'ingénierie, de télécommunications, de biotechnologies, de recherche et de développement, entre autres secteurs, ont connu une croissance et ont multiplié les possibilités et les solutions pour répondre aux besoins les plus immédiats des pays. </w:t>
      </w:r>
    </w:p>
    <w:p w14:paraId="72A99470" w14:textId="77777777" w:rsidR="00DD505E" w:rsidRPr="00DE215C" w:rsidRDefault="00DD505E" w:rsidP="00DE215C">
      <w:pPr>
        <w:jc w:val="both"/>
        <w:rPr>
          <w:rFonts w:eastAsia="Calibri"/>
          <w:bCs/>
          <w:sz w:val="22"/>
          <w:szCs w:val="22"/>
        </w:rPr>
      </w:pPr>
    </w:p>
    <w:p w14:paraId="1ADC4650" w14:textId="401FD801" w:rsidR="00DD505E" w:rsidRPr="00DE215C" w:rsidRDefault="00A95E01" w:rsidP="00DE215C">
      <w:pPr>
        <w:ind w:firstLine="720"/>
        <w:jc w:val="both"/>
        <w:rPr>
          <w:sz w:val="22"/>
          <w:szCs w:val="22"/>
        </w:rPr>
      </w:pPr>
      <w:r w:rsidRPr="00DE215C">
        <w:rPr>
          <w:sz w:val="22"/>
          <w:szCs w:val="22"/>
        </w:rPr>
        <w:t>Avant la crise sanitaire due à la COVID-19, plusieurs études avaient prévu l'impact de la technologie et de l'automatisation sur le remplacement et la création d'emplois pour tous les pays des Amériques. Bien que le niveau, la vitesse et le type d'effets prévus puissent différer, il existe un consensus sur le fait que des changements importants et bouleversants auront un impact sur plusieurs industries et professions dans un avenir très proche.</w:t>
      </w:r>
      <w:r w:rsidR="00DD505E" w:rsidRPr="00DE215C">
        <w:rPr>
          <w:sz w:val="22"/>
          <w:szCs w:val="22"/>
          <w:u w:val="single"/>
          <w:vertAlign w:val="superscript"/>
        </w:rPr>
        <w:footnoteReference w:id="1"/>
      </w:r>
      <w:r w:rsidRPr="00DE215C">
        <w:rPr>
          <w:sz w:val="22"/>
          <w:szCs w:val="22"/>
          <w:vertAlign w:val="superscript"/>
        </w:rPr>
        <w:t xml:space="preserve">/ </w:t>
      </w:r>
      <w:r w:rsidRPr="00DE215C">
        <w:rPr>
          <w:sz w:val="22"/>
          <w:szCs w:val="22"/>
        </w:rPr>
        <w:t xml:space="preserve">À cet égard, il est clair que dans la phase de </w:t>
      </w:r>
      <w:r w:rsidRPr="00DE215C">
        <w:rPr>
          <w:sz w:val="22"/>
          <w:szCs w:val="22"/>
        </w:rPr>
        <w:lastRenderedPageBreak/>
        <w:t>reprise post-pandémie, la participation des jeunes au marché du travail formel dépendra, en partie, du fait qu'ils aient développé des compétences et des capacités essentielles pour saisir les opportunités d'emploi et d'entrepreneuriat dans les sciences et technologies transformatrices (souvent appelées technologies de la 4</w:t>
      </w:r>
      <w:r w:rsidRPr="00DE215C">
        <w:rPr>
          <w:sz w:val="22"/>
          <w:szCs w:val="22"/>
          <w:vertAlign w:val="superscript"/>
        </w:rPr>
        <w:t>e</w:t>
      </w:r>
      <w:r w:rsidRPr="00DE215C">
        <w:rPr>
          <w:sz w:val="22"/>
          <w:szCs w:val="22"/>
        </w:rPr>
        <w:t xml:space="preserve"> révolution industrielle ou </w:t>
      </w:r>
      <w:r w:rsidR="00D509C7" w:rsidRPr="00DE215C">
        <w:rPr>
          <w:sz w:val="22"/>
          <w:szCs w:val="22"/>
        </w:rPr>
        <w:t xml:space="preserve">industrie </w:t>
      </w:r>
      <w:r w:rsidRPr="00DE215C">
        <w:rPr>
          <w:sz w:val="22"/>
          <w:szCs w:val="22"/>
        </w:rPr>
        <w:t>version 4.0) telles que les nouveaux matériaux, l'intelligence artificielle, le Big Data, l'informatique quantique, l'édition de gènes, la robotique et la blockchain. En comblant le déficit de compétences, les États membres de l'OEA pourront tirer profit des technologies émergentes, améliorer la productivité, contribuer à des taux de croissance plus élevés et réduire la pauvreté.</w:t>
      </w:r>
    </w:p>
    <w:p w14:paraId="3B80C36F" w14:textId="55D642FA" w:rsidR="00DD505E" w:rsidRPr="00DE215C" w:rsidRDefault="00DD505E" w:rsidP="00DE215C">
      <w:pPr>
        <w:jc w:val="both"/>
        <w:rPr>
          <w:sz w:val="22"/>
          <w:szCs w:val="22"/>
        </w:rPr>
      </w:pPr>
    </w:p>
    <w:p w14:paraId="17D45FDE" w14:textId="170F8A33" w:rsidR="00DD505E" w:rsidRPr="00DE215C" w:rsidRDefault="00256DD6" w:rsidP="00DE215C">
      <w:pPr>
        <w:ind w:firstLine="720"/>
        <w:jc w:val="both"/>
        <w:rPr>
          <w:rFonts w:eastAsia="Calibri"/>
          <w:bCs/>
          <w:sz w:val="22"/>
          <w:szCs w:val="22"/>
        </w:rPr>
      </w:pPr>
      <w:r w:rsidRPr="00DE215C">
        <w:rPr>
          <w:sz w:val="22"/>
          <w:szCs w:val="22"/>
        </w:rPr>
        <w:t xml:space="preserve">Dans le cadre de la Commission interaméricaine de la science et de la technologie (COMCYT), les États membres de l'OEA ont identifié l'importance de fournir aux jeunes les compétences nécessaires en matière de sciences et de technologies transformatrices comme l'une des priorités de la coopération régionale. </w:t>
      </w:r>
    </w:p>
    <w:p w14:paraId="5AA28BB9" w14:textId="77777777" w:rsidR="009B7761" w:rsidRPr="00DE215C" w:rsidRDefault="009B7761" w:rsidP="00DE215C">
      <w:pPr>
        <w:jc w:val="both"/>
        <w:rPr>
          <w:rFonts w:eastAsia="Calibri"/>
          <w:bCs/>
          <w:sz w:val="22"/>
          <w:szCs w:val="22"/>
        </w:rPr>
      </w:pPr>
    </w:p>
    <w:p w14:paraId="59A074F4" w14:textId="6C31455F" w:rsidR="00723EE9" w:rsidRPr="00DE215C" w:rsidRDefault="00601668" w:rsidP="00DE215C">
      <w:pPr>
        <w:numPr>
          <w:ilvl w:val="0"/>
          <w:numId w:val="10"/>
        </w:numPr>
        <w:ind w:left="0" w:firstLine="0"/>
        <w:rPr>
          <w:rFonts w:eastAsia="Calibri"/>
          <w:b/>
          <w:sz w:val="22"/>
          <w:szCs w:val="22"/>
        </w:rPr>
      </w:pPr>
      <w:r w:rsidRPr="00DE215C">
        <w:rPr>
          <w:b/>
          <w:sz w:val="22"/>
          <w:szCs w:val="22"/>
        </w:rPr>
        <w:t>Objet de la réunion</w:t>
      </w:r>
    </w:p>
    <w:p w14:paraId="7BB3AC86" w14:textId="77777777" w:rsidR="00723EE9" w:rsidRPr="00DE215C" w:rsidRDefault="00723EE9" w:rsidP="00DE215C">
      <w:pPr>
        <w:jc w:val="both"/>
        <w:rPr>
          <w:sz w:val="22"/>
          <w:szCs w:val="22"/>
        </w:rPr>
      </w:pPr>
    </w:p>
    <w:p w14:paraId="0D626BB8" w14:textId="7205D885" w:rsidR="00C53DB0" w:rsidRPr="00DE215C" w:rsidRDefault="00EF772D" w:rsidP="00DE215C">
      <w:pPr>
        <w:ind w:firstLine="720"/>
        <w:jc w:val="both"/>
        <w:rPr>
          <w:sz w:val="22"/>
          <w:szCs w:val="22"/>
        </w:rPr>
      </w:pPr>
      <w:r w:rsidRPr="00DE215C">
        <w:rPr>
          <w:sz w:val="22"/>
          <w:szCs w:val="22"/>
        </w:rPr>
        <w:t xml:space="preserve">Cette réunion du CIDI offrira aux États membres l'occasion de discuter du bien-fondé d'une collaboration régionale pour combler les lacunes en matière de compétences et de capacités pour l'industrie version 4.0 dans les Amériques. </w:t>
      </w:r>
    </w:p>
    <w:p w14:paraId="157A69CB" w14:textId="13CB2B9E" w:rsidR="004D3097" w:rsidRPr="00DE215C" w:rsidRDefault="004D3097" w:rsidP="00DE215C">
      <w:pPr>
        <w:jc w:val="both"/>
        <w:rPr>
          <w:sz w:val="22"/>
          <w:szCs w:val="22"/>
        </w:rPr>
      </w:pPr>
    </w:p>
    <w:p w14:paraId="17F1E8A4" w14:textId="746F5F32" w:rsidR="00902338" w:rsidRPr="00DE215C" w:rsidRDefault="00256DD6" w:rsidP="00DE215C">
      <w:pPr>
        <w:ind w:firstLine="720"/>
        <w:jc w:val="both"/>
        <w:rPr>
          <w:sz w:val="22"/>
          <w:szCs w:val="22"/>
        </w:rPr>
      </w:pPr>
      <w:r w:rsidRPr="00DE215C">
        <w:rPr>
          <w:sz w:val="22"/>
          <w:szCs w:val="22"/>
        </w:rPr>
        <w:t>Dans le droit fil de la Sixième Réunion des ministres et hauts fonctionnaires chargés de la science et de la technologie (REMCYT), cette réunion du CIDI sera l'occasion de présenter et de rechercher des partenariats pour créer une « Académie des jeunes des Amériques pour la science et les technologies transformatrices », en s'appuyant sur les ressources existantes et les offres des partenaires, afin de fournir une formation en ligne, un apprentissage dynamique, des laboratoires de formation à distance, un mentorat et des expériences pratiques pour les jeunes des Amériques. Les résultats comprennent des options permettant de fournir des certifications, des formations et d'autres qualifications afin de doter les jeunes des compétences et des titres nécessaires pour occuper les emplois de l'avenir et dans un environnement stimulé par les technologies transformatrices. L'accent sera mis sur le développement de la main-d'œuvre et des entrepreneurs pour la 4</w:t>
      </w:r>
      <w:r w:rsidRPr="00DE215C">
        <w:rPr>
          <w:sz w:val="22"/>
          <w:szCs w:val="22"/>
          <w:vertAlign w:val="superscript"/>
        </w:rPr>
        <w:t>e</w:t>
      </w:r>
      <w:r w:rsidRPr="00DE215C">
        <w:rPr>
          <w:sz w:val="22"/>
          <w:szCs w:val="22"/>
        </w:rPr>
        <w:t xml:space="preserve"> révolution industrielle et les créneaux stratégiques permettant aux États membres de l'OEA de diversifier leurs économies et de renforcer leur résilience.</w:t>
      </w:r>
    </w:p>
    <w:p w14:paraId="54F121D4" w14:textId="77777777" w:rsidR="004B301B" w:rsidRPr="00DE215C" w:rsidRDefault="004B301B" w:rsidP="00DE215C">
      <w:pPr>
        <w:rPr>
          <w:sz w:val="22"/>
          <w:szCs w:val="22"/>
          <w:u w:val="single"/>
        </w:rPr>
      </w:pPr>
    </w:p>
    <w:p w14:paraId="127A2F1F" w14:textId="472E677E" w:rsidR="00601668" w:rsidRPr="00DE215C" w:rsidRDefault="00601668" w:rsidP="00DE215C">
      <w:pPr>
        <w:ind w:left="720" w:hanging="720"/>
        <w:jc w:val="both"/>
        <w:rPr>
          <w:b/>
          <w:sz w:val="22"/>
          <w:szCs w:val="22"/>
        </w:rPr>
      </w:pPr>
      <w:r w:rsidRPr="00DE215C">
        <w:rPr>
          <w:b/>
          <w:sz w:val="22"/>
          <w:szCs w:val="22"/>
        </w:rPr>
        <w:t>3.</w:t>
      </w:r>
      <w:r w:rsidRPr="00DE215C">
        <w:rPr>
          <w:b/>
          <w:sz w:val="22"/>
          <w:szCs w:val="22"/>
        </w:rPr>
        <w:tab/>
        <w:t>Pertinence pour le Secrétariat exécutif au développement intégré (SEDI) et les mandats de l’OEA</w:t>
      </w:r>
    </w:p>
    <w:p w14:paraId="42620451" w14:textId="3B83C41F" w:rsidR="00C53DB0" w:rsidRPr="00DE215C" w:rsidRDefault="00C53DB0" w:rsidP="00DE215C">
      <w:pPr>
        <w:rPr>
          <w:sz w:val="22"/>
          <w:szCs w:val="22"/>
          <w:u w:val="single"/>
        </w:rPr>
      </w:pPr>
    </w:p>
    <w:p w14:paraId="0EFC82E8" w14:textId="6243E7F3" w:rsidR="004B301B" w:rsidRPr="00DE215C" w:rsidRDefault="00055019" w:rsidP="00DE215C">
      <w:pPr>
        <w:jc w:val="both"/>
        <w:rPr>
          <w:sz w:val="22"/>
          <w:szCs w:val="22"/>
        </w:rPr>
      </w:pPr>
      <w:r w:rsidRPr="00DE215C">
        <w:rPr>
          <w:sz w:val="22"/>
          <w:szCs w:val="22"/>
        </w:rPr>
        <w:tab/>
        <w:t>La COMCYT a convenu du thème principal de la Sixième Réunion de la REMCYT : « Mobiliser la puissance des technologies transformatrices pour impulser l’avenir de nos communautés ». L’un des sous-thèmes sera : « Les jeunes : Améliorer les compétences fondamentales et l’état de préparation pour la 4</w:t>
      </w:r>
      <w:r w:rsidRPr="00DE215C">
        <w:rPr>
          <w:sz w:val="22"/>
          <w:szCs w:val="22"/>
          <w:vertAlign w:val="superscript"/>
        </w:rPr>
        <w:t>e</w:t>
      </w:r>
      <w:r w:rsidRPr="00DE215C">
        <w:rPr>
          <w:sz w:val="22"/>
          <w:szCs w:val="22"/>
        </w:rPr>
        <w:t xml:space="preserve"> révolution industrielle », qui est le thème central de cette réunion du CIDI. </w:t>
      </w:r>
    </w:p>
    <w:p w14:paraId="0836C072" w14:textId="77777777" w:rsidR="004B301B" w:rsidRPr="00DE215C" w:rsidRDefault="004B301B" w:rsidP="00DE215C">
      <w:pPr>
        <w:jc w:val="both"/>
        <w:rPr>
          <w:sz w:val="22"/>
          <w:szCs w:val="22"/>
        </w:rPr>
      </w:pPr>
    </w:p>
    <w:p w14:paraId="378197CD" w14:textId="000DD46A" w:rsidR="004B301B" w:rsidRPr="00DE215C" w:rsidRDefault="00055019" w:rsidP="00DE215C">
      <w:pPr>
        <w:jc w:val="both"/>
        <w:rPr>
          <w:sz w:val="22"/>
          <w:szCs w:val="22"/>
        </w:rPr>
      </w:pPr>
      <w:r w:rsidRPr="00DE215C">
        <w:rPr>
          <w:sz w:val="22"/>
          <w:szCs w:val="22"/>
        </w:rPr>
        <w:lastRenderedPageBreak/>
        <w:tab/>
        <w:t xml:space="preserve">Cette réunion du CIDI s'appuiera sur les travaux promus par le SEDI de l’OEA avec un réseau régional d'experts et de partenaires dans le cadre de deux programmes : i) Prospecta Americas sur la prévision technologique des 10 principales technologies transformatrices, et ii) le HUB de l'OEA pour la commercialisation et le transfert de technologie pour les Amériques, avec une méthodologie collaborative pour accélérer les solutions pour résoudre les défis quotidiens « de l'idée au marché ». </w:t>
      </w:r>
    </w:p>
    <w:p w14:paraId="1F37888B" w14:textId="77777777" w:rsidR="00055019" w:rsidRPr="00DE215C" w:rsidRDefault="00055019" w:rsidP="00DE215C">
      <w:pPr>
        <w:jc w:val="both"/>
        <w:rPr>
          <w:sz w:val="22"/>
          <w:szCs w:val="22"/>
        </w:rPr>
      </w:pPr>
    </w:p>
    <w:p w14:paraId="5CB58B58" w14:textId="2D9A9AF6" w:rsidR="00723EE9" w:rsidRPr="00DE215C" w:rsidRDefault="00723EE9" w:rsidP="00DE215C">
      <w:pPr>
        <w:ind w:firstLine="720"/>
        <w:jc w:val="both"/>
        <w:rPr>
          <w:bCs/>
          <w:sz w:val="22"/>
          <w:szCs w:val="22"/>
        </w:rPr>
      </w:pPr>
      <w:r w:rsidRPr="00DE215C">
        <w:rPr>
          <w:sz w:val="22"/>
          <w:szCs w:val="22"/>
        </w:rPr>
        <w:t xml:space="preserve">« La promotion d’économies inclusives et compétitives » est l'une des lignes stratégiques du développement intégré qui figurent dans le Plan stratégique </w:t>
      </w:r>
      <w:r w:rsidRPr="00F02D74">
        <w:rPr>
          <w:sz w:val="22"/>
          <w:szCs w:val="22"/>
        </w:rPr>
        <w:t>intégral [AG/RES. 1 (LI-E/16)].</w:t>
      </w:r>
      <w:r w:rsidRPr="00DE215C">
        <w:rPr>
          <w:color w:val="171717"/>
          <w:sz w:val="22"/>
          <w:szCs w:val="22"/>
        </w:rPr>
        <w:t xml:space="preserve"> </w:t>
      </w:r>
      <w:r w:rsidRPr="00DE215C">
        <w:rPr>
          <w:sz w:val="22"/>
          <w:szCs w:val="22"/>
        </w:rPr>
        <w:t>L'</w:t>
      </w:r>
      <w:r w:rsidRPr="00DE215C">
        <w:rPr>
          <w:color w:val="171717"/>
          <w:sz w:val="22"/>
          <w:szCs w:val="22"/>
        </w:rPr>
        <w:t xml:space="preserve">un de ses </w:t>
      </w:r>
      <w:r w:rsidRPr="00DE215C">
        <w:rPr>
          <w:sz w:val="22"/>
          <w:szCs w:val="22"/>
        </w:rPr>
        <w:t>objectifs stratégiques (1.3) est : « Intensifier la coopération en vue renforcer les capacités des institutions des États membres à assimiler l’innovation et les technologies transformatrices afin d’apporter une valeur ajoutée et de diversifier leurs économies de manière durable et inclusive ».</w:t>
      </w:r>
    </w:p>
    <w:p w14:paraId="3BAF93F9" w14:textId="77777777" w:rsidR="00723EE9" w:rsidRPr="00DE215C" w:rsidRDefault="00723EE9" w:rsidP="00DE215C">
      <w:pPr>
        <w:jc w:val="both"/>
        <w:rPr>
          <w:sz w:val="22"/>
          <w:szCs w:val="22"/>
        </w:rPr>
      </w:pPr>
    </w:p>
    <w:p w14:paraId="59CC8B9A" w14:textId="68709F55" w:rsidR="00723EE9" w:rsidRPr="00DE215C" w:rsidRDefault="00723EE9" w:rsidP="00DE215C">
      <w:pPr>
        <w:ind w:firstLine="720"/>
        <w:jc w:val="both"/>
        <w:rPr>
          <w:sz w:val="22"/>
          <w:szCs w:val="22"/>
        </w:rPr>
      </w:pPr>
      <w:r w:rsidRPr="00DE215C">
        <w:rPr>
          <w:color w:val="171717"/>
          <w:sz w:val="22"/>
          <w:szCs w:val="22"/>
        </w:rPr>
        <w:t>La résolution AG/RES. 2916 (XLVIII-O/18), « Promotion d’initiatives continentales en matière de développement intégré », charge les États membres « </w:t>
      </w:r>
      <w:r w:rsidR="00D509C7" w:rsidRPr="00DE215C">
        <w:rPr>
          <w:color w:val="171717"/>
          <w:sz w:val="22"/>
          <w:szCs w:val="22"/>
        </w:rPr>
        <w:t>d</w:t>
      </w:r>
      <w:r w:rsidRPr="00DE215C">
        <w:rPr>
          <w:color w:val="171717"/>
          <w:sz w:val="22"/>
          <w:szCs w:val="22"/>
        </w:rPr>
        <w:t>’approuver la Déclaration de Medellín : ‘La science, la technologie et l’innovation en tant que piliers de la transformation dans les Amériques’ (CIDI/REMCYT-V/DEC.</w:t>
      </w:r>
      <w:r w:rsidR="00F02D74">
        <w:rPr>
          <w:color w:val="171717"/>
          <w:sz w:val="22"/>
          <w:szCs w:val="22"/>
        </w:rPr>
        <w:t xml:space="preserve"> </w:t>
      </w:r>
      <w:r w:rsidRPr="00DE215C">
        <w:rPr>
          <w:color w:val="171717"/>
          <w:sz w:val="22"/>
          <w:szCs w:val="22"/>
        </w:rPr>
        <w:t xml:space="preserve">1/17 rev. 1), adoptée lors de la Cinquième Réunion des ministres et hauts fonctionnaires chargés de la science et de la technologie organisée dans le cadre du CIDI, tenue à Medellín (Colombie) ». </w:t>
      </w:r>
      <w:r w:rsidRPr="00DE215C">
        <w:rPr>
          <w:sz w:val="22"/>
          <w:szCs w:val="22"/>
        </w:rPr>
        <w:t>La Déclaration de Medellín recommande d’« inscrire dans le travail des quatre groupes de travail l’importance de l'impact des technologies transformatrices dans le développement économique et social des Amériques, comme un engagement pour permettre aux États membres de faire face aux principaux défis et opportunités de notre région ».</w:t>
      </w:r>
    </w:p>
    <w:p w14:paraId="61E7367C" w14:textId="5F851383" w:rsidR="00723EE9" w:rsidRPr="00DE215C" w:rsidRDefault="00723EE9" w:rsidP="00DE215C">
      <w:pPr>
        <w:jc w:val="both"/>
        <w:rPr>
          <w:bCs/>
          <w:sz w:val="22"/>
          <w:szCs w:val="22"/>
        </w:rPr>
      </w:pPr>
    </w:p>
    <w:p w14:paraId="7E220C95" w14:textId="33B384E9" w:rsidR="00723EE9" w:rsidRPr="00DE215C" w:rsidRDefault="00601668" w:rsidP="00DE215C">
      <w:pPr>
        <w:pStyle w:val="ListParagraph0"/>
        <w:numPr>
          <w:ilvl w:val="0"/>
          <w:numId w:val="18"/>
        </w:numPr>
        <w:ind w:left="720" w:hanging="720"/>
        <w:rPr>
          <w:b/>
          <w:sz w:val="22"/>
          <w:szCs w:val="22"/>
        </w:rPr>
      </w:pPr>
      <w:r w:rsidRPr="00DE215C">
        <w:rPr>
          <w:b/>
          <w:sz w:val="22"/>
          <w:szCs w:val="22"/>
        </w:rPr>
        <w:t xml:space="preserve">Structure de la réunion </w:t>
      </w:r>
    </w:p>
    <w:p w14:paraId="1CD6530B" w14:textId="2DA17F24" w:rsidR="00723EE9" w:rsidRPr="00DE215C" w:rsidRDefault="00723EE9" w:rsidP="00DE215C">
      <w:pPr>
        <w:jc w:val="both"/>
        <w:rPr>
          <w:rFonts w:eastAsia="Calibri"/>
          <w:sz w:val="22"/>
          <w:szCs w:val="22"/>
        </w:rPr>
      </w:pPr>
    </w:p>
    <w:p w14:paraId="653C7F32" w14:textId="33D674D6" w:rsidR="00723EE9" w:rsidRPr="00DE215C" w:rsidRDefault="00DD14D2" w:rsidP="00DE215C">
      <w:pPr>
        <w:ind w:firstLine="720"/>
        <w:jc w:val="both"/>
        <w:rPr>
          <w:rFonts w:eastAsia="Calibri"/>
          <w:sz w:val="22"/>
          <w:szCs w:val="22"/>
        </w:rPr>
      </w:pPr>
      <w:r w:rsidRPr="00DE215C">
        <w:rPr>
          <w:sz w:val="22"/>
          <w:szCs w:val="22"/>
        </w:rPr>
        <w:t>Des experts seront invités à prendre la parole pour présenter quelques-uns des principaux domaines dans lesquels il est possible de préparer les jeunes de la région aux sciences et technologies transformatrices.</w:t>
      </w:r>
    </w:p>
    <w:p w14:paraId="799B1B3A" w14:textId="77777777" w:rsidR="00DD14D2" w:rsidRPr="00DE215C" w:rsidRDefault="00DD14D2" w:rsidP="00FB7D37">
      <w:pPr>
        <w:jc w:val="both"/>
        <w:rPr>
          <w:rFonts w:eastAsia="Calibri"/>
          <w:sz w:val="22"/>
          <w:szCs w:val="22"/>
        </w:rPr>
      </w:pPr>
    </w:p>
    <w:p w14:paraId="4E707C13" w14:textId="77777777" w:rsidR="00DD14D2" w:rsidRPr="00DE215C" w:rsidRDefault="00DD14D2" w:rsidP="00DE215C">
      <w:pPr>
        <w:ind w:firstLine="720"/>
        <w:jc w:val="both"/>
        <w:rPr>
          <w:sz w:val="22"/>
          <w:szCs w:val="22"/>
        </w:rPr>
      </w:pPr>
      <w:r w:rsidRPr="00DE215C">
        <w:rPr>
          <w:sz w:val="22"/>
          <w:szCs w:val="22"/>
        </w:rPr>
        <w:t>Les États membres seront invités à poser des questions aux experts invités sur leurs exposés et/ou les principaux points abordés lors de leurs interventions dans le cadre d'un dialogue interactif guidé par la présidence.</w:t>
      </w:r>
    </w:p>
    <w:p w14:paraId="4C54D66B" w14:textId="77777777" w:rsidR="00DD14D2" w:rsidRPr="00DE215C" w:rsidRDefault="00DD14D2" w:rsidP="00FB7D37">
      <w:pPr>
        <w:jc w:val="both"/>
        <w:rPr>
          <w:sz w:val="22"/>
          <w:szCs w:val="22"/>
        </w:rPr>
      </w:pPr>
    </w:p>
    <w:p w14:paraId="6DB2A7D3" w14:textId="58B54A44" w:rsidR="00DD14D2" w:rsidRPr="00DE215C" w:rsidRDefault="00DD14D2" w:rsidP="00DE215C">
      <w:pPr>
        <w:ind w:firstLine="720"/>
        <w:jc w:val="both"/>
        <w:rPr>
          <w:sz w:val="22"/>
          <w:szCs w:val="22"/>
        </w:rPr>
      </w:pPr>
      <w:r w:rsidRPr="00DE215C">
        <w:rPr>
          <w:sz w:val="22"/>
          <w:szCs w:val="22"/>
        </w:rPr>
        <w:t xml:space="preserve">Après les questions et réponses, les délégations seront invitées à partager les bonnes pratiques, les offres spécifiques de collaboration ou les besoins liés à ce sujet.  Parmi les questions directrices pour les interventions des États membres figurent les suivantes : </w:t>
      </w:r>
    </w:p>
    <w:p w14:paraId="79DD4B80" w14:textId="77777777" w:rsidR="00DD14D2" w:rsidRPr="00DE215C" w:rsidRDefault="00DD14D2" w:rsidP="00FB7D37">
      <w:pPr>
        <w:jc w:val="both"/>
        <w:rPr>
          <w:sz w:val="22"/>
          <w:szCs w:val="22"/>
        </w:rPr>
      </w:pPr>
    </w:p>
    <w:p w14:paraId="39A66576" w14:textId="61FC99C4" w:rsidR="00DD14D2" w:rsidRPr="00DE215C" w:rsidRDefault="00DD14D2" w:rsidP="00DE215C">
      <w:pPr>
        <w:ind w:left="1440" w:hanging="720"/>
        <w:jc w:val="both"/>
        <w:rPr>
          <w:sz w:val="22"/>
          <w:szCs w:val="22"/>
        </w:rPr>
      </w:pPr>
      <w:r w:rsidRPr="00DE215C">
        <w:rPr>
          <w:sz w:val="22"/>
          <w:szCs w:val="22"/>
        </w:rPr>
        <w:t xml:space="preserve">1) </w:t>
      </w:r>
      <w:r w:rsidR="00D509C7" w:rsidRPr="00DE215C">
        <w:rPr>
          <w:sz w:val="22"/>
          <w:szCs w:val="22"/>
        </w:rPr>
        <w:tab/>
      </w:r>
      <w:r w:rsidRPr="00DE215C">
        <w:rPr>
          <w:sz w:val="22"/>
          <w:szCs w:val="22"/>
        </w:rPr>
        <w:t>Quel</w:t>
      </w:r>
      <w:r w:rsidR="00D509C7" w:rsidRPr="00DE215C">
        <w:rPr>
          <w:sz w:val="22"/>
          <w:szCs w:val="22"/>
        </w:rPr>
        <w:t>le</w:t>
      </w:r>
      <w:r w:rsidRPr="00DE215C">
        <w:rPr>
          <w:sz w:val="22"/>
          <w:szCs w:val="22"/>
        </w:rPr>
        <w:t xml:space="preserve">s sont les principales lacunes ou difficultés de votre pays en matière de développement des compétences des jeunes concernant les sciences et technologies transformatrices ? </w:t>
      </w:r>
    </w:p>
    <w:p w14:paraId="3F8F325D" w14:textId="16234436" w:rsidR="00DD14D2" w:rsidRPr="00DE215C" w:rsidRDefault="00DD14D2" w:rsidP="00DE215C">
      <w:pPr>
        <w:ind w:left="1440" w:hanging="720"/>
        <w:jc w:val="both"/>
        <w:rPr>
          <w:sz w:val="22"/>
          <w:szCs w:val="22"/>
        </w:rPr>
      </w:pPr>
      <w:r w:rsidRPr="00DE215C">
        <w:rPr>
          <w:sz w:val="22"/>
          <w:szCs w:val="22"/>
        </w:rPr>
        <w:t>2)</w:t>
      </w:r>
      <w:r w:rsidR="00D509C7" w:rsidRPr="00DE215C">
        <w:rPr>
          <w:sz w:val="22"/>
          <w:szCs w:val="22"/>
        </w:rPr>
        <w:tab/>
      </w:r>
      <w:r w:rsidRPr="00DE215C">
        <w:rPr>
          <w:sz w:val="22"/>
          <w:szCs w:val="22"/>
        </w:rPr>
        <w:t>Quelles sont les bonnes pratiques ou approches spécifiques mises en œuvre par votre pays avec succès à l’appui des interventions dans ce domaine de compétences chez les jeunes pour la 4</w:t>
      </w:r>
      <w:r w:rsidRPr="00DE215C">
        <w:rPr>
          <w:sz w:val="22"/>
          <w:szCs w:val="22"/>
          <w:vertAlign w:val="superscript"/>
        </w:rPr>
        <w:t>e</w:t>
      </w:r>
      <w:r w:rsidRPr="00DE215C">
        <w:rPr>
          <w:sz w:val="22"/>
          <w:szCs w:val="22"/>
        </w:rPr>
        <w:t xml:space="preserve"> révolution industrielle ?  </w:t>
      </w:r>
    </w:p>
    <w:p w14:paraId="738BF319" w14:textId="53BC4FCB" w:rsidR="00DD14D2" w:rsidRPr="00DE215C" w:rsidRDefault="00DD14D2" w:rsidP="00DE215C">
      <w:pPr>
        <w:ind w:left="1440" w:hanging="720"/>
        <w:jc w:val="both"/>
        <w:rPr>
          <w:sz w:val="22"/>
          <w:szCs w:val="22"/>
        </w:rPr>
      </w:pPr>
      <w:r w:rsidRPr="00DE215C">
        <w:rPr>
          <w:sz w:val="22"/>
          <w:szCs w:val="22"/>
        </w:rPr>
        <w:t>3)</w:t>
      </w:r>
      <w:r w:rsidR="00D509C7" w:rsidRPr="00DE215C">
        <w:rPr>
          <w:sz w:val="22"/>
          <w:szCs w:val="22"/>
        </w:rPr>
        <w:tab/>
      </w:r>
      <w:r w:rsidRPr="00DE215C">
        <w:rPr>
          <w:sz w:val="22"/>
          <w:szCs w:val="22"/>
        </w:rPr>
        <w:t>Quelles offres de coopération ou de partenariats votre pays peut-il apporter pour la coopération régionale au service de l’amélioration des compétences et offres pour les jeunes liées à la science et aux technologies transformatrices ?</w:t>
      </w:r>
    </w:p>
    <w:p w14:paraId="2EC17A52" w14:textId="371F2787" w:rsidR="00194B58" w:rsidRPr="00DE215C" w:rsidRDefault="00194B58" w:rsidP="00FB7D37">
      <w:pPr>
        <w:jc w:val="both"/>
        <w:rPr>
          <w:rFonts w:eastAsia="Calibri"/>
          <w:sz w:val="22"/>
          <w:szCs w:val="22"/>
        </w:rPr>
      </w:pPr>
    </w:p>
    <w:p w14:paraId="413C49C6" w14:textId="7071C690" w:rsidR="004D3097" w:rsidRPr="00DE215C" w:rsidRDefault="0020125B" w:rsidP="00DE215C">
      <w:pPr>
        <w:keepNext/>
        <w:ind w:left="720"/>
        <w:jc w:val="both"/>
        <w:rPr>
          <w:rFonts w:eastAsia="Calibri"/>
          <w:sz w:val="22"/>
          <w:szCs w:val="22"/>
        </w:rPr>
      </w:pPr>
      <w:r w:rsidRPr="00DE215C">
        <w:rPr>
          <w:sz w:val="22"/>
          <w:szCs w:val="22"/>
        </w:rPr>
        <w:lastRenderedPageBreak/>
        <w:t>Exposés des experts (7 minutes, maximum de 10 minutes)</w:t>
      </w:r>
    </w:p>
    <w:p w14:paraId="08CCD538" w14:textId="77777777" w:rsidR="004D3097" w:rsidRPr="00DE215C" w:rsidRDefault="004D3097" w:rsidP="00DE215C">
      <w:pPr>
        <w:keepNext/>
        <w:jc w:val="both"/>
        <w:rPr>
          <w:rFonts w:eastAsia="Calibri"/>
          <w:sz w:val="22"/>
          <w:szCs w:val="22"/>
        </w:rPr>
      </w:pPr>
    </w:p>
    <w:p w14:paraId="03DF7A20" w14:textId="198BCE41" w:rsidR="004D3097" w:rsidRPr="00DE215C" w:rsidRDefault="00C14A3E" w:rsidP="00DE215C">
      <w:pPr>
        <w:pStyle w:val="ListParagraph0"/>
        <w:numPr>
          <w:ilvl w:val="0"/>
          <w:numId w:val="20"/>
        </w:numPr>
        <w:ind w:hanging="720"/>
        <w:jc w:val="both"/>
        <w:rPr>
          <w:sz w:val="22"/>
          <w:szCs w:val="22"/>
        </w:rPr>
      </w:pPr>
      <w:r w:rsidRPr="00DE215C">
        <w:rPr>
          <w:sz w:val="22"/>
          <w:szCs w:val="22"/>
        </w:rPr>
        <w:t>Tito José Crissien Borrero, Ministre de la science, de la technologie et de l’innovation (MINCIENCIAS), Colombie</w:t>
      </w:r>
    </w:p>
    <w:p w14:paraId="4DB4B96C" w14:textId="5CE30537" w:rsidR="0020125B" w:rsidRPr="00DE215C" w:rsidRDefault="0020125B" w:rsidP="00DE215C">
      <w:pPr>
        <w:pStyle w:val="ListParagraph0"/>
        <w:numPr>
          <w:ilvl w:val="0"/>
          <w:numId w:val="20"/>
        </w:numPr>
        <w:ind w:hanging="720"/>
        <w:jc w:val="both"/>
        <w:rPr>
          <w:sz w:val="22"/>
          <w:szCs w:val="22"/>
        </w:rPr>
      </w:pPr>
      <w:r w:rsidRPr="00DE215C">
        <w:rPr>
          <w:sz w:val="22"/>
          <w:szCs w:val="22"/>
        </w:rPr>
        <w:t>Andrea Escobedo, Directrice des relations gouvernementales et des affaires réglementaires IMB-Mexique et vice-présidente nationale de l'inclusion et de la diversité (CANIETI-Chambre nationale des industries technologiques)</w:t>
      </w:r>
    </w:p>
    <w:p w14:paraId="58C8502B" w14:textId="1422E3DA" w:rsidR="0020125B" w:rsidRPr="00DE215C" w:rsidRDefault="0071494C" w:rsidP="00DE215C">
      <w:pPr>
        <w:pStyle w:val="ListParagraph0"/>
        <w:numPr>
          <w:ilvl w:val="0"/>
          <w:numId w:val="20"/>
        </w:numPr>
        <w:ind w:hanging="720"/>
        <w:jc w:val="both"/>
        <w:rPr>
          <w:sz w:val="22"/>
          <w:szCs w:val="22"/>
        </w:rPr>
      </w:pPr>
      <w:r w:rsidRPr="00DE215C">
        <w:rPr>
          <w:sz w:val="22"/>
          <w:szCs w:val="22"/>
        </w:rPr>
        <w:t>Jorge Vanegas, doyen du Collège d'architecture, directeur de l'Institut pour les communautés durables, Université A&amp;M du Texas, président de l'Académie panaméricaine d'ingénierie (PAAE)</w:t>
      </w:r>
    </w:p>
    <w:p w14:paraId="7DF574AE" w14:textId="77777777" w:rsidR="00194B58" w:rsidRPr="00DE215C" w:rsidRDefault="00194B58" w:rsidP="00DE215C">
      <w:pPr>
        <w:jc w:val="both"/>
        <w:rPr>
          <w:rFonts w:eastAsia="Calibri"/>
          <w:sz w:val="22"/>
          <w:szCs w:val="22"/>
        </w:rPr>
      </w:pPr>
    </w:p>
    <w:p w14:paraId="412B4FC4" w14:textId="0BA7B699" w:rsidR="00723EE9" w:rsidRPr="00DE215C" w:rsidRDefault="00723EE9" w:rsidP="00DE215C">
      <w:pPr>
        <w:numPr>
          <w:ilvl w:val="0"/>
          <w:numId w:val="18"/>
        </w:numPr>
        <w:ind w:left="0" w:firstLine="0"/>
        <w:rPr>
          <w:rFonts w:eastAsia="Calibri"/>
          <w:b/>
          <w:sz w:val="22"/>
          <w:szCs w:val="22"/>
        </w:rPr>
      </w:pPr>
      <w:r w:rsidRPr="00DE215C">
        <w:rPr>
          <w:b/>
          <w:sz w:val="22"/>
          <w:szCs w:val="22"/>
        </w:rPr>
        <w:t>Résultat de la réunion</w:t>
      </w:r>
    </w:p>
    <w:p w14:paraId="359FE12E" w14:textId="77777777" w:rsidR="00723EE9" w:rsidRPr="00DE215C" w:rsidRDefault="00723EE9" w:rsidP="00DE215C">
      <w:pPr>
        <w:jc w:val="both"/>
        <w:rPr>
          <w:rFonts w:eastAsia="Calibri"/>
          <w:bCs/>
          <w:sz w:val="22"/>
          <w:szCs w:val="22"/>
        </w:rPr>
      </w:pPr>
    </w:p>
    <w:p w14:paraId="518E666B" w14:textId="77777777" w:rsidR="00723EE9" w:rsidRPr="00DE215C" w:rsidRDefault="00723EE9" w:rsidP="00DE215C">
      <w:pPr>
        <w:ind w:firstLine="720"/>
        <w:jc w:val="both"/>
        <w:rPr>
          <w:rFonts w:eastAsia="Calibri"/>
          <w:sz w:val="22"/>
          <w:szCs w:val="22"/>
        </w:rPr>
      </w:pPr>
      <w:r w:rsidRPr="00DE215C">
        <w:rPr>
          <w:sz w:val="22"/>
          <w:szCs w:val="22"/>
        </w:rPr>
        <w:t>La réunion devrait contribuer à :</w:t>
      </w:r>
    </w:p>
    <w:p w14:paraId="5EFC065D" w14:textId="77777777" w:rsidR="00723EE9" w:rsidRPr="00DE215C" w:rsidRDefault="00723EE9" w:rsidP="00DE215C">
      <w:pPr>
        <w:jc w:val="both"/>
        <w:rPr>
          <w:rFonts w:eastAsia="Calibri"/>
          <w:sz w:val="22"/>
          <w:szCs w:val="22"/>
        </w:rPr>
      </w:pPr>
    </w:p>
    <w:p w14:paraId="058D026B" w14:textId="6ADE3963" w:rsidR="00723EE9" w:rsidRPr="00DE215C" w:rsidRDefault="00723EE9" w:rsidP="00DE215C">
      <w:pPr>
        <w:numPr>
          <w:ilvl w:val="0"/>
          <w:numId w:val="11"/>
        </w:numPr>
        <w:ind w:left="1440" w:hanging="720"/>
        <w:jc w:val="both"/>
        <w:rPr>
          <w:rFonts w:eastAsia="Calibri"/>
          <w:sz w:val="22"/>
          <w:szCs w:val="22"/>
        </w:rPr>
      </w:pPr>
      <w:r w:rsidRPr="00DE215C">
        <w:rPr>
          <w:sz w:val="22"/>
          <w:szCs w:val="22"/>
        </w:rPr>
        <w:t>fournir des informations sur les principales tendances, les défis et les opportunités en matière de science et de technologies transformatrices pour les États membres de l'OEA, en particulier le développement des compétences des jeunes ;</w:t>
      </w:r>
    </w:p>
    <w:p w14:paraId="68986623" w14:textId="3C14C6C7" w:rsidR="00194B58" w:rsidRPr="00DE215C" w:rsidRDefault="00194B58" w:rsidP="00DE215C">
      <w:pPr>
        <w:numPr>
          <w:ilvl w:val="0"/>
          <w:numId w:val="11"/>
        </w:numPr>
        <w:ind w:left="1440" w:hanging="720"/>
        <w:jc w:val="both"/>
        <w:rPr>
          <w:rFonts w:eastAsia="Calibri"/>
          <w:sz w:val="22"/>
          <w:szCs w:val="22"/>
        </w:rPr>
      </w:pPr>
      <w:r w:rsidRPr="00DE215C">
        <w:rPr>
          <w:sz w:val="22"/>
          <w:szCs w:val="22"/>
        </w:rPr>
        <w:t>identifier des priorités et des domaines de coopération régionale dans les Amériques pour promouvoir les compétences des jeunes face à la 4</w:t>
      </w:r>
      <w:r w:rsidRPr="00DE215C">
        <w:rPr>
          <w:sz w:val="22"/>
          <w:szCs w:val="22"/>
          <w:vertAlign w:val="superscript"/>
        </w:rPr>
        <w:t>e</w:t>
      </w:r>
      <w:r w:rsidRPr="00DE215C">
        <w:rPr>
          <w:sz w:val="22"/>
          <w:szCs w:val="22"/>
        </w:rPr>
        <w:t xml:space="preserve"> révolution industrielle ;</w:t>
      </w:r>
    </w:p>
    <w:p w14:paraId="0DA2742D" w14:textId="08B23D65" w:rsidR="00723EE9" w:rsidRPr="00DE215C" w:rsidRDefault="003B0B19" w:rsidP="00DE215C">
      <w:pPr>
        <w:numPr>
          <w:ilvl w:val="0"/>
          <w:numId w:val="11"/>
        </w:numPr>
        <w:ind w:left="1440" w:hanging="720"/>
        <w:jc w:val="both"/>
        <w:rPr>
          <w:rFonts w:eastAsia="Calibri"/>
          <w:sz w:val="22"/>
          <w:szCs w:val="22"/>
        </w:rPr>
      </w:pPr>
      <w:r w:rsidRPr="00DE215C">
        <w:rPr>
          <w:sz w:val="22"/>
          <w:szCs w:val="22"/>
        </w:rPr>
        <w:t>encourager les États membres à présenter des bonnes pratiques avec des possibilités de coopération pour réduire les lacunes existantes et favoriser des créneaux et des offres potentiels ;</w:t>
      </w:r>
    </w:p>
    <w:p w14:paraId="2CD50C78" w14:textId="63D9D73B" w:rsidR="00F760D5" w:rsidRPr="00DE215C" w:rsidRDefault="00D509C7" w:rsidP="00DE215C">
      <w:pPr>
        <w:numPr>
          <w:ilvl w:val="0"/>
          <w:numId w:val="11"/>
        </w:numPr>
        <w:ind w:left="1440" w:hanging="720"/>
        <w:jc w:val="both"/>
        <w:rPr>
          <w:sz w:val="22"/>
          <w:szCs w:val="22"/>
          <w:u w:val="single"/>
        </w:rPr>
      </w:pPr>
      <w:r w:rsidRPr="00DE215C">
        <w:rPr>
          <w:sz w:val="22"/>
          <w:szCs w:val="22"/>
        </w:rPr>
        <w:t>f</w:t>
      </w:r>
      <w:r w:rsidR="0071494C" w:rsidRPr="00DE215C">
        <w:rPr>
          <w:sz w:val="22"/>
          <w:szCs w:val="22"/>
        </w:rPr>
        <w:t>aire avancer une proposition visant à créer l’« Académie des jeunes des Amériques pour les technologies transformatrices », qui débouchera sur la Sixième REMCYT pour :</w:t>
      </w:r>
    </w:p>
    <w:p w14:paraId="044C2BE4" w14:textId="77777777" w:rsidR="00F760D5" w:rsidRPr="00DE215C" w:rsidRDefault="00F760D5" w:rsidP="00DE215C">
      <w:pPr>
        <w:rPr>
          <w:sz w:val="22"/>
          <w:szCs w:val="22"/>
        </w:rPr>
      </w:pPr>
    </w:p>
    <w:p w14:paraId="793C8A90" w14:textId="17C17DCB" w:rsidR="00F760D5" w:rsidRPr="00DE215C" w:rsidRDefault="00F760D5" w:rsidP="00DE215C">
      <w:pPr>
        <w:numPr>
          <w:ilvl w:val="0"/>
          <w:numId w:val="16"/>
        </w:numPr>
        <w:tabs>
          <w:tab w:val="clear" w:pos="720"/>
        </w:tabs>
        <w:ind w:left="2160" w:hanging="720"/>
        <w:jc w:val="both"/>
        <w:rPr>
          <w:sz w:val="22"/>
          <w:szCs w:val="22"/>
        </w:rPr>
      </w:pPr>
      <w:r w:rsidRPr="00DE215C">
        <w:rPr>
          <w:sz w:val="22"/>
          <w:szCs w:val="22"/>
        </w:rPr>
        <w:t xml:space="preserve">cibler plus de 10 000 jeunes pour une formation aux technologies transformatrices d'ici 2024 ; </w:t>
      </w:r>
    </w:p>
    <w:p w14:paraId="0FD209E6" w14:textId="25A18C75" w:rsidR="0071494C" w:rsidRPr="00DE215C" w:rsidRDefault="00F760D5" w:rsidP="00DE215C">
      <w:pPr>
        <w:numPr>
          <w:ilvl w:val="0"/>
          <w:numId w:val="16"/>
        </w:numPr>
        <w:tabs>
          <w:tab w:val="clear" w:pos="720"/>
        </w:tabs>
        <w:ind w:left="2160" w:hanging="720"/>
        <w:jc w:val="both"/>
        <w:rPr>
          <w:sz w:val="22"/>
          <w:szCs w:val="22"/>
        </w:rPr>
      </w:pPr>
      <w:r w:rsidRPr="00DE215C">
        <w:rPr>
          <w:sz w:val="22"/>
          <w:szCs w:val="22"/>
        </w:rPr>
        <w:t>augmenter le nombre de femmes participant activement à l'économie numérique et de l'innovation et en bénéficiant ;</w:t>
      </w:r>
    </w:p>
    <w:p w14:paraId="70B6BBD6" w14:textId="2E9B97AB" w:rsidR="00F760D5" w:rsidRPr="00DE215C" w:rsidRDefault="00F760D5" w:rsidP="00DE215C">
      <w:pPr>
        <w:numPr>
          <w:ilvl w:val="0"/>
          <w:numId w:val="16"/>
        </w:numPr>
        <w:tabs>
          <w:tab w:val="clear" w:pos="720"/>
        </w:tabs>
        <w:ind w:left="2160" w:hanging="720"/>
        <w:jc w:val="both"/>
        <w:rPr>
          <w:sz w:val="22"/>
          <w:szCs w:val="22"/>
        </w:rPr>
      </w:pPr>
      <w:r w:rsidRPr="00DE215C">
        <w:rPr>
          <w:sz w:val="22"/>
          <w:szCs w:val="22"/>
        </w:rPr>
        <w:t>créer des groupes d'excellence de jeunes pour cartographier les tendances technologiques et diriger des projets de recherche régionaux sur les technologies transformatrices dans les États membres de l’OEA.</w:t>
      </w:r>
    </w:p>
    <w:p w14:paraId="21954D1D" w14:textId="3CF33905" w:rsidR="000B6478" w:rsidRPr="00DE215C" w:rsidRDefault="00A61DEB" w:rsidP="00DE215C">
      <w:pPr>
        <w:rPr>
          <w:sz w:val="22"/>
          <w:szCs w:val="22"/>
        </w:rPr>
      </w:pPr>
      <w:r w:rsidRPr="00DE215C">
        <w:rPr>
          <w:noProof/>
          <w:sz w:val="22"/>
          <w:szCs w:val="22"/>
        </w:rPr>
        <mc:AlternateContent>
          <mc:Choice Requires="wps">
            <w:drawing>
              <wp:anchor distT="0" distB="0" distL="114300" distR="114300" simplePos="0" relativeHeight="251660288" behindDoc="0" locked="1" layoutInCell="1" allowOverlap="1" wp14:anchorId="6E6D0ADA" wp14:editId="24A59769">
                <wp:simplePos x="0" y="0"/>
                <wp:positionH relativeFrom="column">
                  <wp:posOffset>-43815</wp:posOffset>
                </wp:positionH>
                <wp:positionV relativeFrom="page">
                  <wp:posOffset>9151620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EC468A2" w14:textId="7789BF3A" w:rsidR="0031291C" w:rsidRPr="0031291C" w:rsidRDefault="0031291C">
                            <w:pPr>
                              <w:rPr>
                                <w:sz w:val="18"/>
                              </w:rPr>
                            </w:pPr>
                            <w:r>
                              <w:rPr>
                                <w:sz w:val="18"/>
                              </w:rPr>
                              <w:fldChar w:fldCharType="begin"/>
                            </w:r>
                            <w:r>
                              <w:rPr>
                                <w:sz w:val="18"/>
                              </w:rPr>
                              <w:instrText xml:space="preserve"> FILENAME  \* MERGEFORMAT </w:instrText>
                            </w:r>
                            <w:r>
                              <w:rPr>
                                <w:sz w:val="18"/>
                              </w:rPr>
                              <w:fldChar w:fldCharType="separate"/>
                            </w:r>
                            <w:r>
                              <w:rPr>
                                <w:sz w:val="18"/>
                              </w:rPr>
                              <w:t>CIDRP03278</w:t>
                            </w:r>
                            <w:r w:rsidR="00DE215C">
                              <w:rPr>
                                <w:sz w:val="18"/>
                              </w:rPr>
                              <w:t>F</w:t>
                            </w:r>
                            <w:r>
                              <w:rPr>
                                <w:sz w:val="18"/>
                              </w:rPr>
                              <w:t>0</w:t>
                            </w:r>
                            <w:r w:rsidR="00DE215C">
                              <w:rPr>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6D0ADA" id="_x0000_t202" coordsize="21600,21600" o:spt="202" path="m,l,21600r21600,l21600,xe">
                <v:stroke joinstyle="miter"/>
                <v:path gradientshapeok="t" o:connecttype="rect"/>
              </v:shapetype>
              <v:shape id="Text Box 6" o:spid="_x0000_s1026" type="#_x0000_t202" style="position:absolute;margin-left:-3.45pt;margin-top:720.6pt;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" filled="f" stroked="f">
                <v:stroke joinstyle="round"/>
                <v:textbox>
                  <w:txbxContent>
                    <w:p w14:paraId="1EC468A2" w14:textId="7789BF3A" w:rsidR="0031291C" w:rsidRPr="0031291C" w:rsidRDefault="0031291C">
                      <w:pPr>
                        <w:rPr>
                          <w:sz w:val="18"/>
                        </w:rPr>
                      </w:pPr>
                      <w:r>
                        <w:rPr>
                          <w:sz w:val="18"/>
                        </w:rPr>
                        <w:fldChar w:fldCharType="begin"/>
                      </w:r>
                      <w:r>
                        <w:rPr>
                          <w:sz w:val="18"/>
                        </w:rPr>
                        <w:instrText xml:space="preserve"> FILENAME  \* MERGEFORMAT </w:instrText>
                      </w:r>
                      <w:r>
                        <w:rPr>
                          <w:sz w:val="18"/>
                        </w:rPr>
                        <w:fldChar w:fldCharType="separate"/>
                      </w:r>
                      <w:r>
                        <w:rPr>
                          <w:sz w:val="18"/>
                        </w:rPr>
                        <w:t>CIDRP03278</w:t>
                      </w:r>
                      <w:r w:rsidR="00DE215C">
                        <w:rPr>
                          <w:sz w:val="18"/>
                        </w:rPr>
                        <w:t>F</w:t>
                      </w:r>
                      <w:r>
                        <w:rPr>
                          <w:sz w:val="18"/>
                        </w:rPr>
                        <w:t>0</w:t>
                      </w:r>
                      <w:r w:rsidR="00DE215C">
                        <w:rPr>
                          <w:sz w:val="18"/>
                        </w:rPr>
                        <w:t>4</w:t>
                      </w:r>
                      <w:r>
                        <w:rPr>
                          <w:sz w:val="18"/>
                        </w:rPr>
                        <w:fldChar w:fldCharType="end"/>
                      </w:r>
                    </w:p>
                  </w:txbxContent>
                </v:textbox>
                <w10:wrap anchory="page"/>
                <w10:anchorlock/>
              </v:shape>
            </w:pict>
          </mc:Fallback>
        </mc:AlternateContent>
      </w:r>
    </w:p>
    <w:sectPr w:rsidR="000B6478" w:rsidRPr="00DE215C" w:rsidSect="00DE215C">
      <w:headerReference w:type="default" r:id="rId11"/>
      <w:headerReference w:type="first" r:id="rId12"/>
      <w:type w:val="continuous"/>
      <w:pgSz w:w="12240" w:h="15840" w:code="1"/>
      <w:pgMar w:top="2160" w:right="1570" w:bottom="1296" w:left="1699" w:header="1296" w:footer="1296"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497AB" w14:textId="77777777" w:rsidR="009C5117" w:rsidRDefault="009C5117">
      <w:r>
        <w:separator/>
      </w:r>
    </w:p>
  </w:endnote>
  <w:endnote w:type="continuationSeparator" w:id="0">
    <w:p w14:paraId="3B85502E" w14:textId="77777777" w:rsidR="009C5117" w:rsidRDefault="009C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niversLTStd-Ligh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FFBCB" w14:textId="77777777" w:rsidR="009C5117" w:rsidRDefault="009C5117">
      <w:r>
        <w:separator/>
      </w:r>
    </w:p>
  </w:footnote>
  <w:footnote w:type="continuationSeparator" w:id="0">
    <w:p w14:paraId="05199453" w14:textId="77777777" w:rsidR="009C5117" w:rsidRDefault="009C5117">
      <w:r>
        <w:continuationSeparator/>
      </w:r>
    </w:p>
  </w:footnote>
  <w:footnote w:id="1">
    <w:p w14:paraId="60DD1109" w14:textId="4AE1660C" w:rsidR="00DD505E" w:rsidRPr="00DE215C" w:rsidRDefault="00DD505E" w:rsidP="006B1932">
      <w:pPr>
        <w:autoSpaceDE w:val="0"/>
        <w:autoSpaceDN w:val="0"/>
        <w:adjustRightInd w:val="0"/>
        <w:ind w:left="540" w:hanging="360"/>
        <w:jc w:val="both"/>
        <w:rPr>
          <w:rFonts w:cs="UniversLTStd-Light"/>
          <w:lang w:val="en-US"/>
        </w:rPr>
      </w:pPr>
      <w:r>
        <w:rPr>
          <w:rStyle w:val="FootnoteReference"/>
          <w:vertAlign w:val="baseline"/>
        </w:rPr>
        <w:footnoteRef/>
      </w:r>
      <w:r>
        <w:t>.</w:t>
      </w:r>
      <w:r>
        <w:tab/>
        <w:t>Frey, C. B. and M. A. Osborne (2013), “The future of employment: how susceptible are jobs to computerisation?”, Technological Forecasting and Social Change, vol. 114., World Bank (2016), World Development Report 2016: Digital Dividends, Washington, D.C., OECD/ECLAC/CAF (Organisation pour la coopération et le développement économiques/Commission économique pour l'Amérique latine et les Caraïbes/Banque de développement de l’Amérique latine) (2016), Latin American Economic Outlook, 2017: Youth, Skills and Entrepreneurship (LC/G.2689), Paris, Octobre, OCDE (Organisation pour la coopération et le développement économiques) (2017), “Going digital: The future of work for women”, Policy Brief on the Future of Work, Paris., Manyika, J. and others (2017), A Future That Works: Automation, Employment, and</w:t>
      </w:r>
      <w:r>
        <w:rPr>
          <w:i/>
        </w:rPr>
        <w:t xml:space="preserve"> Productivity</w:t>
      </w:r>
      <w:r>
        <w:t>, McKinsey Global Institute, Jan</w:t>
      </w:r>
      <w:r w:rsidR="007B438C">
        <w:t>vier.</w:t>
      </w:r>
      <w:r>
        <w:t xml:space="preserve"> </w:t>
      </w:r>
      <w:r w:rsidRPr="00DE215C">
        <w:rPr>
          <w:lang w:val="en-US"/>
        </w:rPr>
        <w:t xml:space="preserve">Cadena, A. and others (2017), ”Where will Latin America’s growth come from?”, </w:t>
      </w:r>
      <w:r w:rsidRPr="00DE215C">
        <w:rPr>
          <w:i/>
          <w:lang w:val="en-US"/>
        </w:rPr>
        <w:t>Discussion Paper</w:t>
      </w:r>
      <w:r w:rsidRPr="00DE215C">
        <w:rPr>
          <w:lang w:val="en-US"/>
        </w:rPr>
        <w:t>, McKinsey Global Institute, Avril.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9C75F5" w:rsidRDefault="00FA607C">
    <w:pPr>
      <w:pStyle w:val="Header"/>
      <w:jc w:val="center"/>
      <w:rPr>
        <w:sz w:val="22"/>
        <w:szCs w:val="22"/>
      </w:rPr>
    </w:pPr>
    <w:r w:rsidRPr="009C75F5">
      <w:rPr>
        <w:sz w:val="22"/>
      </w:rPr>
      <w:fldChar w:fldCharType="begin"/>
    </w:r>
    <w:r w:rsidRPr="009C75F5">
      <w:rPr>
        <w:sz w:val="22"/>
      </w:rPr>
      <w:instrText xml:space="preserve"> PAGE   \* MERGEFORMAT </w:instrText>
    </w:r>
    <w:r w:rsidRPr="009C75F5">
      <w:rPr>
        <w:sz w:val="22"/>
      </w:rPr>
      <w:fldChar w:fldCharType="separate"/>
    </w:r>
    <w:r w:rsidR="00650EFA">
      <w:rPr>
        <w:sz w:val="22"/>
      </w:rPr>
      <w:t>- 2 -</w:t>
    </w:r>
    <w:r w:rsidRPr="009C75F5">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76CE9130" w:rsidR="0073480E" w:rsidRDefault="00FB7D37">
    <w:pPr>
      <w:pStyle w:val="Header"/>
    </w:pPr>
    <w:r>
      <w:rPr>
        <w:noProof/>
      </w:rPr>
      <w:drawing>
        <wp:anchor distT="0" distB="0" distL="114300" distR="114300" simplePos="0" relativeHeight="251656704" behindDoc="0" locked="0" layoutInCell="1" allowOverlap="1" wp14:anchorId="24749B64" wp14:editId="17C976B6">
          <wp:simplePos x="0" y="0"/>
          <wp:positionH relativeFrom="column">
            <wp:posOffset>-531964</wp:posOffset>
          </wp:positionH>
          <wp:positionV relativeFrom="paragraph">
            <wp:posOffset>-483235</wp:posOffset>
          </wp:positionV>
          <wp:extent cx="822960" cy="824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sidR="00C611B0">
      <w:rPr>
        <w:noProof/>
      </w:rPr>
      <mc:AlternateContent>
        <mc:Choice Requires="wps">
          <w:drawing>
            <wp:anchor distT="0" distB="0" distL="114300" distR="114300" simplePos="0" relativeHeight="251658752" behindDoc="0" locked="0" layoutInCell="1" allowOverlap="1" wp14:anchorId="580D35AC" wp14:editId="5222E9A9">
              <wp:simplePos x="0" y="0"/>
              <wp:positionH relativeFrom="column">
                <wp:posOffset>379785</wp:posOffset>
              </wp:positionH>
              <wp:positionV relativeFrom="paragraph">
                <wp:posOffset>-353750</wp:posOffset>
              </wp:positionV>
              <wp:extent cx="4728845" cy="620202"/>
              <wp:effectExtent l="0" t="0" r="0"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6202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77777777" w:rsidR="00921E9E" w:rsidRPr="00133A15"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ORGANISATION DES ÉTATS AMÉRICAINS </w:t>
                          </w:r>
                        </w:p>
                        <w:p w14:paraId="2CA4038B" w14:textId="77777777" w:rsidR="00921E9E" w:rsidRPr="00133A15" w:rsidRDefault="00FA607C" w:rsidP="00921E9E">
                          <w:pPr>
                            <w:pStyle w:val="Header"/>
                            <w:tabs>
                              <w:tab w:val="left" w:pos="900"/>
                            </w:tabs>
                            <w:spacing w:line="0" w:lineRule="atLeast"/>
                            <w:jc w:val="center"/>
                            <w:rPr>
                              <w:rFonts w:ascii="Garamond" w:hAnsi="Garamond"/>
                              <w:b/>
                              <w:szCs w:val="22"/>
                            </w:rPr>
                          </w:pPr>
                          <w:r>
                            <w:rPr>
                              <w:rFonts w:ascii="Garamond" w:hAnsi="Garamond"/>
                              <w:b/>
                            </w:rPr>
                            <w:t xml:space="preserve">Conseil interaméricain pour le développement intégré </w:t>
                          </w:r>
                        </w:p>
                        <w:p w14:paraId="2B28C509" w14:textId="77777777" w:rsidR="00921E9E" w:rsidRPr="00EA7DE7" w:rsidRDefault="00FA607C" w:rsidP="00921E9E">
                          <w:pPr>
                            <w:pStyle w:val="Header"/>
                            <w:tabs>
                              <w:tab w:val="left" w:pos="900"/>
                            </w:tabs>
                            <w:spacing w:line="0" w:lineRule="atLeast"/>
                            <w:jc w:val="center"/>
                            <w:rPr>
                              <w:b/>
                              <w:szCs w:val="22"/>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Text Box 1" o:spid="_x0000_s1027" type="#_x0000_t202" style="position:absolute;margin-left:29.9pt;margin-top:-27.85pt;width:372.35pt;height:4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" stroked="f">
              <v:textbox>
                <w:txbxContent>
                  <w:p w14:paraId="44131F49" w14:textId="77777777" w:rsidR="00921E9E" w:rsidRPr="00133A15"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ORGANISATION DES ÉTATS AMÉRICAINS </w:t>
                    </w:r>
                  </w:p>
                  <w:p w14:paraId="2CA4038B" w14:textId="77777777" w:rsidR="00921E9E" w:rsidRPr="00133A15" w:rsidRDefault="00FA607C" w:rsidP="00921E9E">
                    <w:pPr>
                      <w:pStyle w:val="Header"/>
                      <w:tabs>
                        <w:tab w:val="left" w:pos="900"/>
                      </w:tabs>
                      <w:spacing w:line="0" w:lineRule="atLeast"/>
                      <w:jc w:val="center"/>
                      <w:rPr>
                        <w:rFonts w:ascii="Garamond" w:hAnsi="Garamond"/>
                        <w:b/>
                        <w:szCs w:val="22"/>
                      </w:rPr>
                    </w:pPr>
                    <w:r>
                      <w:rPr>
                        <w:rFonts w:ascii="Garamond" w:hAnsi="Garamond"/>
                        <w:b/>
                      </w:rPr>
                      <w:t xml:space="preserve">Conseil interaméricain pour le développement intégré </w:t>
                    </w:r>
                  </w:p>
                  <w:p w14:paraId="2B28C509" w14:textId="77777777" w:rsidR="00921E9E" w:rsidRPr="00EA7DE7" w:rsidRDefault="00FA607C" w:rsidP="00921E9E">
                    <w:pPr>
                      <w:pStyle w:val="Header"/>
                      <w:tabs>
                        <w:tab w:val="left" w:pos="900"/>
                      </w:tabs>
                      <w:spacing w:line="0" w:lineRule="atLeast"/>
                      <w:jc w:val="center"/>
                      <w:rPr>
                        <w:b/>
                        <w:szCs w:val="22"/>
                      </w:rPr>
                    </w:pPr>
                    <w:r>
                      <w:rPr>
                        <w:rFonts w:ascii="Garamond" w:hAnsi="Garamond"/>
                        <w:b/>
                      </w:rPr>
                      <w:t>(CIDI)</w:t>
                    </w:r>
                  </w:p>
                </w:txbxContent>
              </v:textbox>
            </v:shape>
          </w:pict>
        </mc:Fallback>
      </mc:AlternateContent>
    </w:r>
    <w:r w:rsidR="00C611B0">
      <w:rPr>
        <w:noProof/>
      </w:rPr>
      <mc:AlternateContent>
        <mc:Choice Requires="wps">
          <w:drawing>
            <wp:anchor distT="0" distB="0" distL="114300" distR="114300" simplePos="0" relativeHeight="251657728" behindDoc="0" locked="0" layoutInCell="1" allowOverlap="1" wp14:anchorId="0DD0F5DB" wp14:editId="6CA47506">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853D7" w14:textId="49A0E44B" w:rsidR="0073480E" w:rsidRDefault="00C611B0" w:rsidP="00AB7175">
                          <w:pPr>
                            <w:ind w:right="-130"/>
                          </w:pPr>
                          <w:r>
                            <w:rPr>
                              <w:rFonts w:ascii="News Gothic MT" w:hAnsi="News Gothic MT"/>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F5DB"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j2qK4IAgAA9gMA&#10;AA4AAAAAAAAAAAAAAAAALgIAAGRycy9lMm9Eb2MueG1sUEsBAi0AFAAGAAgAAAAhAMT58IffAAAA&#10;CwEAAA8AAAAAAAAAAAAAAAAAYgQAAGRycy9kb3ducmV2LnhtbFBLBQYAAAAABAAEAPMAAABuBQAA&#10;AAA=&#10;" stroked="f">
              <v:textbox>
                <w:txbxContent>
                  <w:p w14:paraId="029853D7" w14:textId="49A0E44B" w:rsidR="0073480E" w:rsidRDefault="00C611B0" w:rsidP="00AB7175">
                    <w:pPr>
                      <w:ind w:right="-130"/>
                    </w:pPr>
                    <w:r>
                      <w:rPr>
                        <w:rFonts w:ascii="News Gothic MT" w:hAnsi="News Gothic MT"/>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p>
  <w:p w14:paraId="362260F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511570"/>
    <w:multiLevelType w:val="hybridMultilevel"/>
    <w:tmpl w:val="16BEEAE6"/>
    <w:lvl w:ilvl="0" w:tplc="729E7A08">
      <w:start w:val="1"/>
      <w:numFmt w:val="bullet"/>
      <w:lvlText w:val=""/>
      <w:lvlJc w:val="left"/>
      <w:pPr>
        <w:ind w:left="1080" w:hanging="360"/>
      </w:pPr>
      <w:rPr>
        <w:rFonts w:ascii="Symbol" w:hAnsi="Symbol" w:hint="default"/>
      </w:rPr>
    </w:lvl>
    <w:lvl w:ilvl="1" w:tplc="EB40943E" w:tentative="1">
      <w:start w:val="1"/>
      <w:numFmt w:val="bullet"/>
      <w:lvlText w:val="o"/>
      <w:lvlJc w:val="left"/>
      <w:pPr>
        <w:ind w:left="1800" w:hanging="360"/>
      </w:pPr>
      <w:rPr>
        <w:rFonts w:ascii="Courier New" w:hAnsi="Courier New" w:cs="Courier New" w:hint="default"/>
      </w:rPr>
    </w:lvl>
    <w:lvl w:ilvl="2" w:tplc="881CFB2C" w:tentative="1">
      <w:start w:val="1"/>
      <w:numFmt w:val="bullet"/>
      <w:lvlText w:val=""/>
      <w:lvlJc w:val="left"/>
      <w:pPr>
        <w:ind w:left="2520" w:hanging="360"/>
      </w:pPr>
      <w:rPr>
        <w:rFonts w:ascii="Wingdings" w:hAnsi="Wingdings" w:hint="default"/>
      </w:rPr>
    </w:lvl>
    <w:lvl w:ilvl="3" w:tplc="835A9898" w:tentative="1">
      <w:start w:val="1"/>
      <w:numFmt w:val="bullet"/>
      <w:lvlText w:val=""/>
      <w:lvlJc w:val="left"/>
      <w:pPr>
        <w:ind w:left="3240" w:hanging="360"/>
      </w:pPr>
      <w:rPr>
        <w:rFonts w:ascii="Symbol" w:hAnsi="Symbol" w:hint="default"/>
      </w:rPr>
    </w:lvl>
    <w:lvl w:ilvl="4" w:tplc="79369E88" w:tentative="1">
      <w:start w:val="1"/>
      <w:numFmt w:val="bullet"/>
      <w:lvlText w:val="o"/>
      <w:lvlJc w:val="left"/>
      <w:pPr>
        <w:ind w:left="3960" w:hanging="360"/>
      </w:pPr>
      <w:rPr>
        <w:rFonts w:ascii="Courier New" w:hAnsi="Courier New" w:cs="Courier New" w:hint="default"/>
      </w:rPr>
    </w:lvl>
    <w:lvl w:ilvl="5" w:tplc="38D236D8" w:tentative="1">
      <w:start w:val="1"/>
      <w:numFmt w:val="bullet"/>
      <w:lvlText w:val=""/>
      <w:lvlJc w:val="left"/>
      <w:pPr>
        <w:ind w:left="4680" w:hanging="360"/>
      </w:pPr>
      <w:rPr>
        <w:rFonts w:ascii="Wingdings" w:hAnsi="Wingdings" w:hint="default"/>
      </w:rPr>
    </w:lvl>
    <w:lvl w:ilvl="6" w:tplc="63C61CC6" w:tentative="1">
      <w:start w:val="1"/>
      <w:numFmt w:val="bullet"/>
      <w:lvlText w:val=""/>
      <w:lvlJc w:val="left"/>
      <w:pPr>
        <w:ind w:left="5400" w:hanging="360"/>
      </w:pPr>
      <w:rPr>
        <w:rFonts w:ascii="Symbol" w:hAnsi="Symbol" w:hint="default"/>
      </w:rPr>
    </w:lvl>
    <w:lvl w:ilvl="7" w:tplc="2C5E745C" w:tentative="1">
      <w:start w:val="1"/>
      <w:numFmt w:val="bullet"/>
      <w:lvlText w:val="o"/>
      <w:lvlJc w:val="left"/>
      <w:pPr>
        <w:ind w:left="6120" w:hanging="360"/>
      </w:pPr>
      <w:rPr>
        <w:rFonts w:ascii="Courier New" w:hAnsi="Courier New" w:cs="Courier New" w:hint="default"/>
      </w:rPr>
    </w:lvl>
    <w:lvl w:ilvl="8" w:tplc="6CD8F674" w:tentative="1">
      <w:start w:val="1"/>
      <w:numFmt w:val="bullet"/>
      <w:lvlText w:val=""/>
      <w:lvlJc w:val="left"/>
      <w:pPr>
        <w:ind w:left="6840" w:hanging="360"/>
      </w:pPr>
      <w:rPr>
        <w:rFonts w:ascii="Wingdings" w:hAnsi="Wingdings" w:hint="default"/>
      </w:rPr>
    </w:lvl>
  </w:abstractNum>
  <w:abstractNum w:abstractNumId="3" w15:restartNumberingAfterBreak="0">
    <w:nsid w:val="22B946C0"/>
    <w:multiLevelType w:val="hybridMultilevel"/>
    <w:tmpl w:val="2312D3E0"/>
    <w:lvl w:ilvl="0" w:tplc="41303644">
      <w:start w:val="1"/>
      <w:numFmt w:val="decimal"/>
      <w:lvlText w:val="%1."/>
      <w:lvlJc w:val="left"/>
      <w:pPr>
        <w:ind w:left="720" w:hanging="360"/>
      </w:pPr>
    </w:lvl>
    <w:lvl w:ilvl="1" w:tplc="4C28FAA2">
      <w:start w:val="1"/>
      <w:numFmt w:val="lowerLetter"/>
      <w:lvlText w:val="%2."/>
      <w:lvlJc w:val="left"/>
      <w:pPr>
        <w:ind w:left="1440" w:hanging="360"/>
      </w:pPr>
    </w:lvl>
    <w:lvl w:ilvl="2" w:tplc="B0FAD326">
      <w:start w:val="1"/>
      <w:numFmt w:val="lowerRoman"/>
      <w:lvlText w:val="%3."/>
      <w:lvlJc w:val="right"/>
      <w:pPr>
        <w:ind w:left="2160" w:hanging="180"/>
      </w:pPr>
    </w:lvl>
    <w:lvl w:ilvl="3" w:tplc="EB524A52">
      <w:start w:val="1"/>
      <w:numFmt w:val="decimal"/>
      <w:lvlText w:val="%4."/>
      <w:lvlJc w:val="left"/>
      <w:pPr>
        <w:ind w:left="2880" w:hanging="360"/>
      </w:pPr>
    </w:lvl>
    <w:lvl w:ilvl="4" w:tplc="B0542ADC">
      <w:start w:val="1"/>
      <w:numFmt w:val="lowerLetter"/>
      <w:lvlText w:val="%5."/>
      <w:lvlJc w:val="left"/>
      <w:pPr>
        <w:ind w:left="3600" w:hanging="360"/>
      </w:pPr>
    </w:lvl>
    <w:lvl w:ilvl="5" w:tplc="8DEE7CEA">
      <w:start w:val="1"/>
      <w:numFmt w:val="lowerRoman"/>
      <w:lvlText w:val="%6."/>
      <w:lvlJc w:val="right"/>
      <w:pPr>
        <w:ind w:left="4320" w:hanging="180"/>
      </w:pPr>
    </w:lvl>
    <w:lvl w:ilvl="6" w:tplc="B45CDBC8">
      <w:start w:val="1"/>
      <w:numFmt w:val="decimal"/>
      <w:lvlText w:val="%7."/>
      <w:lvlJc w:val="left"/>
      <w:pPr>
        <w:ind w:left="5040" w:hanging="360"/>
      </w:pPr>
    </w:lvl>
    <w:lvl w:ilvl="7" w:tplc="2E5E1244">
      <w:start w:val="1"/>
      <w:numFmt w:val="lowerLetter"/>
      <w:lvlText w:val="%8."/>
      <w:lvlJc w:val="left"/>
      <w:pPr>
        <w:ind w:left="5760" w:hanging="360"/>
      </w:pPr>
    </w:lvl>
    <w:lvl w:ilvl="8" w:tplc="0478E934">
      <w:start w:val="1"/>
      <w:numFmt w:val="lowerRoman"/>
      <w:lvlText w:val="%9."/>
      <w:lvlJc w:val="right"/>
      <w:pPr>
        <w:ind w:left="6480" w:hanging="180"/>
      </w:pPr>
    </w:lvl>
  </w:abstractNum>
  <w:abstractNum w:abstractNumId="4"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F5B20"/>
    <w:multiLevelType w:val="hybridMultilevel"/>
    <w:tmpl w:val="33FC9AB2"/>
    <w:lvl w:ilvl="0" w:tplc="271CE336">
      <w:start w:val="1"/>
      <w:numFmt w:val="bullet"/>
      <w:lvlText w:val="•"/>
      <w:lvlJc w:val="left"/>
      <w:pPr>
        <w:tabs>
          <w:tab w:val="num" w:pos="720"/>
        </w:tabs>
        <w:ind w:left="720" w:hanging="360"/>
      </w:pPr>
      <w:rPr>
        <w:rFonts w:ascii="Arial" w:hAnsi="Arial" w:hint="default"/>
      </w:rPr>
    </w:lvl>
    <w:lvl w:ilvl="1" w:tplc="20B2B55E">
      <w:start w:val="1"/>
      <w:numFmt w:val="bullet"/>
      <w:lvlText w:val="•"/>
      <w:lvlJc w:val="left"/>
      <w:pPr>
        <w:tabs>
          <w:tab w:val="num" w:pos="1440"/>
        </w:tabs>
        <w:ind w:left="1440" w:hanging="360"/>
      </w:pPr>
      <w:rPr>
        <w:rFonts w:ascii="Arial" w:hAnsi="Arial" w:hint="default"/>
      </w:rPr>
    </w:lvl>
    <w:lvl w:ilvl="2" w:tplc="7D0A5E22" w:tentative="1">
      <w:start w:val="1"/>
      <w:numFmt w:val="bullet"/>
      <w:lvlText w:val="•"/>
      <w:lvlJc w:val="left"/>
      <w:pPr>
        <w:tabs>
          <w:tab w:val="num" w:pos="2160"/>
        </w:tabs>
        <w:ind w:left="2160" w:hanging="360"/>
      </w:pPr>
      <w:rPr>
        <w:rFonts w:ascii="Arial" w:hAnsi="Arial" w:hint="default"/>
      </w:rPr>
    </w:lvl>
    <w:lvl w:ilvl="3" w:tplc="9E3CE460" w:tentative="1">
      <w:start w:val="1"/>
      <w:numFmt w:val="bullet"/>
      <w:lvlText w:val="•"/>
      <w:lvlJc w:val="left"/>
      <w:pPr>
        <w:tabs>
          <w:tab w:val="num" w:pos="2880"/>
        </w:tabs>
        <w:ind w:left="2880" w:hanging="360"/>
      </w:pPr>
      <w:rPr>
        <w:rFonts w:ascii="Arial" w:hAnsi="Arial" w:hint="default"/>
      </w:rPr>
    </w:lvl>
    <w:lvl w:ilvl="4" w:tplc="EE943C5E" w:tentative="1">
      <w:start w:val="1"/>
      <w:numFmt w:val="bullet"/>
      <w:lvlText w:val="•"/>
      <w:lvlJc w:val="left"/>
      <w:pPr>
        <w:tabs>
          <w:tab w:val="num" w:pos="3600"/>
        </w:tabs>
        <w:ind w:left="3600" w:hanging="360"/>
      </w:pPr>
      <w:rPr>
        <w:rFonts w:ascii="Arial" w:hAnsi="Arial" w:hint="default"/>
      </w:rPr>
    </w:lvl>
    <w:lvl w:ilvl="5" w:tplc="63EA693A" w:tentative="1">
      <w:start w:val="1"/>
      <w:numFmt w:val="bullet"/>
      <w:lvlText w:val="•"/>
      <w:lvlJc w:val="left"/>
      <w:pPr>
        <w:tabs>
          <w:tab w:val="num" w:pos="4320"/>
        </w:tabs>
        <w:ind w:left="4320" w:hanging="360"/>
      </w:pPr>
      <w:rPr>
        <w:rFonts w:ascii="Arial" w:hAnsi="Arial" w:hint="default"/>
      </w:rPr>
    </w:lvl>
    <w:lvl w:ilvl="6" w:tplc="4F8C06CC" w:tentative="1">
      <w:start w:val="1"/>
      <w:numFmt w:val="bullet"/>
      <w:lvlText w:val="•"/>
      <w:lvlJc w:val="left"/>
      <w:pPr>
        <w:tabs>
          <w:tab w:val="num" w:pos="5040"/>
        </w:tabs>
        <w:ind w:left="5040" w:hanging="360"/>
      </w:pPr>
      <w:rPr>
        <w:rFonts w:ascii="Arial" w:hAnsi="Arial" w:hint="default"/>
      </w:rPr>
    </w:lvl>
    <w:lvl w:ilvl="7" w:tplc="FD8A2260" w:tentative="1">
      <w:start w:val="1"/>
      <w:numFmt w:val="bullet"/>
      <w:lvlText w:val="•"/>
      <w:lvlJc w:val="left"/>
      <w:pPr>
        <w:tabs>
          <w:tab w:val="num" w:pos="5760"/>
        </w:tabs>
        <w:ind w:left="5760" w:hanging="360"/>
      </w:pPr>
      <w:rPr>
        <w:rFonts w:ascii="Arial" w:hAnsi="Arial" w:hint="default"/>
      </w:rPr>
    </w:lvl>
    <w:lvl w:ilvl="8" w:tplc="29BEE9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99B7622"/>
    <w:multiLevelType w:val="hybridMultilevel"/>
    <w:tmpl w:val="614E56EE"/>
    <w:lvl w:ilvl="0" w:tplc="7CC8782A">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C40923"/>
    <w:multiLevelType w:val="multilevel"/>
    <w:tmpl w:val="8F0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BC3554"/>
    <w:multiLevelType w:val="hybridMultilevel"/>
    <w:tmpl w:val="1A64F3C8"/>
    <w:lvl w:ilvl="0" w:tplc="A26459DC">
      <w:start w:val="1"/>
      <w:numFmt w:val="bullet"/>
      <w:lvlText w:val=""/>
      <w:lvlJc w:val="left"/>
      <w:pPr>
        <w:ind w:left="720" w:hanging="360"/>
      </w:pPr>
      <w:rPr>
        <w:rFonts w:ascii="Symbol" w:hAnsi="Symbol" w:hint="default"/>
      </w:rPr>
    </w:lvl>
    <w:lvl w:ilvl="1" w:tplc="C7522030" w:tentative="1">
      <w:start w:val="1"/>
      <w:numFmt w:val="bullet"/>
      <w:lvlText w:val="o"/>
      <w:lvlJc w:val="left"/>
      <w:pPr>
        <w:ind w:left="1440" w:hanging="360"/>
      </w:pPr>
      <w:rPr>
        <w:rFonts w:ascii="Courier New" w:hAnsi="Courier New" w:cs="Courier New" w:hint="default"/>
      </w:rPr>
    </w:lvl>
    <w:lvl w:ilvl="2" w:tplc="31329EB6" w:tentative="1">
      <w:start w:val="1"/>
      <w:numFmt w:val="bullet"/>
      <w:lvlText w:val=""/>
      <w:lvlJc w:val="left"/>
      <w:pPr>
        <w:ind w:left="2160" w:hanging="360"/>
      </w:pPr>
      <w:rPr>
        <w:rFonts w:ascii="Wingdings" w:hAnsi="Wingdings" w:hint="default"/>
      </w:rPr>
    </w:lvl>
    <w:lvl w:ilvl="3" w:tplc="3DC416B0" w:tentative="1">
      <w:start w:val="1"/>
      <w:numFmt w:val="bullet"/>
      <w:lvlText w:val=""/>
      <w:lvlJc w:val="left"/>
      <w:pPr>
        <w:ind w:left="2880" w:hanging="360"/>
      </w:pPr>
      <w:rPr>
        <w:rFonts w:ascii="Symbol" w:hAnsi="Symbol" w:hint="default"/>
      </w:rPr>
    </w:lvl>
    <w:lvl w:ilvl="4" w:tplc="B39AB80E" w:tentative="1">
      <w:start w:val="1"/>
      <w:numFmt w:val="bullet"/>
      <w:lvlText w:val="o"/>
      <w:lvlJc w:val="left"/>
      <w:pPr>
        <w:ind w:left="3600" w:hanging="360"/>
      </w:pPr>
      <w:rPr>
        <w:rFonts w:ascii="Courier New" w:hAnsi="Courier New" w:cs="Courier New" w:hint="default"/>
      </w:rPr>
    </w:lvl>
    <w:lvl w:ilvl="5" w:tplc="75C8FA48" w:tentative="1">
      <w:start w:val="1"/>
      <w:numFmt w:val="bullet"/>
      <w:lvlText w:val=""/>
      <w:lvlJc w:val="left"/>
      <w:pPr>
        <w:ind w:left="4320" w:hanging="360"/>
      </w:pPr>
      <w:rPr>
        <w:rFonts w:ascii="Wingdings" w:hAnsi="Wingdings" w:hint="default"/>
      </w:rPr>
    </w:lvl>
    <w:lvl w:ilvl="6" w:tplc="65D06AD2" w:tentative="1">
      <w:start w:val="1"/>
      <w:numFmt w:val="bullet"/>
      <w:lvlText w:val=""/>
      <w:lvlJc w:val="left"/>
      <w:pPr>
        <w:ind w:left="5040" w:hanging="360"/>
      </w:pPr>
      <w:rPr>
        <w:rFonts w:ascii="Symbol" w:hAnsi="Symbol" w:hint="default"/>
      </w:rPr>
    </w:lvl>
    <w:lvl w:ilvl="7" w:tplc="7D9AD900" w:tentative="1">
      <w:start w:val="1"/>
      <w:numFmt w:val="bullet"/>
      <w:lvlText w:val="o"/>
      <w:lvlJc w:val="left"/>
      <w:pPr>
        <w:ind w:left="5760" w:hanging="360"/>
      </w:pPr>
      <w:rPr>
        <w:rFonts w:ascii="Courier New" w:hAnsi="Courier New" w:cs="Courier New" w:hint="default"/>
      </w:rPr>
    </w:lvl>
    <w:lvl w:ilvl="8" w:tplc="6132544A" w:tentative="1">
      <w:start w:val="1"/>
      <w:numFmt w:val="bullet"/>
      <w:lvlText w:val=""/>
      <w:lvlJc w:val="left"/>
      <w:pPr>
        <w:ind w:left="6480" w:hanging="360"/>
      </w:pPr>
      <w:rPr>
        <w:rFonts w:ascii="Wingdings" w:hAnsi="Wingdings" w:hint="default"/>
      </w:rPr>
    </w:lvl>
  </w:abstractNum>
  <w:abstractNum w:abstractNumId="14" w15:restartNumberingAfterBreak="0">
    <w:nsid w:val="78B57D26"/>
    <w:multiLevelType w:val="hybridMultilevel"/>
    <w:tmpl w:val="DC5E8800"/>
    <w:lvl w:ilvl="0" w:tplc="C73CF242">
      <w:start w:val="1"/>
      <w:numFmt w:val="bullet"/>
      <w:lvlText w:val=""/>
      <w:lvlJc w:val="left"/>
      <w:pPr>
        <w:ind w:left="720" w:hanging="360"/>
      </w:pPr>
      <w:rPr>
        <w:rFonts w:ascii="Symbol" w:hAnsi="Symbol" w:hint="default"/>
      </w:rPr>
    </w:lvl>
    <w:lvl w:ilvl="1" w:tplc="7CC06F86" w:tentative="1">
      <w:start w:val="1"/>
      <w:numFmt w:val="bullet"/>
      <w:lvlText w:val="o"/>
      <w:lvlJc w:val="left"/>
      <w:pPr>
        <w:ind w:left="1440" w:hanging="360"/>
      </w:pPr>
      <w:rPr>
        <w:rFonts w:ascii="Courier New" w:hAnsi="Courier New" w:cs="Courier New" w:hint="default"/>
      </w:rPr>
    </w:lvl>
    <w:lvl w:ilvl="2" w:tplc="D224567E" w:tentative="1">
      <w:start w:val="1"/>
      <w:numFmt w:val="bullet"/>
      <w:lvlText w:val=""/>
      <w:lvlJc w:val="left"/>
      <w:pPr>
        <w:ind w:left="2160" w:hanging="360"/>
      </w:pPr>
      <w:rPr>
        <w:rFonts w:ascii="Wingdings" w:hAnsi="Wingdings" w:hint="default"/>
      </w:rPr>
    </w:lvl>
    <w:lvl w:ilvl="3" w:tplc="A7D28DD0" w:tentative="1">
      <w:start w:val="1"/>
      <w:numFmt w:val="bullet"/>
      <w:lvlText w:val=""/>
      <w:lvlJc w:val="left"/>
      <w:pPr>
        <w:ind w:left="2880" w:hanging="360"/>
      </w:pPr>
      <w:rPr>
        <w:rFonts w:ascii="Symbol" w:hAnsi="Symbol" w:hint="default"/>
      </w:rPr>
    </w:lvl>
    <w:lvl w:ilvl="4" w:tplc="DB62D2EE" w:tentative="1">
      <w:start w:val="1"/>
      <w:numFmt w:val="bullet"/>
      <w:lvlText w:val="o"/>
      <w:lvlJc w:val="left"/>
      <w:pPr>
        <w:ind w:left="3600" w:hanging="360"/>
      </w:pPr>
      <w:rPr>
        <w:rFonts w:ascii="Courier New" w:hAnsi="Courier New" w:cs="Courier New" w:hint="default"/>
      </w:rPr>
    </w:lvl>
    <w:lvl w:ilvl="5" w:tplc="9B8E2072" w:tentative="1">
      <w:start w:val="1"/>
      <w:numFmt w:val="bullet"/>
      <w:lvlText w:val=""/>
      <w:lvlJc w:val="left"/>
      <w:pPr>
        <w:ind w:left="4320" w:hanging="360"/>
      </w:pPr>
      <w:rPr>
        <w:rFonts w:ascii="Wingdings" w:hAnsi="Wingdings" w:hint="default"/>
      </w:rPr>
    </w:lvl>
    <w:lvl w:ilvl="6" w:tplc="0AD87AA2" w:tentative="1">
      <w:start w:val="1"/>
      <w:numFmt w:val="bullet"/>
      <w:lvlText w:val=""/>
      <w:lvlJc w:val="left"/>
      <w:pPr>
        <w:ind w:left="5040" w:hanging="360"/>
      </w:pPr>
      <w:rPr>
        <w:rFonts w:ascii="Symbol" w:hAnsi="Symbol" w:hint="default"/>
      </w:rPr>
    </w:lvl>
    <w:lvl w:ilvl="7" w:tplc="35CAE6EC" w:tentative="1">
      <w:start w:val="1"/>
      <w:numFmt w:val="bullet"/>
      <w:lvlText w:val="o"/>
      <w:lvlJc w:val="left"/>
      <w:pPr>
        <w:ind w:left="5760" w:hanging="360"/>
      </w:pPr>
      <w:rPr>
        <w:rFonts w:ascii="Courier New" w:hAnsi="Courier New" w:cs="Courier New" w:hint="default"/>
      </w:rPr>
    </w:lvl>
    <w:lvl w:ilvl="8" w:tplc="9F04E446" w:tentative="1">
      <w:start w:val="1"/>
      <w:numFmt w:val="bullet"/>
      <w:lvlText w:val=""/>
      <w:lvlJc w:val="left"/>
      <w:pPr>
        <w:ind w:left="6480" w:hanging="360"/>
      </w:pPr>
      <w:rPr>
        <w:rFonts w:ascii="Wingdings" w:hAnsi="Wingdings" w:hint="default"/>
      </w:rPr>
    </w:lvl>
  </w:abstractNum>
  <w:abstractNum w:abstractNumId="15"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3"/>
  </w:num>
  <w:num w:numId="3">
    <w:abstractNumId w:val="2"/>
  </w:num>
  <w:num w:numId="4">
    <w:abstractNumId w:val="14"/>
  </w:num>
  <w:num w:numId="5">
    <w:abstractNumId w:val="4"/>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0"/>
  </w:num>
  <w:num w:numId="10">
    <w:abstractNumId w:val="7"/>
  </w:num>
  <w:num w:numId="11">
    <w:abstractNumId w:val="9"/>
  </w:num>
  <w:num w:numId="12">
    <w:abstractNumId w:val="15"/>
  </w:num>
  <w:num w:numId="13">
    <w:abstractNumId w:val="6"/>
  </w:num>
  <w:num w:numId="14">
    <w:abstractNumId w:val="11"/>
  </w:num>
  <w:num w:numId="15">
    <w:abstractNumId w:val="5"/>
  </w:num>
  <w:num w:numId="16">
    <w:abstractNumId w:val="1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11272"/>
    <w:rsid w:val="000129E8"/>
    <w:rsid w:val="000205EC"/>
    <w:rsid w:val="0002644D"/>
    <w:rsid w:val="000427B5"/>
    <w:rsid w:val="00050886"/>
    <w:rsid w:val="00055019"/>
    <w:rsid w:val="00061861"/>
    <w:rsid w:val="00064A6B"/>
    <w:rsid w:val="00064DCC"/>
    <w:rsid w:val="000661F4"/>
    <w:rsid w:val="00070537"/>
    <w:rsid w:val="000736AA"/>
    <w:rsid w:val="00073CCC"/>
    <w:rsid w:val="00074325"/>
    <w:rsid w:val="00074E66"/>
    <w:rsid w:val="000969F9"/>
    <w:rsid w:val="00097899"/>
    <w:rsid w:val="000A72E3"/>
    <w:rsid w:val="000B1FCF"/>
    <w:rsid w:val="000B43F5"/>
    <w:rsid w:val="000B6478"/>
    <w:rsid w:val="000C1C8E"/>
    <w:rsid w:val="000C3438"/>
    <w:rsid w:val="000C344F"/>
    <w:rsid w:val="000D4368"/>
    <w:rsid w:val="000D540D"/>
    <w:rsid w:val="000D6070"/>
    <w:rsid w:val="000E313E"/>
    <w:rsid w:val="000E439E"/>
    <w:rsid w:val="000E6C8E"/>
    <w:rsid w:val="00100FE1"/>
    <w:rsid w:val="00103208"/>
    <w:rsid w:val="001069A4"/>
    <w:rsid w:val="00106D57"/>
    <w:rsid w:val="001170ED"/>
    <w:rsid w:val="0012371A"/>
    <w:rsid w:val="001259E2"/>
    <w:rsid w:val="0012611C"/>
    <w:rsid w:val="0013037E"/>
    <w:rsid w:val="00133A15"/>
    <w:rsid w:val="001405C9"/>
    <w:rsid w:val="00142D34"/>
    <w:rsid w:val="00146FB1"/>
    <w:rsid w:val="00150AE4"/>
    <w:rsid w:val="00152D2E"/>
    <w:rsid w:val="00153DD8"/>
    <w:rsid w:val="0016660D"/>
    <w:rsid w:val="00166C73"/>
    <w:rsid w:val="001675EC"/>
    <w:rsid w:val="00171B89"/>
    <w:rsid w:val="00180746"/>
    <w:rsid w:val="00183C2C"/>
    <w:rsid w:val="001842C2"/>
    <w:rsid w:val="00187D59"/>
    <w:rsid w:val="00194B58"/>
    <w:rsid w:val="001B0828"/>
    <w:rsid w:val="001B0AB0"/>
    <w:rsid w:val="001B193D"/>
    <w:rsid w:val="001C6DC5"/>
    <w:rsid w:val="001D0221"/>
    <w:rsid w:val="001D738C"/>
    <w:rsid w:val="001E3150"/>
    <w:rsid w:val="001E3C78"/>
    <w:rsid w:val="001F2739"/>
    <w:rsid w:val="0020125B"/>
    <w:rsid w:val="0020227F"/>
    <w:rsid w:val="002024FE"/>
    <w:rsid w:val="00203839"/>
    <w:rsid w:val="00203F80"/>
    <w:rsid w:val="0020460C"/>
    <w:rsid w:val="002050F0"/>
    <w:rsid w:val="002109B9"/>
    <w:rsid w:val="00222AFE"/>
    <w:rsid w:val="00224C3F"/>
    <w:rsid w:val="00225597"/>
    <w:rsid w:val="00233927"/>
    <w:rsid w:val="00234996"/>
    <w:rsid w:val="00235CB9"/>
    <w:rsid w:val="00256DD6"/>
    <w:rsid w:val="00264202"/>
    <w:rsid w:val="0026449A"/>
    <w:rsid w:val="00267E1B"/>
    <w:rsid w:val="0027412E"/>
    <w:rsid w:val="002772C8"/>
    <w:rsid w:val="00277682"/>
    <w:rsid w:val="00281CAA"/>
    <w:rsid w:val="002822E7"/>
    <w:rsid w:val="0028278B"/>
    <w:rsid w:val="00282ED9"/>
    <w:rsid w:val="0028696A"/>
    <w:rsid w:val="00286D8C"/>
    <w:rsid w:val="00292E95"/>
    <w:rsid w:val="002A03E9"/>
    <w:rsid w:val="002A1985"/>
    <w:rsid w:val="002A1CB2"/>
    <w:rsid w:val="002A3CB5"/>
    <w:rsid w:val="002A63EC"/>
    <w:rsid w:val="002B0898"/>
    <w:rsid w:val="002B2DE0"/>
    <w:rsid w:val="002B44E1"/>
    <w:rsid w:val="002C6B0D"/>
    <w:rsid w:val="002D412D"/>
    <w:rsid w:val="002E1F2D"/>
    <w:rsid w:val="002E2CC7"/>
    <w:rsid w:val="002E609F"/>
    <w:rsid w:val="002F0A27"/>
    <w:rsid w:val="002F0AF9"/>
    <w:rsid w:val="002F25F2"/>
    <w:rsid w:val="002F5352"/>
    <w:rsid w:val="00305E93"/>
    <w:rsid w:val="0031130C"/>
    <w:rsid w:val="003116AC"/>
    <w:rsid w:val="0031291C"/>
    <w:rsid w:val="003143F1"/>
    <w:rsid w:val="0032713A"/>
    <w:rsid w:val="003302CF"/>
    <w:rsid w:val="00335ABE"/>
    <w:rsid w:val="003366D5"/>
    <w:rsid w:val="00345C27"/>
    <w:rsid w:val="00345DCF"/>
    <w:rsid w:val="00350910"/>
    <w:rsid w:val="003529F3"/>
    <w:rsid w:val="00352BB7"/>
    <w:rsid w:val="00353D7A"/>
    <w:rsid w:val="00357684"/>
    <w:rsid w:val="003614A1"/>
    <w:rsid w:val="00362D68"/>
    <w:rsid w:val="0037599C"/>
    <w:rsid w:val="003775B4"/>
    <w:rsid w:val="003805E5"/>
    <w:rsid w:val="003836D2"/>
    <w:rsid w:val="00385985"/>
    <w:rsid w:val="00390A70"/>
    <w:rsid w:val="00390D0F"/>
    <w:rsid w:val="003923A6"/>
    <w:rsid w:val="003945DC"/>
    <w:rsid w:val="003A5B70"/>
    <w:rsid w:val="003A6437"/>
    <w:rsid w:val="003B0B19"/>
    <w:rsid w:val="003B40C4"/>
    <w:rsid w:val="003C332F"/>
    <w:rsid w:val="003C448A"/>
    <w:rsid w:val="003D0721"/>
    <w:rsid w:val="003D13AD"/>
    <w:rsid w:val="003D4305"/>
    <w:rsid w:val="003E687F"/>
    <w:rsid w:val="003F023D"/>
    <w:rsid w:val="003F4FA0"/>
    <w:rsid w:val="003F6FF7"/>
    <w:rsid w:val="004113BA"/>
    <w:rsid w:val="00413FE5"/>
    <w:rsid w:val="00414A9D"/>
    <w:rsid w:val="00421AA1"/>
    <w:rsid w:val="004279F5"/>
    <w:rsid w:val="00457B19"/>
    <w:rsid w:val="00461F49"/>
    <w:rsid w:val="0046301C"/>
    <w:rsid w:val="00463A6B"/>
    <w:rsid w:val="0046512F"/>
    <w:rsid w:val="00467A8F"/>
    <w:rsid w:val="004712B6"/>
    <w:rsid w:val="004732D7"/>
    <w:rsid w:val="00476255"/>
    <w:rsid w:val="004774F0"/>
    <w:rsid w:val="00490731"/>
    <w:rsid w:val="00493B12"/>
    <w:rsid w:val="00496643"/>
    <w:rsid w:val="00496BBC"/>
    <w:rsid w:val="00497068"/>
    <w:rsid w:val="004A1D26"/>
    <w:rsid w:val="004A6065"/>
    <w:rsid w:val="004A7C48"/>
    <w:rsid w:val="004B2B39"/>
    <w:rsid w:val="004B301B"/>
    <w:rsid w:val="004B3050"/>
    <w:rsid w:val="004B387B"/>
    <w:rsid w:val="004B5C41"/>
    <w:rsid w:val="004D2279"/>
    <w:rsid w:val="004D3097"/>
    <w:rsid w:val="004D44C9"/>
    <w:rsid w:val="004F0EF3"/>
    <w:rsid w:val="004F4571"/>
    <w:rsid w:val="004F6805"/>
    <w:rsid w:val="0050011F"/>
    <w:rsid w:val="00502854"/>
    <w:rsid w:val="0050667F"/>
    <w:rsid w:val="005112C3"/>
    <w:rsid w:val="00513B4E"/>
    <w:rsid w:val="00514EDB"/>
    <w:rsid w:val="00517AD7"/>
    <w:rsid w:val="0052023C"/>
    <w:rsid w:val="005336D0"/>
    <w:rsid w:val="0053678B"/>
    <w:rsid w:val="00540938"/>
    <w:rsid w:val="005462E3"/>
    <w:rsid w:val="0055186F"/>
    <w:rsid w:val="00564C90"/>
    <w:rsid w:val="00564FA3"/>
    <w:rsid w:val="005679D8"/>
    <w:rsid w:val="00575576"/>
    <w:rsid w:val="00577517"/>
    <w:rsid w:val="0058420A"/>
    <w:rsid w:val="00594069"/>
    <w:rsid w:val="00597477"/>
    <w:rsid w:val="005A5372"/>
    <w:rsid w:val="005B5F61"/>
    <w:rsid w:val="005B7D03"/>
    <w:rsid w:val="005C20AF"/>
    <w:rsid w:val="005D1365"/>
    <w:rsid w:val="005D1D57"/>
    <w:rsid w:val="005D44CE"/>
    <w:rsid w:val="005D74F2"/>
    <w:rsid w:val="005E085B"/>
    <w:rsid w:val="005F1964"/>
    <w:rsid w:val="005F29C1"/>
    <w:rsid w:val="005F78BB"/>
    <w:rsid w:val="005F7B63"/>
    <w:rsid w:val="00601668"/>
    <w:rsid w:val="00602980"/>
    <w:rsid w:val="006123C5"/>
    <w:rsid w:val="00612E0C"/>
    <w:rsid w:val="00622F41"/>
    <w:rsid w:val="00631FB8"/>
    <w:rsid w:val="00634E7B"/>
    <w:rsid w:val="006374D0"/>
    <w:rsid w:val="00642E66"/>
    <w:rsid w:val="0064648A"/>
    <w:rsid w:val="00647CB9"/>
    <w:rsid w:val="00650EFA"/>
    <w:rsid w:val="00655B90"/>
    <w:rsid w:val="00656B5A"/>
    <w:rsid w:val="00663D49"/>
    <w:rsid w:val="00666B25"/>
    <w:rsid w:val="00670E8A"/>
    <w:rsid w:val="006711F3"/>
    <w:rsid w:val="00675F54"/>
    <w:rsid w:val="00680EA5"/>
    <w:rsid w:val="006839FF"/>
    <w:rsid w:val="00685580"/>
    <w:rsid w:val="00686FEA"/>
    <w:rsid w:val="00691B9D"/>
    <w:rsid w:val="006A1A6B"/>
    <w:rsid w:val="006A483E"/>
    <w:rsid w:val="006A545B"/>
    <w:rsid w:val="006A6025"/>
    <w:rsid w:val="006A67F9"/>
    <w:rsid w:val="006B1932"/>
    <w:rsid w:val="006B21AD"/>
    <w:rsid w:val="006B3804"/>
    <w:rsid w:val="006B3BA2"/>
    <w:rsid w:val="006B710A"/>
    <w:rsid w:val="006C6F0E"/>
    <w:rsid w:val="006C7485"/>
    <w:rsid w:val="006D11BB"/>
    <w:rsid w:val="006D1E13"/>
    <w:rsid w:val="006D5A66"/>
    <w:rsid w:val="006D7239"/>
    <w:rsid w:val="006F0712"/>
    <w:rsid w:val="006F4488"/>
    <w:rsid w:val="007026A5"/>
    <w:rsid w:val="0071494C"/>
    <w:rsid w:val="00721843"/>
    <w:rsid w:val="00722693"/>
    <w:rsid w:val="00723DE2"/>
    <w:rsid w:val="00723EE9"/>
    <w:rsid w:val="0072562F"/>
    <w:rsid w:val="00730E0A"/>
    <w:rsid w:val="00731A03"/>
    <w:rsid w:val="007325A6"/>
    <w:rsid w:val="0073480E"/>
    <w:rsid w:val="00743DD7"/>
    <w:rsid w:val="007443E9"/>
    <w:rsid w:val="00756232"/>
    <w:rsid w:val="0076198A"/>
    <w:rsid w:val="007648E4"/>
    <w:rsid w:val="007703A2"/>
    <w:rsid w:val="00772F05"/>
    <w:rsid w:val="00781CB8"/>
    <w:rsid w:val="00781D3F"/>
    <w:rsid w:val="00783480"/>
    <w:rsid w:val="00787435"/>
    <w:rsid w:val="00791388"/>
    <w:rsid w:val="00791916"/>
    <w:rsid w:val="00794A66"/>
    <w:rsid w:val="00794BF4"/>
    <w:rsid w:val="00794E46"/>
    <w:rsid w:val="00796149"/>
    <w:rsid w:val="007A307C"/>
    <w:rsid w:val="007B08BF"/>
    <w:rsid w:val="007B2DE5"/>
    <w:rsid w:val="007B438C"/>
    <w:rsid w:val="007B5591"/>
    <w:rsid w:val="007B6A70"/>
    <w:rsid w:val="007B6AD7"/>
    <w:rsid w:val="007B7D90"/>
    <w:rsid w:val="007C2A94"/>
    <w:rsid w:val="007C565B"/>
    <w:rsid w:val="007C6CAB"/>
    <w:rsid w:val="007D0B50"/>
    <w:rsid w:val="007D2223"/>
    <w:rsid w:val="007D3DC1"/>
    <w:rsid w:val="007D5C3E"/>
    <w:rsid w:val="007D764E"/>
    <w:rsid w:val="007E4931"/>
    <w:rsid w:val="007E4BB3"/>
    <w:rsid w:val="007E57B0"/>
    <w:rsid w:val="007E6D06"/>
    <w:rsid w:val="007F13AB"/>
    <w:rsid w:val="007F22EF"/>
    <w:rsid w:val="007F2774"/>
    <w:rsid w:val="007F764A"/>
    <w:rsid w:val="00801C23"/>
    <w:rsid w:val="008023AC"/>
    <w:rsid w:val="008026FE"/>
    <w:rsid w:val="00815A1F"/>
    <w:rsid w:val="00820F66"/>
    <w:rsid w:val="00821E7C"/>
    <w:rsid w:val="00827358"/>
    <w:rsid w:val="00836740"/>
    <w:rsid w:val="00836CCC"/>
    <w:rsid w:val="0084046A"/>
    <w:rsid w:val="00860083"/>
    <w:rsid w:val="00860DE1"/>
    <w:rsid w:val="00865686"/>
    <w:rsid w:val="00865B5C"/>
    <w:rsid w:val="008814B8"/>
    <w:rsid w:val="008819DA"/>
    <w:rsid w:val="00887A65"/>
    <w:rsid w:val="0089063B"/>
    <w:rsid w:val="00890C34"/>
    <w:rsid w:val="008917B9"/>
    <w:rsid w:val="00896014"/>
    <w:rsid w:val="008A2F14"/>
    <w:rsid w:val="008B4134"/>
    <w:rsid w:val="008B5AF8"/>
    <w:rsid w:val="008C254E"/>
    <w:rsid w:val="008D2C52"/>
    <w:rsid w:val="008D487B"/>
    <w:rsid w:val="008D57AD"/>
    <w:rsid w:val="008D6555"/>
    <w:rsid w:val="008E4A93"/>
    <w:rsid w:val="008F747C"/>
    <w:rsid w:val="0090209F"/>
    <w:rsid w:val="00902338"/>
    <w:rsid w:val="009054CB"/>
    <w:rsid w:val="00910645"/>
    <w:rsid w:val="00920867"/>
    <w:rsid w:val="00920F2A"/>
    <w:rsid w:val="00921B83"/>
    <w:rsid w:val="00921E9E"/>
    <w:rsid w:val="00922D98"/>
    <w:rsid w:val="00924BA1"/>
    <w:rsid w:val="009304AE"/>
    <w:rsid w:val="00934387"/>
    <w:rsid w:val="00934888"/>
    <w:rsid w:val="0093527F"/>
    <w:rsid w:val="00942059"/>
    <w:rsid w:val="00942174"/>
    <w:rsid w:val="00943F3F"/>
    <w:rsid w:val="00945D81"/>
    <w:rsid w:val="009571C8"/>
    <w:rsid w:val="0096142F"/>
    <w:rsid w:val="00962EF0"/>
    <w:rsid w:val="00965A6D"/>
    <w:rsid w:val="0097131C"/>
    <w:rsid w:val="00984C5A"/>
    <w:rsid w:val="00986E8C"/>
    <w:rsid w:val="009979A7"/>
    <w:rsid w:val="009A194A"/>
    <w:rsid w:val="009B2AE9"/>
    <w:rsid w:val="009B2F59"/>
    <w:rsid w:val="009B307F"/>
    <w:rsid w:val="009B7761"/>
    <w:rsid w:val="009C0065"/>
    <w:rsid w:val="009C3EA4"/>
    <w:rsid w:val="009C5117"/>
    <w:rsid w:val="009C6F26"/>
    <w:rsid w:val="009C75F5"/>
    <w:rsid w:val="009C7AAB"/>
    <w:rsid w:val="009E628C"/>
    <w:rsid w:val="009F0791"/>
    <w:rsid w:val="009F0C3E"/>
    <w:rsid w:val="009F392F"/>
    <w:rsid w:val="00A06676"/>
    <w:rsid w:val="00A06AF5"/>
    <w:rsid w:val="00A06FE9"/>
    <w:rsid w:val="00A115F5"/>
    <w:rsid w:val="00A12EA0"/>
    <w:rsid w:val="00A13E2C"/>
    <w:rsid w:val="00A178FB"/>
    <w:rsid w:val="00A21F96"/>
    <w:rsid w:val="00A232CD"/>
    <w:rsid w:val="00A256AB"/>
    <w:rsid w:val="00A323C5"/>
    <w:rsid w:val="00A34777"/>
    <w:rsid w:val="00A36552"/>
    <w:rsid w:val="00A40903"/>
    <w:rsid w:val="00A5263A"/>
    <w:rsid w:val="00A52CAE"/>
    <w:rsid w:val="00A61635"/>
    <w:rsid w:val="00A61DEB"/>
    <w:rsid w:val="00A65508"/>
    <w:rsid w:val="00A67CD8"/>
    <w:rsid w:val="00A74B2B"/>
    <w:rsid w:val="00A840AC"/>
    <w:rsid w:val="00A851C2"/>
    <w:rsid w:val="00A86D6C"/>
    <w:rsid w:val="00A870BA"/>
    <w:rsid w:val="00A9203C"/>
    <w:rsid w:val="00A946F7"/>
    <w:rsid w:val="00A95E01"/>
    <w:rsid w:val="00A96D30"/>
    <w:rsid w:val="00A97B79"/>
    <w:rsid w:val="00AA2AE0"/>
    <w:rsid w:val="00AA7CBB"/>
    <w:rsid w:val="00AB18ED"/>
    <w:rsid w:val="00AB7175"/>
    <w:rsid w:val="00AC29B0"/>
    <w:rsid w:val="00AC3A0C"/>
    <w:rsid w:val="00AC4232"/>
    <w:rsid w:val="00AC7FA2"/>
    <w:rsid w:val="00AD4B7D"/>
    <w:rsid w:val="00AD6394"/>
    <w:rsid w:val="00AE13AF"/>
    <w:rsid w:val="00AF06BC"/>
    <w:rsid w:val="00AF0C03"/>
    <w:rsid w:val="00B16016"/>
    <w:rsid w:val="00B234AF"/>
    <w:rsid w:val="00B27F1B"/>
    <w:rsid w:val="00B37C1B"/>
    <w:rsid w:val="00B43107"/>
    <w:rsid w:val="00B439EC"/>
    <w:rsid w:val="00B47109"/>
    <w:rsid w:val="00B50945"/>
    <w:rsid w:val="00B5122D"/>
    <w:rsid w:val="00B53242"/>
    <w:rsid w:val="00B5382C"/>
    <w:rsid w:val="00B5781C"/>
    <w:rsid w:val="00B624CF"/>
    <w:rsid w:val="00B63B4B"/>
    <w:rsid w:val="00B6694A"/>
    <w:rsid w:val="00B847B7"/>
    <w:rsid w:val="00B90CD0"/>
    <w:rsid w:val="00B930C9"/>
    <w:rsid w:val="00B94C7D"/>
    <w:rsid w:val="00B97D8D"/>
    <w:rsid w:val="00BA3604"/>
    <w:rsid w:val="00BB0341"/>
    <w:rsid w:val="00BB0755"/>
    <w:rsid w:val="00BB4A78"/>
    <w:rsid w:val="00BB7135"/>
    <w:rsid w:val="00BC3CED"/>
    <w:rsid w:val="00BC5445"/>
    <w:rsid w:val="00BC7B0E"/>
    <w:rsid w:val="00BD2433"/>
    <w:rsid w:val="00BD4B3F"/>
    <w:rsid w:val="00BD6CF4"/>
    <w:rsid w:val="00BE0DFE"/>
    <w:rsid w:val="00BE3015"/>
    <w:rsid w:val="00BF1293"/>
    <w:rsid w:val="00C02DB7"/>
    <w:rsid w:val="00C02DEE"/>
    <w:rsid w:val="00C05556"/>
    <w:rsid w:val="00C11323"/>
    <w:rsid w:val="00C1307A"/>
    <w:rsid w:val="00C14A3E"/>
    <w:rsid w:val="00C223D4"/>
    <w:rsid w:val="00C41591"/>
    <w:rsid w:val="00C45F98"/>
    <w:rsid w:val="00C4655D"/>
    <w:rsid w:val="00C46BCF"/>
    <w:rsid w:val="00C51DDA"/>
    <w:rsid w:val="00C52216"/>
    <w:rsid w:val="00C53DB0"/>
    <w:rsid w:val="00C607E3"/>
    <w:rsid w:val="00C611B0"/>
    <w:rsid w:val="00C61825"/>
    <w:rsid w:val="00C6456D"/>
    <w:rsid w:val="00C7616A"/>
    <w:rsid w:val="00C81A83"/>
    <w:rsid w:val="00C83711"/>
    <w:rsid w:val="00C8384A"/>
    <w:rsid w:val="00C86C6A"/>
    <w:rsid w:val="00C878A5"/>
    <w:rsid w:val="00C90BA2"/>
    <w:rsid w:val="00C92818"/>
    <w:rsid w:val="00C962B2"/>
    <w:rsid w:val="00CA12D4"/>
    <w:rsid w:val="00CA2349"/>
    <w:rsid w:val="00CA266B"/>
    <w:rsid w:val="00CB0A35"/>
    <w:rsid w:val="00CB2F2F"/>
    <w:rsid w:val="00CC49AE"/>
    <w:rsid w:val="00CC550E"/>
    <w:rsid w:val="00CC7FAC"/>
    <w:rsid w:val="00CD3A0E"/>
    <w:rsid w:val="00CD3B89"/>
    <w:rsid w:val="00CD472D"/>
    <w:rsid w:val="00CE26A3"/>
    <w:rsid w:val="00CE4110"/>
    <w:rsid w:val="00CE52EB"/>
    <w:rsid w:val="00CF4554"/>
    <w:rsid w:val="00CF4D95"/>
    <w:rsid w:val="00CF629A"/>
    <w:rsid w:val="00CF6933"/>
    <w:rsid w:val="00CF6FDB"/>
    <w:rsid w:val="00D07BD9"/>
    <w:rsid w:val="00D108CD"/>
    <w:rsid w:val="00D12A50"/>
    <w:rsid w:val="00D307BF"/>
    <w:rsid w:val="00D31989"/>
    <w:rsid w:val="00D324C0"/>
    <w:rsid w:val="00D32A6A"/>
    <w:rsid w:val="00D509C7"/>
    <w:rsid w:val="00D57730"/>
    <w:rsid w:val="00D57E47"/>
    <w:rsid w:val="00D643E9"/>
    <w:rsid w:val="00D64EA6"/>
    <w:rsid w:val="00D6769E"/>
    <w:rsid w:val="00D676CC"/>
    <w:rsid w:val="00D71ED9"/>
    <w:rsid w:val="00D80335"/>
    <w:rsid w:val="00D8755F"/>
    <w:rsid w:val="00DA67FE"/>
    <w:rsid w:val="00DB360D"/>
    <w:rsid w:val="00DB36EA"/>
    <w:rsid w:val="00DB3B6E"/>
    <w:rsid w:val="00DB5D3D"/>
    <w:rsid w:val="00DC24A9"/>
    <w:rsid w:val="00DC4BF4"/>
    <w:rsid w:val="00DC520A"/>
    <w:rsid w:val="00DD0139"/>
    <w:rsid w:val="00DD0DD6"/>
    <w:rsid w:val="00DD14D2"/>
    <w:rsid w:val="00DD505E"/>
    <w:rsid w:val="00DE215C"/>
    <w:rsid w:val="00DE2DA4"/>
    <w:rsid w:val="00DF12CD"/>
    <w:rsid w:val="00E0149A"/>
    <w:rsid w:val="00E0378E"/>
    <w:rsid w:val="00E0439B"/>
    <w:rsid w:val="00E0528B"/>
    <w:rsid w:val="00E06590"/>
    <w:rsid w:val="00E072BE"/>
    <w:rsid w:val="00E16177"/>
    <w:rsid w:val="00E209E8"/>
    <w:rsid w:val="00E23168"/>
    <w:rsid w:val="00E3284A"/>
    <w:rsid w:val="00E40079"/>
    <w:rsid w:val="00E423A7"/>
    <w:rsid w:val="00E50C47"/>
    <w:rsid w:val="00E51CC2"/>
    <w:rsid w:val="00E55047"/>
    <w:rsid w:val="00E55B8A"/>
    <w:rsid w:val="00E61585"/>
    <w:rsid w:val="00E62556"/>
    <w:rsid w:val="00E65892"/>
    <w:rsid w:val="00E83BE7"/>
    <w:rsid w:val="00E90F30"/>
    <w:rsid w:val="00E946CB"/>
    <w:rsid w:val="00EA7DE7"/>
    <w:rsid w:val="00EB09BC"/>
    <w:rsid w:val="00EB69E3"/>
    <w:rsid w:val="00EB7237"/>
    <w:rsid w:val="00EB7C4A"/>
    <w:rsid w:val="00EC00D8"/>
    <w:rsid w:val="00EC4BFD"/>
    <w:rsid w:val="00EC5E91"/>
    <w:rsid w:val="00EC7711"/>
    <w:rsid w:val="00ED2AF4"/>
    <w:rsid w:val="00ED2DE0"/>
    <w:rsid w:val="00ED5D59"/>
    <w:rsid w:val="00ED7C6A"/>
    <w:rsid w:val="00EE1EC8"/>
    <w:rsid w:val="00EE29AE"/>
    <w:rsid w:val="00EE51B7"/>
    <w:rsid w:val="00EE7D67"/>
    <w:rsid w:val="00EF5709"/>
    <w:rsid w:val="00EF772D"/>
    <w:rsid w:val="00F013AE"/>
    <w:rsid w:val="00F0248D"/>
    <w:rsid w:val="00F02D74"/>
    <w:rsid w:val="00F0479A"/>
    <w:rsid w:val="00F103CE"/>
    <w:rsid w:val="00F213D6"/>
    <w:rsid w:val="00F256C7"/>
    <w:rsid w:val="00F31B9A"/>
    <w:rsid w:val="00F35272"/>
    <w:rsid w:val="00F41616"/>
    <w:rsid w:val="00F4735E"/>
    <w:rsid w:val="00F5197F"/>
    <w:rsid w:val="00F524DB"/>
    <w:rsid w:val="00F530B2"/>
    <w:rsid w:val="00F53223"/>
    <w:rsid w:val="00F5469A"/>
    <w:rsid w:val="00F663E8"/>
    <w:rsid w:val="00F760D5"/>
    <w:rsid w:val="00F76DC9"/>
    <w:rsid w:val="00F773E4"/>
    <w:rsid w:val="00F8041D"/>
    <w:rsid w:val="00F8105E"/>
    <w:rsid w:val="00F82046"/>
    <w:rsid w:val="00F82C91"/>
    <w:rsid w:val="00F87541"/>
    <w:rsid w:val="00F91F7C"/>
    <w:rsid w:val="00FA607C"/>
    <w:rsid w:val="00FA61C9"/>
    <w:rsid w:val="00FA6A04"/>
    <w:rsid w:val="00FB0853"/>
    <w:rsid w:val="00FB6445"/>
    <w:rsid w:val="00FB7D37"/>
    <w:rsid w:val="00FC16EC"/>
    <w:rsid w:val="00FC73C7"/>
    <w:rsid w:val="00FD02D9"/>
    <w:rsid w:val="00FD4F65"/>
    <w:rsid w:val="00FE06E5"/>
    <w:rsid w:val="00FE356F"/>
    <w:rsid w:val="00FE404F"/>
    <w:rsid w:val="00FE7AA0"/>
    <w:rsid w:val="00FF4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fr-CA"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fr-CA"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fr-CA"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fr-CA"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fr-CA"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fr-CA" w:eastAsia="en-US"/>
    </w:rPr>
  </w:style>
  <w:style w:type="character" w:customStyle="1" w:styleId="style21">
    <w:name w:val="style21"/>
    <w:rsid w:val="00F869FB"/>
    <w:rPr>
      <w:sz w:val="24"/>
      <w:szCs w:val="24"/>
      <w:lang w:val="fr-CA"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fr-CA"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fr-CA"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styleId="UnresolvedMention">
    <w:name w:val="Unresolved Mention"/>
    <w:uiPriority w:val="99"/>
    <w:semiHidden/>
    <w:unhideWhenUsed/>
    <w:rsid w:val="00C7616A"/>
    <w:rPr>
      <w:color w:val="605E5C"/>
      <w:shd w:val="clear" w:color="auto" w:fill="E1DFDD"/>
    </w:rPr>
  </w:style>
  <w:style w:type="character" w:customStyle="1" w:styleId="Heading2Char">
    <w:name w:val="Heading 2 Char"/>
    <w:link w:val="Heading2"/>
    <w:semiHidden/>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2" ma:contentTypeDescription="Create a new document." ma:contentTypeScope="" ma:versionID="3fac8f4b2963bf67bb1a5529083331b3">
  <xsd:schema xmlns:xsd="http://www.w3.org/2001/XMLSchema" xmlns:xs="http://www.w3.org/2001/XMLSchema" xmlns:p="http://schemas.microsoft.com/office/2006/metadata/properties" xmlns:ns3="d96ab0fc-bb98-41ac-b264-64d49f623ac2" targetNamespace="http://schemas.microsoft.com/office/2006/metadata/properties" ma:root="true" ma:fieldsID="16368bdbdd264b17f260b841c8052a6f" ns3:_="">
    <xsd:import namespace="d96ab0fc-bb98-41ac-b264-64d49f623a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14AB09-83A4-4CA2-8304-7ED7600BC08D}">
  <ds:schemaRefs>
    <ds:schemaRef ds:uri="http://schemas.microsoft.com/sharepoint/v3/contenttype/forms"/>
  </ds:schemaRefs>
</ds:datastoreItem>
</file>

<file path=customXml/itemProps2.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B23C0D-C0DA-4547-9D8F-25A13B9EDD80}">
  <ds:schemaRefs>
    <ds:schemaRef ds:uri="http://schemas.openxmlformats.org/officeDocument/2006/bibliography"/>
  </ds:schemaRefs>
</ds:datastoreItem>
</file>

<file path=customXml/itemProps4.xml><?xml version="1.0" encoding="utf-8"?>
<ds:datastoreItem xmlns:ds="http://schemas.openxmlformats.org/officeDocument/2006/customXml" ds:itemID="{AC371AAC-6C65-4E0A-B317-5080527E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28</TotalTime>
  <Pages>4</Pages>
  <Words>1511</Words>
  <Characters>8666</Characters>
  <Application>Microsoft Office Word</Application>
  <DocSecurity>0</DocSecurity>
  <Lines>165</Lines>
  <Paragraphs>42</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Palmer, Margaret</cp:lastModifiedBy>
  <cp:revision>8</cp:revision>
  <cp:lastPrinted>2021-06-15T17:56:00Z</cp:lastPrinted>
  <dcterms:created xsi:type="dcterms:W3CDTF">2021-08-25T16:38:00Z</dcterms:created>
  <dcterms:modified xsi:type="dcterms:W3CDTF">2021-08-25T18:32:00Z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