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27FD6" w:rsidRDefault="00AB7175" w:rsidP="00196917">
      <w:pPr>
        <w:tabs>
          <w:tab w:val="left" w:pos="7200"/>
        </w:tabs>
        <w:ind w:right="-1080"/>
        <w:jc w:val="both"/>
        <w:rPr>
          <w:sz w:val="22"/>
          <w:szCs w:val="22"/>
          <w:lang w:val="pt-BR"/>
        </w:rPr>
      </w:pPr>
      <w:bookmarkStart w:id="0" w:name="_top"/>
      <w:bookmarkEnd w:id="0"/>
      <w:r w:rsidRPr="00127FD6">
        <w:rPr>
          <w:sz w:val="22"/>
          <w:szCs w:val="22"/>
          <w:lang w:val="es-ES"/>
        </w:rPr>
        <w:tab/>
      </w:r>
      <w:r w:rsidR="00722693" w:rsidRPr="00127FD6">
        <w:rPr>
          <w:sz w:val="22"/>
          <w:szCs w:val="22"/>
          <w:lang w:val="pt-BR"/>
        </w:rPr>
        <w:t>OEA/Ser.W</w:t>
      </w:r>
    </w:p>
    <w:p w14:paraId="63A7DEB5" w14:textId="24599639" w:rsidR="00722693" w:rsidRPr="00127FD6" w:rsidRDefault="00722693" w:rsidP="00196917">
      <w:pPr>
        <w:tabs>
          <w:tab w:val="left" w:pos="7200"/>
        </w:tabs>
        <w:ind w:right="-1080"/>
        <w:jc w:val="both"/>
        <w:rPr>
          <w:sz w:val="22"/>
          <w:szCs w:val="22"/>
          <w:lang w:val="pt-BR"/>
        </w:rPr>
      </w:pPr>
      <w:r w:rsidRPr="00127FD6">
        <w:rPr>
          <w:sz w:val="22"/>
          <w:szCs w:val="22"/>
          <w:lang w:val="pt-BR"/>
        </w:rPr>
        <w:tab/>
        <w:t>CIDI/INF.</w:t>
      </w:r>
      <w:r w:rsidR="00115980">
        <w:rPr>
          <w:sz w:val="22"/>
          <w:szCs w:val="22"/>
          <w:lang w:val="pt-BR"/>
        </w:rPr>
        <w:t xml:space="preserve"> 447</w:t>
      </w:r>
      <w:r w:rsidR="003D1EB1" w:rsidRPr="00127FD6">
        <w:rPr>
          <w:sz w:val="22"/>
          <w:szCs w:val="22"/>
          <w:lang w:val="pt-BR"/>
        </w:rPr>
        <w:t>/</w:t>
      </w:r>
      <w:r w:rsidR="005627C6" w:rsidRPr="00127FD6">
        <w:rPr>
          <w:sz w:val="22"/>
          <w:szCs w:val="22"/>
          <w:lang w:val="pt-BR"/>
        </w:rPr>
        <w:t>2</w:t>
      </w:r>
      <w:r w:rsidRPr="00127FD6">
        <w:rPr>
          <w:sz w:val="22"/>
          <w:szCs w:val="22"/>
          <w:lang w:val="pt-BR"/>
        </w:rPr>
        <w:t>1</w:t>
      </w:r>
    </w:p>
    <w:p w14:paraId="3A17B420" w14:textId="38B08C57" w:rsidR="00921E9E" w:rsidRPr="007D69F4" w:rsidRDefault="00722693" w:rsidP="00196917">
      <w:pPr>
        <w:tabs>
          <w:tab w:val="left" w:pos="7200"/>
        </w:tabs>
        <w:ind w:right="-1080"/>
        <w:jc w:val="both"/>
        <w:rPr>
          <w:sz w:val="22"/>
          <w:szCs w:val="22"/>
          <w:lang w:val="es-US"/>
        </w:rPr>
      </w:pPr>
      <w:r w:rsidRPr="00127FD6">
        <w:rPr>
          <w:sz w:val="22"/>
          <w:szCs w:val="22"/>
          <w:lang w:val="pt-BR"/>
        </w:rPr>
        <w:tab/>
      </w:r>
      <w:r w:rsidR="0006611C" w:rsidRPr="007D69F4">
        <w:rPr>
          <w:sz w:val="22"/>
          <w:szCs w:val="22"/>
          <w:lang w:val="es-US"/>
        </w:rPr>
        <w:t>2</w:t>
      </w:r>
      <w:r w:rsidR="00127FD6" w:rsidRPr="007D69F4">
        <w:rPr>
          <w:sz w:val="22"/>
          <w:szCs w:val="22"/>
          <w:lang w:val="es-US"/>
        </w:rPr>
        <w:t>5 agosto</w:t>
      </w:r>
      <w:r w:rsidR="005627C6" w:rsidRPr="007D69F4">
        <w:rPr>
          <w:sz w:val="22"/>
          <w:szCs w:val="22"/>
          <w:lang w:val="es-US"/>
        </w:rPr>
        <w:t xml:space="preserve"> 2021</w:t>
      </w:r>
    </w:p>
    <w:p w14:paraId="74F96942" w14:textId="09E4ECA9" w:rsidR="00921E9E" w:rsidRPr="007D69F4" w:rsidRDefault="00921E9E" w:rsidP="00196917">
      <w:pPr>
        <w:pBdr>
          <w:bottom w:val="single" w:sz="12" w:space="1" w:color="auto"/>
        </w:pBdr>
        <w:tabs>
          <w:tab w:val="left" w:pos="7200"/>
        </w:tabs>
        <w:ind w:right="-389"/>
        <w:jc w:val="both"/>
        <w:rPr>
          <w:sz w:val="22"/>
          <w:szCs w:val="22"/>
          <w:lang w:val="es-US"/>
        </w:rPr>
      </w:pPr>
      <w:r w:rsidRPr="007D69F4">
        <w:rPr>
          <w:sz w:val="22"/>
          <w:szCs w:val="22"/>
          <w:lang w:val="es-US"/>
        </w:rPr>
        <w:tab/>
      </w:r>
      <w:r w:rsidR="00127FD6" w:rsidRPr="007D69F4">
        <w:rPr>
          <w:sz w:val="22"/>
          <w:szCs w:val="22"/>
          <w:lang w:val="es-US"/>
        </w:rPr>
        <w:t>TEXTUAL</w:t>
      </w:r>
    </w:p>
    <w:p w14:paraId="61F63C7D" w14:textId="77777777" w:rsidR="00C94884" w:rsidRPr="007D69F4" w:rsidRDefault="00C94884" w:rsidP="00196917">
      <w:pPr>
        <w:pBdr>
          <w:bottom w:val="single" w:sz="12" w:space="1" w:color="auto"/>
        </w:pBdr>
        <w:tabs>
          <w:tab w:val="left" w:pos="7200"/>
        </w:tabs>
        <w:ind w:right="-389"/>
        <w:jc w:val="both"/>
        <w:rPr>
          <w:sz w:val="22"/>
          <w:szCs w:val="22"/>
          <w:lang w:val="es-US"/>
        </w:rPr>
      </w:pPr>
    </w:p>
    <w:p w14:paraId="1F47F121" w14:textId="77777777" w:rsidR="00722693" w:rsidRPr="007D69F4" w:rsidRDefault="00722693" w:rsidP="00196917">
      <w:pPr>
        <w:tabs>
          <w:tab w:val="left" w:pos="7200"/>
        </w:tabs>
        <w:ind w:right="-1080"/>
        <w:jc w:val="both"/>
        <w:rPr>
          <w:sz w:val="22"/>
          <w:szCs w:val="22"/>
          <w:lang w:val="es-US"/>
        </w:rPr>
      </w:pPr>
    </w:p>
    <w:p w14:paraId="25FA450C" w14:textId="77777777" w:rsidR="00AB7175" w:rsidRPr="007D69F4" w:rsidRDefault="00AB7175" w:rsidP="00196917">
      <w:pPr>
        <w:jc w:val="both"/>
        <w:outlineLvl w:val="0"/>
        <w:rPr>
          <w:sz w:val="22"/>
          <w:szCs w:val="22"/>
          <w:lang w:val="es-US"/>
        </w:rPr>
      </w:pPr>
    </w:p>
    <w:p w14:paraId="0D37B0D5" w14:textId="77777777" w:rsidR="00663A6E" w:rsidRPr="007D69F4" w:rsidRDefault="00663A6E" w:rsidP="00196917">
      <w:pPr>
        <w:jc w:val="both"/>
        <w:outlineLvl w:val="0"/>
        <w:rPr>
          <w:sz w:val="22"/>
          <w:szCs w:val="22"/>
          <w:lang w:val="es-US"/>
        </w:rPr>
      </w:pPr>
    </w:p>
    <w:p w14:paraId="2C879C32" w14:textId="77777777" w:rsidR="00663A6E" w:rsidRPr="007D69F4" w:rsidRDefault="00663A6E" w:rsidP="00196917">
      <w:pPr>
        <w:jc w:val="both"/>
        <w:outlineLvl w:val="0"/>
        <w:rPr>
          <w:sz w:val="22"/>
          <w:szCs w:val="22"/>
          <w:lang w:val="es-US"/>
        </w:rPr>
      </w:pPr>
    </w:p>
    <w:p w14:paraId="697FE235" w14:textId="77777777" w:rsidR="00663A6E" w:rsidRPr="007D69F4" w:rsidRDefault="00663A6E" w:rsidP="00196917">
      <w:pPr>
        <w:jc w:val="both"/>
        <w:outlineLvl w:val="0"/>
        <w:rPr>
          <w:sz w:val="22"/>
          <w:szCs w:val="22"/>
          <w:lang w:val="es-US"/>
        </w:rPr>
      </w:pPr>
    </w:p>
    <w:p w14:paraId="6A16065C" w14:textId="77777777" w:rsidR="00663A6E" w:rsidRPr="007D69F4" w:rsidRDefault="00663A6E" w:rsidP="00196917">
      <w:pPr>
        <w:jc w:val="both"/>
        <w:outlineLvl w:val="0"/>
        <w:rPr>
          <w:sz w:val="22"/>
          <w:szCs w:val="22"/>
          <w:lang w:val="es-US"/>
        </w:rPr>
      </w:pPr>
    </w:p>
    <w:p w14:paraId="69FEE1F8" w14:textId="77777777" w:rsidR="00663A6E" w:rsidRPr="007D69F4" w:rsidRDefault="00663A6E" w:rsidP="00196917">
      <w:pPr>
        <w:jc w:val="both"/>
        <w:outlineLvl w:val="0"/>
        <w:rPr>
          <w:sz w:val="22"/>
          <w:szCs w:val="22"/>
          <w:lang w:val="es-US"/>
        </w:rPr>
      </w:pPr>
    </w:p>
    <w:p w14:paraId="722FCC2B" w14:textId="77777777" w:rsidR="00663A6E" w:rsidRPr="007D69F4" w:rsidRDefault="00663A6E" w:rsidP="00196917">
      <w:pPr>
        <w:jc w:val="both"/>
        <w:outlineLvl w:val="0"/>
        <w:rPr>
          <w:sz w:val="22"/>
          <w:szCs w:val="22"/>
          <w:lang w:val="es-US"/>
        </w:rPr>
      </w:pPr>
    </w:p>
    <w:p w14:paraId="7956871F" w14:textId="77777777" w:rsidR="00663A6E" w:rsidRPr="007D69F4" w:rsidRDefault="00663A6E" w:rsidP="00196917">
      <w:pPr>
        <w:jc w:val="both"/>
        <w:outlineLvl w:val="0"/>
        <w:rPr>
          <w:sz w:val="22"/>
          <w:szCs w:val="22"/>
          <w:lang w:val="es-US"/>
        </w:rPr>
      </w:pPr>
    </w:p>
    <w:p w14:paraId="078AB6B0" w14:textId="77777777" w:rsidR="00663A6E" w:rsidRPr="007D69F4" w:rsidRDefault="00663A6E" w:rsidP="00196917">
      <w:pPr>
        <w:jc w:val="both"/>
        <w:outlineLvl w:val="0"/>
        <w:rPr>
          <w:sz w:val="22"/>
          <w:szCs w:val="22"/>
          <w:lang w:val="es-US"/>
        </w:rPr>
      </w:pPr>
    </w:p>
    <w:p w14:paraId="6F8F2C51" w14:textId="77777777" w:rsidR="00663A6E" w:rsidRPr="007D69F4" w:rsidRDefault="00663A6E" w:rsidP="003340D0">
      <w:pPr>
        <w:jc w:val="center"/>
        <w:outlineLvl w:val="0"/>
        <w:rPr>
          <w:sz w:val="22"/>
          <w:szCs w:val="22"/>
          <w:lang w:val="es-US"/>
        </w:rPr>
      </w:pPr>
    </w:p>
    <w:p w14:paraId="4A1F7AAF" w14:textId="77777777" w:rsidR="00663A6E" w:rsidRPr="00127FD6" w:rsidRDefault="00663A6E" w:rsidP="003340D0">
      <w:pPr>
        <w:jc w:val="center"/>
        <w:outlineLvl w:val="0"/>
        <w:rPr>
          <w:sz w:val="22"/>
          <w:szCs w:val="22"/>
          <w:lang w:val="es-ES"/>
        </w:rPr>
      </w:pPr>
      <w:r w:rsidRPr="00127FD6">
        <w:rPr>
          <w:sz w:val="22"/>
          <w:szCs w:val="22"/>
          <w:lang w:val="es-ES"/>
        </w:rPr>
        <w:t>REUNIÓN ORDINARIA DEL</w:t>
      </w:r>
    </w:p>
    <w:p w14:paraId="34B274A0" w14:textId="77777777" w:rsidR="00663A6E" w:rsidRPr="00127FD6" w:rsidRDefault="00663A6E" w:rsidP="003340D0">
      <w:pPr>
        <w:jc w:val="center"/>
        <w:outlineLvl w:val="0"/>
        <w:rPr>
          <w:sz w:val="22"/>
          <w:szCs w:val="22"/>
          <w:lang w:val="es-ES"/>
        </w:rPr>
      </w:pPr>
      <w:r w:rsidRPr="00127FD6">
        <w:rPr>
          <w:sz w:val="22"/>
          <w:szCs w:val="22"/>
          <w:lang w:val="es-ES"/>
        </w:rPr>
        <w:t>CONSEJO INTERAMERICANO PARA EL DESARROLLO INTEGRAL (CIDI)</w:t>
      </w:r>
    </w:p>
    <w:p w14:paraId="3D30EAED" w14:textId="3607B6F6" w:rsidR="00663A6E" w:rsidRPr="00127FD6" w:rsidRDefault="00127FD6" w:rsidP="003340D0">
      <w:pPr>
        <w:jc w:val="center"/>
        <w:outlineLvl w:val="0"/>
        <w:rPr>
          <w:sz w:val="22"/>
          <w:szCs w:val="22"/>
          <w:lang w:val="es-ES"/>
        </w:rPr>
      </w:pPr>
      <w:r w:rsidRPr="00127FD6">
        <w:rPr>
          <w:sz w:val="22"/>
          <w:szCs w:val="22"/>
          <w:lang w:val="es-ES"/>
        </w:rPr>
        <w:t xml:space="preserve">31 DE AGOSTO </w:t>
      </w:r>
      <w:r w:rsidR="00663A6E" w:rsidRPr="00127FD6">
        <w:rPr>
          <w:sz w:val="22"/>
          <w:szCs w:val="22"/>
          <w:lang w:val="es-ES"/>
        </w:rPr>
        <w:t>20</w:t>
      </w:r>
      <w:r w:rsidR="005627C6" w:rsidRPr="00127FD6">
        <w:rPr>
          <w:sz w:val="22"/>
          <w:szCs w:val="22"/>
          <w:lang w:val="es-ES"/>
        </w:rPr>
        <w:t>2</w:t>
      </w:r>
      <w:r w:rsidR="00663A6E" w:rsidRPr="00127FD6">
        <w:rPr>
          <w:sz w:val="22"/>
          <w:szCs w:val="22"/>
          <w:lang w:val="es-ES"/>
        </w:rPr>
        <w:t>1</w:t>
      </w:r>
    </w:p>
    <w:p w14:paraId="18B166E8" w14:textId="77777777" w:rsidR="005627C6" w:rsidRPr="00127FD6" w:rsidRDefault="005627C6" w:rsidP="003340D0">
      <w:pPr>
        <w:jc w:val="center"/>
        <w:outlineLvl w:val="0"/>
        <w:rPr>
          <w:sz w:val="22"/>
          <w:szCs w:val="22"/>
          <w:lang w:val="es-ES"/>
        </w:rPr>
      </w:pPr>
    </w:p>
    <w:p w14:paraId="00918826" w14:textId="77CD1D77" w:rsidR="005627C6" w:rsidRPr="00127FD6" w:rsidRDefault="00663A6E" w:rsidP="003340D0">
      <w:pPr>
        <w:pStyle w:val="TableHeading"/>
        <w:tabs>
          <w:tab w:val="left" w:pos="720"/>
        </w:tabs>
        <w:snapToGrid w:val="0"/>
        <w:rPr>
          <w:b w:val="0"/>
          <w:bCs w:val="0"/>
          <w:caps/>
          <w:sz w:val="22"/>
          <w:szCs w:val="22"/>
          <w:lang w:val="es-US"/>
        </w:rPr>
      </w:pPr>
      <w:r w:rsidRPr="00127FD6">
        <w:rPr>
          <w:b w:val="0"/>
          <w:bCs w:val="0"/>
          <w:caps/>
          <w:sz w:val="22"/>
          <w:szCs w:val="22"/>
          <w:lang w:val="es-ES"/>
        </w:rPr>
        <w:t>SOBRE</w:t>
      </w:r>
      <w:r w:rsidR="003D1EB1" w:rsidRPr="00127FD6">
        <w:rPr>
          <w:b w:val="0"/>
          <w:bCs w:val="0"/>
          <w:caps/>
          <w:sz w:val="22"/>
          <w:szCs w:val="22"/>
          <w:lang w:val="es-ES"/>
        </w:rPr>
        <w:t xml:space="preserve">   EL TEMA:</w:t>
      </w:r>
    </w:p>
    <w:p w14:paraId="6A20BE25" w14:textId="77777777" w:rsidR="00663A6E" w:rsidRPr="00127FD6" w:rsidRDefault="00663A6E" w:rsidP="003340D0">
      <w:pPr>
        <w:jc w:val="center"/>
        <w:outlineLvl w:val="0"/>
        <w:rPr>
          <w:sz w:val="22"/>
          <w:szCs w:val="22"/>
          <w:lang w:val="es-US"/>
        </w:rPr>
      </w:pPr>
    </w:p>
    <w:p w14:paraId="6E4C5FF4" w14:textId="41AA72F3" w:rsidR="00663A6E" w:rsidRPr="00127FD6" w:rsidRDefault="00127FD6" w:rsidP="003340D0">
      <w:pPr>
        <w:jc w:val="center"/>
        <w:outlineLvl w:val="0"/>
        <w:rPr>
          <w:sz w:val="22"/>
          <w:szCs w:val="22"/>
          <w:lang w:val="es"/>
        </w:rPr>
      </w:pPr>
      <w:r w:rsidRPr="00127FD6">
        <w:rPr>
          <w:sz w:val="22"/>
          <w:szCs w:val="22"/>
          <w:lang w:val="es"/>
        </w:rPr>
        <w:t xml:space="preserve">JUVENTUD: MEJORAR LAS HABILIDADES CRÍTICAS Y LA PREPARACIÓN PARA LA INDUSTRIA 4.0 EN LAS AMÉRICAS </w:t>
      </w:r>
    </w:p>
    <w:p w14:paraId="461F0E2D" w14:textId="77777777" w:rsidR="00F72FE6" w:rsidRPr="00127FD6" w:rsidRDefault="00F72FE6" w:rsidP="003340D0">
      <w:pPr>
        <w:jc w:val="center"/>
        <w:outlineLvl w:val="0"/>
        <w:rPr>
          <w:sz w:val="22"/>
          <w:szCs w:val="22"/>
          <w:lang w:val="es-ES"/>
        </w:rPr>
      </w:pPr>
    </w:p>
    <w:p w14:paraId="030A0144" w14:textId="77777777" w:rsidR="00663A6E" w:rsidRPr="00127FD6" w:rsidRDefault="00663A6E" w:rsidP="003340D0">
      <w:pPr>
        <w:jc w:val="center"/>
        <w:outlineLvl w:val="0"/>
        <w:rPr>
          <w:sz w:val="22"/>
          <w:szCs w:val="22"/>
          <w:lang w:val="es-ES"/>
        </w:rPr>
      </w:pPr>
      <w:r w:rsidRPr="00127FD6">
        <w:rPr>
          <w:sz w:val="22"/>
          <w:szCs w:val="22"/>
          <w:lang w:val="es-ES"/>
        </w:rPr>
        <w:t>BIOGRAFÍA DE LOS EXPOSITORES INVITADOS</w:t>
      </w:r>
    </w:p>
    <w:p w14:paraId="20B5CEC2" w14:textId="77777777" w:rsidR="003D1EB1" w:rsidRPr="00127FD6" w:rsidRDefault="00663A6E" w:rsidP="00196917">
      <w:pPr>
        <w:pStyle w:val="ListParagraph0"/>
        <w:numPr>
          <w:ilvl w:val="0"/>
          <w:numId w:val="1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127FD6">
        <w:rPr>
          <w:sz w:val="22"/>
          <w:szCs w:val="22"/>
          <w:lang w:val="es-ES"/>
        </w:rPr>
        <w:br w:type="page"/>
      </w:r>
    </w:p>
    <w:p w14:paraId="56F8C5EC" w14:textId="62196B63" w:rsidR="003D1EB1" w:rsidRPr="00127FD6" w:rsidRDefault="003D1EB1" w:rsidP="003340D0">
      <w:pPr>
        <w:ind w:left="360"/>
        <w:jc w:val="center"/>
        <w:outlineLvl w:val="0"/>
        <w:rPr>
          <w:sz w:val="22"/>
          <w:szCs w:val="22"/>
          <w:lang w:val="es-ES"/>
        </w:rPr>
      </w:pPr>
      <w:r w:rsidRPr="00127FD6">
        <w:rPr>
          <w:sz w:val="22"/>
          <w:szCs w:val="22"/>
          <w:lang w:val="es-ES"/>
        </w:rPr>
        <w:lastRenderedPageBreak/>
        <w:t>REUNIÓN ORDINARIA DEL</w:t>
      </w:r>
    </w:p>
    <w:p w14:paraId="56E81D0C" w14:textId="7AFD0013" w:rsidR="003D1EB1" w:rsidRPr="00127FD6" w:rsidRDefault="003D1EB1" w:rsidP="003340D0">
      <w:pPr>
        <w:ind w:left="360"/>
        <w:jc w:val="center"/>
        <w:outlineLvl w:val="0"/>
        <w:rPr>
          <w:sz w:val="22"/>
          <w:szCs w:val="22"/>
          <w:lang w:val="es-ES"/>
        </w:rPr>
      </w:pPr>
      <w:r w:rsidRPr="00127FD6">
        <w:rPr>
          <w:sz w:val="22"/>
          <w:szCs w:val="22"/>
          <w:lang w:val="es-ES"/>
        </w:rPr>
        <w:t>CONSEJO INTERAMERICANO PARA EL DESARROLLO INTEGRAL (CIDI)</w:t>
      </w:r>
    </w:p>
    <w:p w14:paraId="77A4CEB1" w14:textId="2C37C41D" w:rsidR="003D1EB1" w:rsidRPr="00127FD6" w:rsidRDefault="00127FD6" w:rsidP="003340D0">
      <w:pPr>
        <w:ind w:left="360"/>
        <w:jc w:val="center"/>
        <w:outlineLvl w:val="0"/>
        <w:rPr>
          <w:sz w:val="22"/>
          <w:szCs w:val="22"/>
          <w:lang w:val="es-ES"/>
        </w:rPr>
      </w:pPr>
      <w:r w:rsidRPr="00127FD6">
        <w:rPr>
          <w:sz w:val="22"/>
          <w:szCs w:val="22"/>
          <w:lang w:val="es-ES"/>
        </w:rPr>
        <w:t xml:space="preserve">31 DE AGOSTO DE </w:t>
      </w:r>
      <w:r w:rsidR="003D1EB1" w:rsidRPr="00127FD6">
        <w:rPr>
          <w:sz w:val="22"/>
          <w:szCs w:val="22"/>
          <w:lang w:val="es-ES"/>
        </w:rPr>
        <w:t>2021</w:t>
      </w:r>
    </w:p>
    <w:p w14:paraId="47B2A2D4" w14:textId="6C731B01" w:rsidR="003D1EB1" w:rsidRPr="00127FD6" w:rsidRDefault="003D1EB1" w:rsidP="003340D0">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lang w:val="es-US"/>
        </w:rPr>
      </w:pPr>
    </w:p>
    <w:p w14:paraId="5960F1A8" w14:textId="64CB70E0" w:rsidR="003D1EB1" w:rsidRPr="00127FD6" w:rsidRDefault="003D1EB1" w:rsidP="003340D0">
      <w:pPr>
        <w:ind w:left="360"/>
        <w:jc w:val="center"/>
        <w:outlineLvl w:val="0"/>
        <w:rPr>
          <w:sz w:val="22"/>
          <w:szCs w:val="22"/>
          <w:lang w:val="es-ES"/>
        </w:rPr>
      </w:pPr>
      <w:r w:rsidRPr="00127FD6">
        <w:rPr>
          <w:sz w:val="22"/>
          <w:szCs w:val="22"/>
          <w:lang w:val="es-ES"/>
        </w:rPr>
        <w:t>BIOGRAFÍA DE LOS EXPOSITORES INVITADOS</w:t>
      </w:r>
    </w:p>
    <w:p w14:paraId="231ED908" w14:textId="7EE46449" w:rsidR="00127FD6" w:rsidRPr="007D69F4" w:rsidRDefault="00127FD6" w:rsidP="00BF73F4">
      <w:pPr>
        <w:jc w:val="both"/>
        <w:rPr>
          <w:rFonts w:eastAsia="Calibri"/>
          <w:sz w:val="22"/>
          <w:szCs w:val="22"/>
          <w:lang w:val="es-US"/>
        </w:rPr>
      </w:pPr>
    </w:p>
    <w:p w14:paraId="1F78191E" w14:textId="342A5CF2" w:rsidR="00127FD6" w:rsidRDefault="00127FD6" w:rsidP="00127FD6">
      <w:pPr>
        <w:jc w:val="both"/>
        <w:rPr>
          <w:sz w:val="22"/>
          <w:szCs w:val="22"/>
          <w:lang w:val="es-US"/>
        </w:rPr>
      </w:pPr>
    </w:p>
    <w:p w14:paraId="0B42C71A" w14:textId="74BA8222" w:rsidR="00BF73F4" w:rsidRPr="00BF73F4" w:rsidRDefault="00BF73F4" w:rsidP="00BF73F4">
      <w:pPr>
        <w:ind w:left="4140" w:hanging="3690"/>
        <w:jc w:val="both"/>
        <w:rPr>
          <w:sz w:val="22"/>
          <w:szCs w:val="22"/>
          <w:lang w:val="es-US"/>
        </w:rPr>
      </w:pPr>
      <w:r>
        <w:rPr>
          <w:noProof/>
          <w:sz w:val="22"/>
          <w:szCs w:val="22"/>
          <w:lang w:val="es-US"/>
        </w:rPr>
        <w:drawing>
          <wp:inline distT="0" distB="0" distL="0" distR="0" wp14:anchorId="4C18EBE2" wp14:editId="40885452">
            <wp:extent cx="2183082" cy="2145812"/>
            <wp:effectExtent l="0" t="0" r="8255" b="6985"/>
            <wp:docPr id="11" name="Picture 11"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 smiling&#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525" cy="2151163"/>
                    </a:xfrm>
                    <a:prstGeom prst="rect">
                      <a:avLst/>
                    </a:prstGeom>
                    <a:noFill/>
                    <a:ln>
                      <a:noFill/>
                    </a:ln>
                  </pic:spPr>
                </pic:pic>
              </a:graphicData>
            </a:graphic>
          </wp:inline>
        </w:drawing>
      </w:r>
      <w:r w:rsidRPr="00BF73F4">
        <w:rPr>
          <w:sz w:val="22"/>
          <w:szCs w:val="22"/>
          <w:lang w:val="es"/>
        </w:rPr>
        <w:t xml:space="preserve"> </w:t>
      </w:r>
      <w:r>
        <w:rPr>
          <w:sz w:val="22"/>
          <w:szCs w:val="22"/>
          <w:lang w:val="es"/>
        </w:rPr>
        <w:tab/>
      </w:r>
      <w:r w:rsidRPr="00BF73F4">
        <w:rPr>
          <w:b/>
          <w:bCs/>
          <w:sz w:val="22"/>
          <w:szCs w:val="22"/>
          <w:lang w:val="es"/>
        </w:rPr>
        <w:t xml:space="preserve">Tito José </w:t>
      </w:r>
      <w:proofErr w:type="spellStart"/>
      <w:r w:rsidRPr="00BF73F4">
        <w:rPr>
          <w:b/>
          <w:bCs/>
          <w:sz w:val="22"/>
          <w:szCs w:val="22"/>
          <w:lang w:val="es"/>
        </w:rPr>
        <w:t>Crissien</w:t>
      </w:r>
      <w:proofErr w:type="spellEnd"/>
      <w:r w:rsidRPr="00BF73F4">
        <w:rPr>
          <w:b/>
          <w:bCs/>
          <w:sz w:val="22"/>
          <w:szCs w:val="22"/>
          <w:lang w:val="es"/>
        </w:rPr>
        <w:t xml:space="preserve"> Borrero</w:t>
      </w:r>
      <w:r w:rsidRPr="00BF73F4">
        <w:rPr>
          <w:sz w:val="22"/>
          <w:szCs w:val="22"/>
          <w:lang w:val="es"/>
        </w:rPr>
        <w:t xml:space="preserve">, </w:t>
      </w:r>
      <w:proofErr w:type="gramStart"/>
      <w:r w:rsidRPr="00BF73F4">
        <w:rPr>
          <w:sz w:val="22"/>
          <w:szCs w:val="22"/>
          <w:lang w:val="es"/>
        </w:rPr>
        <w:t>Ministro</w:t>
      </w:r>
      <w:proofErr w:type="gramEnd"/>
      <w:r w:rsidRPr="00BF73F4">
        <w:rPr>
          <w:sz w:val="22"/>
          <w:szCs w:val="22"/>
          <w:lang w:val="es"/>
        </w:rPr>
        <w:t xml:space="preserve"> de Ciencia, Tecnología e Innovación (MINCIENCIAS), Colombia</w:t>
      </w:r>
    </w:p>
    <w:p w14:paraId="511049A9" w14:textId="78E6C496" w:rsidR="00BF73F4" w:rsidRDefault="00BF73F4" w:rsidP="00127FD6">
      <w:pPr>
        <w:jc w:val="both"/>
        <w:rPr>
          <w:sz w:val="22"/>
          <w:szCs w:val="22"/>
          <w:lang w:val="es-US"/>
        </w:rPr>
      </w:pPr>
    </w:p>
    <w:p w14:paraId="4D6D3852" w14:textId="77777777" w:rsidR="00BF73F4" w:rsidRPr="00127FD6" w:rsidRDefault="00BF73F4" w:rsidP="00127FD6">
      <w:pPr>
        <w:jc w:val="both"/>
        <w:rPr>
          <w:sz w:val="22"/>
          <w:szCs w:val="22"/>
          <w:lang w:val="es-US"/>
        </w:rPr>
      </w:pPr>
    </w:p>
    <w:p w14:paraId="67589A6C" w14:textId="0A660007" w:rsidR="00127FD6" w:rsidRPr="007D69F4" w:rsidRDefault="00127FD6" w:rsidP="00127FD6">
      <w:pPr>
        <w:pStyle w:val="xmsonormal"/>
        <w:ind w:left="720" w:firstLine="720"/>
        <w:rPr>
          <w:rFonts w:ascii="Times New Roman" w:hAnsi="Times New Roman" w:cs="Times New Roman"/>
          <w:lang w:val="pt-BR"/>
        </w:rPr>
      </w:pPr>
      <w:r w:rsidRPr="007D69F4">
        <w:rPr>
          <w:rFonts w:ascii="Times New Roman" w:hAnsi="Times New Roman" w:cs="Times New Roman"/>
          <w:lang w:val="pt-BR"/>
        </w:rPr>
        <w:t xml:space="preserve">Enlace: </w:t>
      </w:r>
      <w:r w:rsidR="007D69F4">
        <w:fldChar w:fldCharType="begin"/>
      </w:r>
      <w:r w:rsidR="007D69F4" w:rsidRPr="007D69F4">
        <w:rPr>
          <w:lang w:val="pt-BR"/>
        </w:rPr>
        <w:instrText xml:space="preserve"> HYPERLINK "https://nam10.safelinks.protection.outlook.com/?url=https%3A%2F%2Fminciencias.gov.co%2Fministro_y_viceministros%2Fministro&amp;data=04%7C01%7CEDiaz%40oas.org%7Cc8560d81af9a4f8de9a708d96742d30e%7C4fdc3f2315064175958c37999cee0941%7C0%7C0%7C6376543591</w:instrText>
      </w:r>
      <w:r w:rsidR="007D69F4" w:rsidRPr="007D69F4">
        <w:rPr>
          <w:lang w:val="pt-BR"/>
        </w:rPr>
        <w:instrText xml:space="preserve">08057726%7CUnknown%7CTWFpbGZsb3d8eyJWIjoiMC4wLjAwMDAiLCJQIjoiV2luMzIiLCJBTiI6Ik1haWwiLCJXVCI6Mn0%3D%7C1000&amp;sdata=nro2Tn3qA3HLSI7%2BP%2FKjfGrHHzRTLlzFiU7V%2FadwXPw%3D&amp;reserved=0" </w:instrText>
      </w:r>
      <w:r w:rsidR="007D69F4">
        <w:fldChar w:fldCharType="separate"/>
      </w:r>
      <w:r w:rsidRPr="007D69F4">
        <w:rPr>
          <w:rStyle w:val="Hyperlink"/>
          <w:lang w:val="pt-BR"/>
        </w:rPr>
        <w:t>https://minciencias.gov.co/ministro_y_viceministros/ministro</w:t>
      </w:r>
      <w:r w:rsidR="007D69F4">
        <w:rPr>
          <w:rStyle w:val="Hyperlink"/>
          <w:lang w:val="es-US"/>
        </w:rPr>
        <w:fldChar w:fldCharType="end"/>
      </w:r>
    </w:p>
    <w:p w14:paraId="061BC8F0" w14:textId="2FD11BB1" w:rsidR="00BF73F4" w:rsidRPr="007D69F4" w:rsidRDefault="00BF73F4" w:rsidP="00127FD6">
      <w:pPr>
        <w:pStyle w:val="xmsonormal"/>
        <w:ind w:left="720" w:firstLine="720"/>
        <w:rPr>
          <w:rFonts w:ascii="Times New Roman" w:hAnsi="Times New Roman" w:cs="Times New Roman"/>
          <w:lang w:val="pt-BR"/>
        </w:rPr>
      </w:pPr>
    </w:p>
    <w:p w14:paraId="2DD64D88" w14:textId="77777777" w:rsidR="00BF73F4" w:rsidRPr="007D69F4" w:rsidRDefault="00BF73F4" w:rsidP="00BF73F4">
      <w:pPr>
        <w:jc w:val="both"/>
        <w:rPr>
          <w:rFonts w:eastAsiaTheme="minorHAnsi"/>
          <w:noProof/>
          <w:color w:val="000000"/>
          <w:sz w:val="22"/>
          <w:szCs w:val="22"/>
          <w:lang w:val="pt-BR"/>
        </w:rPr>
      </w:pPr>
    </w:p>
    <w:p w14:paraId="6737CDC6" w14:textId="77777777" w:rsidR="00BF73F4" w:rsidRPr="007D69F4" w:rsidRDefault="00BF73F4" w:rsidP="00BF73F4">
      <w:pPr>
        <w:jc w:val="both"/>
        <w:rPr>
          <w:rFonts w:eastAsiaTheme="minorHAnsi"/>
          <w:noProof/>
          <w:color w:val="000000"/>
          <w:sz w:val="22"/>
          <w:szCs w:val="22"/>
          <w:lang w:val="pt-BR"/>
        </w:rPr>
      </w:pPr>
    </w:p>
    <w:p w14:paraId="79EB1894" w14:textId="77777777" w:rsidR="00BF73F4" w:rsidRPr="007D69F4" w:rsidRDefault="00BF73F4" w:rsidP="00BF73F4">
      <w:pPr>
        <w:jc w:val="both"/>
        <w:rPr>
          <w:rFonts w:eastAsiaTheme="minorHAnsi"/>
          <w:noProof/>
          <w:color w:val="000000"/>
          <w:sz w:val="22"/>
          <w:szCs w:val="22"/>
          <w:lang w:val="pt-BR"/>
        </w:rPr>
      </w:pPr>
    </w:p>
    <w:p w14:paraId="5428001C" w14:textId="62DE0177" w:rsidR="00BF73F4" w:rsidRPr="007D69F4" w:rsidRDefault="00BF73F4" w:rsidP="00BF73F4">
      <w:pPr>
        <w:jc w:val="both"/>
        <w:rPr>
          <w:rFonts w:eastAsiaTheme="minorHAnsi"/>
          <w:b/>
          <w:bCs/>
          <w:noProof/>
          <w:color w:val="000000"/>
          <w:sz w:val="22"/>
          <w:szCs w:val="22"/>
          <w:lang w:val="pt-BR"/>
        </w:rPr>
      </w:pPr>
      <w:r w:rsidRPr="00127FD6">
        <w:rPr>
          <w:rFonts w:eastAsiaTheme="minorHAnsi"/>
          <w:noProof/>
          <w:color w:val="000000"/>
          <w:sz w:val="22"/>
          <w:szCs w:val="22"/>
          <w:lang w:val="es-ES"/>
        </w:rPr>
        <w:drawing>
          <wp:anchor distT="0" distB="0" distL="114300" distR="114300" simplePos="0" relativeHeight="251663360" behindDoc="0" locked="0" layoutInCell="1" allowOverlap="1" wp14:anchorId="487940A6" wp14:editId="057F82D0">
            <wp:simplePos x="0" y="0"/>
            <wp:positionH relativeFrom="margin">
              <wp:posOffset>222250</wp:posOffset>
            </wp:positionH>
            <wp:positionV relativeFrom="margin">
              <wp:posOffset>4792980</wp:posOffset>
            </wp:positionV>
            <wp:extent cx="2244725" cy="2306320"/>
            <wp:effectExtent l="0" t="0" r="3175" b="0"/>
            <wp:wrapSquare wrapText="bothSides"/>
            <wp:docPr id="13" name="Picture 1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4725" cy="2306320"/>
                    </a:xfrm>
                    <a:prstGeom prst="rect">
                      <a:avLst/>
                    </a:prstGeom>
                  </pic:spPr>
                </pic:pic>
              </a:graphicData>
            </a:graphic>
            <wp14:sizeRelH relativeFrom="margin">
              <wp14:pctWidth>0</wp14:pctWidth>
            </wp14:sizeRelH>
            <wp14:sizeRelV relativeFrom="margin">
              <wp14:pctHeight>0</wp14:pctHeight>
            </wp14:sizeRelV>
          </wp:anchor>
        </w:drawing>
      </w:r>
    </w:p>
    <w:p w14:paraId="14865C2E" w14:textId="175F6A9A" w:rsidR="00127FD6" w:rsidRPr="007D69F4" w:rsidRDefault="00127FD6" w:rsidP="00BF73F4">
      <w:pPr>
        <w:ind w:left="3600" w:hanging="90"/>
        <w:jc w:val="both"/>
        <w:rPr>
          <w:rFonts w:eastAsiaTheme="minorHAnsi"/>
          <w:b/>
          <w:bCs/>
          <w:color w:val="000000"/>
          <w:sz w:val="22"/>
          <w:szCs w:val="22"/>
          <w:lang w:val="pt-BR"/>
        </w:rPr>
      </w:pPr>
      <w:r w:rsidRPr="007D69F4">
        <w:rPr>
          <w:rFonts w:eastAsiaTheme="minorHAnsi"/>
          <w:b/>
          <w:bCs/>
          <w:color w:val="000000"/>
          <w:sz w:val="22"/>
          <w:szCs w:val="22"/>
          <w:lang w:val="pt-BR"/>
        </w:rPr>
        <w:t>Mtra. Andrea Escobedo Lastiri</w:t>
      </w:r>
    </w:p>
    <w:p w14:paraId="4C04646E" w14:textId="2D034218" w:rsidR="00127FD6" w:rsidRPr="00127FD6" w:rsidRDefault="00127FD6" w:rsidP="00BF73F4">
      <w:pPr>
        <w:ind w:left="2880"/>
        <w:jc w:val="both"/>
        <w:rPr>
          <w:rFonts w:eastAsiaTheme="minorHAnsi"/>
          <w:b/>
          <w:bCs/>
          <w:color w:val="000000"/>
          <w:sz w:val="22"/>
          <w:szCs w:val="22"/>
          <w:lang w:val="es-ES"/>
        </w:rPr>
      </w:pPr>
      <w:r w:rsidRPr="00127FD6">
        <w:rPr>
          <w:rFonts w:eastAsiaTheme="minorHAnsi"/>
          <w:b/>
          <w:bCs/>
          <w:color w:val="000000"/>
          <w:sz w:val="22"/>
          <w:szCs w:val="22"/>
          <w:lang w:val="es-ES"/>
        </w:rPr>
        <w:t>Ejecutiva de Asuntos Regulatorios y Relaciones con Gobierno</w:t>
      </w:r>
      <w:r w:rsidR="00BF73F4" w:rsidRPr="00BF73F4">
        <w:rPr>
          <w:rFonts w:eastAsiaTheme="minorHAnsi"/>
          <w:b/>
          <w:bCs/>
          <w:color w:val="000000"/>
          <w:sz w:val="22"/>
          <w:szCs w:val="22"/>
          <w:lang w:val="es-ES"/>
        </w:rPr>
        <w:t xml:space="preserve"> </w:t>
      </w:r>
      <w:r w:rsidRPr="00127FD6">
        <w:rPr>
          <w:rFonts w:eastAsiaTheme="minorHAnsi"/>
          <w:b/>
          <w:bCs/>
          <w:color w:val="000000"/>
          <w:sz w:val="22"/>
          <w:szCs w:val="22"/>
          <w:lang w:val="es-ES"/>
        </w:rPr>
        <w:t>IBM México</w:t>
      </w:r>
    </w:p>
    <w:p w14:paraId="5F8DABD3" w14:textId="11FC3A08" w:rsidR="00127FD6" w:rsidRPr="00127FD6" w:rsidRDefault="00127FD6" w:rsidP="00127FD6">
      <w:pPr>
        <w:jc w:val="both"/>
        <w:rPr>
          <w:rFonts w:eastAsiaTheme="minorHAnsi"/>
          <w:b/>
          <w:bCs/>
          <w:color w:val="000000"/>
          <w:sz w:val="22"/>
          <w:szCs w:val="22"/>
          <w:lang w:val="es-ES"/>
        </w:rPr>
      </w:pPr>
    </w:p>
    <w:p w14:paraId="5905971E" w14:textId="681AAA6F" w:rsidR="00127FD6" w:rsidRPr="00127FD6" w:rsidRDefault="00127FD6" w:rsidP="00127FD6">
      <w:pPr>
        <w:jc w:val="both"/>
        <w:rPr>
          <w:rFonts w:eastAsiaTheme="minorHAnsi"/>
          <w:color w:val="000000"/>
          <w:sz w:val="22"/>
          <w:szCs w:val="22"/>
          <w:lang w:val="es-ES"/>
        </w:rPr>
      </w:pPr>
      <w:r w:rsidRPr="00127FD6">
        <w:rPr>
          <w:rFonts w:eastAsiaTheme="minorHAnsi"/>
          <w:color w:val="000000"/>
          <w:sz w:val="22"/>
          <w:szCs w:val="22"/>
          <w:lang w:val="es-ES"/>
        </w:rPr>
        <w:t xml:space="preserve">Es Maestra en Ciencias Sociales por la Universidad de Chicago y Licenciada en Relaciones Internacionales por el Colegio de México. Es ex becaria de CONACYT y </w:t>
      </w:r>
      <w:proofErr w:type="spellStart"/>
      <w:r w:rsidRPr="00127FD6">
        <w:rPr>
          <w:rFonts w:eastAsiaTheme="minorHAnsi"/>
          <w:color w:val="000000"/>
          <w:sz w:val="22"/>
          <w:szCs w:val="22"/>
          <w:lang w:val="es-ES"/>
        </w:rPr>
        <w:t>Fulbright</w:t>
      </w:r>
      <w:proofErr w:type="spellEnd"/>
      <w:r w:rsidRPr="00127FD6">
        <w:rPr>
          <w:rFonts w:eastAsiaTheme="minorHAnsi"/>
          <w:color w:val="000000"/>
          <w:sz w:val="22"/>
          <w:szCs w:val="22"/>
          <w:lang w:val="es-ES"/>
        </w:rPr>
        <w:t xml:space="preserve">-García Robles. Tras haberse desempeñado profesionalmente en el gobierno federal y en organismos internacionales, se incorporó al equipo de IBM México en 2014. </w:t>
      </w:r>
    </w:p>
    <w:p w14:paraId="46832F18" w14:textId="77777777" w:rsidR="00127FD6" w:rsidRPr="00127FD6" w:rsidRDefault="00127FD6" w:rsidP="00127FD6">
      <w:pPr>
        <w:jc w:val="both"/>
        <w:rPr>
          <w:rFonts w:eastAsiaTheme="minorHAnsi"/>
          <w:color w:val="000000"/>
          <w:sz w:val="22"/>
          <w:szCs w:val="22"/>
          <w:lang w:val="es-ES"/>
        </w:rPr>
      </w:pPr>
    </w:p>
    <w:p w14:paraId="31B2735A" w14:textId="3ACD8600" w:rsidR="00127FD6" w:rsidRPr="00127FD6" w:rsidRDefault="00127FD6" w:rsidP="007D69F4">
      <w:pPr>
        <w:ind w:left="360"/>
        <w:jc w:val="both"/>
        <w:rPr>
          <w:rFonts w:eastAsiaTheme="minorHAnsi"/>
          <w:color w:val="000000"/>
          <w:sz w:val="22"/>
          <w:szCs w:val="22"/>
          <w:lang w:val="es-ES"/>
        </w:rPr>
      </w:pPr>
      <w:r w:rsidRPr="00127FD6">
        <w:rPr>
          <w:rFonts w:eastAsiaTheme="minorHAnsi"/>
          <w:color w:val="000000"/>
          <w:sz w:val="22"/>
          <w:szCs w:val="22"/>
          <w:lang w:val="es-ES"/>
        </w:rPr>
        <w:t xml:space="preserve">Con una trayectoria de más de 15 años en relaciones gubernamentales y políticas públicas, actualmente, la señora Escobedo lidera el área de asuntos regulatorios y con gobierno, donde es responsable de apoyar el desarrollo del mercado de la empresa en el país, así como impulsar una agenda enfocada en las tecnologías exponenciales como habilitadoras del desarrollo del país y en beneficio de las personas. Como parte de esta agenda, promueve iniciativas </w:t>
      </w:r>
      <w:r w:rsidRPr="00127FD6">
        <w:rPr>
          <w:rFonts w:eastAsiaTheme="minorHAnsi"/>
          <w:color w:val="000000"/>
          <w:sz w:val="22"/>
          <w:szCs w:val="22"/>
          <w:lang w:val="es-ES"/>
        </w:rPr>
        <w:lastRenderedPageBreak/>
        <w:t xml:space="preserve">en colaboración con aliados estratégicos, enfocadas en economía digital, el futuro del trabajo, diversidad e inclusión, y desarrollo tecnológico responsable. </w:t>
      </w:r>
    </w:p>
    <w:p w14:paraId="2600100D" w14:textId="77777777" w:rsidR="00127FD6" w:rsidRPr="00127FD6" w:rsidRDefault="00127FD6" w:rsidP="00127FD6">
      <w:pPr>
        <w:jc w:val="both"/>
        <w:rPr>
          <w:rFonts w:eastAsiaTheme="minorHAnsi"/>
          <w:color w:val="000000"/>
          <w:sz w:val="22"/>
          <w:szCs w:val="22"/>
          <w:lang w:val="es-ES"/>
        </w:rPr>
      </w:pPr>
    </w:p>
    <w:p w14:paraId="6B7479B8" w14:textId="333644C0" w:rsidR="00127FD6" w:rsidRPr="00127FD6" w:rsidRDefault="00127FD6" w:rsidP="007D69F4">
      <w:pPr>
        <w:ind w:left="360"/>
        <w:jc w:val="both"/>
        <w:rPr>
          <w:rFonts w:eastAsiaTheme="minorHAnsi"/>
          <w:color w:val="000000"/>
          <w:sz w:val="22"/>
          <w:szCs w:val="22"/>
          <w:lang w:val="es-ES"/>
        </w:rPr>
      </w:pPr>
      <w:r w:rsidRPr="00127FD6">
        <w:rPr>
          <w:rFonts w:eastAsiaTheme="minorHAnsi"/>
          <w:color w:val="000000"/>
          <w:sz w:val="22"/>
          <w:szCs w:val="22"/>
          <w:lang w:val="es-ES"/>
        </w:rPr>
        <w:t xml:space="preserve">La señora Escobedo también funge como </w:t>
      </w:r>
      <w:proofErr w:type="gramStart"/>
      <w:r w:rsidRPr="00127FD6">
        <w:rPr>
          <w:rFonts w:eastAsiaTheme="minorHAnsi"/>
          <w:color w:val="000000"/>
          <w:sz w:val="22"/>
          <w:szCs w:val="22"/>
          <w:lang w:val="es-ES"/>
        </w:rPr>
        <w:t>Presidenta</w:t>
      </w:r>
      <w:proofErr w:type="gramEnd"/>
      <w:r w:rsidRPr="00127FD6">
        <w:rPr>
          <w:rFonts w:eastAsiaTheme="minorHAnsi"/>
          <w:color w:val="000000"/>
          <w:sz w:val="22"/>
          <w:szCs w:val="22"/>
          <w:lang w:val="es-ES"/>
        </w:rPr>
        <w:t xml:space="preserve"> de la Sede Regional Centro Sur, así como Vicepresidenta Nacional de Inclusión y Diversidad de la Cámara Nacional y de la Industria Electrónica, de Telecomunicaciones y Tecnologías de la Información (CANIETI).</w:t>
      </w:r>
    </w:p>
    <w:p w14:paraId="4B4A0CAB" w14:textId="386F9FDF" w:rsidR="00127FD6" w:rsidRPr="00127FD6" w:rsidRDefault="00127FD6" w:rsidP="00127FD6">
      <w:pPr>
        <w:jc w:val="both"/>
        <w:rPr>
          <w:sz w:val="22"/>
          <w:szCs w:val="22"/>
          <w:lang w:val="es-ES"/>
        </w:rPr>
      </w:pPr>
    </w:p>
    <w:p w14:paraId="16B38B1E" w14:textId="00ECBC65" w:rsidR="00127FD6" w:rsidRPr="00127FD6" w:rsidRDefault="00127FD6" w:rsidP="00127FD6">
      <w:pPr>
        <w:jc w:val="both"/>
        <w:rPr>
          <w:sz w:val="22"/>
          <w:szCs w:val="22"/>
          <w:lang w:val="es-US"/>
        </w:rPr>
      </w:pPr>
    </w:p>
    <w:p w14:paraId="15040E8A" w14:textId="5D02D6F6" w:rsidR="00127FD6" w:rsidRPr="00127FD6" w:rsidRDefault="00127FD6" w:rsidP="00127FD6">
      <w:pPr>
        <w:jc w:val="both"/>
        <w:rPr>
          <w:sz w:val="22"/>
          <w:szCs w:val="22"/>
          <w:lang w:val="es-US"/>
        </w:rPr>
      </w:pPr>
    </w:p>
    <w:p w14:paraId="50FD882A" w14:textId="295D8335" w:rsidR="00127FD6" w:rsidRPr="00127FD6" w:rsidRDefault="00127FD6" w:rsidP="00127FD6">
      <w:pPr>
        <w:jc w:val="both"/>
        <w:rPr>
          <w:sz w:val="22"/>
          <w:szCs w:val="22"/>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835"/>
      </w:tblGrid>
      <w:tr w:rsidR="00BF73F4" w:rsidRPr="00127FD6" w14:paraId="64D8B77F" w14:textId="77777777" w:rsidTr="0057786D">
        <w:trPr>
          <w:trHeight w:val="2304"/>
        </w:trPr>
        <w:tc>
          <w:tcPr>
            <w:tcW w:w="2011" w:type="dxa"/>
            <w:vAlign w:val="center"/>
          </w:tcPr>
          <w:p w14:paraId="262A8267" w14:textId="77777777" w:rsidR="00127FD6" w:rsidRPr="00127FD6" w:rsidRDefault="00127FD6" w:rsidP="0057786D">
            <w:pPr>
              <w:ind w:left="-100" w:firstLine="355"/>
              <w:outlineLvl w:val="0"/>
              <w:rPr>
                <w:rFonts w:ascii="Times New Roman" w:hAnsi="Times New Roman"/>
                <w:b/>
                <w:bCs/>
                <w:sz w:val="22"/>
                <w:szCs w:val="22"/>
                <w:u w:val="single"/>
              </w:rPr>
            </w:pPr>
            <w:r w:rsidRPr="00127FD6">
              <w:rPr>
                <w:b/>
                <w:bCs/>
                <w:noProof/>
                <w:sz w:val="22"/>
                <w:szCs w:val="22"/>
                <w:u w:val="single"/>
              </w:rPr>
              <w:drawing>
                <wp:inline distT="0" distB="0" distL="0" distR="0" wp14:anchorId="7A7380CF" wp14:editId="4D963FC8">
                  <wp:extent cx="2400886" cy="2522483"/>
                  <wp:effectExtent l="0" t="0" r="0" b="0"/>
                  <wp:docPr id="10" name="Picture 10" descr="A picture containing person, person, wall,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wall, su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0593" cy="2711291"/>
                          </a:xfrm>
                          <a:prstGeom prst="rect">
                            <a:avLst/>
                          </a:prstGeom>
                        </pic:spPr>
                      </pic:pic>
                    </a:graphicData>
                  </a:graphic>
                </wp:inline>
              </w:drawing>
            </w:r>
          </w:p>
        </w:tc>
        <w:tc>
          <w:tcPr>
            <w:tcW w:w="8059" w:type="dxa"/>
            <w:vAlign w:val="center"/>
          </w:tcPr>
          <w:p w14:paraId="08957430" w14:textId="694A9180" w:rsidR="00BF73F4" w:rsidRDefault="00127FD6" w:rsidP="00BF73F4">
            <w:pPr>
              <w:pStyle w:val="ListParagraph0"/>
              <w:numPr>
                <w:ilvl w:val="0"/>
                <w:numId w:val="12"/>
              </w:numPr>
              <w:ind w:left="-120" w:hanging="2370"/>
              <w:rPr>
                <w:sz w:val="22"/>
                <w:szCs w:val="22"/>
              </w:rPr>
            </w:pPr>
            <w:r w:rsidRPr="00BF73F4">
              <w:rPr>
                <w:rFonts w:ascii="Times New Roman" w:hAnsi="Times New Roman"/>
                <w:b/>
                <w:color w:val="000000" w:themeColor="text1"/>
                <w:sz w:val="22"/>
                <w:szCs w:val="22"/>
              </w:rPr>
              <w:t>DR. JORGE A. VANEGAS</w:t>
            </w:r>
            <w:r w:rsidRPr="00BF73F4">
              <w:rPr>
                <w:rFonts w:ascii="Times New Roman" w:hAnsi="Times New Roman"/>
                <w:b/>
                <w:color w:val="000000" w:themeColor="text1"/>
                <w:sz w:val="22"/>
                <w:szCs w:val="22"/>
              </w:rPr>
              <w:br/>
            </w:r>
            <w:r w:rsidR="00BF73F4" w:rsidRPr="0020125B">
              <w:rPr>
                <w:sz w:val="22"/>
                <w:szCs w:val="22"/>
              </w:rPr>
              <w:t>Dean</w:t>
            </w:r>
            <w:r w:rsidR="00BF73F4">
              <w:rPr>
                <w:sz w:val="22"/>
                <w:szCs w:val="22"/>
              </w:rPr>
              <w:t xml:space="preserve"> </w:t>
            </w:r>
            <w:r w:rsidR="00BF73F4" w:rsidRPr="0020125B">
              <w:rPr>
                <w:sz w:val="22"/>
                <w:szCs w:val="22"/>
              </w:rPr>
              <w:t>of the College of Architecture, Director of the Institute for Sustainable Communities, Texas A&amp;M University, President of the Pan-American Academy of Engineering (PAAE)</w:t>
            </w:r>
          </w:p>
          <w:p w14:paraId="7BE6EB2A" w14:textId="5AFBCA87" w:rsidR="00127FD6" w:rsidRPr="00BF73F4" w:rsidRDefault="007D69F4" w:rsidP="00BF73F4">
            <w:pPr>
              <w:pStyle w:val="ListParagraph0"/>
              <w:numPr>
                <w:ilvl w:val="0"/>
                <w:numId w:val="12"/>
              </w:numPr>
              <w:ind w:left="-120" w:hanging="2370"/>
              <w:rPr>
                <w:sz w:val="22"/>
                <w:szCs w:val="22"/>
              </w:rPr>
            </w:pPr>
            <w:hyperlink r:id="rId11" w:history="1">
              <w:r w:rsidR="00127FD6" w:rsidRPr="00BF73F4">
                <w:rPr>
                  <w:rStyle w:val="Hyperlink"/>
                  <w:rFonts w:eastAsia="Times"/>
                  <w:color w:val="000000" w:themeColor="text1"/>
                  <w:sz w:val="22"/>
                  <w:szCs w:val="22"/>
                  <w:lang w:val="pt-BR"/>
                </w:rPr>
                <w:t>jvanegas@tamu.edu</w:t>
              </w:r>
            </w:hyperlink>
          </w:p>
        </w:tc>
      </w:tr>
    </w:tbl>
    <w:p w14:paraId="61FEEF94" w14:textId="77777777" w:rsidR="00BF73F4" w:rsidRDefault="00BF73F4" w:rsidP="00BF73F4">
      <w:pPr>
        <w:jc w:val="both"/>
        <w:rPr>
          <w:b/>
          <w:bCs/>
          <w:color w:val="000000" w:themeColor="text1"/>
          <w:sz w:val="22"/>
          <w:szCs w:val="22"/>
        </w:rPr>
      </w:pPr>
    </w:p>
    <w:p w14:paraId="69046C1C" w14:textId="392BD7B4" w:rsidR="00127FD6" w:rsidRDefault="00127FD6" w:rsidP="007D69F4">
      <w:pPr>
        <w:ind w:left="360"/>
        <w:jc w:val="both"/>
        <w:rPr>
          <w:color w:val="000000" w:themeColor="text1"/>
          <w:sz w:val="22"/>
          <w:szCs w:val="22"/>
        </w:rPr>
      </w:pPr>
      <w:r w:rsidRPr="00127FD6">
        <w:rPr>
          <w:b/>
          <w:bCs/>
          <w:color w:val="000000" w:themeColor="text1"/>
          <w:sz w:val="22"/>
          <w:szCs w:val="22"/>
        </w:rPr>
        <w:t>Dr. Jorge A. Vanegas</w:t>
      </w:r>
      <w:r w:rsidRPr="00127FD6">
        <w:rPr>
          <w:color w:val="000000" w:themeColor="text1"/>
          <w:sz w:val="22"/>
          <w:szCs w:val="22"/>
        </w:rPr>
        <w:t xml:space="preserve"> graduated in 1979 with a degree in </w:t>
      </w:r>
      <w:r w:rsidRPr="00127FD6">
        <w:rPr>
          <w:i/>
          <w:color w:val="000000" w:themeColor="text1"/>
          <w:sz w:val="22"/>
          <w:szCs w:val="22"/>
        </w:rPr>
        <w:t>Architecture</w:t>
      </w:r>
      <w:r w:rsidRPr="00127FD6">
        <w:rPr>
          <w:color w:val="000000" w:themeColor="text1"/>
          <w:sz w:val="22"/>
          <w:szCs w:val="22"/>
        </w:rPr>
        <w:t xml:space="preserve"> from the </w:t>
      </w:r>
      <w:r w:rsidRPr="00127FD6">
        <w:rPr>
          <w:i/>
          <w:color w:val="000000" w:themeColor="text1"/>
          <w:sz w:val="22"/>
          <w:szCs w:val="22"/>
        </w:rPr>
        <w:t>Universidad de los Andes</w:t>
      </w:r>
      <w:r w:rsidRPr="00127FD6">
        <w:rPr>
          <w:color w:val="000000" w:themeColor="text1"/>
          <w:sz w:val="22"/>
          <w:szCs w:val="22"/>
        </w:rPr>
        <w:t xml:space="preserve">, Bogotá, Colombia, South America, and he is a registered Architect in Colombia. He pursued graduate studies in the </w:t>
      </w:r>
      <w:r w:rsidRPr="00127FD6">
        <w:rPr>
          <w:i/>
          <w:color w:val="000000" w:themeColor="text1"/>
          <w:sz w:val="22"/>
          <w:szCs w:val="22"/>
        </w:rPr>
        <w:t>Construction Engineering and Management Program</w:t>
      </w:r>
      <w:r w:rsidRPr="00127FD6">
        <w:rPr>
          <w:color w:val="000000" w:themeColor="text1"/>
          <w:sz w:val="22"/>
          <w:szCs w:val="22"/>
        </w:rPr>
        <w:t xml:space="preserve"> (CEM) of the </w:t>
      </w:r>
      <w:r w:rsidRPr="00127FD6">
        <w:rPr>
          <w:i/>
          <w:color w:val="000000" w:themeColor="text1"/>
          <w:sz w:val="22"/>
          <w:szCs w:val="22"/>
        </w:rPr>
        <w:t>Department of Civil and Environmental Engineering</w:t>
      </w:r>
      <w:r w:rsidRPr="00127FD6">
        <w:rPr>
          <w:color w:val="000000" w:themeColor="text1"/>
          <w:sz w:val="22"/>
          <w:szCs w:val="22"/>
        </w:rPr>
        <w:t xml:space="preserve"> (CEE) at </w:t>
      </w:r>
      <w:r w:rsidRPr="00127FD6">
        <w:rPr>
          <w:i/>
          <w:color w:val="000000" w:themeColor="text1"/>
          <w:sz w:val="22"/>
          <w:szCs w:val="22"/>
        </w:rPr>
        <w:t>Stanford University</w:t>
      </w:r>
      <w:r w:rsidRPr="00127FD6">
        <w:rPr>
          <w:color w:val="000000" w:themeColor="text1"/>
          <w:sz w:val="22"/>
          <w:szCs w:val="22"/>
        </w:rPr>
        <w:t xml:space="preserve">, Stanford, California, graduating with a M.S. degree in 1985, and a Ph.D. degree in 1988. He is currently a tenured Professor in the </w:t>
      </w:r>
      <w:r w:rsidRPr="00127FD6">
        <w:rPr>
          <w:i/>
          <w:color w:val="000000" w:themeColor="text1"/>
          <w:sz w:val="22"/>
          <w:szCs w:val="22"/>
        </w:rPr>
        <w:t>Department of Architecture</w:t>
      </w:r>
      <w:r w:rsidRPr="00127FD6">
        <w:rPr>
          <w:color w:val="000000" w:themeColor="text1"/>
          <w:sz w:val="22"/>
          <w:szCs w:val="22"/>
        </w:rPr>
        <w:t xml:space="preserve"> (ARCH) in the </w:t>
      </w:r>
      <w:r w:rsidRPr="00127FD6">
        <w:rPr>
          <w:i/>
          <w:color w:val="000000" w:themeColor="text1"/>
          <w:sz w:val="22"/>
          <w:szCs w:val="22"/>
        </w:rPr>
        <w:t>College of Architecture</w:t>
      </w:r>
      <w:r w:rsidRPr="00127FD6">
        <w:rPr>
          <w:color w:val="000000" w:themeColor="text1"/>
          <w:sz w:val="22"/>
          <w:szCs w:val="22"/>
        </w:rPr>
        <w:t xml:space="preserve"> (COA) at </w:t>
      </w:r>
      <w:r w:rsidRPr="00127FD6">
        <w:rPr>
          <w:i/>
          <w:color w:val="000000" w:themeColor="text1"/>
          <w:sz w:val="22"/>
          <w:szCs w:val="22"/>
        </w:rPr>
        <w:t>Texas A&amp;M University</w:t>
      </w:r>
      <w:r w:rsidRPr="00127FD6">
        <w:rPr>
          <w:color w:val="000000" w:themeColor="text1"/>
          <w:sz w:val="22"/>
          <w:szCs w:val="22"/>
        </w:rPr>
        <w:t xml:space="preserve"> (TAMU) since January 2006, and more recently, he has a concurrent appointment as Director of the </w:t>
      </w:r>
      <w:r w:rsidRPr="00127FD6">
        <w:rPr>
          <w:i/>
          <w:iCs/>
          <w:color w:val="000000" w:themeColor="text1"/>
          <w:sz w:val="22"/>
          <w:szCs w:val="22"/>
        </w:rPr>
        <w:t>Institute for Sustainable Communities</w:t>
      </w:r>
      <w:r w:rsidRPr="00127FD6">
        <w:rPr>
          <w:color w:val="000000" w:themeColor="text1"/>
          <w:sz w:val="22"/>
          <w:szCs w:val="22"/>
        </w:rPr>
        <w:t xml:space="preserve"> (IFC) at TAMU since September 2020. In addition, he has courtesy appointments as a </w:t>
      </w:r>
      <w:r w:rsidRPr="00127FD6">
        <w:rPr>
          <w:i/>
          <w:color w:val="000000" w:themeColor="text1"/>
          <w:sz w:val="22"/>
          <w:szCs w:val="22"/>
        </w:rPr>
        <w:t>Research Professor</w:t>
      </w:r>
      <w:r w:rsidRPr="00127FD6">
        <w:rPr>
          <w:color w:val="000000" w:themeColor="text1"/>
          <w:sz w:val="22"/>
          <w:szCs w:val="22"/>
        </w:rPr>
        <w:t xml:space="preserve"> in the </w:t>
      </w:r>
      <w:r w:rsidRPr="00127FD6">
        <w:rPr>
          <w:i/>
          <w:color w:val="000000" w:themeColor="text1"/>
          <w:sz w:val="22"/>
          <w:szCs w:val="22"/>
        </w:rPr>
        <w:t>Texas Engineering Experiment Station</w:t>
      </w:r>
      <w:r w:rsidRPr="00127FD6">
        <w:rPr>
          <w:color w:val="000000" w:themeColor="text1"/>
          <w:sz w:val="22"/>
          <w:szCs w:val="22"/>
        </w:rPr>
        <w:t xml:space="preserve"> (TEES) of the </w:t>
      </w:r>
      <w:r w:rsidRPr="00127FD6">
        <w:rPr>
          <w:i/>
          <w:color w:val="000000" w:themeColor="text1"/>
          <w:sz w:val="22"/>
          <w:szCs w:val="22"/>
        </w:rPr>
        <w:t>Texas A&amp;M University System</w:t>
      </w:r>
      <w:r w:rsidRPr="00127FD6">
        <w:rPr>
          <w:color w:val="000000" w:themeColor="text1"/>
          <w:sz w:val="22"/>
          <w:szCs w:val="22"/>
        </w:rPr>
        <w:t xml:space="preserve"> (TAMUS) since September 2011, and as a </w:t>
      </w:r>
      <w:r w:rsidRPr="00127FD6">
        <w:rPr>
          <w:i/>
          <w:color w:val="000000" w:themeColor="text1"/>
          <w:sz w:val="22"/>
          <w:szCs w:val="22"/>
        </w:rPr>
        <w:t>Professor</w:t>
      </w:r>
      <w:r w:rsidRPr="00127FD6">
        <w:rPr>
          <w:color w:val="000000" w:themeColor="text1"/>
          <w:sz w:val="22"/>
          <w:szCs w:val="22"/>
        </w:rPr>
        <w:t xml:space="preserve"> in the </w:t>
      </w:r>
      <w:r w:rsidRPr="00127FD6">
        <w:rPr>
          <w:i/>
          <w:color w:val="000000" w:themeColor="text1"/>
          <w:sz w:val="22"/>
          <w:szCs w:val="22"/>
        </w:rPr>
        <w:t>Department of Civil and Environmental Engineering</w:t>
      </w:r>
      <w:r w:rsidRPr="00127FD6">
        <w:rPr>
          <w:color w:val="000000" w:themeColor="text1"/>
          <w:sz w:val="22"/>
          <w:szCs w:val="22"/>
        </w:rPr>
        <w:t xml:space="preserve"> (CVEN) in the </w:t>
      </w:r>
      <w:r w:rsidRPr="00127FD6">
        <w:rPr>
          <w:i/>
          <w:iCs/>
          <w:color w:val="000000" w:themeColor="text1"/>
          <w:sz w:val="22"/>
          <w:szCs w:val="22"/>
        </w:rPr>
        <w:t>College of Engineering</w:t>
      </w:r>
      <w:r w:rsidRPr="00127FD6">
        <w:rPr>
          <w:color w:val="000000" w:themeColor="text1"/>
          <w:sz w:val="22"/>
          <w:szCs w:val="22"/>
        </w:rPr>
        <w:t xml:space="preserve"> (COE) at TAMU since February 2020. </w:t>
      </w:r>
    </w:p>
    <w:p w14:paraId="386228F7" w14:textId="77777777" w:rsidR="00BF73F4" w:rsidRPr="00127FD6" w:rsidRDefault="00BF73F4" w:rsidP="007D69F4">
      <w:pPr>
        <w:ind w:left="360"/>
        <w:jc w:val="both"/>
        <w:rPr>
          <w:color w:val="000000" w:themeColor="text1"/>
          <w:sz w:val="22"/>
          <w:szCs w:val="22"/>
        </w:rPr>
      </w:pPr>
    </w:p>
    <w:p w14:paraId="69B45A5E" w14:textId="77777777" w:rsidR="00127FD6" w:rsidRPr="00127FD6" w:rsidRDefault="00127FD6" w:rsidP="007D69F4">
      <w:pPr>
        <w:ind w:left="360"/>
        <w:jc w:val="both"/>
        <w:rPr>
          <w:color w:val="000000" w:themeColor="text1"/>
          <w:sz w:val="22"/>
          <w:szCs w:val="22"/>
        </w:rPr>
      </w:pPr>
      <w:r w:rsidRPr="00127FD6">
        <w:rPr>
          <w:color w:val="000000" w:themeColor="text1"/>
          <w:sz w:val="22"/>
          <w:szCs w:val="22"/>
        </w:rPr>
        <w:t xml:space="preserve">In July 2009, Dr. Vanegas began an appointment as </w:t>
      </w:r>
      <w:r w:rsidRPr="00127FD6">
        <w:rPr>
          <w:i/>
          <w:color w:val="000000" w:themeColor="text1"/>
          <w:sz w:val="22"/>
          <w:szCs w:val="22"/>
        </w:rPr>
        <w:t>Dean</w:t>
      </w:r>
      <w:r w:rsidRPr="00127FD6">
        <w:rPr>
          <w:color w:val="000000" w:themeColor="text1"/>
          <w:sz w:val="22"/>
          <w:szCs w:val="22"/>
        </w:rPr>
        <w:t xml:space="preserve"> of the COA at TAMU, having served as </w:t>
      </w:r>
      <w:r w:rsidRPr="00127FD6">
        <w:rPr>
          <w:i/>
          <w:color w:val="000000" w:themeColor="text1"/>
          <w:sz w:val="22"/>
          <w:szCs w:val="22"/>
        </w:rPr>
        <w:t>Interim Dean</w:t>
      </w:r>
      <w:r w:rsidRPr="00127FD6">
        <w:rPr>
          <w:color w:val="000000" w:themeColor="text1"/>
          <w:sz w:val="22"/>
          <w:szCs w:val="22"/>
        </w:rPr>
        <w:t xml:space="preserve"> from August 2008 to July 2009. In July 2013, he was reappointed for a second term, and on in January 2017, he was reappointed for a third term, which will end in 2022.  </w:t>
      </w:r>
      <w:r w:rsidRPr="00127FD6">
        <w:rPr>
          <w:color w:val="000000"/>
          <w:sz w:val="22"/>
          <w:szCs w:val="22"/>
        </w:rPr>
        <w:t>As</w:t>
      </w:r>
      <w:r w:rsidRPr="00127FD6">
        <w:rPr>
          <w:rStyle w:val="apple-converted-space"/>
          <w:color w:val="000000"/>
          <w:sz w:val="22"/>
          <w:szCs w:val="22"/>
        </w:rPr>
        <w:t xml:space="preserve"> </w:t>
      </w:r>
      <w:r w:rsidRPr="00127FD6">
        <w:rPr>
          <w:i/>
          <w:iCs/>
          <w:color w:val="000000"/>
          <w:sz w:val="22"/>
          <w:szCs w:val="22"/>
        </w:rPr>
        <w:t>Dean</w:t>
      </w:r>
      <w:r w:rsidRPr="00127FD6">
        <w:rPr>
          <w:rStyle w:val="apple-converted-space"/>
          <w:color w:val="000000"/>
          <w:sz w:val="22"/>
          <w:szCs w:val="22"/>
        </w:rPr>
        <w:t xml:space="preserve"> </w:t>
      </w:r>
      <w:r w:rsidRPr="00127FD6">
        <w:rPr>
          <w:color w:val="000000"/>
          <w:sz w:val="22"/>
          <w:szCs w:val="22"/>
        </w:rPr>
        <w:t xml:space="preserve">of the COA at TAMU, Dr. Vanegas is the current steward (Fall 2020) of </w:t>
      </w:r>
      <w:r w:rsidRPr="00127FD6">
        <w:rPr>
          <w:i/>
          <w:iCs/>
          <w:color w:val="000000"/>
          <w:sz w:val="22"/>
          <w:szCs w:val="22"/>
          <w:u w:val="single"/>
        </w:rPr>
        <w:t>173 faculty members</w:t>
      </w:r>
      <w:r w:rsidRPr="00127FD6">
        <w:rPr>
          <w:rStyle w:val="apple-converted-space"/>
          <w:color w:val="000000"/>
          <w:sz w:val="22"/>
          <w:szCs w:val="22"/>
        </w:rPr>
        <w:t xml:space="preserve"> </w:t>
      </w:r>
      <w:r w:rsidRPr="00127FD6">
        <w:rPr>
          <w:color w:val="000000"/>
          <w:sz w:val="22"/>
          <w:szCs w:val="22"/>
        </w:rPr>
        <w:t xml:space="preserve">from a diverse range of disciplines, </w:t>
      </w:r>
      <w:r w:rsidRPr="00127FD6">
        <w:rPr>
          <w:i/>
          <w:iCs/>
          <w:color w:val="000000"/>
          <w:sz w:val="22"/>
          <w:szCs w:val="22"/>
          <w:u w:val="single"/>
        </w:rPr>
        <w:t>3,231 undergraduate and graduate students</w:t>
      </w:r>
      <w:r w:rsidRPr="00127FD6">
        <w:rPr>
          <w:color w:val="000000"/>
          <w:sz w:val="22"/>
          <w:szCs w:val="22"/>
        </w:rPr>
        <w:t xml:space="preserve">, and </w:t>
      </w:r>
      <w:r w:rsidRPr="00127FD6">
        <w:rPr>
          <w:i/>
          <w:iCs/>
          <w:color w:val="000000"/>
          <w:sz w:val="22"/>
          <w:szCs w:val="22"/>
          <w:u w:val="single"/>
        </w:rPr>
        <w:t>81 staff members</w:t>
      </w:r>
      <w:r w:rsidRPr="00127FD6">
        <w:rPr>
          <w:color w:val="000000"/>
          <w:sz w:val="22"/>
          <w:szCs w:val="22"/>
        </w:rPr>
        <w:t xml:space="preserve">. The full scope of the COA includes: </w:t>
      </w:r>
      <w:r w:rsidRPr="00127FD6">
        <w:rPr>
          <w:b/>
          <w:bCs/>
          <w:color w:val="000000"/>
          <w:sz w:val="22"/>
          <w:szCs w:val="22"/>
        </w:rPr>
        <w:t>(1)</w:t>
      </w:r>
      <w:r w:rsidRPr="00127FD6">
        <w:rPr>
          <w:rStyle w:val="apple-converted-space"/>
          <w:color w:val="000000"/>
          <w:sz w:val="22"/>
          <w:szCs w:val="22"/>
        </w:rPr>
        <w:t xml:space="preserve"> </w:t>
      </w:r>
      <w:r w:rsidRPr="00127FD6">
        <w:rPr>
          <w:i/>
          <w:iCs/>
          <w:color w:val="000000"/>
          <w:sz w:val="22"/>
          <w:szCs w:val="22"/>
        </w:rPr>
        <w:t>17 undergraduate, graduate, and doctoral</w:t>
      </w:r>
      <w:r w:rsidRPr="00127FD6">
        <w:rPr>
          <w:rStyle w:val="apple-converted-space"/>
          <w:i/>
          <w:iCs/>
          <w:color w:val="000000"/>
          <w:sz w:val="22"/>
          <w:szCs w:val="22"/>
        </w:rPr>
        <w:t xml:space="preserve"> </w:t>
      </w:r>
      <w:r w:rsidRPr="00127FD6">
        <w:rPr>
          <w:i/>
          <w:iCs/>
          <w:color w:val="000000"/>
          <w:sz w:val="22"/>
          <w:szCs w:val="22"/>
          <w:u w:val="single"/>
        </w:rPr>
        <w:t>academic degree programs</w:t>
      </w:r>
      <w:r w:rsidRPr="00127FD6">
        <w:rPr>
          <w:color w:val="000000"/>
          <w:sz w:val="22"/>
          <w:szCs w:val="22"/>
        </w:rPr>
        <w:t>, within</w:t>
      </w:r>
      <w:r w:rsidRPr="00127FD6">
        <w:rPr>
          <w:rStyle w:val="apple-converted-space"/>
          <w:i/>
          <w:iCs/>
          <w:color w:val="000000"/>
          <w:sz w:val="22"/>
          <w:szCs w:val="22"/>
        </w:rPr>
        <w:t xml:space="preserve"> </w:t>
      </w:r>
      <w:r w:rsidRPr="00127FD6">
        <w:rPr>
          <w:i/>
          <w:iCs/>
          <w:color w:val="000000"/>
          <w:sz w:val="22"/>
          <w:szCs w:val="22"/>
        </w:rPr>
        <w:t>four</w:t>
      </w:r>
      <w:r w:rsidRPr="00127FD6">
        <w:rPr>
          <w:rStyle w:val="apple-converted-space"/>
          <w:i/>
          <w:iCs/>
          <w:color w:val="000000"/>
          <w:sz w:val="22"/>
          <w:szCs w:val="22"/>
        </w:rPr>
        <w:t xml:space="preserve"> </w:t>
      </w:r>
      <w:r w:rsidRPr="00127FD6">
        <w:rPr>
          <w:i/>
          <w:iCs/>
          <w:color w:val="000000"/>
          <w:sz w:val="22"/>
          <w:szCs w:val="22"/>
          <w:u w:val="single"/>
        </w:rPr>
        <w:t>departments</w:t>
      </w:r>
      <w:r w:rsidRPr="00127FD6">
        <w:rPr>
          <w:rStyle w:val="apple-converted-space"/>
          <w:color w:val="000000"/>
          <w:sz w:val="22"/>
          <w:szCs w:val="22"/>
        </w:rPr>
        <w:t xml:space="preserve"> </w:t>
      </w:r>
      <w:r w:rsidRPr="00127FD6">
        <w:rPr>
          <w:color w:val="000000"/>
          <w:sz w:val="22"/>
          <w:szCs w:val="22"/>
        </w:rPr>
        <w:t>(</w:t>
      </w:r>
      <w:r w:rsidRPr="00127FD6">
        <w:rPr>
          <w:i/>
          <w:iCs/>
          <w:color w:val="000000"/>
          <w:sz w:val="22"/>
          <w:szCs w:val="22"/>
        </w:rPr>
        <w:t>Architecture</w:t>
      </w:r>
      <w:r w:rsidRPr="00127FD6">
        <w:rPr>
          <w:color w:val="000000"/>
          <w:sz w:val="22"/>
          <w:szCs w:val="22"/>
        </w:rPr>
        <w:t>;</w:t>
      </w:r>
      <w:r w:rsidRPr="00127FD6">
        <w:rPr>
          <w:rStyle w:val="apple-converted-space"/>
          <w:color w:val="000000"/>
          <w:sz w:val="22"/>
          <w:szCs w:val="22"/>
        </w:rPr>
        <w:t xml:space="preserve"> </w:t>
      </w:r>
      <w:r w:rsidRPr="00127FD6">
        <w:rPr>
          <w:i/>
          <w:iCs/>
          <w:color w:val="000000"/>
          <w:sz w:val="22"/>
          <w:szCs w:val="22"/>
        </w:rPr>
        <w:t>Construction Science</w:t>
      </w:r>
      <w:r w:rsidRPr="00127FD6">
        <w:rPr>
          <w:color w:val="000000"/>
          <w:sz w:val="22"/>
          <w:szCs w:val="22"/>
        </w:rPr>
        <w:t>;</w:t>
      </w:r>
      <w:r w:rsidRPr="00127FD6">
        <w:rPr>
          <w:rStyle w:val="apple-converted-space"/>
          <w:color w:val="000000"/>
          <w:sz w:val="22"/>
          <w:szCs w:val="22"/>
        </w:rPr>
        <w:t xml:space="preserve"> </w:t>
      </w:r>
      <w:r w:rsidRPr="00127FD6">
        <w:rPr>
          <w:i/>
          <w:iCs/>
          <w:color w:val="000000"/>
          <w:sz w:val="22"/>
          <w:szCs w:val="22"/>
        </w:rPr>
        <w:t>Landscape Architecture and Urban Planning</w:t>
      </w:r>
      <w:r w:rsidRPr="00127FD6">
        <w:rPr>
          <w:color w:val="000000"/>
          <w:sz w:val="22"/>
          <w:szCs w:val="22"/>
        </w:rPr>
        <w:t>; and</w:t>
      </w:r>
      <w:r w:rsidRPr="00127FD6">
        <w:rPr>
          <w:rStyle w:val="apple-converted-space"/>
          <w:color w:val="000000"/>
          <w:sz w:val="22"/>
          <w:szCs w:val="22"/>
        </w:rPr>
        <w:t xml:space="preserve"> </w:t>
      </w:r>
      <w:r w:rsidRPr="00127FD6">
        <w:rPr>
          <w:i/>
          <w:iCs/>
          <w:color w:val="000000"/>
          <w:sz w:val="22"/>
          <w:szCs w:val="22"/>
        </w:rPr>
        <w:t>Visualization</w:t>
      </w:r>
      <w:r w:rsidRPr="00127FD6">
        <w:rPr>
          <w:color w:val="000000"/>
          <w:sz w:val="22"/>
          <w:szCs w:val="22"/>
        </w:rPr>
        <w:t>);</w:t>
      </w:r>
      <w:r w:rsidRPr="00127FD6">
        <w:rPr>
          <w:rStyle w:val="apple-converted-space"/>
          <w:color w:val="000000"/>
          <w:sz w:val="22"/>
          <w:szCs w:val="22"/>
        </w:rPr>
        <w:t xml:space="preserve"> </w:t>
      </w:r>
      <w:r w:rsidRPr="00127FD6">
        <w:rPr>
          <w:b/>
          <w:bCs/>
          <w:color w:val="000000"/>
          <w:sz w:val="22"/>
          <w:szCs w:val="22"/>
        </w:rPr>
        <w:t>(2)</w:t>
      </w:r>
      <w:r w:rsidRPr="00127FD6">
        <w:rPr>
          <w:rStyle w:val="apple-converted-space"/>
          <w:color w:val="000000"/>
          <w:sz w:val="22"/>
          <w:szCs w:val="22"/>
        </w:rPr>
        <w:t xml:space="preserve"> </w:t>
      </w:r>
      <w:r w:rsidRPr="00127FD6">
        <w:rPr>
          <w:i/>
          <w:iCs/>
          <w:color w:val="000000"/>
          <w:sz w:val="22"/>
          <w:szCs w:val="22"/>
        </w:rPr>
        <w:t>five</w:t>
      </w:r>
      <w:r w:rsidRPr="00127FD6">
        <w:rPr>
          <w:rStyle w:val="apple-converted-space"/>
          <w:i/>
          <w:iCs/>
          <w:color w:val="000000"/>
          <w:sz w:val="22"/>
          <w:szCs w:val="22"/>
        </w:rPr>
        <w:t xml:space="preserve"> </w:t>
      </w:r>
      <w:r w:rsidRPr="00127FD6">
        <w:rPr>
          <w:i/>
          <w:iCs/>
          <w:color w:val="000000"/>
          <w:sz w:val="22"/>
          <w:szCs w:val="22"/>
          <w:u w:val="single"/>
        </w:rPr>
        <w:t>research centers</w:t>
      </w:r>
      <w:r w:rsidRPr="00127FD6">
        <w:rPr>
          <w:rStyle w:val="apple-converted-space"/>
          <w:i/>
          <w:iCs/>
          <w:color w:val="000000"/>
          <w:sz w:val="22"/>
          <w:szCs w:val="22"/>
        </w:rPr>
        <w:t xml:space="preserve"> </w:t>
      </w:r>
      <w:r w:rsidRPr="00127FD6">
        <w:rPr>
          <w:color w:val="000000"/>
          <w:sz w:val="22"/>
          <w:szCs w:val="22"/>
        </w:rPr>
        <w:t>(the</w:t>
      </w:r>
      <w:r w:rsidRPr="00127FD6">
        <w:rPr>
          <w:rStyle w:val="apple-converted-space"/>
          <w:i/>
          <w:iCs/>
          <w:color w:val="000000"/>
          <w:sz w:val="22"/>
          <w:szCs w:val="22"/>
        </w:rPr>
        <w:t xml:space="preserve"> </w:t>
      </w:r>
      <w:r w:rsidRPr="00127FD6">
        <w:rPr>
          <w:i/>
          <w:iCs/>
          <w:color w:val="000000"/>
          <w:sz w:val="22"/>
          <w:szCs w:val="22"/>
        </w:rPr>
        <w:t>Center for Health Systems and Design</w:t>
      </w:r>
      <w:r w:rsidRPr="00127FD6">
        <w:rPr>
          <w:color w:val="000000"/>
          <w:sz w:val="22"/>
          <w:szCs w:val="22"/>
        </w:rPr>
        <w:t>; the</w:t>
      </w:r>
      <w:r w:rsidRPr="00127FD6">
        <w:rPr>
          <w:rStyle w:val="apple-converted-space"/>
          <w:color w:val="000000"/>
          <w:sz w:val="22"/>
          <w:szCs w:val="22"/>
        </w:rPr>
        <w:t xml:space="preserve"> </w:t>
      </w:r>
      <w:r w:rsidRPr="00127FD6">
        <w:rPr>
          <w:i/>
          <w:iCs/>
          <w:color w:val="000000"/>
          <w:sz w:val="22"/>
          <w:szCs w:val="22"/>
        </w:rPr>
        <w:t>Center for Heritage Conservation</w:t>
      </w:r>
      <w:r w:rsidRPr="00127FD6">
        <w:rPr>
          <w:color w:val="000000"/>
          <w:sz w:val="22"/>
          <w:szCs w:val="22"/>
        </w:rPr>
        <w:t>; the</w:t>
      </w:r>
      <w:r w:rsidRPr="00127FD6">
        <w:rPr>
          <w:rStyle w:val="apple-converted-space"/>
          <w:color w:val="000000"/>
          <w:sz w:val="22"/>
          <w:szCs w:val="22"/>
        </w:rPr>
        <w:t xml:space="preserve"> </w:t>
      </w:r>
      <w:r w:rsidRPr="00127FD6">
        <w:rPr>
          <w:i/>
          <w:iCs/>
          <w:color w:val="000000"/>
          <w:sz w:val="22"/>
          <w:szCs w:val="22"/>
        </w:rPr>
        <w:t>Center for Housing and Urban Development</w:t>
      </w:r>
      <w:r w:rsidRPr="00127FD6">
        <w:rPr>
          <w:color w:val="000000"/>
          <w:sz w:val="22"/>
          <w:szCs w:val="22"/>
        </w:rPr>
        <w:t xml:space="preserve">; </w:t>
      </w:r>
      <w:r w:rsidRPr="00127FD6">
        <w:rPr>
          <w:color w:val="000000"/>
          <w:sz w:val="22"/>
          <w:szCs w:val="22"/>
        </w:rPr>
        <w:lastRenderedPageBreak/>
        <w:t>the</w:t>
      </w:r>
      <w:r w:rsidRPr="00127FD6">
        <w:rPr>
          <w:rStyle w:val="apple-converted-space"/>
          <w:color w:val="000000"/>
          <w:sz w:val="22"/>
          <w:szCs w:val="22"/>
        </w:rPr>
        <w:t xml:space="preserve"> </w:t>
      </w:r>
      <w:r w:rsidRPr="00127FD6">
        <w:rPr>
          <w:i/>
          <w:iCs/>
          <w:color w:val="000000"/>
          <w:sz w:val="22"/>
          <w:szCs w:val="22"/>
        </w:rPr>
        <w:t>CRS Center for Leadership and Management in the Design and Construction Industry</w:t>
      </w:r>
      <w:r w:rsidRPr="00127FD6">
        <w:rPr>
          <w:color w:val="000000"/>
          <w:sz w:val="22"/>
          <w:szCs w:val="22"/>
        </w:rPr>
        <w:t xml:space="preserve">; and the </w:t>
      </w:r>
      <w:r w:rsidRPr="00127FD6">
        <w:rPr>
          <w:i/>
          <w:iCs/>
          <w:color w:val="000000"/>
          <w:sz w:val="22"/>
          <w:szCs w:val="22"/>
        </w:rPr>
        <w:t>Hazard Reduction and Recovery Center</w:t>
      </w:r>
      <w:r w:rsidRPr="00127FD6">
        <w:rPr>
          <w:color w:val="000000"/>
          <w:sz w:val="22"/>
          <w:szCs w:val="22"/>
        </w:rPr>
        <w:t>);</w:t>
      </w:r>
      <w:r w:rsidRPr="00127FD6">
        <w:rPr>
          <w:rStyle w:val="apple-converted-space"/>
          <w:color w:val="000000"/>
          <w:sz w:val="22"/>
          <w:szCs w:val="22"/>
        </w:rPr>
        <w:t xml:space="preserve"> </w:t>
      </w:r>
      <w:r w:rsidRPr="00127FD6">
        <w:rPr>
          <w:b/>
          <w:bCs/>
          <w:color w:val="000000"/>
          <w:sz w:val="22"/>
          <w:szCs w:val="22"/>
        </w:rPr>
        <w:t>(3)</w:t>
      </w:r>
      <w:r w:rsidRPr="00127FD6">
        <w:rPr>
          <w:rStyle w:val="apple-converted-space"/>
          <w:i/>
          <w:iCs/>
          <w:color w:val="000000"/>
          <w:sz w:val="22"/>
          <w:szCs w:val="22"/>
        </w:rPr>
        <w:t xml:space="preserve"> </w:t>
      </w:r>
      <w:r w:rsidRPr="00127FD6">
        <w:rPr>
          <w:i/>
          <w:iCs/>
          <w:color w:val="000000"/>
          <w:sz w:val="22"/>
          <w:szCs w:val="22"/>
        </w:rPr>
        <w:t>three</w:t>
      </w:r>
      <w:r w:rsidRPr="00127FD6">
        <w:rPr>
          <w:rStyle w:val="apple-converted-space"/>
          <w:i/>
          <w:iCs/>
          <w:color w:val="000000"/>
          <w:sz w:val="22"/>
          <w:szCs w:val="22"/>
        </w:rPr>
        <w:t xml:space="preserve"> </w:t>
      </w:r>
      <w:r w:rsidRPr="00127FD6">
        <w:rPr>
          <w:i/>
          <w:iCs/>
          <w:color w:val="000000"/>
          <w:sz w:val="22"/>
          <w:szCs w:val="22"/>
          <w:u w:val="single"/>
        </w:rPr>
        <w:t>institutes</w:t>
      </w:r>
      <w:r w:rsidRPr="00127FD6">
        <w:rPr>
          <w:rStyle w:val="apple-converted-space"/>
          <w:i/>
          <w:iCs/>
          <w:color w:val="000000"/>
          <w:sz w:val="22"/>
          <w:szCs w:val="22"/>
        </w:rPr>
        <w:t xml:space="preserve"> </w:t>
      </w:r>
      <w:r w:rsidRPr="00127FD6">
        <w:rPr>
          <w:color w:val="000000"/>
          <w:sz w:val="22"/>
          <w:szCs w:val="22"/>
        </w:rPr>
        <w:t xml:space="preserve"> (</w:t>
      </w:r>
      <w:r w:rsidRPr="00127FD6">
        <w:rPr>
          <w:i/>
          <w:iCs/>
          <w:color w:val="000000"/>
          <w:sz w:val="22"/>
          <w:szCs w:val="22"/>
        </w:rPr>
        <w:t>Institute for Applied Creativity</w:t>
      </w:r>
      <w:r w:rsidRPr="00127FD6">
        <w:rPr>
          <w:color w:val="000000"/>
          <w:sz w:val="22"/>
          <w:szCs w:val="22"/>
        </w:rPr>
        <w:t>;</w:t>
      </w:r>
      <w:r w:rsidRPr="00127FD6">
        <w:rPr>
          <w:rStyle w:val="apple-converted-space"/>
          <w:color w:val="000000"/>
          <w:sz w:val="22"/>
          <w:szCs w:val="22"/>
        </w:rPr>
        <w:t xml:space="preserve"> </w:t>
      </w:r>
      <w:r w:rsidRPr="00127FD6">
        <w:rPr>
          <w:i/>
          <w:iCs/>
          <w:color w:val="000000"/>
          <w:sz w:val="22"/>
          <w:szCs w:val="22"/>
        </w:rPr>
        <w:t>Institute for Sustainable Communities</w:t>
      </w:r>
      <w:r w:rsidRPr="00127FD6">
        <w:rPr>
          <w:color w:val="000000"/>
          <w:sz w:val="22"/>
          <w:szCs w:val="22"/>
        </w:rPr>
        <w:t>; and</w:t>
      </w:r>
      <w:r w:rsidRPr="00127FD6">
        <w:rPr>
          <w:rStyle w:val="apple-converted-space"/>
          <w:color w:val="000000"/>
          <w:sz w:val="22"/>
          <w:szCs w:val="22"/>
        </w:rPr>
        <w:t xml:space="preserve"> </w:t>
      </w:r>
      <w:r w:rsidRPr="00127FD6">
        <w:rPr>
          <w:i/>
          <w:iCs/>
          <w:color w:val="000000"/>
          <w:sz w:val="22"/>
          <w:szCs w:val="22"/>
        </w:rPr>
        <w:t xml:space="preserve">Texas Institute for Technology </w:t>
      </w:r>
      <w:r w:rsidRPr="00127FD6">
        <w:rPr>
          <w:i/>
          <w:color w:val="000000"/>
          <w:sz w:val="22"/>
          <w:szCs w:val="22"/>
        </w:rPr>
        <w:t>Infused Learning</w:t>
      </w:r>
      <w:r w:rsidRPr="00127FD6">
        <w:rPr>
          <w:color w:val="000000"/>
          <w:sz w:val="22"/>
          <w:szCs w:val="22"/>
        </w:rPr>
        <w:t>);</w:t>
      </w:r>
      <w:r w:rsidRPr="00127FD6">
        <w:rPr>
          <w:rStyle w:val="apple-converted-space"/>
          <w:color w:val="000000"/>
          <w:sz w:val="22"/>
          <w:szCs w:val="22"/>
        </w:rPr>
        <w:t xml:space="preserve"> </w:t>
      </w:r>
      <w:r w:rsidRPr="00127FD6">
        <w:rPr>
          <w:b/>
          <w:bCs/>
          <w:color w:val="000000"/>
          <w:sz w:val="22"/>
          <w:szCs w:val="22"/>
        </w:rPr>
        <w:t>(4)</w:t>
      </w:r>
      <w:r w:rsidRPr="00127FD6">
        <w:rPr>
          <w:rStyle w:val="apple-converted-space"/>
          <w:color w:val="000000"/>
          <w:sz w:val="22"/>
          <w:szCs w:val="22"/>
        </w:rPr>
        <w:t xml:space="preserve"> </w:t>
      </w:r>
      <w:r w:rsidRPr="00127FD6">
        <w:rPr>
          <w:i/>
          <w:iCs/>
          <w:color w:val="000000"/>
          <w:sz w:val="22"/>
          <w:szCs w:val="22"/>
        </w:rPr>
        <w:t>two</w:t>
      </w:r>
      <w:r w:rsidRPr="00127FD6">
        <w:rPr>
          <w:rStyle w:val="apple-converted-space"/>
          <w:i/>
          <w:iCs/>
          <w:color w:val="000000"/>
          <w:sz w:val="22"/>
          <w:szCs w:val="22"/>
        </w:rPr>
        <w:t xml:space="preserve"> </w:t>
      </w:r>
      <w:r w:rsidRPr="00127FD6">
        <w:rPr>
          <w:i/>
          <w:iCs/>
          <w:color w:val="000000"/>
          <w:sz w:val="22"/>
          <w:szCs w:val="22"/>
          <w:u w:val="single"/>
        </w:rPr>
        <w:t>special capacity building programs</w:t>
      </w:r>
      <w:r w:rsidRPr="00127FD6">
        <w:rPr>
          <w:rStyle w:val="apple-converted-space"/>
          <w:color w:val="000000"/>
          <w:sz w:val="22"/>
          <w:szCs w:val="22"/>
        </w:rPr>
        <w:t xml:space="preserve"> </w:t>
      </w:r>
      <w:r w:rsidRPr="00127FD6">
        <w:rPr>
          <w:color w:val="000000"/>
          <w:sz w:val="22"/>
          <w:szCs w:val="22"/>
        </w:rPr>
        <w:t>(the</w:t>
      </w:r>
      <w:r w:rsidRPr="00127FD6">
        <w:rPr>
          <w:rStyle w:val="apple-converted-space"/>
          <w:color w:val="000000"/>
          <w:sz w:val="22"/>
          <w:szCs w:val="22"/>
        </w:rPr>
        <w:t xml:space="preserve"> </w:t>
      </w:r>
      <w:proofErr w:type="spellStart"/>
      <w:r w:rsidRPr="00127FD6">
        <w:rPr>
          <w:i/>
          <w:iCs/>
          <w:color w:val="000000"/>
          <w:sz w:val="22"/>
          <w:szCs w:val="22"/>
        </w:rPr>
        <w:t>Colonias</w:t>
      </w:r>
      <w:proofErr w:type="spellEnd"/>
      <w:r w:rsidRPr="00127FD6">
        <w:rPr>
          <w:i/>
          <w:iCs/>
          <w:color w:val="000000"/>
          <w:sz w:val="22"/>
          <w:szCs w:val="22"/>
        </w:rPr>
        <w:t xml:space="preserve"> Program</w:t>
      </w:r>
      <w:r w:rsidRPr="00127FD6">
        <w:rPr>
          <w:color w:val="000000"/>
          <w:sz w:val="22"/>
          <w:szCs w:val="22"/>
        </w:rPr>
        <w:t>, a legislative mandate from the State of Texas, and the</w:t>
      </w:r>
      <w:r w:rsidRPr="00127FD6">
        <w:rPr>
          <w:rStyle w:val="apple-converted-space"/>
          <w:color w:val="000000"/>
          <w:sz w:val="22"/>
          <w:szCs w:val="22"/>
        </w:rPr>
        <w:t xml:space="preserve"> </w:t>
      </w:r>
      <w:r w:rsidRPr="00127FD6">
        <w:rPr>
          <w:i/>
          <w:iCs/>
          <w:color w:val="000000"/>
          <w:sz w:val="22"/>
          <w:szCs w:val="22"/>
        </w:rPr>
        <w:t>Texas Target Communities Program</w:t>
      </w:r>
      <w:r w:rsidRPr="00127FD6">
        <w:rPr>
          <w:color w:val="000000"/>
          <w:sz w:val="22"/>
          <w:szCs w:val="22"/>
        </w:rPr>
        <w:t xml:space="preserve">, which is a part of Public Partnership &amp; Outreach in the Office of the Provost and Executive Vice President). </w:t>
      </w:r>
      <w:r w:rsidRPr="00127FD6">
        <w:rPr>
          <w:color w:val="000000" w:themeColor="text1"/>
          <w:sz w:val="22"/>
          <w:szCs w:val="22"/>
        </w:rPr>
        <w:t xml:space="preserve">In addition, Dr. Vanegas has been leading efforts in seeking funding for multi- and interdisciplinary activities across the various Colleges at TAMU, and across various institutions within TAMU, and has been involved as a </w:t>
      </w:r>
      <w:r w:rsidRPr="00127FD6">
        <w:rPr>
          <w:i/>
          <w:color w:val="000000" w:themeColor="text1"/>
          <w:sz w:val="22"/>
          <w:szCs w:val="22"/>
        </w:rPr>
        <w:t>Principal</w:t>
      </w:r>
      <w:r w:rsidRPr="00127FD6">
        <w:rPr>
          <w:color w:val="000000" w:themeColor="text1"/>
          <w:sz w:val="22"/>
          <w:szCs w:val="22"/>
        </w:rPr>
        <w:t xml:space="preserve"> or </w:t>
      </w:r>
      <w:r w:rsidRPr="00127FD6">
        <w:rPr>
          <w:i/>
          <w:color w:val="000000" w:themeColor="text1"/>
          <w:sz w:val="22"/>
          <w:szCs w:val="22"/>
        </w:rPr>
        <w:t>Co-Principal Investigator</w:t>
      </w:r>
      <w:r w:rsidRPr="00127FD6">
        <w:rPr>
          <w:color w:val="000000" w:themeColor="text1"/>
          <w:sz w:val="22"/>
          <w:szCs w:val="22"/>
        </w:rPr>
        <w:t xml:space="preserve"> in 11 research and education projects (approximately $1.96 million in total funding from various internal and external sources). </w:t>
      </w:r>
    </w:p>
    <w:p w14:paraId="2F03C0CE" w14:textId="77777777" w:rsidR="00BF73F4" w:rsidRDefault="00BF73F4" w:rsidP="007D69F4">
      <w:pPr>
        <w:pStyle w:val="3LineItemBullet"/>
        <w:spacing w:before="0"/>
        <w:ind w:firstLine="0"/>
        <w:jc w:val="both"/>
        <w:rPr>
          <w:rFonts w:ascii="Times New Roman" w:hAnsi="Times New Roman"/>
          <w:color w:val="000000" w:themeColor="text1"/>
          <w:sz w:val="22"/>
          <w:szCs w:val="22"/>
        </w:rPr>
      </w:pPr>
    </w:p>
    <w:p w14:paraId="46FBAD14" w14:textId="07645454" w:rsidR="00127FD6" w:rsidRPr="00127FD6" w:rsidRDefault="00127FD6" w:rsidP="007D69F4">
      <w:pPr>
        <w:pStyle w:val="3LineItemBullet"/>
        <w:spacing w:before="0"/>
        <w:ind w:firstLine="0"/>
        <w:jc w:val="both"/>
        <w:rPr>
          <w:rFonts w:ascii="Times New Roman" w:hAnsi="Times New Roman"/>
          <w:color w:val="000000" w:themeColor="text1"/>
          <w:sz w:val="22"/>
          <w:szCs w:val="22"/>
        </w:rPr>
      </w:pPr>
      <w:r w:rsidRPr="00127FD6">
        <w:rPr>
          <w:rFonts w:ascii="Times New Roman" w:hAnsi="Times New Roman"/>
          <w:color w:val="000000" w:themeColor="text1"/>
          <w:sz w:val="22"/>
          <w:szCs w:val="22"/>
        </w:rPr>
        <w:t xml:space="preserve">Before joining TAMU, Dr. Vanegas held academic appointments at </w:t>
      </w:r>
      <w:r w:rsidRPr="00127FD6">
        <w:rPr>
          <w:rFonts w:ascii="Times New Roman" w:hAnsi="Times New Roman"/>
          <w:i/>
          <w:color w:val="000000" w:themeColor="text1"/>
          <w:sz w:val="22"/>
          <w:szCs w:val="22"/>
        </w:rPr>
        <w:t>Purdue University</w:t>
      </w:r>
      <w:r w:rsidRPr="00127FD6">
        <w:rPr>
          <w:rFonts w:ascii="Times New Roman" w:hAnsi="Times New Roman"/>
          <w:color w:val="000000" w:themeColor="text1"/>
          <w:sz w:val="22"/>
          <w:szCs w:val="22"/>
        </w:rPr>
        <w:t xml:space="preserve"> and at the </w:t>
      </w:r>
      <w:r w:rsidRPr="00127FD6">
        <w:rPr>
          <w:rFonts w:ascii="Times New Roman" w:hAnsi="Times New Roman"/>
          <w:i/>
          <w:color w:val="000000" w:themeColor="text1"/>
          <w:sz w:val="22"/>
          <w:szCs w:val="22"/>
        </w:rPr>
        <w:t>Georgia Institute of Technology</w:t>
      </w:r>
      <w:r w:rsidRPr="00127FD6">
        <w:rPr>
          <w:rFonts w:ascii="Times New Roman" w:hAnsi="Times New Roman"/>
          <w:color w:val="000000" w:themeColor="text1"/>
          <w:sz w:val="22"/>
          <w:szCs w:val="22"/>
        </w:rPr>
        <w:t xml:space="preserve"> (Georgia Tech). In August 1988, he joined Purdue University, West Lafayette, Indiana, and from 1988 to 1993, he held an appointment as an </w:t>
      </w:r>
      <w:r w:rsidRPr="00127FD6">
        <w:rPr>
          <w:rFonts w:ascii="Times New Roman" w:hAnsi="Times New Roman"/>
          <w:i/>
          <w:color w:val="000000" w:themeColor="text1"/>
          <w:sz w:val="22"/>
          <w:szCs w:val="22"/>
        </w:rPr>
        <w:t>Assistant Professor</w:t>
      </w:r>
      <w:r w:rsidRPr="00127FD6">
        <w:rPr>
          <w:rFonts w:ascii="Times New Roman" w:hAnsi="Times New Roman"/>
          <w:color w:val="000000" w:themeColor="text1"/>
          <w:sz w:val="22"/>
          <w:szCs w:val="22"/>
        </w:rPr>
        <w:t xml:space="preserve"> in the School of</w:t>
      </w:r>
      <w:r w:rsidRPr="00127FD6">
        <w:rPr>
          <w:rFonts w:ascii="Times New Roman" w:hAnsi="Times New Roman"/>
          <w:i/>
          <w:color w:val="000000" w:themeColor="text1"/>
          <w:sz w:val="22"/>
          <w:szCs w:val="22"/>
        </w:rPr>
        <w:t xml:space="preserve"> </w:t>
      </w:r>
      <w:r w:rsidRPr="00127FD6">
        <w:rPr>
          <w:rFonts w:ascii="Times New Roman" w:hAnsi="Times New Roman"/>
          <w:color w:val="000000" w:themeColor="text1"/>
          <w:sz w:val="22"/>
          <w:szCs w:val="22"/>
        </w:rPr>
        <w:t>CE and the Division of</w:t>
      </w:r>
      <w:r w:rsidRPr="00127FD6">
        <w:rPr>
          <w:rFonts w:ascii="Times New Roman" w:hAnsi="Times New Roman"/>
          <w:i/>
          <w:color w:val="000000" w:themeColor="text1"/>
          <w:sz w:val="22"/>
          <w:szCs w:val="22"/>
        </w:rPr>
        <w:t xml:space="preserve"> </w:t>
      </w:r>
      <w:r w:rsidRPr="00127FD6">
        <w:rPr>
          <w:rFonts w:ascii="Times New Roman" w:hAnsi="Times New Roman"/>
          <w:color w:val="000000" w:themeColor="text1"/>
          <w:sz w:val="22"/>
          <w:szCs w:val="22"/>
        </w:rPr>
        <w:t xml:space="preserve">CEM. Subsequently, in May 1993, he joined Georgia Tech with an appointment as an </w:t>
      </w:r>
      <w:r w:rsidRPr="00127FD6">
        <w:rPr>
          <w:rFonts w:ascii="Times New Roman" w:hAnsi="Times New Roman"/>
          <w:i/>
          <w:color w:val="000000" w:themeColor="text1"/>
          <w:sz w:val="22"/>
          <w:szCs w:val="22"/>
        </w:rPr>
        <w:t>Associate Professor</w:t>
      </w:r>
      <w:r w:rsidRPr="00127FD6">
        <w:rPr>
          <w:rFonts w:ascii="Times New Roman" w:hAnsi="Times New Roman"/>
          <w:color w:val="000000" w:themeColor="text1"/>
          <w:sz w:val="22"/>
          <w:szCs w:val="22"/>
        </w:rPr>
        <w:t xml:space="preserve"> in CEM/CE, was granted tenure in 1996, held the </w:t>
      </w:r>
      <w:r w:rsidRPr="00127FD6">
        <w:rPr>
          <w:rFonts w:ascii="Times New Roman" w:hAnsi="Times New Roman"/>
          <w:i/>
          <w:color w:val="000000" w:themeColor="text1"/>
          <w:sz w:val="22"/>
          <w:szCs w:val="22"/>
        </w:rPr>
        <w:t>Fred and Teresa Estrada Professorship</w:t>
      </w:r>
      <w:r w:rsidRPr="00127FD6">
        <w:rPr>
          <w:rFonts w:ascii="Times New Roman" w:hAnsi="Times New Roman"/>
          <w:color w:val="000000" w:themeColor="text1"/>
          <w:sz w:val="22"/>
          <w:szCs w:val="22"/>
        </w:rPr>
        <w:t xml:space="preserve"> in the </w:t>
      </w:r>
      <w:r w:rsidRPr="00127FD6">
        <w:rPr>
          <w:rFonts w:ascii="Times New Roman" w:hAnsi="Times New Roman"/>
          <w:i/>
          <w:color w:val="000000" w:themeColor="text1"/>
          <w:sz w:val="22"/>
          <w:szCs w:val="22"/>
        </w:rPr>
        <w:t>College of Engineering</w:t>
      </w:r>
      <w:r w:rsidRPr="00127FD6">
        <w:rPr>
          <w:rFonts w:ascii="Times New Roman" w:hAnsi="Times New Roman"/>
          <w:color w:val="000000" w:themeColor="text1"/>
          <w:sz w:val="22"/>
          <w:szCs w:val="22"/>
        </w:rPr>
        <w:t xml:space="preserve"> (COE) from 1999 to 2005, and was promoted to </w:t>
      </w:r>
      <w:r w:rsidRPr="00127FD6">
        <w:rPr>
          <w:rFonts w:ascii="Times New Roman" w:hAnsi="Times New Roman"/>
          <w:i/>
          <w:color w:val="000000" w:themeColor="text1"/>
          <w:sz w:val="22"/>
          <w:szCs w:val="22"/>
        </w:rPr>
        <w:t>Professor</w:t>
      </w:r>
      <w:r w:rsidRPr="00127FD6">
        <w:rPr>
          <w:rFonts w:ascii="Times New Roman" w:hAnsi="Times New Roman"/>
          <w:color w:val="000000" w:themeColor="text1"/>
          <w:sz w:val="22"/>
          <w:szCs w:val="22"/>
        </w:rPr>
        <w:t xml:space="preserve"> in 2005. From 1988 to 2005, Dr. Vanegas led and managed active research and education programs, for which he secured over $3.7 million in external funding for 51 research and education-related projects, from various funding sources from the public and private sectors.</w:t>
      </w:r>
    </w:p>
    <w:p w14:paraId="0B4867D6" w14:textId="77777777" w:rsidR="00BF73F4" w:rsidRDefault="00BF73F4" w:rsidP="007D69F4">
      <w:pPr>
        <w:pStyle w:val="6TextBody"/>
        <w:spacing w:before="0"/>
        <w:ind w:left="360" w:firstLine="0"/>
        <w:rPr>
          <w:color w:val="000000" w:themeColor="text1"/>
          <w:szCs w:val="22"/>
        </w:rPr>
      </w:pPr>
    </w:p>
    <w:p w14:paraId="402BA571" w14:textId="1B6DC02C" w:rsidR="00127FD6" w:rsidRDefault="00127FD6" w:rsidP="007D69F4">
      <w:pPr>
        <w:pStyle w:val="6TextBody"/>
        <w:spacing w:before="0"/>
        <w:ind w:left="360" w:firstLine="0"/>
        <w:rPr>
          <w:color w:val="000000" w:themeColor="text1"/>
          <w:szCs w:val="22"/>
        </w:rPr>
      </w:pPr>
      <w:r w:rsidRPr="00127FD6">
        <w:rPr>
          <w:color w:val="000000" w:themeColor="text1"/>
          <w:szCs w:val="22"/>
        </w:rPr>
        <w:t xml:space="preserve">Since 1984, Dr. Vanegas’ primary areas of scholarly and professional activities in research, teaching and learning, and engagement have been, among others: </w:t>
      </w:r>
      <w:r w:rsidRPr="00127FD6">
        <w:rPr>
          <w:b/>
          <w:color w:val="000000" w:themeColor="text1"/>
          <w:szCs w:val="22"/>
        </w:rPr>
        <w:t>(1)</w:t>
      </w:r>
      <w:r w:rsidRPr="00127FD6">
        <w:rPr>
          <w:color w:val="000000" w:themeColor="text1"/>
          <w:szCs w:val="22"/>
        </w:rPr>
        <w:t xml:space="preserve"> sustainability of the built environment – urban, infrastructure, facilities, and housing, with an emphasis on livable, resilient, and sustainable communities; </w:t>
      </w:r>
      <w:r w:rsidRPr="00127FD6">
        <w:rPr>
          <w:b/>
          <w:color w:val="000000" w:themeColor="text1"/>
          <w:szCs w:val="22"/>
        </w:rPr>
        <w:t xml:space="preserve">(2) </w:t>
      </w:r>
      <w:r w:rsidRPr="00127FD6">
        <w:rPr>
          <w:bCs/>
          <w:iCs/>
          <w:color w:val="000000" w:themeColor="text1"/>
          <w:szCs w:val="22"/>
        </w:rPr>
        <w:t>problem solving</w:t>
      </w:r>
      <w:r w:rsidRPr="00127FD6">
        <w:rPr>
          <w:color w:val="000000" w:themeColor="text1"/>
          <w:szCs w:val="22"/>
        </w:rPr>
        <w:t xml:space="preserve"> based on</w:t>
      </w:r>
      <w:r w:rsidRPr="00127FD6">
        <w:rPr>
          <w:bCs/>
          <w:iCs/>
          <w:color w:val="000000" w:themeColor="text1"/>
          <w:szCs w:val="22"/>
        </w:rPr>
        <w:t xml:space="preserve"> creativity</w:t>
      </w:r>
      <w:r w:rsidRPr="00127FD6">
        <w:rPr>
          <w:color w:val="000000" w:themeColor="text1"/>
          <w:szCs w:val="22"/>
        </w:rPr>
        <w:t xml:space="preserve">, </w:t>
      </w:r>
      <w:r w:rsidRPr="00127FD6">
        <w:rPr>
          <w:bCs/>
          <w:iCs/>
          <w:color w:val="000000" w:themeColor="text1"/>
          <w:szCs w:val="22"/>
        </w:rPr>
        <w:t>innovation</w:t>
      </w:r>
      <w:r w:rsidRPr="00127FD6">
        <w:rPr>
          <w:color w:val="000000" w:themeColor="text1"/>
          <w:szCs w:val="22"/>
        </w:rPr>
        <w:t>, and</w:t>
      </w:r>
      <w:r w:rsidRPr="00127FD6">
        <w:rPr>
          <w:bCs/>
          <w:iCs/>
          <w:color w:val="000000" w:themeColor="text1"/>
          <w:szCs w:val="22"/>
        </w:rPr>
        <w:t xml:space="preserve"> design thinking</w:t>
      </w:r>
      <w:r w:rsidRPr="00127FD6">
        <w:rPr>
          <w:color w:val="000000" w:themeColor="text1"/>
          <w:szCs w:val="22"/>
        </w:rPr>
        <w:t xml:space="preserve">, fueled by </w:t>
      </w:r>
      <w:r w:rsidRPr="00127FD6">
        <w:rPr>
          <w:bCs/>
          <w:iCs/>
          <w:color w:val="000000" w:themeColor="text1"/>
          <w:szCs w:val="22"/>
        </w:rPr>
        <w:t>curiosity</w:t>
      </w:r>
      <w:r w:rsidRPr="00127FD6">
        <w:rPr>
          <w:color w:val="000000" w:themeColor="text1"/>
          <w:szCs w:val="22"/>
        </w:rPr>
        <w:t xml:space="preserve"> and </w:t>
      </w:r>
      <w:r w:rsidRPr="00127FD6">
        <w:rPr>
          <w:bCs/>
          <w:iCs/>
          <w:color w:val="000000" w:themeColor="text1"/>
          <w:szCs w:val="22"/>
        </w:rPr>
        <w:t>imagination</w:t>
      </w:r>
      <w:r w:rsidRPr="00127FD6">
        <w:rPr>
          <w:color w:val="000000" w:themeColor="text1"/>
          <w:szCs w:val="22"/>
        </w:rPr>
        <w:t xml:space="preserve">, and pulled by a </w:t>
      </w:r>
      <w:r w:rsidRPr="00127FD6">
        <w:rPr>
          <w:bCs/>
          <w:iCs/>
          <w:color w:val="000000" w:themeColor="text1"/>
          <w:szCs w:val="22"/>
        </w:rPr>
        <w:t>spirit of entrepreneurship</w:t>
      </w:r>
      <w:r w:rsidRPr="00127FD6">
        <w:rPr>
          <w:color w:val="000000" w:themeColor="text1"/>
          <w:szCs w:val="22"/>
        </w:rPr>
        <w:t xml:space="preserve">, with an emphasis on innovation and entrepreneurship for social change; </w:t>
      </w:r>
      <w:r w:rsidRPr="00127FD6">
        <w:rPr>
          <w:b/>
          <w:color w:val="000000" w:themeColor="text1"/>
          <w:szCs w:val="22"/>
        </w:rPr>
        <w:t>(3)</w:t>
      </w:r>
      <w:r w:rsidRPr="00127FD6">
        <w:rPr>
          <w:color w:val="000000" w:themeColor="text1"/>
          <w:szCs w:val="22"/>
        </w:rPr>
        <w:t xml:space="preserve"> advanced strategies, technologies, methods, and tools for integrated capital asset delivery and management in the </w:t>
      </w:r>
      <w:r w:rsidRPr="00127FD6">
        <w:rPr>
          <w:i/>
          <w:iCs/>
          <w:color w:val="000000" w:themeColor="text1"/>
          <w:szCs w:val="22"/>
        </w:rPr>
        <w:t>Architecture, Engineering, and Construction</w:t>
      </w:r>
      <w:r w:rsidRPr="00127FD6">
        <w:rPr>
          <w:color w:val="000000" w:themeColor="text1"/>
          <w:szCs w:val="22"/>
        </w:rPr>
        <w:t xml:space="preserve"> (AEC) industry, with an emphasis on innovative, best, and value improvement practices for capital projects; </w:t>
      </w:r>
      <w:r w:rsidRPr="00127FD6">
        <w:rPr>
          <w:b/>
          <w:color w:val="000000" w:themeColor="text1"/>
          <w:szCs w:val="22"/>
        </w:rPr>
        <w:t>(4)</w:t>
      </w:r>
      <w:r w:rsidRPr="00127FD6">
        <w:rPr>
          <w:color w:val="000000" w:themeColor="text1"/>
          <w:szCs w:val="22"/>
        </w:rPr>
        <w:t xml:space="preserve"> design/construction integration in the development and rehabilitation of facilities and civil infrastructure systems; </w:t>
      </w:r>
      <w:r w:rsidRPr="00127FD6">
        <w:rPr>
          <w:b/>
          <w:color w:val="000000" w:themeColor="text1"/>
          <w:szCs w:val="22"/>
        </w:rPr>
        <w:t>(5)</w:t>
      </w:r>
      <w:r w:rsidRPr="00127FD6">
        <w:rPr>
          <w:color w:val="000000" w:themeColor="text1"/>
          <w:szCs w:val="22"/>
        </w:rPr>
        <w:t xml:space="preserve"> constructability programs and advanced use of prefabrication, pre-assembly, modularization, off-site construction; </w:t>
      </w:r>
      <w:r w:rsidRPr="00127FD6">
        <w:rPr>
          <w:b/>
          <w:color w:val="000000" w:themeColor="text1"/>
          <w:szCs w:val="22"/>
        </w:rPr>
        <w:t>(6)</w:t>
      </w:r>
      <w:r w:rsidRPr="00127FD6">
        <w:rPr>
          <w:color w:val="000000" w:themeColor="text1"/>
          <w:szCs w:val="22"/>
        </w:rPr>
        <w:t xml:space="preserve"> undergraduate and graduate curricula development; and </w:t>
      </w:r>
      <w:r w:rsidRPr="00127FD6">
        <w:rPr>
          <w:b/>
          <w:color w:val="000000" w:themeColor="text1"/>
          <w:szCs w:val="22"/>
        </w:rPr>
        <w:t>(7)</w:t>
      </w:r>
      <w:r w:rsidRPr="00127FD6">
        <w:rPr>
          <w:color w:val="000000" w:themeColor="text1"/>
          <w:szCs w:val="22"/>
        </w:rPr>
        <w:t xml:space="preserve"> continuing education and technology transfer program development. </w:t>
      </w:r>
    </w:p>
    <w:p w14:paraId="5C721B58" w14:textId="77777777" w:rsidR="00BF73F4" w:rsidRPr="00BF73F4" w:rsidRDefault="00BF73F4" w:rsidP="007D69F4">
      <w:pPr>
        <w:ind w:left="360"/>
        <w:rPr>
          <w:lang w:eastAsia="ko-KR"/>
        </w:rPr>
      </w:pPr>
    </w:p>
    <w:p w14:paraId="6576BD56" w14:textId="208FE420" w:rsidR="00127FD6" w:rsidRDefault="00127FD6" w:rsidP="007D69F4">
      <w:pPr>
        <w:pStyle w:val="6TextBody"/>
        <w:spacing w:before="0"/>
        <w:ind w:left="360" w:firstLine="0"/>
        <w:rPr>
          <w:color w:val="000000" w:themeColor="text1"/>
          <w:szCs w:val="22"/>
        </w:rPr>
      </w:pPr>
      <w:r w:rsidRPr="00127FD6">
        <w:rPr>
          <w:color w:val="000000" w:themeColor="text1"/>
          <w:szCs w:val="22"/>
        </w:rPr>
        <w:t xml:space="preserve">Dr. Vanegas has documented and disseminated the results and findings from his scholarly activities in over 49 peer-reviewed publications in technical refereed journals, technical conference proceedings, industry reports, and book chapters; 96 non-refereed publications in conference proceedings, technical reports, and magazine articles; 62 invited keynote addresses, plenary lectures, and special lectures; 183 invited lectures and presentations at various academic and industry events and venues; 8 poster sessions; and 5 webinars. To date, he has graduated 7 Ph.D. students as primary advisor, and served in doctoral advisory committees for 16 other students. Dr. Vanegas also has been active in professional continuing education, developing and delivering courses to 51 academic and professional/industry organizations in the U.S., and from other countries, including Canada, Mexico, Costa Rica, Panama, Colombia, Brazil, Peru, and Spain. </w:t>
      </w:r>
    </w:p>
    <w:p w14:paraId="4B2F5B58" w14:textId="77777777" w:rsidR="00BF73F4" w:rsidRPr="00BF73F4" w:rsidRDefault="00BF73F4" w:rsidP="00BF73F4">
      <w:pPr>
        <w:rPr>
          <w:lang w:eastAsia="ko-KR"/>
        </w:rPr>
      </w:pPr>
    </w:p>
    <w:p w14:paraId="174A6B8E" w14:textId="3D967385" w:rsidR="00127FD6" w:rsidRPr="00127FD6" w:rsidRDefault="00127FD6" w:rsidP="007D69F4">
      <w:pPr>
        <w:pStyle w:val="BodyTextIndent"/>
        <w:spacing w:before="0"/>
        <w:ind w:left="360"/>
        <w:jc w:val="both"/>
        <w:rPr>
          <w:rFonts w:ascii="Times New Roman" w:hAnsi="Times New Roman"/>
          <w:color w:val="000000" w:themeColor="text1"/>
          <w:szCs w:val="22"/>
        </w:rPr>
      </w:pPr>
      <w:r w:rsidRPr="00127FD6">
        <w:rPr>
          <w:rFonts w:ascii="Times New Roman" w:hAnsi="Times New Roman"/>
          <w:color w:val="000000" w:themeColor="text1"/>
          <w:szCs w:val="22"/>
        </w:rPr>
        <w:t xml:space="preserve">In recognition of his research, teaching, and service accomplishments, Dr. Vanegas has received international, national, and institutional awards. Externally, he was: </w:t>
      </w:r>
      <w:r w:rsidRPr="00127FD6">
        <w:rPr>
          <w:rFonts w:ascii="Times New Roman" w:hAnsi="Times New Roman"/>
          <w:b/>
          <w:bCs/>
          <w:color w:val="000000" w:themeColor="text1"/>
          <w:szCs w:val="22"/>
        </w:rPr>
        <w:t>(1)</w:t>
      </w:r>
      <w:r w:rsidRPr="00127FD6">
        <w:rPr>
          <w:rFonts w:ascii="Times New Roman" w:hAnsi="Times New Roman"/>
          <w:color w:val="000000" w:themeColor="text1"/>
          <w:szCs w:val="22"/>
        </w:rPr>
        <w:t xml:space="preserve"> inducted as a member of the </w:t>
      </w:r>
      <w:r w:rsidRPr="00127FD6">
        <w:rPr>
          <w:rFonts w:ascii="Times New Roman" w:hAnsi="Times New Roman"/>
          <w:i/>
          <w:color w:val="000000" w:themeColor="text1"/>
          <w:szCs w:val="22"/>
        </w:rPr>
        <w:t xml:space="preserve">Pan American Academy of Engineering (Academia </w:t>
      </w:r>
      <w:proofErr w:type="spellStart"/>
      <w:r w:rsidRPr="00127FD6">
        <w:rPr>
          <w:rFonts w:ascii="Times New Roman" w:hAnsi="Times New Roman"/>
          <w:i/>
          <w:color w:val="000000" w:themeColor="text1"/>
          <w:szCs w:val="22"/>
        </w:rPr>
        <w:t>Panamericana</w:t>
      </w:r>
      <w:proofErr w:type="spellEnd"/>
      <w:r w:rsidRPr="00127FD6">
        <w:rPr>
          <w:rFonts w:ascii="Times New Roman" w:hAnsi="Times New Roman"/>
          <w:i/>
          <w:color w:val="000000" w:themeColor="text1"/>
          <w:szCs w:val="22"/>
        </w:rPr>
        <w:t xml:space="preserve"> de </w:t>
      </w:r>
      <w:proofErr w:type="spellStart"/>
      <w:r w:rsidRPr="00127FD6">
        <w:rPr>
          <w:rFonts w:ascii="Times New Roman" w:hAnsi="Times New Roman"/>
          <w:i/>
          <w:color w:val="000000" w:themeColor="text1"/>
          <w:szCs w:val="22"/>
        </w:rPr>
        <w:t>Ingeniería</w:t>
      </w:r>
      <w:proofErr w:type="spellEnd"/>
      <w:r w:rsidRPr="00127FD6">
        <w:rPr>
          <w:rFonts w:ascii="Times New Roman" w:hAnsi="Times New Roman"/>
          <w:i/>
          <w:color w:val="000000" w:themeColor="text1"/>
          <w:szCs w:val="22"/>
        </w:rPr>
        <w:t xml:space="preserve"> – API)</w:t>
      </w:r>
      <w:r w:rsidRPr="00127FD6">
        <w:rPr>
          <w:rFonts w:ascii="Times New Roman" w:hAnsi="Times New Roman"/>
          <w:color w:val="000000" w:themeColor="text1"/>
          <w:szCs w:val="22"/>
        </w:rPr>
        <w:t xml:space="preserve"> in October </w:t>
      </w:r>
      <w:r w:rsidRPr="00127FD6">
        <w:rPr>
          <w:rFonts w:ascii="Times New Roman" w:hAnsi="Times New Roman"/>
          <w:color w:val="000000" w:themeColor="text1"/>
          <w:szCs w:val="22"/>
        </w:rPr>
        <w:lastRenderedPageBreak/>
        <w:t xml:space="preserve">2010, and currently serves as the President of API for the 2020 – 2022 term; </w:t>
      </w:r>
      <w:r w:rsidRPr="00127FD6">
        <w:rPr>
          <w:rFonts w:ascii="Times New Roman" w:hAnsi="Times New Roman"/>
          <w:b/>
          <w:bCs/>
          <w:color w:val="000000" w:themeColor="text1"/>
          <w:szCs w:val="22"/>
        </w:rPr>
        <w:t>(2)</w:t>
      </w:r>
      <w:r w:rsidRPr="00127FD6">
        <w:rPr>
          <w:rFonts w:ascii="Times New Roman" w:hAnsi="Times New Roman"/>
          <w:color w:val="000000" w:themeColor="text1"/>
          <w:szCs w:val="22"/>
        </w:rPr>
        <w:t xml:space="preserve"> inducted as a member of the </w:t>
      </w:r>
      <w:r w:rsidRPr="00127FD6">
        <w:rPr>
          <w:rFonts w:ascii="Times New Roman" w:hAnsi="Times New Roman"/>
          <w:i/>
          <w:color w:val="000000" w:themeColor="text1"/>
          <w:szCs w:val="22"/>
        </w:rPr>
        <w:t xml:space="preserve">National Academy of Construction </w:t>
      </w:r>
      <w:r w:rsidRPr="00127FD6">
        <w:rPr>
          <w:rFonts w:ascii="Times New Roman" w:hAnsi="Times New Roman"/>
          <w:iCs/>
          <w:color w:val="000000" w:themeColor="text1"/>
          <w:szCs w:val="22"/>
        </w:rPr>
        <w:t>(NAC)</w:t>
      </w:r>
      <w:r w:rsidRPr="00127FD6">
        <w:rPr>
          <w:rFonts w:ascii="Times New Roman" w:hAnsi="Times New Roman"/>
          <w:color w:val="000000" w:themeColor="text1"/>
          <w:szCs w:val="22"/>
        </w:rPr>
        <w:t xml:space="preserve"> in October 2018; and </w:t>
      </w:r>
      <w:r w:rsidRPr="00127FD6">
        <w:rPr>
          <w:rFonts w:ascii="Times New Roman" w:hAnsi="Times New Roman"/>
          <w:b/>
          <w:color w:val="000000" w:themeColor="text1"/>
          <w:szCs w:val="22"/>
        </w:rPr>
        <w:t>(3)</w:t>
      </w:r>
      <w:r w:rsidRPr="00127FD6">
        <w:rPr>
          <w:rFonts w:ascii="Times New Roman" w:hAnsi="Times New Roman"/>
          <w:color w:val="000000" w:themeColor="text1"/>
          <w:szCs w:val="22"/>
        </w:rPr>
        <w:t xml:space="preserve"> selected as a recipient of </w:t>
      </w:r>
      <w:r w:rsidRPr="00127FD6">
        <w:rPr>
          <w:rFonts w:ascii="Times New Roman" w:hAnsi="Times New Roman"/>
          <w:b/>
          <w:color w:val="000000" w:themeColor="text1"/>
          <w:szCs w:val="22"/>
        </w:rPr>
        <w:t>(a)</w:t>
      </w:r>
      <w:r w:rsidRPr="00127FD6">
        <w:rPr>
          <w:rFonts w:ascii="Times New Roman" w:hAnsi="Times New Roman"/>
          <w:color w:val="000000" w:themeColor="text1"/>
          <w:szCs w:val="22"/>
        </w:rPr>
        <w:t xml:space="preserve"> </w:t>
      </w:r>
      <w:r w:rsidRPr="00127FD6">
        <w:rPr>
          <w:rFonts w:ascii="Times New Roman" w:hAnsi="Times New Roman"/>
          <w:szCs w:val="22"/>
        </w:rPr>
        <w:t xml:space="preserve">the </w:t>
      </w:r>
      <w:r w:rsidRPr="00127FD6">
        <w:rPr>
          <w:rFonts w:ascii="Times New Roman" w:hAnsi="Times New Roman"/>
          <w:i/>
          <w:szCs w:val="22"/>
        </w:rPr>
        <w:t>2010 Achievement Award</w:t>
      </w:r>
      <w:r w:rsidRPr="00127FD6">
        <w:rPr>
          <w:rFonts w:ascii="Times New Roman" w:hAnsi="Times New Roman"/>
          <w:szCs w:val="22"/>
        </w:rPr>
        <w:t xml:space="preserve"> of the </w:t>
      </w:r>
      <w:r w:rsidRPr="00127FD6">
        <w:rPr>
          <w:rFonts w:ascii="Times New Roman" w:hAnsi="Times New Roman"/>
          <w:i/>
          <w:szCs w:val="22"/>
        </w:rPr>
        <w:t>Engineering and Construction Contractors – ECC</w:t>
      </w:r>
      <w:r w:rsidRPr="00127FD6">
        <w:rPr>
          <w:rFonts w:ascii="Times New Roman" w:hAnsi="Times New Roman"/>
          <w:color w:val="000000" w:themeColor="text1"/>
          <w:szCs w:val="22"/>
        </w:rPr>
        <w:t xml:space="preserve">; </w:t>
      </w:r>
      <w:r w:rsidRPr="00127FD6">
        <w:rPr>
          <w:rFonts w:ascii="Times New Roman" w:hAnsi="Times New Roman"/>
          <w:b/>
          <w:color w:val="000000" w:themeColor="text1"/>
          <w:szCs w:val="22"/>
        </w:rPr>
        <w:t>(b)</w:t>
      </w:r>
      <w:r w:rsidRPr="00127FD6">
        <w:rPr>
          <w:rFonts w:ascii="Times New Roman" w:hAnsi="Times New Roman"/>
          <w:color w:val="000000" w:themeColor="text1"/>
          <w:szCs w:val="22"/>
        </w:rPr>
        <w:t xml:space="preserve"> a 2007 </w:t>
      </w:r>
      <w:r w:rsidRPr="00127FD6">
        <w:rPr>
          <w:rFonts w:ascii="Times New Roman" w:hAnsi="Times New Roman"/>
          <w:i/>
          <w:color w:val="000000" w:themeColor="text1"/>
          <w:szCs w:val="22"/>
        </w:rPr>
        <w:t>STAR Award for Superior Technical Achievements</w:t>
      </w:r>
      <w:r w:rsidRPr="00127FD6">
        <w:rPr>
          <w:rFonts w:ascii="Times New Roman" w:hAnsi="Times New Roman"/>
          <w:color w:val="000000" w:themeColor="text1"/>
          <w:szCs w:val="22"/>
        </w:rPr>
        <w:t xml:space="preserve"> from the </w:t>
      </w:r>
      <w:r w:rsidRPr="00127FD6">
        <w:rPr>
          <w:rFonts w:ascii="Times New Roman" w:hAnsi="Times New Roman"/>
          <w:i/>
          <w:color w:val="000000" w:themeColor="text1"/>
          <w:szCs w:val="22"/>
        </w:rPr>
        <w:t>Fully Integrated and Automated Technologies</w:t>
      </w:r>
      <w:r w:rsidRPr="00127FD6">
        <w:rPr>
          <w:rFonts w:ascii="Times New Roman" w:hAnsi="Times New Roman"/>
          <w:color w:val="000000" w:themeColor="text1"/>
          <w:szCs w:val="22"/>
        </w:rPr>
        <w:t xml:space="preserve"> </w:t>
      </w:r>
      <w:r w:rsidRPr="00127FD6">
        <w:rPr>
          <w:rFonts w:ascii="Times New Roman" w:hAnsi="Times New Roman"/>
          <w:i/>
          <w:color w:val="000000" w:themeColor="text1"/>
          <w:szCs w:val="22"/>
        </w:rPr>
        <w:t>Consortium</w:t>
      </w:r>
      <w:r w:rsidRPr="00127FD6">
        <w:rPr>
          <w:rFonts w:ascii="Times New Roman" w:hAnsi="Times New Roman"/>
          <w:color w:val="000000" w:themeColor="text1"/>
          <w:szCs w:val="22"/>
        </w:rPr>
        <w:t xml:space="preserve"> – FIATECH; </w:t>
      </w:r>
      <w:r w:rsidRPr="00127FD6">
        <w:rPr>
          <w:rFonts w:ascii="Times New Roman" w:hAnsi="Times New Roman"/>
          <w:b/>
          <w:color w:val="000000" w:themeColor="text1"/>
          <w:szCs w:val="22"/>
        </w:rPr>
        <w:t xml:space="preserve">(c) </w:t>
      </w:r>
      <w:r w:rsidRPr="00127FD6">
        <w:rPr>
          <w:rFonts w:ascii="Times New Roman" w:hAnsi="Times New Roman"/>
          <w:color w:val="000000" w:themeColor="text1"/>
          <w:szCs w:val="22"/>
        </w:rPr>
        <w:t xml:space="preserve">the </w:t>
      </w:r>
      <w:r w:rsidRPr="00127FD6">
        <w:rPr>
          <w:rFonts w:ascii="Times New Roman" w:hAnsi="Times New Roman"/>
          <w:i/>
          <w:color w:val="000000" w:themeColor="text1"/>
          <w:szCs w:val="22"/>
        </w:rPr>
        <w:t>Society of Hispanic Professional Engineers</w:t>
      </w:r>
      <w:r w:rsidRPr="00127FD6">
        <w:rPr>
          <w:rFonts w:ascii="Times New Roman" w:hAnsi="Times New Roman"/>
          <w:color w:val="000000" w:themeColor="text1"/>
          <w:szCs w:val="22"/>
        </w:rPr>
        <w:t xml:space="preserve"> – SHPE </w:t>
      </w:r>
      <w:r w:rsidRPr="00127FD6">
        <w:rPr>
          <w:rFonts w:ascii="Times New Roman" w:hAnsi="Times New Roman"/>
          <w:i/>
          <w:color w:val="000000" w:themeColor="text1"/>
          <w:szCs w:val="22"/>
        </w:rPr>
        <w:t>2001 Educator of the Year Award</w:t>
      </w:r>
      <w:r w:rsidRPr="00127FD6">
        <w:rPr>
          <w:rFonts w:ascii="Times New Roman" w:hAnsi="Times New Roman"/>
          <w:color w:val="000000" w:themeColor="text1"/>
          <w:szCs w:val="22"/>
        </w:rPr>
        <w:t xml:space="preserve">; </w:t>
      </w:r>
      <w:r w:rsidRPr="00127FD6">
        <w:rPr>
          <w:rFonts w:ascii="Times New Roman" w:hAnsi="Times New Roman"/>
          <w:b/>
          <w:color w:val="000000" w:themeColor="text1"/>
          <w:szCs w:val="22"/>
        </w:rPr>
        <w:t>(d)</w:t>
      </w:r>
      <w:r w:rsidRPr="00127FD6">
        <w:rPr>
          <w:rFonts w:ascii="Times New Roman" w:hAnsi="Times New Roman"/>
          <w:color w:val="000000" w:themeColor="text1"/>
          <w:szCs w:val="22"/>
        </w:rPr>
        <w:t xml:space="preserve"> the first </w:t>
      </w:r>
      <w:r w:rsidRPr="00127FD6">
        <w:rPr>
          <w:rFonts w:ascii="Times New Roman" w:hAnsi="Times New Roman"/>
          <w:i/>
          <w:color w:val="000000" w:themeColor="text1"/>
          <w:szCs w:val="22"/>
        </w:rPr>
        <w:t>Construction Industry Institute</w:t>
      </w:r>
      <w:r w:rsidRPr="00127FD6">
        <w:rPr>
          <w:rFonts w:ascii="Times New Roman" w:hAnsi="Times New Roman"/>
          <w:color w:val="000000" w:themeColor="text1"/>
          <w:szCs w:val="22"/>
        </w:rPr>
        <w:t xml:space="preserve"> – CII</w:t>
      </w:r>
      <w:r w:rsidRPr="00127FD6">
        <w:rPr>
          <w:rFonts w:ascii="Times New Roman" w:hAnsi="Times New Roman"/>
          <w:i/>
          <w:color w:val="000000" w:themeColor="text1"/>
          <w:szCs w:val="22"/>
        </w:rPr>
        <w:t xml:space="preserve"> Outstanding Instructor Award</w:t>
      </w:r>
      <w:r w:rsidRPr="00127FD6">
        <w:rPr>
          <w:rFonts w:ascii="Times New Roman" w:hAnsi="Times New Roman"/>
          <w:color w:val="000000" w:themeColor="text1"/>
          <w:szCs w:val="22"/>
        </w:rPr>
        <w:t xml:space="preserve">, in 1995; and </w:t>
      </w:r>
      <w:r w:rsidRPr="00127FD6">
        <w:rPr>
          <w:rFonts w:ascii="Times New Roman" w:hAnsi="Times New Roman"/>
          <w:b/>
          <w:color w:val="000000" w:themeColor="text1"/>
          <w:szCs w:val="22"/>
        </w:rPr>
        <w:t>(e)</w:t>
      </w:r>
      <w:r w:rsidRPr="00127FD6">
        <w:rPr>
          <w:rFonts w:ascii="Times New Roman" w:hAnsi="Times New Roman"/>
          <w:color w:val="000000" w:themeColor="text1"/>
          <w:szCs w:val="22"/>
        </w:rPr>
        <w:t xml:space="preserve"> a </w:t>
      </w:r>
      <w:r w:rsidRPr="00127FD6">
        <w:rPr>
          <w:rFonts w:ascii="Times New Roman" w:hAnsi="Times New Roman"/>
          <w:i/>
          <w:color w:val="000000" w:themeColor="text1"/>
          <w:szCs w:val="22"/>
        </w:rPr>
        <w:t>National Science Foundation National Young Investigator Award</w:t>
      </w:r>
      <w:r w:rsidRPr="00127FD6">
        <w:rPr>
          <w:rFonts w:ascii="Times New Roman" w:hAnsi="Times New Roman"/>
          <w:color w:val="000000" w:themeColor="text1"/>
          <w:szCs w:val="22"/>
        </w:rPr>
        <w:t xml:space="preserve"> – NSF/NYI, in 1992. </w:t>
      </w:r>
      <w:r w:rsidR="007D69F4">
        <w:rPr>
          <w:rFonts w:ascii="Times New Roman" w:hAnsi="Times New Roman"/>
          <w:noProof/>
          <w:color w:val="000000" w:themeColor="text1"/>
          <w:szCs w:val="22"/>
        </w:rPr>
        <mc:AlternateContent>
          <mc:Choice Requires="wps">
            <w:drawing>
              <wp:anchor distT="0" distB="0" distL="114300" distR="114300" simplePos="0" relativeHeight="251664384" behindDoc="0" locked="1" layoutInCell="1" allowOverlap="1" wp14:anchorId="4FDA9C91" wp14:editId="7536C23A">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CD2DD68" w14:textId="7FF07094" w:rsidR="007D69F4" w:rsidRPr="007D69F4" w:rsidRDefault="007D69F4">
                            <w:pPr>
                              <w:rPr>
                                <w:sz w:val="18"/>
                              </w:rPr>
                            </w:pPr>
                            <w:r>
                              <w:rPr>
                                <w:sz w:val="18"/>
                              </w:rPr>
                              <w:fldChar w:fldCharType="begin"/>
                            </w:r>
                            <w:r>
                              <w:rPr>
                                <w:sz w:val="18"/>
                              </w:rPr>
                              <w:instrText xml:space="preserve"> FILENAME  \* MERGEFORMAT </w:instrText>
                            </w:r>
                            <w:r>
                              <w:rPr>
                                <w:sz w:val="18"/>
                              </w:rPr>
                              <w:fldChar w:fldCharType="separate"/>
                            </w:r>
                            <w:r>
                              <w:rPr>
                                <w:noProof/>
                                <w:sz w:val="18"/>
                              </w:rPr>
                              <w:t>CIDRP03286T01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DA9C91"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1CD2DD68" w14:textId="7FF07094" w:rsidR="007D69F4" w:rsidRPr="007D69F4" w:rsidRDefault="007D69F4">
                      <w:pPr>
                        <w:rPr>
                          <w:sz w:val="18"/>
                        </w:rPr>
                      </w:pPr>
                      <w:r>
                        <w:rPr>
                          <w:sz w:val="18"/>
                        </w:rPr>
                        <w:fldChar w:fldCharType="begin"/>
                      </w:r>
                      <w:r>
                        <w:rPr>
                          <w:sz w:val="18"/>
                        </w:rPr>
                        <w:instrText xml:space="preserve"> FILENAME  \* MERGEFORMAT </w:instrText>
                      </w:r>
                      <w:r>
                        <w:rPr>
                          <w:sz w:val="18"/>
                        </w:rPr>
                        <w:fldChar w:fldCharType="separate"/>
                      </w:r>
                      <w:r>
                        <w:rPr>
                          <w:noProof/>
                          <w:sz w:val="18"/>
                        </w:rPr>
                        <w:t>CIDRP03286T01</w:t>
                      </w:r>
                      <w:r>
                        <w:rPr>
                          <w:sz w:val="18"/>
                        </w:rPr>
                        <w:fldChar w:fldCharType="end"/>
                      </w:r>
                    </w:p>
                  </w:txbxContent>
                </v:textbox>
                <w10:wrap anchory="page"/>
                <w10:anchorlock/>
              </v:shape>
            </w:pict>
          </mc:Fallback>
        </mc:AlternateContent>
      </w:r>
    </w:p>
    <w:sectPr w:rsidR="00127FD6" w:rsidRPr="00127FD6" w:rsidSect="003340D0">
      <w:headerReference w:type="default" r:id="rId12"/>
      <w:headerReference w:type="first" r:id="rId13"/>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FEA0" w14:textId="77777777" w:rsidR="009500C0" w:rsidRDefault="009500C0">
      <w:r>
        <w:separator/>
      </w:r>
    </w:p>
  </w:endnote>
  <w:endnote w:type="continuationSeparator" w:id="0">
    <w:p w14:paraId="79326805" w14:textId="77777777" w:rsidR="009500C0" w:rsidRDefault="009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alatino">
    <w:altName w:val="Palatino"/>
    <w:charset w:val="4D"/>
    <w:family w:val="auto"/>
    <w:pitch w:val="variable"/>
    <w:sig w:usb0="A00002FF" w:usb1="7800205A" w:usb2="14600000" w:usb3="00000000" w:csb0="00000193" w:csb1="00000000"/>
  </w:font>
  <w:font w:name="ヒラギノ角ゴ Pro W3">
    <w:altName w:val="Yu Gothic"/>
    <w:charset w:val="80"/>
    <w:family w:val="swiss"/>
    <w:pitch w:val="variable"/>
    <w:sig w:usb0="E00002FF" w:usb1="7AC7FFFF" w:usb2="00000012" w:usb3="00000000" w:csb0="0002000D" w:csb1="00000000"/>
  </w:font>
  <w:font w:name="Times">
    <w:altName w:val="﷽﷽﷽﷽﷽﷽﷽﷽"/>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7493" w14:textId="77777777" w:rsidR="009500C0" w:rsidRDefault="009500C0">
      <w:r>
        <w:separator/>
      </w:r>
    </w:p>
  </w:footnote>
  <w:footnote w:type="continuationSeparator" w:id="0">
    <w:p w14:paraId="6D5712C9" w14:textId="77777777" w:rsidR="009500C0" w:rsidRDefault="009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09824B5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5"/>
  </w:num>
  <w:num w:numId="6">
    <w:abstractNumId w:val="4"/>
  </w:num>
  <w:num w:numId="7">
    <w:abstractNumId w:val="2"/>
  </w:num>
  <w:num w:numId="8">
    <w:abstractNumId w:val="3"/>
  </w:num>
  <w:num w:numId="9">
    <w:abstractNumId w:val="9"/>
  </w:num>
  <w:num w:numId="10">
    <w:abstractNumId w:val="8"/>
  </w:num>
  <w:num w:numId="11">
    <w:abstractNumId w:val="7"/>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1C"/>
    <w:rsid w:val="000661F4"/>
    <w:rsid w:val="000736AA"/>
    <w:rsid w:val="00073CCC"/>
    <w:rsid w:val="00074325"/>
    <w:rsid w:val="00074E66"/>
    <w:rsid w:val="000969F9"/>
    <w:rsid w:val="00097899"/>
    <w:rsid w:val="000A72E3"/>
    <w:rsid w:val="000B43F5"/>
    <w:rsid w:val="000C3438"/>
    <w:rsid w:val="000C344F"/>
    <w:rsid w:val="000D4368"/>
    <w:rsid w:val="000D540D"/>
    <w:rsid w:val="000D6070"/>
    <w:rsid w:val="000E313E"/>
    <w:rsid w:val="000E439E"/>
    <w:rsid w:val="001069A4"/>
    <w:rsid w:val="00106D57"/>
    <w:rsid w:val="00115980"/>
    <w:rsid w:val="001259E2"/>
    <w:rsid w:val="0012611C"/>
    <w:rsid w:val="00127FD6"/>
    <w:rsid w:val="001405C9"/>
    <w:rsid w:val="00142D34"/>
    <w:rsid w:val="00150AE4"/>
    <w:rsid w:val="00152D2E"/>
    <w:rsid w:val="00153DD8"/>
    <w:rsid w:val="0016660D"/>
    <w:rsid w:val="00166C73"/>
    <w:rsid w:val="00171B89"/>
    <w:rsid w:val="00183C2C"/>
    <w:rsid w:val="001842C2"/>
    <w:rsid w:val="00187D59"/>
    <w:rsid w:val="00193727"/>
    <w:rsid w:val="00196917"/>
    <w:rsid w:val="001B0828"/>
    <w:rsid w:val="001B0AB0"/>
    <w:rsid w:val="001C21CA"/>
    <w:rsid w:val="001C30E2"/>
    <w:rsid w:val="001C6DC5"/>
    <w:rsid w:val="001D738C"/>
    <w:rsid w:val="001E3150"/>
    <w:rsid w:val="001E3C78"/>
    <w:rsid w:val="001F2739"/>
    <w:rsid w:val="002024FE"/>
    <w:rsid w:val="00203839"/>
    <w:rsid w:val="002050F0"/>
    <w:rsid w:val="00207489"/>
    <w:rsid w:val="00222AFE"/>
    <w:rsid w:val="00224C3F"/>
    <w:rsid w:val="00224DB4"/>
    <w:rsid w:val="00225597"/>
    <w:rsid w:val="00234996"/>
    <w:rsid w:val="00235CB9"/>
    <w:rsid w:val="0027412E"/>
    <w:rsid w:val="002746C5"/>
    <w:rsid w:val="00277682"/>
    <w:rsid w:val="00282ED9"/>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5DE8"/>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69F4"/>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60083"/>
    <w:rsid w:val="00860DE1"/>
    <w:rsid w:val="00865686"/>
    <w:rsid w:val="00865B5C"/>
    <w:rsid w:val="008814B8"/>
    <w:rsid w:val="008819DA"/>
    <w:rsid w:val="00887A65"/>
    <w:rsid w:val="0089063B"/>
    <w:rsid w:val="00890C34"/>
    <w:rsid w:val="008917B9"/>
    <w:rsid w:val="008A2F14"/>
    <w:rsid w:val="008B5AF8"/>
    <w:rsid w:val="008C254E"/>
    <w:rsid w:val="008E1FD5"/>
    <w:rsid w:val="008F747C"/>
    <w:rsid w:val="0090209F"/>
    <w:rsid w:val="00910645"/>
    <w:rsid w:val="00920867"/>
    <w:rsid w:val="00921B83"/>
    <w:rsid w:val="00921E9E"/>
    <w:rsid w:val="009304AE"/>
    <w:rsid w:val="00934888"/>
    <w:rsid w:val="0093527F"/>
    <w:rsid w:val="00935463"/>
    <w:rsid w:val="00942059"/>
    <w:rsid w:val="00945D81"/>
    <w:rsid w:val="009500C0"/>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8489F"/>
    <w:rsid w:val="00B90CD0"/>
    <w:rsid w:val="00B930C9"/>
    <w:rsid w:val="00B94C7D"/>
    <w:rsid w:val="00B97D8D"/>
    <w:rsid w:val="00BA3604"/>
    <w:rsid w:val="00BB4A78"/>
    <w:rsid w:val="00BB7135"/>
    <w:rsid w:val="00BC5445"/>
    <w:rsid w:val="00BC7B0E"/>
    <w:rsid w:val="00BD2433"/>
    <w:rsid w:val="00BD4B3F"/>
    <w:rsid w:val="00BD6CF4"/>
    <w:rsid w:val="00BE3015"/>
    <w:rsid w:val="00BF1293"/>
    <w:rsid w:val="00BF73F4"/>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4884"/>
    <w:rsid w:val="00CA12D4"/>
    <w:rsid w:val="00CA2349"/>
    <w:rsid w:val="00CB2F2F"/>
    <w:rsid w:val="00CC49AE"/>
    <w:rsid w:val="00CC550E"/>
    <w:rsid w:val="00CC7FAC"/>
    <w:rsid w:val="00CD3A0E"/>
    <w:rsid w:val="00CD3B89"/>
    <w:rsid w:val="00CD472D"/>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paragraph" w:customStyle="1" w:styleId="xmsonormal">
    <w:name w:val="x_msonormal"/>
    <w:basedOn w:val="Normal"/>
    <w:rsid w:val="00127FD6"/>
    <w:rPr>
      <w:rFonts w:ascii="Calibri" w:eastAsiaTheme="minorHAnsi" w:hAnsi="Calibri" w:cs="Calibri"/>
      <w:sz w:val="22"/>
      <w:szCs w:val="22"/>
    </w:rPr>
  </w:style>
  <w:style w:type="paragraph" w:customStyle="1" w:styleId="6TextBody">
    <w:name w:val="6. Text Body"/>
    <w:basedOn w:val="Normal"/>
    <w:next w:val="Normal"/>
    <w:rsid w:val="00127FD6"/>
    <w:pPr>
      <w:spacing w:before="120"/>
      <w:ind w:firstLine="547"/>
      <w:jc w:val="both"/>
    </w:pPr>
    <w:rPr>
      <w:sz w:val="22"/>
      <w:lang w:eastAsia="ko-KR"/>
    </w:rPr>
  </w:style>
  <w:style w:type="paragraph" w:customStyle="1" w:styleId="3LineItemBullet">
    <w:name w:val="3. Line Item Bullet"/>
    <w:rsid w:val="00127FD6"/>
    <w:pPr>
      <w:spacing w:before="120"/>
      <w:ind w:left="360" w:hanging="360"/>
    </w:pPr>
    <w:rPr>
      <w:rFonts w:ascii="Palatino" w:eastAsia="ヒラギノ角ゴ Pro W3" w:hAnsi="Palatino"/>
      <w:color w:val="000000"/>
    </w:rPr>
  </w:style>
  <w:style w:type="table" w:styleId="TableGrid">
    <w:name w:val="Table Grid"/>
    <w:basedOn w:val="TableNormal"/>
    <w:rsid w:val="00127FD6"/>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942">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anegas@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9494</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2021-08-25T17:36:00Z</dcterms:created>
  <dcterms:modified xsi:type="dcterms:W3CDTF">2021-08-25T17:39:00Z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