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4F2F214C" w:rsidR="00722693" w:rsidRPr="00987BBE" w:rsidRDefault="00FA607C" w:rsidP="004902ED">
      <w:pPr>
        <w:tabs>
          <w:tab w:val="left" w:pos="7200"/>
        </w:tabs>
        <w:ind w:right="-1080"/>
        <w:rPr>
          <w:sz w:val="22"/>
          <w:szCs w:val="22"/>
          <w:lang w:val="pt-BR"/>
        </w:rPr>
      </w:pPr>
      <w:r w:rsidRPr="00987BBE">
        <w:rPr>
          <w:sz w:val="22"/>
          <w:szCs w:val="22"/>
          <w:lang w:val="es"/>
        </w:rPr>
        <w:tab/>
      </w:r>
      <w:r w:rsidRPr="00077FD1">
        <w:rPr>
          <w:sz w:val="22"/>
          <w:szCs w:val="22"/>
          <w:lang w:val="pt-BR"/>
        </w:rPr>
        <w:t>OEA/Ser.W</w:t>
      </w:r>
    </w:p>
    <w:p w14:paraId="47887D17" w14:textId="54BD0327" w:rsidR="00722693" w:rsidRPr="00336CF7" w:rsidRDefault="00FA607C" w:rsidP="004902ED">
      <w:pPr>
        <w:tabs>
          <w:tab w:val="left" w:pos="7200"/>
        </w:tabs>
        <w:ind w:right="-1080"/>
        <w:rPr>
          <w:sz w:val="22"/>
          <w:szCs w:val="22"/>
          <w:lang w:val="pt-BR"/>
        </w:rPr>
      </w:pPr>
      <w:r w:rsidRPr="00077FD1">
        <w:rPr>
          <w:sz w:val="22"/>
          <w:szCs w:val="22"/>
          <w:lang w:val="pt-BR"/>
        </w:rPr>
        <w:tab/>
        <w:t>CIDI/INF.</w:t>
      </w:r>
      <w:r w:rsidR="00BA0EED" w:rsidRPr="00077FD1">
        <w:rPr>
          <w:sz w:val="22"/>
          <w:szCs w:val="22"/>
          <w:lang w:val="pt-BR"/>
        </w:rPr>
        <w:t xml:space="preserve"> </w:t>
      </w:r>
      <w:r w:rsidR="008B43A6">
        <w:rPr>
          <w:sz w:val="22"/>
          <w:szCs w:val="22"/>
          <w:lang w:val="pt-BR"/>
        </w:rPr>
        <w:t>464</w:t>
      </w:r>
      <w:r w:rsidR="00BA0EED" w:rsidRPr="00336CF7">
        <w:rPr>
          <w:sz w:val="22"/>
          <w:szCs w:val="22"/>
          <w:lang w:val="pt-BR"/>
        </w:rPr>
        <w:t>/21</w:t>
      </w:r>
    </w:p>
    <w:p w14:paraId="5A33C6A7" w14:textId="01234855" w:rsidR="00921E9E" w:rsidRPr="00077FD1" w:rsidRDefault="00FA607C" w:rsidP="004902ED">
      <w:pPr>
        <w:tabs>
          <w:tab w:val="left" w:pos="7200"/>
        </w:tabs>
        <w:ind w:right="-1080"/>
        <w:rPr>
          <w:sz w:val="22"/>
          <w:szCs w:val="22"/>
          <w:lang w:val="es-US"/>
        </w:rPr>
      </w:pPr>
      <w:r w:rsidRPr="00336CF7">
        <w:rPr>
          <w:sz w:val="22"/>
          <w:szCs w:val="22"/>
          <w:lang w:val="pt-BR"/>
        </w:rPr>
        <w:tab/>
      </w:r>
      <w:r w:rsidR="00D25211">
        <w:rPr>
          <w:sz w:val="22"/>
          <w:szCs w:val="22"/>
          <w:lang w:val="es"/>
        </w:rPr>
        <w:t xml:space="preserve">19 </w:t>
      </w:r>
      <w:r w:rsidR="006B1932" w:rsidRPr="00987BBE">
        <w:rPr>
          <w:sz w:val="22"/>
          <w:szCs w:val="22"/>
          <w:lang w:val="es"/>
        </w:rPr>
        <w:t>octubre 2021</w:t>
      </w:r>
    </w:p>
    <w:p w14:paraId="0F58D2B5" w14:textId="272BF087" w:rsidR="00921E9E" w:rsidRPr="00077FD1" w:rsidRDefault="00FA607C" w:rsidP="004902ED">
      <w:pPr>
        <w:pBdr>
          <w:bottom w:val="single" w:sz="12" w:space="1" w:color="auto"/>
        </w:pBdr>
        <w:tabs>
          <w:tab w:val="left" w:pos="7200"/>
        </w:tabs>
        <w:ind w:right="-389"/>
        <w:rPr>
          <w:sz w:val="22"/>
          <w:szCs w:val="22"/>
          <w:lang w:val="es-US"/>
        </w:rPr>
      </w:pPr>
      <w:r w:rsidRPr="00987BBE">
        <w:rPr>
          <w:sz w:val="22"/>
          <w:szCs w:val="22"/>
          <w:lang w:val="es"/>
        </w:rPr>
        <w:tab/>
        <w:t xml:space="preserve">Original: </w:t>
      </w:r>
      <w:r w:rsidR="00077FD1">
        <w:rPr>
          <w:sz w:val="22"/>
          <w:szCs w:val="22"/>
          <w:lang w:val="es"/>
        </w:rPr>
        <w:t>i</w:t>
      </w:r>
      <w:r w:rsidRPr="00987BBE">
        <w:rPr>
          <w:sz w:val="22"/>
          <w:szCs w:val="22"/>
          <w:lang w:val="es"/>
        </w:rPr>
        <w:t>nglés</w:t>
      </w:r>
    </w:p>
    <w:p w14:paraId="5D981BA8" w14:textId="77777777" w:rsidR="00921E9E" w:rsidRPr="00077FD1" w:rsidRDefault="00921E9E" w:rsidP="004902ED">
      <w:pPr>
        <w:pBdr>
          <w:bottom w:val="single" w:sz="12" w:space="1" w:color="auto"/>
        </w:pBdr>
        <w:tabs>
          <w:tab w:val="left" w:pos="7200"/>
        </w:tabs>
        <w:ind w:right="-389"/>
        <w:rPr>
          <w:sz w:val="22"/>
          <w:szCs w:val="22"/>
          <w:lang w:val="es-US"/>
        </w:rPr>
      </w:pPr>
    </w:p>
    <w:p w14:paraId="2F69D4D3" w14:textId="77777777" w:rsidR="00722693" w:rsidRPr="00077FD1" w:rsidRDefault="00722693" w:rsidP="004902ED">
      <w:pPr>
        <w:tabs>
          <w:tab w:val="left" w:pos="7200"/>
        </w:tabs>
        <w:ind w:right="-1080"/>
        <w:rPr>
          <w:sz w:val="22"/>
          <w:szCs w:val="22"/>
          <w:lang w:val="es-US"/>
        </w:rPr>
      </w:pPr>
    </w:p>
    <w:p w14:paraId="175A517F" w14:textId="177E4B3A" w:rsidR="00921E9E" w:rsidRPr="00077FD1" w:rsidRDefault="00FA607C" w:rsidP="004902ED">
      <w:pPr>
        <w:jc w:val="center"/>
        <w:rPr>
          <w:rFonts w:eastAsia="Calibri"/>
          <w:sz w:val="22"/>
          <w:szCs w:val="22"/>
          <w:lang w:val="es-US"/>
        </w:rPr>
      </w:pPr>
      <w:r w:rsidRPr="00987BBE">
        <w:rPr>
          <w:sz w:val="22"/>
          <w:szCs w:val="22"/>
          <w:lang w:val="es"/>
        </w:rPr>
        <w:t>NOTA CONCEPTUAL</w:t>
      </w:r>
    </w:p>
    <w:p w14:paraId="215CDB98" w14:textId="2AD78BCA" w:rsidR="00DD0DD6" w:rsidRPr="00077FD1" w:rsidRDefault="00FA607C" w:rsidP="004902ED">
      <w:pPr>
        <w:jc w:val="center"/>
        <w:rPr>
          <w:rFonts w:eastAsia="Calibri"/>
          <w:caps/>
          <w:sz w:val="22"/>
          <w:szCs w:val="22"/>
          <w:lang w:val="es-US"/>
        </w:rPr>
      </w:pPr>
      <w:r w:rsidRPr="00987BBE">
        <w:rPr>
          <w:caps/>
          <w:sz w:val="22"/>
          <w:szCs w:val="22"/>
          <w:lang w:val="es"/>
        </w:rPr>
        <w:t>Reunión ordinaria de</w:t>
      </w:r>
      <w:r w:rsidR="00077FD1">
        <w:rPr>
          <w:caps/>
          <w:sz w:val="22"/>
          <w:szCs w:val="22"/>
          <w:lang w:val="es"/>
        </w:rPr>
        <w:t>L</w:t>
      </w:r>
    </w:p>
    <w:p w14:paraId="02610FD8" w14:textId="501CA318" w:rsidR="00921E9E" w:rsidRPr="00077FD1" w:rsidRDefault="00FA607C" w:rsidP="004902ED">
      <w:pPr>
        <w:jc w:val="center"/>
        <w:rPr>
          <w:rFonts w:eastAsia="Calibri"/>
          <w:caps/>
          <w:sz w:val="22"/>
          <w:szCs w:val="22"/>
          <w:lang w:val="es-US"/>
        </w:rPr>
      </w:pPr>
      <w:r w:rsidRPr="00987BBE">
        <w:rPr>
          <w:caps/>
          <w:sz w:val="22"/>
          <w:szCs w:val="22"/>
          <w:lang w:val="es"/>
        </w:rPr>
        <w:t>Consejo Interamericano para el Desarrollo Integral (CIDI)</w:t>
      </w:r>
    </w:p>
    <w:p w14:paraId="60A978BB" w14:textId="76BB31CC" w:rsidR="00921E9E" w:rsidRPr="00077FD1" w:rsidRDefault="00BA0EED" w:rsidP="004902ED">
      <w:pPr>
        <w:jc w:val="center"/>
        <w:rPr>
          <w:caps/>
          <w:sz w:val="22"/>
          <w:szCs w:val="22"/>
          <w:lang w:val="es-US"/>
        </w:rPr>
      </w:pPr>
      <w:r w:rsidRPr="00987BBE">
        <w:rPr>
          <w:caps/>
          <w:sz w:val="22"/>
          <w:szCs w:val="22"/>
          <w:lang w:val="es"/>
        </w:rPr>
        <w:t>26 OCTUBRE 2021</w:t>
      </w:r>
    </w:p>
    <w:p w14:paraId="06724E75" w14:textId="77777777" w:rsidR="004902ED" w:rsidRPr="00077FD1" w:rsidRDefault="004902ED" w:rsidP="004902ED">
      <w:pPr>
        <w:jc w:val="center"/>
        <w:rPr>
          <w:rFonts w:eastAsia="Calibri"/>
          <w:caps/>
          <w:sz w:val="22"/>
          <w:szCs w:val="22"/>
          <w:lang w:val="es-US"/>
        </w:rPr>
      </w:pPr>
    </w:p>
    <w:p w14:paraId="15CD43B6" w14:textId="583AD924" w:rsidR="007A307C" w:rsidRPr="00077FD1" w:rsidRDefault="00FA607C" w:rsidP="004902ED">
      <w:pPr>
        <w:jc w:val="center"/>
        <w:rPr>
          <w:rFonts w:eastAsia="Calibri"/>
          <w:sz w:val="22"/>
          <w:szCs w:val="22"/>
          <w:lang w:val="es-US"/>
        </w:rPr>
      </w:pPr>
      <w:r w:rsidRPr="00987BBE">
        <w:rPr>
          <w:sz w:val="22"/>
          <w:szCs w:val="22"/>
          <w:lang w:val="es"/>
        </w:rPr>
        <w:t xml:space="preserve"> (Elaborad</w:t>
      </w:r>
      <w:r w:rsidR="00077FD1">
        <w:rPr>
          <w:sz w:val="22"/>
          <w:szCs w:val="22"/>
          <w:lang w:val="es"/>
        </w:rPr>
        <w:t>a</w:t>
      </w:r>
      <w:r w:rsidRPr="00987BBE">
        <w:rPr>
          <w:sz w:val="22"/>
          <w:szCs w:val="22"/>
          <w:lang w:val="es"/>
        </w:rPr>
        <w:t xml:space="preserve"> por la Secretaría Ejecutiva para el Desarrollo Integral)</w:t>
      </w:r>
    </w:p>
    <w:p w14:paraId="0C7F118F" w14:textId="77777777" w:rsidR="007A307C" w:rsidRPr="00077FD1" w:rsidRDefault="007A307C" w:rsidP="004902ED">
      <w:pPr>
        <w:jc w:val="both"/>
        <w:rPr>
          <w:rFonts w:eastAsia="Calibri"/>
          <w:sz w:val="22"/>
          <w:szCs w:val="22"/>
          <w:lang w:val="es-US"/>
        </w:rPr>
      </w:pPr>
    </w:p>
    <w:p w14:paraId="70852F0C" w14:textId="4C5EECBE" w:rsidR="00902338" w:rsidRPr="00077FD1" w:rsidRDefault="00902338" w:rsidP="004902ED">
      <w:pPr>
        <w:tabs>
          <w:tab w:val="left" w:pos="720"/>
          <w:tab w:val="left" w:pos="1440"/>
          <w:tab w:val="left" w:pos="2160"/>
        </w:tabs>
        <w:ind w:left="2790" w:hanging="2070"/>
        <w:jc w:val="both"/>
        <w:rPr>
          <w:b/>
          <w:bCs/>
          <w:caps/>
          <w:sz w:val="22"/>
          <w:szCs w:val="22"/>
          <w:lang w:val="es-US"/>
        </w:rPr>
      </w:pPr>
      <w:r w:rsidRPr="00987BBE">
        <w:rPr>
          <w:sz w:val="22"/>
          <w:szCs w:val="22"/>
          <w:lang w:val="es"/>
        </w:rPr>
        <w:t xml:space="preserve">TEMA: </w:t>
      </w:r>
      <w:r w:rsidR="00BA0EED" w:rsidRPr="00987BBE">
        <w:rPr>
          <w:b/>
          <w:caps/>
          <w:sz w:val="22"/>
          <w:szCs w:val="22"/>
          <w:lang w:val="es"/>
        </w:rPr>
        <w:t>Ciencia para la toma de decisiones</w:t>
      </w:r>
    </w:p>
    <w:p w14:paraId="1BC24364" w14:textId="6E9BE780" w:rsidR="00902338" w:rsidRPr="00077FD1" w:rsidRDefault="00902338" w:rsidP="004902ED">
      <w:pPr>
        <w:tabs>
          <w:tab w:val="left" w:pos="720"/>
          <w:tab w:val="left" w:pos="1440"/>
        </w:tabs>
        <w:jc w:val="both"/>
        <w:rPr>
          <w:sz w:val="22"/>
          <w:szCs w:val="22"/>
          <w:lang w:val="es-US"/>
        </w:rPr>
      </w:pPr>
    </w:p>
    <w:p w14:paraId="1FE97DF8" w14:textId="62E82B9C" w:rsidR="00723EE9" w:rsidRPr="00987BBE" w:rsidRDefault="00723EE9" w:rsidP="004902ED">
      <w:pPr>
        <w:numPr>
          <w:ilvl w:val="0"/>
          <w:numId w:val="10"/>
        </w:numPr>
        <w:ind w:left="0" w:firstLine="0"/>
        <w:rPr>
          <w:rFonts w:eastAsia="Calibri"/>
          <w:b/>
          <w:sz w:val="22"/>
          <w:szCs w:val="22"/>
        </w:rPr>
      </w:pPr>
      <w:r w:rsidRPr="00987BBE">
        <w:rPr>
          <w:b/>
          <w:sz w:val="22"/>
          <w:szCs w:val="22"/>
          <w:lang w:val="es"/>
        </w:rPr>
        <w:t>Antecedentes/Justificación</w:t>
      </w:r>
    </w:p>
    <w:p w14:paraId="6DD6009E" w14:textId="5190BC8B" w:rsidR="00A21F96" w:rsidRPr="00987BBE" w:rsidRDefault="00A21F96" w:rsidP="004902ED">
      <w:pPr>
        <w:ind w:left="1440" w:hanging="1440"/>
        <w:jc w:val="both"/>
        <w:rPr>
          <w:rFonts w:eastAsia="Calibri"/>
          <w:bCs/>
          <w:sz w:val="22"/>
          <w:szCs w:val="22"/>
        </w:rPr>
      </w:pPr>
    </w:p>
    <w:p w14:paraId="0DAEECEF" w14:textId="582E3B5E" w:rsidR="004902ED" w:rsidRPr="00077FD1" w:rsidRDefault="005D1D57" w:rsidP="004902ED">
      <w:pPr>
        <w:ind w:firstLine="720"/>
        <w:jc w:val="both"/>
        <w:rPr>
          <w:rFonts w:eastAsia="Calibri"/>
          <w:bCs/>
          <w:sz w:val="22"/>
          <w:szCs w:val="22"/>
          <w:lang w:val="es-US"/>
        </w:rPr>
      </w:pPr>
      <w:r w:rsidRPr="00987BBE">
        <w:rPr>
          <w:sz w:val="22"/>
          <w:szCs w:val="22"/>
          <w:lang w:val="es"/>
        </w:rPr>
        <w:t>Los efectos de la COVID-19, la disrupción de las cadenas de valor mundiales y la escasez de bienes y servicios esenciales necesarios para mitigar la crisis sanitaria, económica y social, han puesto de relieve la importancia de acelerar el despliegue de los recursos disponibles a través de la ciencia, la tecnología y la innovación. El alcance mundial de la pandemia también puso de relieve la necesidad de una cooperación internacional, mult</w:t>
      </w:r>
      <w:r w:rsidR="00077FD1">
        <w:rPr>
          <w:sz w:val="22"/>
          <w:szCs w:val="22"/>
          <w:lang w:val="es"/>
        </w:rPr>
        <w:t xml:space="preserve">ilateral </w:t>
      </w:r>
      <w:r w:rsidRPr="00987BBE">
        <w:rPr>
          <w:sz w:val="22"/>
          <w:szCs w:val="22"/>
          <w:lang w:val="es"/>
        </w:rPr>
        <w:t>e interdisciplinaria para identificar e implementar soluciones efectivas.</w:t>
      </w:r>
    </w:p>
    <w:p w14:paraId="7D45AD21" w14:textId="77777777" w:rsidR="004902ED" w:rsidRPr="00077FD1" w:rsidRDefault="004902ED" w:rsidP="004902ED">
      <w:pPr>
        <w:ind w:firstLine="720"/>
        <w:jc w:val="both"/>
        <w:rPr>
          <w:rFonts w:eastAsia="Calibri"/>
          <w:bCs/>
          <w:sz w:val="22"/>
          <w:szCs w:val="22"/>
          <w:lang w:val="es-US"/>
        </w:rPr>
      </w:pPr>
    </w:p>
    <w:p w14:paraId="0BC2F454" w14:textId="60834AFC" w:rsidR="004902ED" w:rsidRPr="00077FD1" w:rsidRDefault="00527F6D" w:rsidP="004902ED">
      <w:pPr>
        <w:ind w:firstLine="720"/>
        <w:jc w:val="both"/>
        <w:rPr>
          <w:color w:val="000000"/>
          <w:sz w:val="22"/>
          <w:szCs w:val="22"/>
          <w:lang w:val="es-US"/>
        </w:rPr>
      </w:pPr>
      <w:r w:rsidRPr="00987BBE">
        <w:rPr>
          <w:sz w:val="22"/>
          <w:szCs w:val="22"/>
          <w:lang w:val="es"/>
        </w:rPr>
        <w:t xml:space="preserve">En sus esfuerzos por prepararse para futuras emergencias mundiales y </w:t>
      </w:r>
      <w:r w:rsidR="00E351A1" w:rsidRPr="00987BBE">
        <w:rPr>
          <w:color w:val="000000"/>
          <w:sz w:val="22"/>
          <w:szCs w:val="22"/>
          <w:lang w:val="es"/>
        </w:rPr>
        <w:t xml:space="preserve">abordar los principales imperativos relacionados con el desarrollo integral en las Américas, como la seguridad alimentaria, la mitigación y preparación para desastres, el cambio climático, la educación, las brechas sociales y tecnológicas, la región podría beneficiarse del uso de la investigación colaborativa en ciencia y tecnología, y los datos para impulsar su planificación y toma de decisiones. </w:t>
      </w:r>
      <w:r w:rsidR="00077FD1">
        <w:rPr>
          <w:color w:val="000000"/>
          <w:sz w:val="22"/>
          <w:szCs w:val="22"/>
          <w:lang w:val="es"/>
        </w:rPr>
        <w:t>El c</w:t>
      </w:r>
      <w:r w:rsidR="00E351A1" w:rsidRPr="00987BBE">
        <w:rPr>
          <w:color w:val="000000"/>
          <w:sz w:val="22"/>
          <w:szCs w:val="22"/>
          <w:lang w:val="es"/>
        </w:rPr>
        <w:t xml:space="preserve">ompartir insumos basados en datos para la toma de decisiones entre los Estados </w:t>
      </w:r>
      <w:r w:rsidR="00077FD1">
        <w:rPr>
          <w:color w:val="000000"/>
          <w:sz w:val="22"/>
          <w:szCs w:val="22"/>
          <w:lang w:val="es"/>
        </w:rPr>
        <w:t>M</w:t>
      </w:r>
      <w:r w:rsidR="00E351A1" w:rsidRPr="00987BBE">
        <w:rPr>
          <w:color w:val="000000"/>
          <w:sz w:val="22"/>
          <w:szCs w:val="22"/>
          <w:lang w:val="es"/>
        </w:rPr>
        <w:t>iembros puede convertirse en una fuente importante de resiliencia.</w:t>
      </w:r>
    </w:p>
    <w:p w14:paraId="5F1EC65F" w14:textId="77777777" w:rsidR="004902ED" w:rsidRPr="00077FD1" w:rsidRDefault="004902ED" w:rsidP="004902ED">
      <w:pPr>
        <w:ind w:firstLine="720"/>
        <w:jc w:val="both"/>
        <w:rPr>
          <w:color w:val="000000"/>
          <w:sz w:val="22"/>
          <w:szCs w:val="22"/>
          <w:lang w:val="es-US"/>
        </w:rPr>
      </w:pPr>
    </w:p>
    <w:p w14:paraId="0CD06C31" w14:textId="2770613E" w:rsidR="00E768B6" w:rsidRPr="00077FD1" w:rsidRDefault="007147F0" w:rsidP="004902ED">
      <w:pPr>
        <w:ind w:firstLine="720"/>
        <w:jc w:val="both"/>
        <w:rPr>
          <w:color w:val="323232"/>
          <w:sz w:val="22"/>
          <w:szCs w:val="22"/>
          <w:shd w:val="clear" w:color="auto" w:fill="FFFFFF"/>
          <w:lang w:val="es-US"/>
        </w:rPr>
      </w:pPr>
      <w:r w:rsidRPr="00987BBE">
        <w:rPr>
          <w:color w:val="323232"/>
          <w:sz w:val="22"/>
          <w:szCs w:val="22"/>
          <w:shd w:val="clear" w:color="auto" w:fill="FFFFFF"/>
          <w:lang w:val="es"/>
        </w:rPr>
        <w:t>Los escenarios de modelado y los posibles resultados de las medidas alternativas de política pública juegan un papel importante en la capacidad de los gobiernos para planificar y abordar los desafíos inmediatos, medianos y largos. La tecnología y los métodos de computación modernos utilizan ecuaciones estadísticas para calcular probabilidades, comparar resultados, observar patrones y calibrar escenarios potenciales.</w:t>
      </w:r>
      <w:r w:rsidRPr="00987BBE">
        <w:rPr>
          <w:rStyle w:val="FootnoteReference"/>
          <w:color w:val="323232"/>
          <w:sz w:val="22"/>
          <w:szCs w:val="22"/>
          <w:u w:val="single"/>
          <w:shd w:val="clear" w:color="auto" w:fill="FFFFFF"/>
          <w:lang w:val="es"/>
        </w:rPr>
        <w:footnoteReference w:id="1"/>
      </w:r>
      <w:r w:rsidR="00077FD1">
        <w:rPr>
          <w:color w:val="323232"/>
          <w:sz w:val="22"/>
          <w:szCs w:val="22"/>
          <w:shd w:val="clear" w:color="auto" w:fill="FFFFFF"/>
          <w:vertAlign w:val="superscript"/>
          <w:lang w:val="es"/>
        </w:rPr>
        <w:t>/</w:t>
      </w:r>
      <w:r w:rsidRPr="00987BBE">
        <w:rPr>
          <w:color w:val="323232"/>
          <w:sz w:val="22"/>
          <w:szCs w:val="22"/>
          <w:shd w:val="clear" w:color="auto" w:fill="FFFFFF"/>
          <w:lang w:val="es"/>
        </w:rPr>
        <w:t xml:space="preserve"> </w:t>
      </w:r>
      <w:r w:rsidR="00077FD1">
        <w:rPr>
          <w:color w:val="323232"/>
          <w:sz w:val="22"/>
          <w:szCs w:val="22"/>
          <w:shd w:val="clear" w:color="auto" w:fill="FFFFFF"/>
          <w:lang w:val="es"/>
        </w:rPr>
        <w:t xml:space="preserve">Estas </w:t>
      </w:r>
      <w:r w:rsidRPr="00987BBE">
        <w:rPr>
          <w:color w:val="323232"/>
          <w:sz w:val="22"/>
          <w:szCs w:val="22"/>
          <w:shd w:val="clear" w:color="auto" w:fill="FFFFFF"/>
          <w:lang w:val="es"/>
        </w:rPr>
        <w:t>capacidades son útiles durante las crisis, así como en el proceso de recuperación. Aunque el modelado y la simulación son asuntos eminentemente científicos y técnicos, el uso de datos y conocimientos para comprender los imperativos de desarrollo regional que los Estados Miembros de la OEA es ahora más importante que nunca.</w:t>
      </w:r>
    </w:p>
    <w:p w14:paraId="056C021E" w14:textId="77777777" w:rsidR="00077FD1" w:rsidRPr="00077FD1" w:rsidRDefault="00077FD1" w:rsidP="004902ED">
      <w:pPr>
        <w:ind w:firstLine="720"/>
        <w:jc w:val="both"/>
        <w:rPr>
          <w:color w:val="323232"/>
          <w:sz w:val="22"/>
          <w:szCs w:val="22"/>
          <w:shd w:val="clear" w:color="auto" w:fill="FFFFFF"/>
          <w:lang w:val="es-US"/>
        </w:rPr>
      </w:pPr>
    </w:p>
    <w:p w14:paraId="6D990984" w14:textId="6905C27A" w:rsidR="00E768B6" w:rsidRPr="00077FD1" w:rsidRDefault="00E768B6" w:rsidP="004902ED">
      <w:pPr>
        <w:ind w:firstLine="720"/>
        <w:jc w:val="both"/>
        <w:rPr>
          <w:color w:val="323232"/>
          <w:sz w:val="22"/>
          <w:szCs w:val="22"/>
          <w:shd w:val="clear" w:color="auto" w:fill="FFFFFF"/>
          <w:lang w:val="es-US"/>
        </w:rPr>
      </w:pPr>
      <w:r w:rsidRPr="00987BBE">
        <w:rPr>
          <w:color w:val="323232"/>
          <w:sz w:val="22"/>
          <w:szCs w:val="22"/>
          <w:shd w:val="clear" w:color="auto" w:fill="FFFFFF"/>
          <w:lang w:val="es"/>
        </w:rPr>
        <w:t xml:space="preserve">Las tecnologías transformadoras como la inteligencia artificial, </w:t>
      </w:r>
      <w:r w:rsidRPr="00077FD1">
        <w:rPr>
          <w:i/>
          <w:iCs/>
          <w:color w:val="323232"/>
          <w:sz w:val="22"/>
          <w:szCs w:val="22"/>
          <w:shd w:val="clear" w:color="auto" w:fill="FFFFFF"/>
          <w:lang w:val="es"/>
        </w:rPr>
        <w:t>big data</w:t>
      </w:r>
      <w:r w:rsidRPr="00987BBE">
        <w:rPr>
          <w:color w:val="323232"/>
          <w:sz w:val="22"/>
          <w:szCs w:val="22"/>
          <w:shd w:val="clear" w:color="auto" w:fill="FFFFFF"/>
          <w:lang w:val="es"/>
        </w:rPr>
        <w:t xml:space="preserve">, </w:t>
      </w:r>
      <w:r w:rsidRPr="00077FD1">
        <w:rPr>
          <w:i/>
          <w:iCs/>
          <w:color w:val="323232"/>
          <w:sz w:val="22"/>
          <w:szCs w:val="22"/>
          <w:shd w:val="clear" w:color="auto" w:fill="FFFFFF"/>
          <w:lang w:val="es"/>
        </w:rPr>
        <w:t>blockchain</w:t>
      </w:r>
      <w:r w:rsidRPr="00987BBE">
        <w:rPr>
          <w:color w:val="323232"/>
          <w:sz w:val="22"/>
          <w:szCs w:val="22"/>
          <w:shd w:val="clear" w:color="auto" w:fill="FFFFFF"/>
          <w:lang w:val="es"/>
        </w:rPr>
        <w:t>, computación cuántica, nuevos materiales nanoestructurados y fabricación, realidad virtual aumentada, ofrecen oportunidades para saltar y maximizar la cooperación regional y apoyar la capacidad de las comunidades para prepararse y responder a estos desafíos.</w:t>
      </w:r>
    </w:p>
    <w:p w14:paraId="1D02ABE6" w14:textId="77777777" w:rsidR="004902ED" w:rsidRPr="00077FD1" w:rsidRDefault="004902ED" w:rsidP="004902ED">
      <w:pPr>
        <w:ind w:firstLine="720"/>
        <w:jc w:val="both"/>
        <w:rPr>
          <w:color w:val="323232"/>
          <w:sz w:val="22"/>
          <w:szCs w:val="22"/>
          <w:shd w:val="clear" w:color="auto" w:fill="FFFFFF"/>
          <w:lang w:val="es-US"/>
        </w:rPr>
      </w:pPr>
    </w:p>
    <w:p w14:paraId="3E2C481D" w14:textId="37760F30" w:rsidR="007147F0" w:rsidRPr="00077FD1" w:rsidRDefault="00FE24CB" w:rsidP="004902ED">
      <w:pPr>
        <w:ind w:firstLine="720"/>
        <w:jc w:val="both"/>
        <w:rPr>
          <w:color w:val="323232"/>
          <w:sz w:val="22"/>
          <w:szCs w:val="22"/>
          <w:shd w:val="clear" w:color="auto" w:fill="FFFFFF"/>
          <w:lang w:val="es-US"/>
        </w:rPr>
      </w:pPr>
      <w:r w:rsidRPr="00987BBE">
        <w:rPr>
          <w:color w:val="323232"/>
          <w:sz w:val="22"/>
          <w:szCs w:val="22"/>
          <w:shd w:val="clear" w:color="auto" w:fill="FFFFFF"/>
          <w:lang w:val="es"/>
        </w:rPr>
        <w:lastRenderedPageBreak/>
        <w:t xml:space="preserve">Sobre la base de las lecciones aprendidas de la pandemia, existe la oportunidad de emprender un esfuerzo hemisférico para promover el uso del conocimiento científico en los Estados Miembros de la OEA para crear inteligencia colectiva y poner a disposición datos abiertos, recursos y otras herramientas para permitir a los </w:t>
      </w:r>
      <w:r w:rsidR="00077FD1">
        <w:rPr>
          <w:color w:val="323232"/>
          <w:sz w:val="22"/>
          <w:szCs w:val="22"/>
          <w:shd w:val="clear" w:color="auto" w:fill="FFFFFF"/>
          <w:lang w:val="es"/>
        </w:rPr>
        <w:t>G</w:t>
      </w:r>
      <w:r w:rsidRPr="00987BBE">
        <w:rPr>
          <w:color w:val="323232"/>
          <w:sz w:val="22"/>
          <w:szCs w:val="22"/>
          <w:shd w:val="clear" w:color="auto" w:fill="FFFFFF"/>
          <w:lang w:val="es"/>
        </w:rPr>
        <w:t>obiernos y partes interesadas de la comunidad científica y tecnológica adaptar las fuentes de datos, metodologías, realizar investigaciones y desplegar herramientas y soluciones adaptadas a su propia realidad y necesidades.</w:t>
      </w:r>
    </w:p>
    <w:p w14:paraId="7BDE93DF" w14:textId="77777777" w:rsidR="00FF48BA" w:rsidRPr="00077FD1" w:rsidRDefault="00FF48BA" w:rsidP="004902ED">
      <w:pPr>
        <w:jc w:val="both"/>
        <w:rPr>
          <w:color w:val="000000"/>
          <w:sz w:val="22"/>
          <w:szCs w:val="22"/>
          <w:lang w:val="es-US"/>
        </w:rPr>
      </w:pPr>
    </w:p>
    <w:p w14:paraId="0B6CF158" w14:textId="473179DB" w:rsidR="00E768B6" w:rsidRPr="00077FD1" w:rsidRDefault="00E768B6" w:rsidP="004902ED">
      <w:pPr>
        <w:ind w:firstLine="720"/>
        <w:jc w:val="both"/>
        <w:rPr>
          <w:color w:val="000000"/>
          <w:sz w:val="22"/>
          <w:szCs w:val="22"/>
          <w:lang w:val="es-US"/>
        </w:rPr>
      </w:pPr>
      <w:r w:rsidRPr="00987BBE">
        <w:rPr>
          <w:color w:val="000000"/>
          <w:sz w:val="22"/>
          <w:szCs w:val="22"/>
          <w:lang w:val="es"/>
        </w:rPr>
        <w:t>Para que una agenda de resiliencia se implemente con éxito en las Américas, tendrá que estar respaldada por una agenda robusta de ciencia, tecnología e innovación que alimente datos e información críticos, basados en evidencia, a los tomadores de decisiones con respecto a las áreas en las que la vulnerabilidad social, económica y ambiental es más pronunciada.</w:t>
      </w:r>
    </w:p>
    <w:p w14:paraId="55571647" w14:textId="77777777" w:rsidR="007147F0" w:rsidRPr="00077FD1" w:rsidRDefault="007147F0" w:rsidP="004902ED">
      <w:pPr>
        <w:jc w:val="both"/>
        <w:rPr>
          <w:rFonts w:eastAsia="Calibri"/>
          <w:bCs/>
          <w:sz w:val="22"/>
          <w:szCs w:val="22"/>
          <w:lang w:val="es-US"/>
        </w:rPr>
      </w:pPr>
    </w:p>
    <w:p w14:paraId="59A074F4" w14:textId="2EF733A2" w:rsidR="00723EE9" w:rsidRPr="00987BBE" w:rsidRDefault="00601668" w:rsidP="004902ED">
      <w:pPr>
        <w:numPr>
          <w:ilvl w:val="0"/>
          <w:numId w:val="10"/>
        </w:numPr>
        <w:ind w:left="0" w:firstLine="0"/>
        <w:rPr>
          <w:rFonts w:eastAsia="Calibri"/>
          <w:b/>
          <w:sz w:val="22"/>
          <w:szCs w:val="22"/>
        </w:rPr>
      </w:pPr>
      <w:r w:rsidRPr="00987BBE">
        <w:rPr>
          <w:b/>
          <w:sz w:val="22"/>
          <w:szCs w:val="22"/>
          <w:lang w:val="es"/>
        </w:rPr>
        <w:t>Propósito de la reunión</w:t>
      </w:r>
    </w:p>
    <w:p w14:paraId="7BB3AC86" w14:textId="77777777" w:rsidR="00723EE9" w:rsidRPr="00987BBE" w:rsidRDefault="00723EE9" w:rsidP="004902ED">
      <w:pPr>
        <w:jc w:val="both"/>
        <w:rPr>
          <w:sz w:val="22"/>
          <w:szCs w:val="22"/>
        </w:rPr>
      </w:pPr>
    </w:p>
    <w:p w14:paraId="0A10220C" w14:textId="04E4BC90" w:rsidR="00BA0EED" w:rsidRPr="00077FD1" w:rsidRDefault="00EF772D" w:rsidP="004902ED">
      <w:pPr>
        <w:ind w:firstLine="720"/>
        <w:jc w:val="both"/>
        <w:rPr>
          <w:sz w:val="22"/>
          <w:szCs w:val="22"/>
          <w:lang w:val="es-US"/>
        </w:rPr>
      </w:pPr>
      <w:r w:rsidRPr="00987BBE">
        <w:rPr>
          <w:sz w:val="22"/>
          <w:szCs w:val="22"/>
          <w:lang w:val="es"/>
        </w:rPr>
        <w:t>Esta reunión del CIDI ofrecerá a los Estados Miembros la oportunidad de abordar cómo aprovechar la toma de decisiones basada en datos en las Américas y resaltar la importancia de la colaboración en Investigación y Desarrollo (I+D) para abordar los desafíos para el desarrollo integral.</w:t>
      </w:r>
    </w:p>
    <w:p w14:paraId="27F6DEDB" w14:textId="77777777" w:rsidR="00BA0EED" w:rsidRPr="00077FD1" w:rsidRDefault="00BA0EED" w:rsidP="004902ED">
      <w:pPr>
        <w:tabs>
          <w:tab w:val="left" w:pos="720"/>
          <w:tab w:val="left" w:pos="1440"/>
        </w:tabs>
        <w:ind w:left="720" w:firstLine="720"/>
        <w:rPr>
          <w:sz w:val="22"/>
          <w:szCs w:val="22"/>
          <w:lang w:val="es-US"/>
        </w:rPr>
      </w:pPr>
    </w:p>
    <w:p w14:paraId="79E16739" w14:textId="0ABAAF07" w:rsidR="00BA0EED" w:rsidRPr="00077FD1" w:rsidRDefault="004902ED" w:rsidP="004902ED">
      <w:pPr>
        <w:tabs>
          <w:tab w:val="left" w:pos="720"/>
          <w:tab w:val="left" w:pos="1440"/>
        </w:tabs>
        <w:jc w:val="both"/>
        <w:rPr>
          <w:sz w:val="22"/>
          <w:szCs w:val="22"/>
          <w:lang w:val="es-US"/>
        </w:rPr>
      </w:pPr>
      <w:r w:rsidRPr="00987BBE">
        <w:rPr>
          <w:sz w:val="22"/>
          <w:szCs w:val="22"/>
          <w:lang w:val="es"/>
        </w:rPr>
        <w:tab/>
      </w:r>
      <w:r w:rsidR="00BA0EED" w:rsidRPr="00987BBE">
        <w:rPr>
          <w:sz w:val="22"/>
          <w:szCs w:val="22"/>
          <w:lang w:val="es"/>
        </w:rPr>
        <w:t xml:space="preserve">A nivel subregional y nacional, existen mecanismos y experiencias en los Estados </w:t>
      </w:r>
      <w:r w:rsidR="00077FD1">
        <w:rPr>
          <w:sz w:val="22"/>
          <w:szCs w:val="22"/>
          <w:lang w:val="es"/>
        </w:rPr>
        <w:t>M</w:t>
      </w:r>
      <w:r w:rsidR="00BA0EED" w:rsidRPr="00987BBE">
        <w:rPr>
          <w:sz w:val="22"/>
          <w:szCs w:val="22"/>
          <w:lang w:val="es"/>
        </w:rPr>
        <w:t>iembros para involucrar a universidades, expertos, sector privado, think tanks, centros de investigación y otras instituciones que apoyan los insumos científicos y basados en datos para la toma de decisiones.</w:t>
      </w:r>
    </w:p>
    <w:p w14:paraId="1A52887F" w14:textId="77777777" w:rsidR="00BA0EED" w:rsidRPr="00077FD1" w:rsidRDefault="00BA0EED" w:rsidP="004902ED">
      <w:pPr>
        <w:tabs>
          <w:tab w:val="left" w:pos="720"/>
          <w:tab w:val="left" w:pos="1440"/>
        </w:tabs>
        <w:jc w:val="both"/>
        <w:rPr>
          <w:sz w:val="22"/>
          <w:szCs w:val="22"/>
          <w:lang w:val="es-US"/>
        </w:rPr>
      </w:pPr>
    </w:p>
    <w:p w14:paraId="44D04FC0" w14:textId="4A4E4833" w:rsidR="00BA0EED" w:rsidRPr="00077FD1" w:rsidRDefault="004902ED" w:rsidP="004902ED">
      <w:pPr>
        <w:tabs>
          <w:tab w:val="left" w:pos="720"/>
          <w:tab w:val="left" w:pos="1440"/>
        </w:tabs>
        <w:jc w:val="both"/>
        <w:rPr>
          <w:sz w:val="22"/>
          <w:szCs w:val="22"/>
          <w:lang w:val="es-US"/>
        </w:rPr>
      </w:pPr>
      <w:r w:rsidRPr="00987BBE">
        <w:rPr>
          <w:sz w:val="22"/>
          <w:szCs w:val="22"/>
          <w:lang w:val="es"/>
        </w:rPr>
        <w:tab/>
      </w:r>
      <w:r w:rsidR="00BA0EED" w:rsidRPr="00987BBE">
        <w:rPr>
          <w:sz w:val="22"/>
          <w:szCs w:val="22"/>
          <w:lang w:val="es"/>
        </w:rPr>
        <w:t xml:space="preserve">La reunión ofrecerá la oportunidad de compartir algunos de los modelos y resultados de las iniciativas en los Estados </w:t>
      </w:r>
      <w:r w:rsidR="00077FD1">
        <w:rPr>
          <w:sz w:val="22"/>
          <w:szCs w:val="22"/>
          <w:lang w:val="es"/>
        </w:rPr>
        <w:t>M</w:t>
      </w:r>
      <w:r w:rsidR="00BA0EED" w:rsidRPr="00987BBE">
        <w:rPr>
          <w:sz w:val="22"/>
          <w:szCs w:val="22"/>
          <w:lang w:val="es"/>
        </w:rPr>
        <w:t xml:space="preserve">iembros para avanzar en la ciencia para la toma de decisiones, identificar cuáles son las brechas o necesidades en diferentes áreas de desarrollo donde los </w:t>
      </w:r>
      <w:r w:rsidR="00077FD1">
        <w:rPr>
          <w:sz w:val="22"/>
          <w:szCs w:val="22"/>
          <w:lang w:val="es"/>
        </w:rPr>
        <w:t>E</w:t>
      </w:r>
      <w:r w:rsidR="00BA0EED" w:rsidRPr="00987BBE">
        <w:rPr>
          <w:sz w:val="22"/>
          <w:szCs w:val="22"/>
          <w:lang w:val="es"/>
        </w:rPr>
        <w:t xml:space="preserve">stados </w:t>
      </w:r>
      <w:r w:rsidR="00077FD1">
        <w:rPr>
          <w:sz w:val="22"/>
          <w:szCs w:val="22"/>
          <w:lang w:val="es"/>
        </w:rPr>
        <w:t>M</w:t>
      </w:r>
      <w:r w:rsidR="00BA0EED" w:rsidRPr="00987BBE">
        <w:rPr>
          <w:sz w:val="22"/>
          <w:szCs w:val="22"/>
          <w:lang w:val="es"/>
        </w:rPr>
        <w:t>iembros se beneficiarían de la ciencia y los insumos basados en datos para la toma de decisiones.</w:t>
      </w:r>
    </w:p>
    <w:p w14:paraId="54F121D4" w14:textId="77777777" w:rsidR="004B301B" w:rsidRPr="00077FD1" w:rsidRDefault="004B301B" w:rsidP="004902ED">
      <w:pPr>
        <w:tabs>
          <w:tab w:val="left" w:pos="720"/>
          <w:tab w:val="left" w:pos="1440"/>
        </w:tabs>
        <w:rPr>
          <w:sz w:val="22"/>
          <w:szCs w:val="22"/>
          <w:u w:val="single"/>
          <w:lang w:val="es-US"/>
        </w:rPr>
      </w:pPr>
    </w:p>
    <w:p w14:paraId="127A2F1F" w14:textId="42EF4F5A" w:rsidR="00601668" w:rsidRPr="00077FD1" w:rsidRDefault="00601668" w:rsidP="00077FD1">
      <w:pPr>
        <w:pStyle w:val="ListParagraph0"/>
        <w:numPr>
          <w:ilvl w:val="0"/>
          <w:numId w:val="10"/>
        </w:numPr>
        <w:tabs>
          <w:tab w:val="left" w:pos="720"/>
          <w:tab w:val="left" w:pos="1440"/>
          <w:tab w:val="left" w:pos="1800"/>
        </w:tabs>
        <w:ind w:left="720" w:hanging="720"/>
        <w:jc w:val="both"/>
        <w:rPr>
          <w:b/>
          <w:sz w:val="22"/>
          <w:szCs w:val="22"/>
          <w:lang w:val="es-US"/>
        </w:rPr>
      </w:pPr>
      <w:r w:rsidRPr="00077FD1">
        <w:rPr>
          <w:b/>
          <w:sz w:val="22"/>
          <w:szCs w:val="22"/>
          <w:lang w:val="es"/>
        </w:rPr>
        <w:t>Relevancia para los mandatos de la Secretaría Ejecutiva para el Desarrollo Integral (SEDI) y de la OEA</w:t>
      </w:r>
      <w:r w:rsidR="00BC3CED" w:rsidRPr="00077FD1">
        <w:rPr>
          <w:b/>
          <w:sz w:val="22"/>
          <w:szCs w:val="22"/>
          <w:lang w:val="es"/>
        </w:rPr>
        <w:tab/>
      </w:r>
    </w:p>
    <w:p w14:paraId="42620451" w14:textId="3B83C41F" w:rsidR="00C53DB0" w:rsidRPr="00077FD1" w:rsidRDefault="00C53DB0" w:rsidP="004902ED">
      <w:pPr>
        <w:tabs>
          <w:tab w:val="left" w:pos="720"/>
          <w:tab w:val="left" w:pos="1440"/>
        </w:tabs>
        <w:rPr>
          <w:sz w:val="22"/>
          <w:szCs w:val="22"/>
          <w:u w:val="single"/>
          <w:lang w:val="es-US"/>
        </w:rPr>
      </w:pPr>
    </w:p>
    <w:p w14:paraId="0EFC82E8" w14:textId="4920AF8B" w:rsidR="004B301B" w:rsidRPr="00077FD1" w:rsidRDefault="00055019" w:rsidP="004902ED">
      <w:pPr>
        <w:tabs>
          <w:tab w:val="left" w:pos="720"/>
          <w:tab w:val="left" w:pos="2955"/>
        </w:tabs>
        <w:jc w:val="both"/>
        <w:rPr>
          <w:sz w:val="22"/>
          <w:szCs w:val="22"/>
          <w:lang w:val="es-US"/>
        </w:rPr>
      </w:pPr>
      <w:r w:rsidRPr="00987BBE">
        <w:rPr>
          <w:sz w:val="22"/>
          <w:szCs w:val="22"/>
          <w:lang w:val="es"/>
        </w:rPr>
        <w:tab/>
      </w:r>
      <w:r w:rsidR="004B301B" w:rsidRPr="00987BBE">
        <w:rPr>
          <w:sz w:val="22"/>
          <w:szCs w:val="22"/>
          <w:lang w:val="es"/>
        </w:rPr>
        <w:t xml:space="preserve">La Comisión Interamericana de Ciencia y Tecnología (COMCYT) acordó el tema principal de la Sexta Reunión de </w:t>
      </w:r>
      <w:proofErr w:type="gramStart"/>
      <w:r w:rsidR="004B301B" w:rsidRPr="00987BBE">
        <w:rPr>
          <w:sz w:val="22"/>
          <w:szCs w:val="22"/>
          <w:lang w:val="es"/>
        </w:rPr>
        <w:t>Ministros</w:t>
      </w:r>
      <w:proofErr w:type="gramEnd"/>
      <w:r w:rsidR="004B301B" w:rsidRPr="00987BBE">
        <w:rPr>
          <w:sz w:val="22"/>
          <w:szCs w:val="22"/>
          <w:lang w:val="es"/>
        </w:rPr>
        <w:t xml:space="preserve"> y Altas Autoridades de Ciencia y Tecnología (VI REMCYT): "Aprovechar el poder de la ciencia y las tecnologías transformadoras para impulsar a nuestras comunidades hacia adelante". Uno de los subtemas es "La prospectiva tecnológica como insumo para las decisiones de política pública", que es el tema en consideración para esta </w:t>
      </w:r>
      <w:r w:rsidR="00077FD1">
        <w:rPr>
          <w:sz w:val="22"/>
          <w:szCs w:val="22"/>
          <w:lang w:val="es"/>
        </w:rPr>
        <w:t>r</w:t>
      </w:r>
      <w:r w:rsidR="004B301B" w:rsidRPr="00987BBE">
        <w:rPr>
          <w:sz w:val="22"/>
          <w:szCs w:val="22"/>
          <w:lang w:val="es"/>
        </w:rPr>
        <w:t>eunión del CIDI con un enfoque en la ciencia y la toma de decisiones basadas en datos.</w:t>
      </w:r>
    </w:p>
    <w:p w14:paraId="0836C072" w14:textId="77777777" w:rsidR="004B301B" w:rsidRPr="00077FD1" w:rsidRDefault="004B301B" w:rsidP="004902ED">
      <w:pPr>
        <w:tabs>
          <w:tab w:val="left" w:pos="720"/>
          <w:tab w:val="left" w:pos="1440"/>
        </w:tabs>
        <w:jc w:val="both"/>
        <w:rPr>
          <w:sz w:val="22"/>
          <w:szCs w:val="22"/>
          <w:lang w:val="es-US"/>
        </w:rPr>
      </w:pPr>
    </w:p>
    <w:p w14:paraId="5CB58B58" w14:textId="6753BBEB" w:rsidR="00723EE9" w:rsidRPr="00077FD1" w:rsidRDefault="00055019" w:rsidP="004902ED">
      <w:pPr>
        <w:tabs>
          <w:tab w:val="left" w:pos="720"/>
          <w:tab w:val="left" w:pos="1440"/>
        </w:tabs>
        <w:jc w:val="both"/>
        <w:rPr>
          <w:bCs/>
          <w:sz w:val="22"/>
          <w:szCs w:val="22"/>
          <w:lang w:val="es-US"/>
        </w:rPr>
      </w:pPr>
      <w:r w:rsidRPr="00987BBE">
        <w:rPr>
          <w:sz w:val="22"/>
          <w:szCs w:val="22"/>
          <w:lang w:val="es"/>
        </w:rPr>
        <w:tab/>
      </w:r>
      <w:r w:rsidR="00723EE9" w:rsidRPr="00987BBE">
        <w:rPr>
          <w:sz w:val="22"/>
          <w:szCs w:val="22"/>
          <w:lang w:val="es"/>
        </w:rPr>
        <w:t>"Promover economías inclusivas y competitivas" es una de las líneas estratégicas para el Desarrollo Integral en el Plan Estratégico Integral de la OEA [A</w:t>
      </w:r>
      <w:r w:rsidR="00723EE9" w:rsidRPr="00987BBE">
        <w:rPr>
          <w:color w:val="171717"/>
          <w:sz w:val="22"/>
          <w:szCs w:val="22"/>
          <w:lang w:val="es"/>
        </w:rPr>
        <w:t>G/RES.1 (LI-E/16)]. Uno de sus</w:t>
      </w:r>
      <w:r>
        <w:rPr>
          <w:lang w:val="es"/>
        </w:rPr>
        <w:t xml:space="preserve"> </w:t>
      </w:r>
      <w:r w:rsidR="00723EE9" w:rsidRPr="00987BBE">
        <w:rPr>
          <w:sz w:val="22"/>
          <w:szCs w:val="22"/>
          <w:lang w:val="es"/>
        </w:rPr>
        <w:t xml:space="preserve">objetivos estratégicos (1.3) es: </w:t>
      </w:r>
      <w:r w:rsidR="00077FD1">
        <w:rPr>
          <w:sz w:val="22"/>
          <w:szCs w:val="22"/>
          <w:lang w:val="es"/>
        </w:rPr>
        <w:t>“</w:t>
      </w:r>
      <w:r w:rsidR="00723EE9" w:rsidRPr="00987BBE">
        <w:rPr>
          <w:sz w:val="22"/>
          <w:szCs w:val="22"/>
          <w:lang w:val="es"/>
        </w:rPr>
        <w:t xml:space="preserve">Aumentar la cooperación para fortalecer las capacidades institucionales de los Estados </w:t>
      </w:r>
      <w:r w:rsidR="00077FD1">
        <w:rPr>
          <w:sz w:val="22"/>
          <w:szCs w:val="22"/>
          <w:lang w:val="es"/>
        </w:rPr>
        <w:t>M</w:t>
      </w:r>
      <w:r w:rsidR="00723EE9" w:rsidRPr="00987BBE">
        <w:rPr>
          <w:sz w:val="22"/>
          <w:szCs w:val="22"/>
          <w:lang w:val="es"/>
        </w:rPr>
        <w:t>iembros en la</w:t>
      </w:r>
      <w:r>
        <w:rPr>
          <w:lang w:val="es"/>
        </w:rPr>
        <w:t xml:space="preserve"> </w:t>
      </w:r>
      <w:r w:rsidR="00723EE9" w:rsidRPr="00987BBE">
        <w:rPr>
          <w:sz w:val="22"/>
          <w:szCs w:val="22"/>
          <w:lang w:val="es"/>
        </w:rPr>
        <w:t>incorporación de la innovación y la tecnología transformadora para crear valor agregado y diversificación en sus economías de manera sostenible e inclusiva</w:t>
      </w:r>
      <w:r w:rsidR="00077FD1">
        <w:rPr>
          <w:sz w:val="22"/>
          <w:szCs w:val="22"/>
          <w:lang w:val="es"/>
        </w:rPr>
        <w:t>”</w:t>
      </w:r>
      <w:r w:rsidR="00723EE9" w:rsidRPr="00987BBE">
        <w:rPr>
          <w:sz w:val="22"/>
          <w:szCs w:val="22"/>
          <w:lang w:val="es"/>
        </w:rPr>
        <w:t>.</w:t>
      </w:r>
    </w:p>
    <w:p w14:paraId="3BAF93F9" w14:textId="77777777" w:rsidR="00723EE9" w:rsidRPr="00077FD1" w:rsidRDefault="00723EE9" w:rsidP="004902ED">
      <w:pPr>
        <w:jc w:val="both"/>
        <w:rPr>
          <w:sz w:val="22"/>
          <w:szCs w:val="22"/>
          <w:lang w:val="es-US"/>
        </w:rPr>
      </w:pPr>
    </w:p>
    <w:p w14:paraId="1DE7A8AE" w14:textId="393473FC" w:rsidR="00B40DC8" w:rsidRPr="00077FD1" w:rsidRDefault="00FF48BA" w:rsidP="004902ED">
      <w:pPr>
        <w:ind w:firstLine="720"/>
        <w:jc w:val="both"/>
        <w:rPr>
          <w:sz w:val="22"/>
          <w:szCs w:val="22"/>
          <w:lang w:val="es-US"/>
        </w:rPr>
      </w:pPr>
      <w:r w:rsidRPr="00987BBE">
        <w:rPr>
          <w:sz w:val="22"/>
          <w:szCs w:val="22"/>
          <w:lang w:val="es"/>
        </w:rPr>
        <w:t xml:space="preserve">La resolución </w:t>
      </w:r>
      <w:r w:rsidR="00077FD1">
        <w:rPr>
          <w:sz w:val="22"/>
          <w:szCs w:val="22"/>
          <w:lang w:val="es"/>
        </w:rPr>
        <w:t>“</w:t>
      </w:r>
      <w:r w:rsidRPr="00987BBE">
        <w:rPr>
          <w:sz w:val="22"/>
          <w:szCs w:val="22"/>
          <w:lang w:val="es"/>
        </w:rPr>
        <w:t>Avanzando en las Iniciativas Hemisféricas sobre Desarrollo Integral</w:t>
      </w:r>
      <w:r w:rsidR="00077FD1">
        <w:rPr>
          <w:sz w:val="22"/>
          <w:szCs w:val="22"/>
          <w:lang w:val="es"/>
        </w:rPr>
        <w:t>”</w:t>
      </w:r>
      <w:r w:rsidRPr="00987BBE">
        <w:rPr>
          <w:sz w:val="22"/>
          <w:szCs w:val="22"/>
          <w:lang w:val="es"/>
        </w:rPr>
        <w:t xml:space="preserve"> AG/RES. 2955 (L-O/20), insta a </w:t>
      </w:r>
      <w:r w:rsidR="00987BBE">
        <w:rPr>
          <w:sz w:val="22"/>
          <w:szCs w:val="22"/>
          <w:lang w:val="es"/>
        </w:rPr>
        <w:t>los</w:t>
      </w:r>
      <w:r w:rsidR="00077FD1">
        <w:rPr>
          <w:sz w:val="22"/>
          <w:szCs w:val="22"/>
          <w:lang w:val="es"/>
        </w:rPr>
        <w:t xml:space="preserve"> E</w:t>
      </w:r>
      <w:r w:rsidR="00B40DC8" w:rsidRPr="00987BBE">
        <w:rPr>
          <w:sz w:val="22"/>
          <w:szCs w:val="22"/>
          <w:lang w:val="es"/>
        </w:rPr>
        <w:t>stados a "a través del intercambio de buenas prácticas, experiencias, oportunidades de capacitación y asistencia técnica, fortalecer el Grupo Virtual de Expertos en el marco de Prospecta Américas de la Comisión Interamericana de Ciencia y Tecnología (COMCyT) con el propósito de abordar los imperativos de desarrollo en las Américas</w:t>
      </w:r>
      <w:r w:rsidR="00077FD1">
        <w:rPr>
          <w:sz w:val="22"/>
          <w:szCs w:val="22"/>
          <w:lang w:val="es"/>
        </w:rPr>
        <w:t xml:space="preserve">, </w:t>
      </w:r>
      <w:r w:rsidR="00B40DC8" w:rsidRPr="00987BBE">
        <w:rPr>
          <w:sz w:val="22"/>
          <w:szCs w:val="22"/>
          <w:lang w:val="es"/>
        </w:rPr>
        <w:t xml:space="preserve">incluidos los que surjan como </w:t>
      </w:r>
      <w:r w:rsidR="00B40DC8" w:rsidRPr="00987BBE">
        <w:rPr>
          <w:sz w:val="22"/>
          <w:szCs w:val="22"/>
          <w:lang w:val="es"/>
        </w:rPr>
        <w:lastRenderedPageBreak/>
        <w:t xml:space="preserve">consecuencia de la pandemia de </w:t>
      </w:r>
      <w:r w:rsidR="00077FD1">
        <w:rPr>
          <w:sz w:val="22"/>
          <w:szCs w:val="22"/>
          <w:lang w:val="es"/>
        </w:rPr>
        <w:t xml:space="preserve">la </w:t>
      </w:r>
      <w:r w:rsidR="00B40DC8" w:rsidRPr="00987BBE">
        <w:rPr>
          <w:sz w:val="22"/>
          <w:szCs w:val="22"/>
          <w:lang w:val="es"/>
        </w:rPr>
        <w:t>COVID-19. Asimismo, se alienta a los Estados Miembros con interés y capacidades existentes en tecnologías transformadoras a unirse a la red COMCyT de centros interamericanos de excelencia en prospectiva tecnológica con el fin de complementar los recursos y capacidades regionales, realizar estudios, desarrollar líneas de investigación y otras actividades de colaboración para abordar los desafíos estratégicos en las Américas, y apoyar la recuperación económica mediante el uso de tecnologías, conocimiento, empleo y crecimiento a los países de la región. Las contribuciones no deben interpretarse como mandatos que presuponen o promuevan desembolsos financieros como condición para la participación</w:t>
      </w:r>
      <w:r w:rsidR="00077FD1">
        <w:rPr>
          <w:sz w:val="22"/>
          <w:szCs w:val="22"/>
          <w:lang w:val="es"/>
        </w:rPr>
        <w:t>”</w:t>
      </w:r>
      <w:r w:rsidR="00B40DC8" w:rsidRPr="00987BBE">
        <w:rPr>
          <w:sz w:val="22"/>
          <w:szCs w:val="22"/>
          <w:lang w:val="es"/>
        </w:rPr>
        <w:t>.</w:t>
      </w:r>
    </w:p>
    <w:p w14:paraId="24265848" w14:textId="77777777" w:rsidR="004902ED" w:rsidRPr="00077FD1" w:rsidRDefault="004902ED" w:rsidP="004902ED">
      <w:pPr>
        <w:jc w:val="both"/>
        <w:rPr>
          <w:sz w:val="22"/>
          <w:szCs w:val="22"/>
          <w:lang w:val="es-US"/>
        </w:rPr>
      </w:pPr>
    </w:p>
    <w:p w14:paraId="7E220C95" w14:textId="0DF410FD" w:rsidR="00723EE9" w:rsidRPr="00987BBE" w:rsidRDefault="00601668" w:rsidP="004902ED">
      <w:pPr>
        <w:pStyle w:val="ListParagraph0"/>
        <w:numPr>
          <w:ilvl w:val="0"/>
          <w:numId w:val="18"/>
        </w:numPr>
        <w:ind w:left="720" w:hanging="720"/>
        <w:rPr>
          <w:b/>
          <w:sz w:val="22"/>
          <w:szCs w:val="22"/>
        </w:rPr>
      </w:pPr>
      <w:r w:rsidRPr="00987BBE">
        <w:rPr>
          <w:b/>
          <w:sz w:val="22"/>
          <w:szCs w:val="22"/>
          <w:lang w:val="es"/>
        </w:rPr>
        <w:t>Estructura de la reunión</w:t>
      </w:r>
    </w:p>
    <w:p w14:paraId="1CD6530B" w14:textId="2DA17F24" w:rsidR="00723EE9" w:rsidRPr="00987BBE" w:rsidRDefault="00723EE9" w:rsidP="004902ED">
      <w:pPr>
        <w:jc w:val="both"/>
        <w:rPr>
          <w:rFonts w:eastAsia="Calibri"/>
          <w:sz w:val="22"/>
          <w:szCs w:val="22"/>
        </w:rPr>
      </w:pPr>
    </w:p>
    <w:p w14:paraId="653C7F32" w14:textId="2C524B36" w:rsidR="00723EE9" w:rsidRPr="00077FD1" w:rsidRDefault="00DD14D2" w:rsidP="004902ED">
      <w:pPr>
        <w:ind w:firstLine="720"/>
        <w:jc w:val="both"/>
        <w:rPr>
          <w:rFonts w:eastAsia="Calibri"/>
          <w:sz w:val="22"/>
          <w:szCs w:val="22"/>
          <w:lang w:val="es-US"/>
        </w:rPr>
      </w:pPr>
      <w:r w:rsidRPr="00987BBE">
        <w:rPr>
          <w:sz w:val="22"/>
          <w:szCs w:val="22"/>
          <w:lang w:val="es"/>
        </w:rPr>
        <w:t>Se invitará a expertos como oradores invitados a presentar experiencias sobre el uso de la ciencia, la previsión tecnológica y los enfoques basados en datos para apoyar la toma de decisiones en apoyo del desarrollo económico y social.</w:t>
      </w:r>
    </w:p>
    <w:p w14:paraId="799B1B3A" w14:textId="77777777" w:rsidR="00DD14D2" w:rsidRPr="00077FD1" w:rsidRDefault="00DD14D2" w:rsidP="004902ED">
      <w:pPr>
        <w:ind w:firstLine="720"/>
        <w:jc w:val="both"/>
        <w:rPr>
          <w:rFonts w:eastAsia="Calibri"/>
          <w:sz w:val="22"/>
          <w:szCs w:val="22"/>
          <w:lang w:val="es-US"/>
        </w:rPr>
      </w:pPr>
    </w:p>
    <w:p w14:paraId="4E707C13" w14:textId="65749510" w:rsidR="00DD14D2" w:rsidRPr="00077FD1" w:rsidRDefault="00DD14D2" w:rsidP="004902ED">
      <w:pPr>
        <w:ind w:firstLine="720"/>
        <w:jc w:val="both"/>
        <w:rPr>
          <w:sz w:val="22"/>
          <w:szCs w:val="22"/>
          <w:lang w:val="es-US"/>
        </w:rPr>
      </w:pPr>
      <w:r w:rsidRPr="00987BBE">
        <w:rPr>
          <w:sz w:val="22"/>
          <w:szCs w:val="22"/>
          <w:lang w:val="es"/>
        </w:rPr>
        <w:t xml:space="preserve">Se invitará a los Estados </w:t>
      </w:r>
      <w:r w:rsidR="00077FD1">
        <w:rPr>
          <w:sz w:val="22"/>
          <w:szCs w:val="22"/>
          <w:lang w:val="es"/>
        </w:rPr>
        <w:t>M</w:t>
      </w:r>
      <w:r w:rsidRPr="00987BBE">
        <w:rPr>
          <w:sz w:val="22"/>
          <w:szCs w:val="22"/>
          <w:lang w:val="es"/>
        </w:rPr>
        <w:t xml:space="preserve">iembros a formular preguntas a los expertos invitados sobre sus presentaciones y/o los principales puntos tratados durante sus intervenciones en el marco de un diálogo interactivo guiado por </w:t>
      </w:r>
      <w:r w:rsidR="00077FD1">
        <w:rPr>
          <w:sz w:val="22"/>
          <w:szCs w:val="22"/>
          <w:lang w:val="es"/>
        </w:rPr>
        <w:t xml:space="preserve">la </w:t>
      </w:r>
      <w:proofErr w:type="gramStart"/>
      <w:r w:rsidRPr="00987BBE">
        <w:rPr>
          <w:sz w:val="22"/>
          <w:szCs w:val="22"/>
          <w:lang w:val="es"/>
        </w:rPr>
        <w:t>President</w:t>
      </w:r>
      <w:r w:rsidR="00077FD1">
        <w:rPr>
          <w:sz w:val="22"/>
          <w:szCs w:val="22"/>
          <w:lang w:val="es"/>
        </w:rPr>
        <w:t>a</w:t>
      </w:r>
      <w:proofErr w:type="gramEnd"/>
      <w:r w:rsidRPr="00987BBE">
        <w:rPr>
          <w:sz w:val="22"/>
          <w:szCs w:val="22"/>
          <w:lang w:val="es"/>
        </w:rPr>
        <w:t>.</w:t>
      </w:r>
    </w:p>
    <w:p w14:paraId="2F08C444" w14:textId="77777777" w:rsidR="004902ED" w:rsidRPr="00077FD1" w:rsidRDefault="004902ED" w:rsidP="004902ED">
      <w:pPr>
        <w:jc w:val="both"/>
        <w:rPr>
          <w:sz w:val="22"/>
          <w:szCs w:val="22"/>
          <w:lang w:val="es-US"/>
        </w:rPr>
      </w:pPr>
    </w:p>
    <w:p w14:paraId="413C49C6" w14:textId="5637BC4E" w:rsidR="004D3097" w:rsidRPr="00987BBE" w:rsidRDefault="0020125B" w:rsidP="004902ED">
      <w:pPr>
        <w:ind w:left="720"/>
        <w:jc w:val="both"/>
        <w:rPr>
          <w:rFonts w:eastAsia="Calibri"/>
          <w:sz w:val="22"/>
          <w:szCs w:val="22"/>
        </w:rPr>
      </w:pPr>
      <w:r w:rsidRPr="00987BBE">
        <w:rPr>
          <w:sz w:val="22"/>
          <w:szCs w:val="22"/>
          <w:lang w:val="es"/>
        </w:rPr>
        <w:t>Presentaciones de expertos (7 minutos)</w:t>
      </w:r>
    </w:p>
    <w:p w14:paraId="4CE232BD" w14:textId="77777777" w:rsidR="001301D2" w:rsidRPr="00987BBE" w:rsidRDefault="001301D2" w:rsidP="004902ED">
      <w:pPr>
        <w:pStyle w:val="ListParagraph0"/>
        <w:ind w:left="1440"/>
        <w:jc w:val="both"/>
        <w:rPr>
          <w:sz w:val="22"/>
          <w:szCs w:val="22"/>
        </w:rPr>
      </w:pPr>
    </w:p>
    <w:p w14:paraId="412B4FC4" w14:textId="0BA7B699" w:rsidR="00723EE9" w:rsidRPr="00987BBE" w:rsidRDefault="00723EE9" w:rsidP="004902ED">
      <w:pPr>
        <w:numPr>
          <w:ilvl w:val="0"/>
          <w:numId w:val="18"/>
        </w:numPr>
        <w:ind w:left="0" w:firstLine="0"/>
        <w:rPr>
          <w:rFonts w:eastAsia="Calibri"/>
          <w:b/>
          <w:sz w:val="22"/>
          <w:szCs w:val="22"/>
        </w:rPr>
      </w:pPr>
      <w:r w:rsidRPr="00987BBE">
        <w:rPr>
          <w:b/>
          <w:sz w:val="22"/>
          <w:szCs w:val="22"/>
          <w:lang w:val="es"/>
        </w:rPr>
        <w:t>Resultados de la reunión</w:t>
      </w:r>
    </w:p>
    <w:p w14:paraId="359FE12E" w14:textId="77777777" w:rsidR="00723EE9" w:rsidRPr="00987BBE" w:rsidRDefault="00723EE9" w:rsidP="004902ED">
      <w:pPr>
        <w:jc w:val="both"/>
        <w:rPr>
          <w:rFonts w:eastAsia="Calibri"/>
          <w:b/>
          <w:sz w:val="22"/>
          <w:szCs w:val="22"/>
        </w:rPr>
      </w:pPr>
    </w:p>
    <w:p w14:paraId="518E666B" w14:textId="21945344" w:rsidR="00723EE9" w:rsidRPr="00077FD1" w:rsidRDefault="00723EE9" w:rsidP="004902ED">
      <w:pPr>
        <w:ind w:firstLine="720"/>
        <w:jc w:val="both"/>
        <w:rPr>
          <w:rFonts w:eastAsia="Calibri"/>
          <w:sz w:val="22"/>
          <w:szCs w:val="22"/>
          <w:lang w:val="es-US"/>
        </w:rPr>
      </w:pPr>
      <w:r w:rsidRPr="00987BBE">
        <w:rPr>
          <w:sz w:val="22"/>
          <w:szCs w:val="22"/>
          <w:lang w:val="es"/>
        </w:rPr>
        <w:t xml:space="preserve">Se espera que </w:t>
      </w:r>
      <w:r w:rsidR="00077FD1">
        <w:rPr>
          <w:sz w:val="22"/>
          <w:szCs w:val="22"/>
          <w:lang w:val="es"/>
        </w:rPr>
        <w:t xml:space="preserve">la reunión </w:t>
      </w:r>
      <w:r w:rsidRPr="00987BBE">
        <w:rPr>
          <w:sz w:val="22"/>
          <w:szCs w:val="22"/>
          <w:lang w:val="es"/>
        </w:rPr>
        <w:t>contribuya a:</w:t>
      </w:r>
    </w:p>
    <w:p w14:paraId="5EFC065D" w14:textId="77777777" w:rsidR="00723EE9" w:rsidRPr="00077FD1" w:rsidRDefault="00723EE9" w:rsidP="004902ED">
      <w:pPr>
        <w:ind w:firstLine="720"/>
        <w:jc w:val="both"/>
        <w:rPr>
          <w:rFonts w:eastAsia="Calibri"/>
          <w:sz w:val="22"/>
          <w:szCs w:val="22"/>
          <w:lang w:val="es-US"/>
        </w:rPr>
      </w:pPr>
    </w:p>
    <w:p w14:paraId="058D026B" w14:textId="691FD0C2" w:rsidR="00723EE9" w:rsidRPr="00077FD1" w:rsidRDefault="00723EE9" w:rsidP="004902ED">
      <w:pPr>
        <w:numPr>
          <w:ilvl w:val="0"/>
          <w:numId w:val="11"/>
        </w:numPr>
        <w:ind w:left="1440" w:hanging="720"/>
        <w:jc w:val="both"/>
        <w:rPr>
          <w:rFonts w:eastAsia="Calibri"/>
          <w:sz w:val="22"/>
          <w:szCs w:val="22"/>
          <w:lang w:val="es-US"/>
        </w:rPr>
      </w:pPr>
      <w:r w:rsidRPr="00987BBE">
        <w:rPr>
          <w:sz w:val="22"/>
          <w:szCs w:val="22"/>
          <w:lang w:val="es"/>
        </w:rPr>
        <w:t>Proporcionar información sobre las principales tendencias, desafíos y oportunidades para aprovechar la ciencia, la previsión tecnológica y los enfoques basados en datos para abordar los imperativos de desarrollo de los Estados Miembros de la OEA;</w:t>
      </w:r>
    </w:p>
    <w:p w14:paraId="68986623" w14:textId="7E47BC93" w:rsidR="00194B58" w:rsidRPr="00077FD1" w:rsidRDefault="00194B58" w:rsidP="004902ED">
      <w:pPr>
        <w:numPr>
          <w:ilvl w:val="0"/>
          <w:numId w:val="11"/>
        </w:numPr>
        <w:ind w:left="1440" w:hanging="720"/>
        <w:jc w:val="both"/>
        <w:rPr>
          <w:rFonts w:eastAsia="Calibri"/>
          <w:sz w:val="22"/>
          <w:szCs w:val="22"/>
          <w:lang w:val="es-US"/>
        </w:rPr>
      </w:pPr>
      <w:r w:rsidRPr="00987BBE">
        <w:rPr>
          <w:sz w:val="22"/>
          <w:szCs w:val="22"/>
          <w:lang w:val="es"/>
        </w:rPr>
        <w:t>Identificar prioridades y áreas de cooperación regional en las Américas para promover la ciencia, la tecnología y la innovación para la toma de decisiones;</w:t>
      </w:r>
    </w:p>
    <w:p w14:paraId="21954D1D" w14:textId="57E23F2E" w:rsidR="000B6478" w:rsidRPr="00077FD1" w:rsidRDefault="003B0B19" w:rsidP="004902ED">
      <w:pPr>
        <w:numPr>
          <w:ilvl w:val="0"/>
          <w:numId w:val="11"/>
        </w:numPr>
        <w:ind w:left="1440" w:hanging="720"/>
        <w:jc w:val="both"/>
        <w:rPr>
          <w:sz w:val="22"/>
          <w:szCs w:val="22"/>
          <w:lang w:val="es-US"/>
        </w:rPr>
      </w:pPr>
      <w:r w:rsidRPr="00987BBE">
        <w:rPr>
          <w:sz w:val="22"/>
          <w:szCs w:val="22"/>
          <w:lang w:val="es"/>
        </w:rPr>
        <w:t>Alentar a los Estados Miembros a presentar buenas prácticas con oportunidades de cooperación para avanzar en la toma de decisiones basadas en datos en el desarrollo e identificar socios para apoyar los esfuerzos de la OEA en esta área.</w:t>
      </w:r>
      <w:r w:rsidR="00336CF7">
        <w:rPr>
          <w:noProof/>
          <w:sz w:val="22"/>
          <w:szCs w:val="22"/>
          <w:lang w:val="es-US"/>
        </w:rPr>
        <mc:AlternateContent>
          <mc:Choice Requires="wps">
            <w:drawing>
              <wp:anchor distT="0" distB="0" distL="114300" distR="114300" simplePos="0" relativeHeight="251659264" behindDoc="0" locked="1" layoutInCell="1" allowOverlap="1" wp14:anchorId="1D9EADC4" wp14:editId="74B8F8A7">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A5F0EF6" w14:textId="58F03CF8" w:rsidR="00336CF7" w:rsidRPr="00336CF7" w:rsidRDefault="00336CF7">
                            <w:pPr>
                              <w:rPr>
                                <w:sz w:val="18"/>
                              </w:rPr>
                            </w:pPr>
                            <w:r>
                              <w:rPr>
                                <w:sz w:val="18"/>
                              </w:rPr>
                              <w:fldChar w:fldCharType="begin"/>
                            </w:r>
                            <w:r>
                              <w:rPr>
                                <w:sz w:val="18"/>
                              </w:rPr>
                              <w:instrText xml:space="preserve"> FILENAME  \* MERGEFORMAT </w:instrText>
                            </w:r>
                            <w:r>
                              <w:rPr>
                                <w:sz w:val="18"/>
                              </w:rPr>
                              <w:fldChar w:fldCharType="separate"/>
                            </w:r>
                            <w:r>
                              <w:rPr>
                                <w:noProof/>
                                <w:sz w:val="18"/>
                              </w:rPr>
                              <w:t>CIDRP03381S01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9EADC4"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0A5F0EF6" w14:textId="58F03CF8" w:rsidR="00336CF7" w:rsidRPr="00336CF7" w:rsidRDefault="00336CF7">
                      <w:pPr>
                        <w:rPr>
                          <w:sz w:val="18"/>
                        </w:rPr>
                      </w:pPr>
                      <w:r>
                        <w:rPr>
                          <w:sz w:val="18"/>
                        </w:rPr>
                        <w:fldChar w:fldCharType="begin"/>
                      </w:r>
                      <w:r>
                        <w:rPr>
                          <w:sz w:val="18"/>
                        </w:rPr>
                        <w:instrText xml:space="preserve"> FILENAME  \* MERGEFORMAT </w:instrText>
                      </w:r>
                      <w:r>
                        <w:rPr>
                          <w:sz w:val="18"/>
                        </w:rPr>
                        <w:fldChar w:fldCharType="separate"/>
                      </w:r>
                      <w:r>
                        <w:rPr>
                          <w:noProof/>
                          <w:sz w:val="18"/>
                        </w:rPr>
                        <w:t>CIDRP03381S01</w:t>
                      </w:r>
                      <w:r>
                        <w:rPr>
                          <w:sz w:val="18"/>
                        </w:rPr>
                        <w:fldChar w:fldCharType="end"/>
                      </w:r>
                    </w:p>
                  </w:txbxContent>
                </v:textbox>
                <w10:wrap anchory="page"/>
                <w10:anchorlock/>
              </v:shape>
            </w:pict>
          </mc:Fallback>
        </mc:AlternateContent>
      </w:r>
    </w:p>
    <w:sectPr w:rsidR="000B6478" w:rsidRPr="00077FD1"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56DF" w14:textId="77777777" w:rsidR="001F0A1E" w:rsidRDefault="001F0A1E">
      <w:r>
        <w:rPr>
          <w:lang w:val="es"/>
        </w:rPr>
        <w:separator/>
      </w:r>
    </w:p>
  </w:endnote>
  <w:endnote w:type="continuationSeparator" w:id="0">
    <w:p w14:paraId="4F4440CF" w14:textId="77777777" w:rsidR="001F0A1E" w:rsidRDefault="001F0A1E">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62E2" w14:textId="77777777" w:rsidR="001F0A1E" w:rsidRDefault="001F0A1E">
      <w:r>
        <w:rPr>
          <w:lang w:val="es"/>
        </w:rPr>
        <w:separator/>
      </w:r>
    </w:p>
  </w:footnote>
  <w:footnote w:type="continuationSeparator" w:id="0">
    <w:p w14:paraId="506CA1B6" w14:textId="77777777" w:rsidR="001F0A1E" w:rsidRDefault="001F0A1E">
      <w:r>
        <w:rPr>
          <w:lang w:val="es"/>
        </w:rPr>
        <w:continuationSeparator/>
      </w:r>
    </w:p>
  </w:footnote>
  <w:footnote w:id="1">
    <w:p w14:paraId="43D76457" w14:textId="5E36309B" w:rsidR="007147F0" w:rsidRPr="004902ED" w:rsidRDefault="007147F0" w:rsidP="004902ED">
      <w:pPr>
        <w:ind w:left="720" w:hanging="360"/>
      </w:pPr>
      <w:r w:rsidRPr="004902ED">
        <w:rPr>
          <w:rStyle w:val="FootnoteReference"/>
          <w:vertAlign w:val="baseline"/>
          <w:lang w:val="es"/>
        </w:rPr>
        <w:footnoteRef/>
      </w:r>
      <w:r w:rsidR="004902ED">
        <w:rPr>
          <w:lang w:val="es"/>
        </w:rPr>
        <w:t>.</w:t>
      </w:r>
      <w:r w:rsidR="004902ED">
        <w:rPr>
          <w:lang w:val="es"/>
        </w:rPr>
        <w:tab/>
      </w:r>
      <w:hyperlink r:id="rId1" w:history="1">
        <w:r w:rsidRPr="004902ED">
          <w:rPr>
            <w:rStyle w:val="Hyperlink"/>
            <w:lang w:val="es"/>
          </w:rPr>
          <w:t>https://www.scientificamerican.com/article/heres-how-computer-models-simulate-the-future-spread-of-new-coronavirus/</w:t>
        </w:r>
      </w:hyperlink>
      <w:r w:rsidRPr="004902ED">
        <w:rPr>
          <w:lang w:val="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650EFA">
      <w:rPr>
        <w:noProof/>
        <w:sz w:val="22"/>
        <w:szCs w:val="22"/>
        <w:lang w:val="es"/>
      </w:rPr>
      <w:t>- 2 -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lang w:val="es"/>
      </w:rPr>
      <mc:AlternateContent>
        <mc:Choice Requires="wps">
          <w:drawing>
            <wp:anchor distT="0" distB="0" distL="114300" distR="114300" simplePos="0" relativeHeight="251658752" behindDoc="0" locked="0" layoutInCell="1" allowOverlap="1" wp14:anchorId="580D35AC" wp14:editId="4724EEB7">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077FD1" w:rsidRDefault="00FA607C" w:rsidP="00921E9E">
                          <w:pPr>
                            <w:pStyle w:val="Header"/>
                            <w:tabs>
                              <w:tab w:val="left" w:pos="900"/>
                            </w:tabs>
                            <w:spacing w:line="0" w:lineRule="atLeast"/>
                            <w:jc w:val="center"/>
                            <w:rPr>
                              <w:rFonts w:ascii="Garamond" w:hAnsi="Garamond"/>
                              <w:b/>
                              <w:sz w:val="28"/>
                              <w:lang w:val="es-US"/>
                            </w:rPr>
                          </w:pPr>
                          <w:r>
                            <w:rPr>
                              <w:b/>
                              <w:sz w:val="28"/>
                              <w:lang w:val="es"/>
                            </w:rPr>
                            <w:t xml:space="preserve">ORGANIZACIÓN DE LOS ESTADOS AMERICANOS </w:t>
                          </w:r>
                        </w:p>
                        <w:p w14:paraId="2CA4038B" w14:textId="77777777" w:rsidR="00921E9E" w:rsidRPr="00077FD1" w:rsidRDefault="00FA607C" w:rsidP="00921E9E">
                          <w:pPr>
                            <w:pStyle w:val="Header"/>
                            <w:tabs>
                              <w:tab w:val="left" w:pos="900"/>
                            </w:tabs>
                            <w:spacing w:line="0" w:lineRule="atLeast"/>
                            <w:jc w:val="center"/>
                            <w:rPr>
                              <w:rFonts w:ascii="Garamond" w:hAnsi="Garamond"/>
                              <w:b/>
                              <w:szCs w:val="22"/>
                              <w:lang w:val="es-US"/>
                            </w:rPr>
                          </w:pPr>
                          <w:r>
                            <w:rPr>
                              <w:b/>
                              <w:szCs w:val="22"/>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44131F49" w14:textId="77777777" w:rsidR="00921E9E" w:rsidRPr="00077FD1" w:rsidRDefault="00FA607C" w:rsidP="00921E9E">
                    <w:pPr>
                      <w:pStyle w:val="Header"/>
                      <w:tabs>
                        <w:tab w:val="left" w:pos="900"/>
                      </w:tabs>
                      <w:spacing w:line="0" w:lineRule="atLeast"/>
                      <w:jc w:val="center"/>
                      <w:rPr>
                        <w:rFonts w:ascii="Garamond" w:hAnsi="Garamond"/>
                        <w:b/>
                        <w:sz w:val="28"/>
                        <w:lang w:val="es-US"/>
                      </w:rPr>
                    </w:pPr>
                    <w:r>
                      <w:rPr>
                        <w:b/>
                        <w:sz w:val="28"/>
                        <w:lang w:val="es"/>
                      </w:rPr>
                      <w:t xml:space="preserve">ORGANIZACIÓN DE LOS ESTADOS AMERICANOS </w:t>
                    </w:r>
                  </w:p>
                  <w:p w14:paraId="2CA4038B" w14:textId="77777777" w:rsidR="00921E9E" w:rsidRPr="00077FD1" w:rsidRDefault="00FA607C" w:rsidP="00921E9E">
                    <w:pPr>
                      <w:pStyle w:val="Header"/>
                      <w:tabs>
                        <w:tab w:val="left" w:pos="900"/>
                      </w:tabs>
                      <w:spacing w:line="0" w:lineRule="atLeast"/>
                      <w:jc w:val="center"/>
                      <w:rPr>
                        <w:rFonts w:ascii="Garamond" w:hAnsi="Garamond"/>
                        <w:b/>
                        <w:szCs w:val="22"/>
                        <w:lang w:val="es-US"/>
                      </w:rPr>
                    </w:pPr>
                    <w:r>
                      <w:rPr>
                        <w:b/>
                        <w:szCs w:val="22"/>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s"/>
                      </w:rPr>
                      <w:t>(CIDI)</w:t>
                    </w:r>
                  </w:p>
                </w:txbxContent>
              </v:textbox>
            </v:shape>
          </w:pict>
        </mc:Fallback>
      </mc:AlternateContent>
    </w:r>
    <w:r>
      <w:rPr>
        <w:noProof/>
        <w:lang w:val="es"/>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lang w:val="es"/>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029853D7" w14:textId="49A0E44B" w:rsidR="0073480E" w:rsidRDefault="00C611B0" w:rsidP="00AB7175">
                    <w:pPr>
                      <w:ind w:right="-130"/>
                    </w:pPr>
                    <w:r>
                      <w:rPr>
                        <w:noProof/>
                        <w:color w:val="000000"/>
                        <w:lang w:val="es"/>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lang w:val="es"/>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3"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5"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16"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7"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2"/>
  </w:num>
  <w:num w:numId="4">
    <w:abstractNumId w:val="16"/>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8"/>
  </w:num>
  <w:num w:numId="11">
    <w:abstractNumId w:val="11"/>
  </w:num>
  <w:num w:numId="12">
    <w:abstractNumId w:val="17"/>
  </w:num>
  <w:num w:numId="13">
    <w:abstractNumId w:val="7"/>
  </w:num>
  <w:num w:numId="14">
    <w:abstractNumId w:val="13"/>
  </w:num>
  <w:num w:numId="15">
    <w:abstractNumId w:val="6"/>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1"/>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2644D"/>
    <w:rsid w:val="000427B5"/>
    <w:rsid w:val="00050886"/>
    <w:rsid w:val="00055019"/>
    <w:rsid w:val="00061861"/>
    <w:rsid w:val="00064A6B"/>
    <w:rsid w:val="00064DCC"/>
    <w:rsid w:val="000661F4"/>
    <w:rsid w:val="00070537"/>
    <w:rsid w:val="000736AA"/>
    <w:rsid w:val="00073CCC"/>
    <w:rsid w:val="00074325"/>
    <w:rsid w:val="00074E66"/>
    <w:rsid w:val="00077FD1"/>
    <w:rsid w:val="000969F9"/>
    <w:rsid w:val="00097899"/>
    <w:rsid w:val="000A72E3"/>
    <w:rsid w:val="000B1FCF"/>
    <w:rsid w:val="000B43F5"/>
    <w:rsid w:val="000B6478"/>
    <w:rsid w:val="000C1C8E"/>
    <w:rsid w:val="000C3438"/>
    <w:rsid w:val="000C344F"/>
    <w:rsid w:val="000D4368"/>
    <w:rsid w:val="000D540D"/>
    <w:rsid w:val="000D6070"/>
    <w:rsid w:val="000E313E"/>
    <w:rsid w:val="000E439E"/>
    <w:rsid w:val="000E6C8E"/>
    <w:rsid w:val="00100FE1"/>
    <w:rsid w:val="00103208"/>
    <w:rsid w:val="001069A4"/>
    <w:rsid w:val="00106D57"/>
    <w:rsid w:val="001170ED"/>
    <w:rsid w:val="0012371A"/>
    <w:rsid w:val="001259E2"/>
    <w:rsid w:val="0012611C"/>
    <w:rsid w:val="001301D2"/>
    <w:rsid w:val="0013037E"/>
    <w:rsid w:val="00133A15"/>
    <w:rsid w:val="001405C9"/>
    <w:rsid w:val="00142D34"/>
    <w:rsid w:val="00146FB1"/>
    <w:rsid w:val="00150AE4"/>
    <w:rsid w:val="00152D2E"/>
    <w:rsid w:val="00153DD8"/>
    <w:rsid w:val="0016660D"/>
    <w:rsid w:val="00166C73"/>
    <w:rsid w:val="001675EC"/>
    <w:rsid w:val="00171B89"/>
    <w:rsid w:val="00180746"/>
    <w:rsid w:val="00183C2C"/>
    <w:rsid w:val="001842C2"/>
    <w:rsid w:val="00187D59"/>
    <w:rsid w:val="00194B58"/>
    <w:rsid w:val="001B0828"/>
    <w:rsid w:val="001B0AB0"/>
    <w:rsid w:val="001B193D"/>
    <w:rsid w:val="001C6DC5"/>
    <w:rsid w:val="001D0221"/>
    <w:rsid w:val="001D02E9"/>
    <w:rsid w:val="001D738C"/>
    <w:rsid w:val="001E3150"/>
    <w:rsid w:val="001E3C78"/>
    <w:rsid w:val="001F0129"/>
    <w:rsid w:val="001F0A1E"/>
    <w:rsid w:val="001F2739"/>
    <w:rsid w:val="0020125B"/>
    <w:rsid w:val="0020227F"/>
    <w:rsid w:val="002024FE"/>
    <w:rsid w:val="00203839"/>
    <w:rsid w:val="00203F80"/>
    <w:rsid w:val="0020460C"/>
    <w:rsid w:val="002050F0"/>
    <w:rsid w:val="00222AFE"/>
    <w:rsid w:val="00224C3F"/>
    <w:rsid w:val="00225597"/>
    <w:rsid w:val="00233927"/>
    <w:rsid w:val="00234996"/>
    <w:rsid w:val="00235CB9"/>
    <w:rsid w:val="00256DD6"/>
    <w:rsid w:val="00264202"/>
    <w:rsid w:val="0026449A"/>
    <w:rsid w:val="00267E1B"/>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6B0D"/>
    <w:rsid w:val="002D412D"/>
    <w:rsid w:val="002E1F2D"/>
    <w:rsid w:val="002E2CC7"/>
    <w:rsid w:val="002E609F"/>
    <w:rsid w:val="002F0A27"/>
    <w:rsid w:val="002F0AF9"/>
    <w:rsid w:val="002F25F2"/>
    <w:rsid w:val="002F5352"/>
    <w:rsid w:val="00305E93"/>
    <w:rsid w:val="0031130C"/>
    <w:rsid w:val="003116AC"/>
    <w:rsid w:val="0031291C"/>
    <w:rsid w:val="003143F1"/>
    <w:rsid w:val="0032713A"/>
    <w:rsid w:val="003302CF"/>
    <w:rsid w:val="00335ABE"/>
    <w:rsid w:val="003366D5"/>
    <w:rsid w:val="00336CF7"/>
    <w:rsid w:val="00345C27"/>
    <w:rsid w:val="00345DCF"/>
    <w:rsid w:val="00350910"/>
    <w:rsid w:val="003529F3"/>
    <w:rsid w:val="00352BB7"/>
    <w:rsid w:val="00353D48"/>
    <w:rsid w:val="00353D7A"/>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332F"/>
    <w:rsid w:val="003C448A"/>
    <w:rsid w:val="003D0721"/>
    <w:rsid w:val="003D13AD"/>
    <w:rsid w:val="003D4305"/>
    <w:rsid w:val="003E687F"/>
    <w:rsid w:val="003F023D"/>
    <w:rsid w:val="003F4FA0"/>
    <w:rsid w:val="003F6FF7"/>
    <w:rsid w:val="004113BA"/>
    <w:rsid w:val="00413FE5"/>
    <w:rsid w:val="00414A9D"/>
    <w:rsid w:val="00421AA1"/>
    <w:rsid w:val="004279F5"/>
    <w:rsid w:val="00457B19"/>
    <w:rsid w:val="00461F49"/>
    <w:rsid w:val="0046301C"/>
    <w:rsid w:val="00463A6B"/>
    <w:rsid w:val="0046512F"/>
    <w:rsid w:val="00467A8F"/>
    <w:rsid w:val="004712B6"/>
    <w:rsid w:val="004732D7"/>
    <w:rsid w:val="00476255"/>
    <w:rsid w:val="004774F0"/>
    <w:rsid w:val="004902ED"/>
    <w:rsid w:val="00490731"/>
    <w:rsid w:val="00493B12"/>
    <w:rsid w:val="00496306"/>
    <w:rsid w:val="00496643"/>
    <w:rsid w:val="00496BBC"/>
    <w:rsid w:val="00497068"/>
    <w:rsid w:val="004A1D26"/>
    <w:rsid w:val="004A6065"/>
    <w:rsid w:val="004A7C48"/>
    <w:rsid w:val="004B2B39"/>
    <w:rsid w:val="004B301B"/>
    <w:rsid w:val="004B3050"/>
    <w:rsid w:val="004B387B"/>
    <w:rsid w:val="004B5C41"/>
    <w:rsid w:val="004B6C1E"/>
    <w:rsid w:val="004D2279"/>
    <w:rsid w:val="004D3097"/>
    <w:rsid w:val="004D44C9"/>
    <w:rsid w:val="004F0EF3"/>
    <w:rsid w:val="004F4571"/>
    <w:rsid w:val="004F6805"/>
    <w:rsid w:val="0050011F"/>
    <w:rsid w:val="00502854"/>
    <w:rsid w:val="0050667F"/>
    <w:rsid w:val="00510EDF"/>
    <w:rsid w:val="005112C3"/>
    <w:rsid w:val="00513B4E"/>
    <w:rsid w:val="00514EDB"/>
    <w:rsid w:val="0052023C"/>
    <w:rsid w:val="00527F6D"/>
    <w:rsid w:val="005336D0"/>
    <w:rsid w:val="0053678B"/>
    <w:rsid w:val="00540938"/>
    <w:rsid w:val="005462E3"/>
    <w:rsid w:val="0055186F"/>
    <w:rsid w:val="005533CC"/>
    <w:rsid w:val="00564C90"/>
    <w:rsid w:val="00564FA3"/>
    <w:rsid w:val="005679D8"/>
    <w:rsid w:val="00575576"/>
    <w:rsid w:val="00577517"/>
    <w:rsid w:val="0058420A"/>
    <w:rsid w:val="00594069"/>
    <w:rsid w:val="00597477"/>
    <w:rsid w:val="005A5372"/>
    <w:rsid w:val="005B5F61"/>
    <w:rsid w:val="005B7D03"/>
    <w:rsid w:val="005C20AF"/>
    <w:rsid w:val="005D1365"/>
    <w:rsid w:val="005D1D57"/>
    <w:rsid w:val="005D44CE"/>
    <w:rsid w:val="005D5589"/>
    <w:rsid w:val="005D74F2"/>
    <w:rsid w:val="005E085B"/>
    <w:rsid w:val="005F1964"/>
    <w:rsid w:val="005F29C1"/>
    <w:rsid w:val="005F78BB"/>
    <w:rsid w:val="005F7B63"/>
    <w:rsid w:val="00601668"/>
    <w:rsid w:val="00602980"/>
    <w:rsid w:val="006123C5"/>
    <w:rsid w:val="00612E0C"/>
    <w:rsid w:val="00622F41"/>
    <w:rsid w:val="00631FB8"/>
    <w:rsid w:val="00634E7B"/>
    <w:rsid w:val="006374D0"/>
    <w:rsid w:val="00642E66"/>
    <w:rsid w:val="0064648A"/>
    <w:rsid w:val="00647CB9"/>
    <w:rsid w:val="00650EFA"/>
    <w:rsid w:val="00655B90"/>
    <w:rsid w:val="00656B5A"/>
    <w:rsid w:val="00663D49"/>
    <w:rsid w:val="00666B25"/>
    <w:rsid w:val="00670E8A"/>
    <w:rsid w:val="006711F3"/>
    <w:rsid w:val="006734B2"/>
    <w:rsid w:val="00675F54"/>
    <w:rsid w:val="00680EA5"/>
    <w:rsid w:val="006839FF"/>
    <w:rsid w:val="00685580"/>
    <w:rsid w:val="00686FEA"/>
    <w:rsid w:val="00691B9D"/>
    <w:rsid w:val="006A1A6B"/>
    <w:rsid w:val="006A483E"/>
    <w:rsid w:val="006A545B"/>
    <w:rsid w:val="006A6025"/>
    <w:rsid w:val="006A67F9"/>
    <w:rsid w:val="006B1932"/>
    <w:rsid w:val="006B21AD"/>
    <w:rsid w:val="006B3BA2"/>
    <w:rsid w:val="006B710A"/>
    <w:rsid w:val="006C6F0E"/>
    <w:rsid w:val="006C7485"/>
    <w:rsid w:val="006D11BB"/>
    <w:rsid w:val="006D1E13"/>
    <w:rsid w:val="006D5A66"/>
    <w:rsid w:val="006D7239"/>
    <w:rsid w:val="006F0712"/>
    <w:rsid w:val="006F1262"/>
    <w:rsid w:val="006F4488"/>
    <w:rsid w:val="007026A5"/>
    <w:rsid w:val="007147F0"/>
    <w:rsid w:val="0071494C"/>
    <w:rsid w:val="00721843"/>
    <w:rsid w:val="00722693"/>
    <w:rsid w:val="00723DE2"/>
    <w:rsid w:val="00723EE9"/>
    <w:rsid w:val="0072562F"/>
    <w:rsid w:val="00730E0A"/>
    <w:rsid w:val="00731A03"/>
    <w:rsid w:val="007325A6"/>
    <w:rsid w:val="0073480E"/>
    <w:rsid w:val="00743DD7"/>
    <w:rsid w:val="007443E9"/>
    <w:rsid w:val="00756232"/>
    <w:rsid w:val="0076198A"/>
    <w:rsid w:val="007648E4"/>
    <w:rsid w:val="007703A2"/>
    <w:rsid w:val="00772F05"/>
    <w:rsid w:val="00781CB8"/>
    <w:rsid w:val="00781D3F"/>
    <w:rsid w:val="00783480"/>
    <w:rsid w:val="00787435"/>
    <w:rsid w:val="00791388"/>
    <w:rsid w:val="00791916"/>
    <w:rsid w:val="00794A66"/>
    <w:rsid w:val="00794BF4"/>
    <w:rsid w:val="00794E46"/>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6421"/>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5F4"/>
    <w:rsid w:val="00836740"/>
    <w:rsid w:val="00836CCC"/>
    <w:rsid w:val="0084046A"/>
    <w:rsid w:val="00860083"/>
    <w:rsid w:val="00860DE1"/>
    <w:rsid w:val="00865686"/>
    <w:rsid w:val="00865B5C"/>
    <w:rsid w:val="008814B8"/>
    <w:rsid w:val="008819DA"/>
    <w:rsid w:val="00887A65"/>
    <w:rsid w:val="0089063B"/>
    <w:rsid w:val="00890C34"/>
    <w:rsid w:val="008916E8"/>
    <w:rsid w:val="008917B9"/>
    <w:rsid w:val="00896014"/>
    <w:rsid w:val="008A2F14"/>
    <w:rsid w:val="008B4134"/>
    <w:rsid w:val="008B43A6"/>
    <w:rsid w:val="008B5AF8"/>
    <w:rsid w:val="008C254E"/>
    <w:rsid w:val="008D2C52"/>
    <w:rsid w:val="008D487B"/>
    <w:rsid w:val="008D57AD"/>
    <w:rsid w:val="008D6555"/>
    <w:rsid w:val="008E4A93"/>
    <w:rsid w:val="008F747C"/>
    <w:rsid w:val="0090209F"/>
    <w:rsid w:val="00902338"/>
    <w:rsid w:val="009054CB"/>
    <w:rsid w:val="00910645"/>
    <w:rsid w:val="00920867"/>
    <w:rsid w:val="00920F2A"/>
    <w:rsid w:val="00921B83"/>
    <w:rsid w:val="00921E9E"/>
    <w:rsid w:val="00922D98"/>
    <w:rsid w:val="00924BA1"/>
    <w:rsid w:val="009304AE"/>
    <w:rsid w:val="00934387"/>
    <w:rsid w:val="00934888"/>
    <w:rsid w:val="0093527F"/>
    <w:rsid w:val="00942059"/>
    <w:rsid w:val="00942174"/>
    <w:rsid w:val="00943F3F"/>
    <w:rsid w:val="00945D81"/>
    <w:rsid w:val="009571C8"/>
    <w:rsid w:val="0096142F"/>
    <w:rsid w:val="00962EF0"/>
    <w:rsid w:val="00965A6D"/>
    <w:rsid w:val="0097131C"/>
    <w:rsid w:val="00984C5A"/>
    <w:rsid w:val="00986E8C"/>
    <w:rsid w:val="00987BBE"/>
    <w:rsid w:val="009979A7"/>
    <w:rsid w:val="009A194A"/>
    <w:rsid w:val="009B2AE9"/>
    <w:rsid w:val="009B2F59"/>
    <w:rsid w:val="009B307F"/>
    <w:rsid w:val="009B7761"/>
    <w:rsid w:val="009C0065"/>
    <w:rsid w:val="009C3EA4"/>
    <w:rsid w:val="009C5117"/>
    <w:rsid w:val="009C6F26"/>
    <w:rsid w:val="009C75F5"/>
    <w:rsid w:val="009C7AAB"/>
    <w:rsid w:val="009E628C"/>
    <w:rsid w:val="009F0791"/>
    <w:rsid w:val="009F0C3E"/>
    <w:rsid w:val="009F392F"/>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5263A"/>
    <w:rsid w:val="00A52CAE"/>
    <w:rsid w:val="00A61635"/>
    <w:rsid w:val="00A61DEB"/>
    <w:rsid w:val="00A65508"/>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4DE4"/>
    <w:rsid w:val="00AB7175"/>
    <w:rsid w:val="00AB7642"/>
    <w:rsid w:val="00AC29B0"/>
    <w:rsid w:val="00AC3A0C"/>
    <w:rsid w:val="00AC4232"/>
    <w:rsid w:val="00AC7FA2"/>
    <w:rsid w:val="00AD4B7D"/>
    <w:rsid w:val="00AD6394"/>
    <w:rsid w:val="00AE13AF"/>
    <w:rsid w:val="00AF06BC"/>
    <w:rsid w:val="00AF0C03"/>
    <w:rsid w:val="00B16016"/>
    <w:rsid w:val="00B234AF"/>
    <w:rsid w:val="00B27F1B"/>
    <w:rsid w:val="00B37C1B"/>
    <w:rsid w:val="00B40DC8"/>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0EED"/>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2DB7"/>
    <w:rsid w:val="00C02DEE"/>
    <w:rsid w:val="00C05556"/>
    <w:rsid w:val="00C11323"/>
    <w:rsid w:val="00C1307A"/>
    <w:rsid w:val="00C14A3E"/>
    <w:rsid w:val="00C223D4"/>
    <w:rsid w:val="00C41591"/>
    <w:rsid w:val="00C45F98"/>
    <w:rsid w:val="00C4655D"/>
    <w:rsid w:val="00C46BCF"/>
    <w:rsid w:val="00C51DDA"/>
    <w:rsid w:val="00C52216"/>
    <w:rsid w:val="00C53DB0"/>
    <w:rsid w:val="00C607E3"/>
    <w:rsid w:val="00C611B0"/>
    <w:rsid w:val="00C61825"/>
    <w:rsid w:val="00C6456D"/>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26A3"/>
    <w:rsid w:val="00CE4110"/>
    <w:rsid w:val="00CE52EB"/>
    <w:rsid w:val="00CF4554"/>
    <w:rsid w:val="00CF4D95"/>
    <w:rsid w:val="00CF629A"/>
    <w:rsid w:val="00CF6933"/>
    <w:rsid w:val="00CF6FDB"/>
    <w:rsid w:val="00D07BD9"/>
    <w:rsid w:val="00D108CD"/>
    <w:rsid w:val="00D12A50"/>
    <w:rsid w:val="00D25211"/>
    <w:rsid w:val="00D307BF"/>
    <w:rsid w:val="00D31989"/>
    <w:rsid w:val="00D324C0"/>
    <w:rsid w:val="00D32A6A"/>
    <w:rsid w:val="00D57730"/>
    <w:rsid w:val="00D57E47"/>
    <w:rsid w:val="00D643E9"/>
    <w:rsid w:val="00D64EA6"/>
    <w:rsid w:val="00D6769E"/>
    <w:rsid w:val="00D676CC"/>
    <w:rsid w:val="00D71ED9"/>
    <w:rsid w:val="00D80335"/>
    <w:rsid w:val="00D8755F"/>
    <w:rsid w:val="00DA67FE"/>
    <w:rsid w:val="00DB360D"/>
    <w:rsid w:val="00DB36EA"/>
    <w:rsid w:val="00DB3B6E"/>
    <w:rsid w:val="00DB5D3D"/>
    <w:rsid w:val="00DC24A9"/>
    <w:rsid w:val="00DC4BF4"/>
    <w:rsid w:val="00DC520A"/>
    <w:rsid w:val="00DD0139"/>
    <w:rsid w:val="00DD0DD6"/>
    <w:rsid w:val="00DD14D2"/>
    <w:rsid w:val="00DD2D47"/>
    <w:rsid w:val="00DD505E"/>
    <w:rsid w:val="00DE2DA4"/>
    <w:rsid w:val="00DF12CD"/>
    <w:rsid w:val="00E0149A"/>
    <w:rsid w:val="00E0378E"/>
    <w:rsid w:val="00E0439B"/>
    <w:rsid w:val="00E0528B"/>
    <w:rsid w:val="00E06590"/>
    <w:rsid w:val="00E072BE"/>
    <w:rsid w:val="00E16177"/>
    <w:rsid w:val="00E209E8"/>
    <w:rsid w:val="00E23168"/>
    <w:rsid w:val="00E3284A"/>
    <w:rsid w:val="00E351A1"/>
    <w:rsid w:val="00E40079"/>
    <w:rsid w:val="00E423A7"/>
    <w:rsid w:val="00E50C47"/>
    <w:rsid w:val="00E51CC2"/>
    <w:rsid w:val="00E55047"/>
    <w:rsid w:val="00E55B8A"/>
    <w:rsid w:val="00E61585"/>
    <w:rsid w:val="00E62556"/>
    <w:rsid w:val="00E65892"/>
    <w:rsid w:val="00E768B6"/>
    <w:rsid w:val="00E83BE7"/>
    <w:rsid w:val="00E90F30"/>
    <w:rsid w:val="00E946CB"/>
    <w:rsid w:val="00EA7DE7"/>
    <w:rsid w:val="00EB09BC"/>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D67"/>
    <w:rsid w:val="00EF5709"/>
    <w:rsid w:val="00EF772D"/>
    <w:rsid w:val="00F013AE"/>
    <w:rsid w:val="00F0248D"/>
    <w:rsid w:val="00F0479A"/>
    <w:rsid w:val="00F103CE"/>
    <w:rsid w:val="00F213D6"/>
    <w:rsid w:val="00F256C7"/>
    <w:rsid w:val="00F31B9A"/>
    <w:rsid w:val="00F35272"/>
    <w:rsid w:val="00F41616"/>
    <w:rsid w:val="00F4735E"/>
    <w:rsid w:val="00F5197F"/>
    <w:rsid w:val="00F524DB"/>
    <w:rsid w:val="00F530B2"/>
    <w:rsid w:val="00F53223"/>
    <w:rsid w:val="00F5469A"/>
    <w:rsid w:val="00F663E8"/>
    <w:rsid w:val="00F760D5"/>
    <w:rsid w:val="00F76DC9"/>
    <w:rsid w:val="00F773E4"/>
    <w:rsid w:val="00F8041D"/>
    <w:rsid w:val="00F8105E"/>
    <w:rsid w:val="00F82046"/>
    <w:rsid w:val="00F82C91"/>
    <w:rsid w:val="00F87541"/>
    <w:rsid w:val="00F91F7C"/>
    <w:rsid w:val="00FA607C"/>
    <w:rsid w:val="00FA61C9"/>
    <w:rsid w:val="00FA6A04"/>
    <w:rsid w:val="00FA7D08"/>
    <w:rsid w:val="00FB0853"/>
    <w:rsid w:val="00FB33AD"/>
    <w:rsid w:val="00FB6445"/>
    <w:rsid w:val="00FC16EC"/>
    <w:rsid w:val="00FC73C7"/>
    <w:rsid w:val="00FD02D9"/>
    <w:rsid w:val="00FD4F65"/>
    <w:rsid w:val="00FE24CB"/>
    <w:rsid w:val="00FE356F"/>
    <w:rsid w:val="00FE404F"/>
    <w:rsid w:val="00FE7AA0"/>
    <w:rsid w:val="00FF4055"/>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1F01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cientificamerican.com/article/heres-how-computer-models-simulate-the-future-spread-of-new-coronavir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2021-10-20T00:16:00Z</dcterms:created>
  <dcterms:modified xsi:type="dcterms:W3CDTF">2021-10-20T00:16:00Z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