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1A0FA5EA" w:rsidR="00722693" w:rsidRPr="00723EE9" w:rsidRDefault="00FA607C" w:rsidP="006A0998">
      <w:pPr>
        <w:tabs>
          <w:tab w:val="left" w:pos="7200"/>
        </w:tabs>
        <w:ind w:right="-1080"/>
        <w:rPr>
          <w:sz w:val="22"/>
          <w:szCs w:val="22"/>
          <w:lang w:val="pt-BR"/>
        </w:rPr>
      </w:pPr>
      <w:r w:rsidRPr="00723EE9">
        <w:rPr>
          <w:sz w:val="22"/>
          <w:szCs w:val="22"/>
        </w:rPr>
        <w:tab/>
      </w:r>
      <w:r w:rsidRPr="00723EE9">
        <w:rPr>
          <w:sz w:val="22"/>
          <w:szCs w:val="22"/>
          <w:lang w:val="pt-BR"/>
        </w:rPr>
        <w:t>OEA/Ser.W</w:t>
      </w:r>
    </w:p>
    <w:p w14:paraId="47887D17" w14:textId="701B2F4F" w:rsidR="00722693" w:rsidRPr="00823B46" w:rsidRDefault="00FA607C" w:rsidP="006A0998">
      <w:pPr>
        <w:tabs>
          <w:tab w:val="left" w:pos="7200"/>
        </w:tabs>
        <w:ind w:right="-1080"/>
        <w:rPr>
          <w:sz w:val="22"/>
          <w:szCs w:val="22"/>
          <w:lang w:val="pt-BR"/>
        </w:rPr>
      </w:pPr>
      <w:r w:rsidRPr="00723EE9">
        <w:rPr>
          <w:sz w:val="22"/>
          <w:szCs w:val="22"/>
          <w:lang w:val="pt-BR"/>
        </w:rPr>
        <w:tab/>
      </w:r>
      <w:r w:rsidRPr="00ED5D59">
        <w:rPr>
          <w:sz w:val="22"/>
          <w:szCs w:val="22"/>
          <w:lang w:val="pt-BR"/>
        </w:rPr>
        <w:t>CIDI/INF.</w:t>
      </w:r>
      <w:r w:rsidR="00354536">
        <w:rPr>
          <w:sz w:val="22"/>
          <w:szCs w:val="22"/>
          <w:lang w:val="pt-BR"/>
        </w:rPr>
        <w:t xml:space="preserve"> 476</w:t>
      </w:r>
      <w:r w:rsidRPr="00823B46">
        <w:rPr>
          <w:sz w:val="22"/>
          <w:szCs w:val="22"/>
          <w:lang w:val="pt-BR"/>
        </w:rPr>
        <w:t>/</w:t>
      </w:r>
      <w:r w:rsidR="002B44E1" w:rsidRPr="00823B46">
        <w:rPr>
          <w:sz w:val="22"/>
          <w:szCs w:val="22"/>
          <w:lang w:val="pt-BR"/>
        </w:rPr>
        <w:t>21</w:t>
      </w:r>
      <w:r w:rsidR="006C6A81">
        <w:rPr>
          <w:sz w:val="22"/>
          <w:szCs w:val="22"/>
          <w:lang w:val="pt-BR"/>
        </w:rPr>
        <w:t xml:space="preserve"> rev.1</w:t>
      </w:r>
    </w:p>
    <w:p w14:paraId="5A33C6A7" w14:textId="35C4CA8B" w:rsidR="00921E9E" w:rsidRPr="006B1932" w:rsidRDefault="00FA607C" w:rsidP="006A0998">
      <w:pPr>
        <w:tabs>
          <w:tab w:val="left" w:pos="7200"/>
        </w:tabs>
        <w:ind w:right="-1080"/>
        <w:rPr>
          <w:sz w:val="22"/>
          <w:szCs w:val="22"/>
        </w:rPr>
      </w:pPr>
      <w:r w:rsidRPr="00823B46">
        <w:rPr>
          <w:sz w:val="22"/>
          <w:szCs w:val="22"/>
          <w:lang w:val="pt-BR"/>
        </w:rPr>
        <w:tab/>
      </w:r>
      <w:r w:rsidR="006C6A81" w:rsidRPr="00036C42">
        <w:rPr>
          <w:sz w:val="22"/>
          <w:szCs w:val="22"/>
        </w:rPr>
        <w:t>27</w:t>
      </w:r>
      <w:r w:rsidR="00EA008C">
        <w:rPr>
          <w:sz w:val="22"/>
          <w:szCs w:val="22"/>
        </w:rPr>
        <w:t xml:space="preserve"> November </w:t>
      </w:r>
      <w:r w:rsidR="004A7C48" w:rsidRPr="006B1932">
        <w:rPr>
          <w:sz w:val="22"/>
          <w:szCs w:val="22"/>
        </w:rPr>
        <w:t>20</w:t>
      </w:r>
      <w:r w:rsidR="000B6478" w:rsidRPr="006B1932">
        <w:rPr>
          <w:sz w:val="22"/>
          <w:szCs w:val="22"/>
        </w:rPr>
        <w:t>2</w:t>
      </w:r>
      <w:r w:rsidR="002B44E1" w:rsidRPr="006B1932">
        <w:rPr>
          <w:sz w:val="22"/>
          <w:szCs w:val="22"/>
        </w:rPr>
        <w:t>1</w:t>
      </w:r>
    </w:p>
    <w:p w14:paraId="0F58D2B5" w14:textId="77777777" w:rsidR="00921E9E" w:rsidRPr="00723EE9" w:rsidRDefault="00FA607C" w:rsidP="006A0998">
      <w:pPr>
        <w:pBdr>
          <w:bottom w:val="single" w:sz="12" w:space="1" w:color="auto"/>
        </w:pBdr>
        <w:tabs>
          <w:tab w:val="left" w:pos="7200"/>
        </w:tabs>
        <w:ind w:right="-389"/>
        <w:rPr>
          <w:sz w:val="22"/>
          <w:szCs w:val="22"/>
        </w:rPr>
      </w:pPr>
      <w:r w:rsidRPr="006B1932">
        <w:rPr>
          <w:sz w:val="22"/>
          <w:szCs w:val="22"/>
        </w:rPr>
        <w:tab/>
        <w:t xml:space="preserve">Original: </w:t>
      </w:r>
      <w:r w:rsidR="000B6478" w:rsidRPr="006B1932">
        <w:rPr>
          <w:sz w:val="22"/>
          <w:szCs w:val="22"/>
        </w:rPr>
        <w:t>English</w:t>
      </w:r>
    </w:p>
    <w:p w14:paraId="5D981BA8" w14:textId="77777777" w:rsidR="00921E9E" w:rsidRPr="00723EE9" w:rsidRDefault="00921E9E" w:rsidP="006A0998">
      <w:pPr>
        <w:pBdr>
          <w:bottom w:val="single" w:sz="12" w:space="1" w:color="auto"/>
        </w:pBdr>
        <w:tabs>
          <w:tab w:val="left" w:pos="7200"/>
        </w:tabs>
        <w:ind w:right="-389"/>
        <w:rPr>
          <w:sz w:val="22"/>
          <w:szCs w:val="22"/>
        </w:rPr>
      </w:pPr>
    </w:p>
    <w:p w14:paraId="2F69D4D3" w14:textId="77777777" w:rsidR="00722693" w:rsidRPr="00723EE9" w:rsidRDefault="00722693" w:rsidP="006A0998">
      <w:pPr>
        <w:tabs>
          <w:tab w:val="left" w:pos="7200"/>
        </w:tabs>
        <w:ind w:right="-1080"/>
        <w:rPr>
          <w:sz w:val="22"/>
          <w:szCs w:val="22"/>
        </w:rPr>
      </w:pPr>
    </w:p>
    <w:p w14:paraId="175A517F" w14:textId="177E4B3A" w:rsidR="00921E9E" w:rsidRPr="00723EE9" w:rsidRDefault="00FA607C" w:rsidP="006A0998">
      <w:pPr>
        <w:jc w:val="center"/>
        <w:rPr>
          <w:rFonts w:eastAsia="Calibri"/>
          <w:sz w:val="22"/>
          <w:szCs w:val="22"/>
        </w:rPr>
      </w:pPr>
      <w:r w:rsidRPr="00723EE9">
        <w:rPr>
          <w:sz w:val="22"/>
          <w:szCs w:val="22"/>
        </w:rPr>
        <w:t xml:space="preserve">CONCEPT </w:t>
      </w:r>
      <w:r w:rsidR="00281CAA">
        <w:rPr>
          <w:sz w:val="22"/>
          <w:szCs w:val="22"/>
        </w:rPr>
        <w:t>NOTE</w:t>
      </w:r>
    </w:p>
    <w:p w14:paraId="215CDB98" w14:textId="32E33758" w:rsidR="00DD0DD6" w:rsidRPr="00723EE9" w:rsidRDefault="00FA607C" w:rsidP="006A0998">
      <w:pPr>
        <w:jc w:val="center"/>
        <w:rPr>
          <w:rFonts w:eastAsia="Calibri"/>
          <w:caps/>
          <w:sz w:val="22"/>
          <w:szCs w:val="22"/>
        </w:rPr>
      </w:pPr>
      <w:r w:rsidRPr="00723EE9">
        <w:rPr>
          <w:caps/>
          <w:sz w:val="22"/>
          <w:szCs w:val="22"/>
        </w:rPr>
        <w:t xml:space="preserve">Regular meeting of </w:t>
      </w:r>
      <w:r w:rsidR="00CA266B">
        <w:rPr>
          <w:caps/>
          <w:sz w:val="22"/>
          <w:szCs w:val="22"/>
        </w:rPr>
        <w:t>THE</w:t>
      </w:r>
    </w:p>
    <w:p w14:paraId="02610FD8" w14:textId="77777777" w:rsidR="00921E9E" w:rsidRPr="00723EE9" w:rsidRDefault="00FA607C" w:rsidP="006A0998">
      <w:pPr>
        <w:jc w:val="center"/>
        <w:rPr>
          <w:rFonts w:eastAsia="Calibri"/>
          <w:caps/>
          <w:sz w:val="22"/>
          <w:szCs w:val="22"/>
        </w:rPr>
      </w:pPr>
      <w:r w:rsidRPr="00723EE9">
        <w:rPr>
          <w:caps/>
          <w:sz w:val="22"/>
          <w:szCs w:val="22"/>
        </w:rPr>
        <w:t xml:space="preserve">Inter-American Council for Integral Development (CIDI) </w:t>
      </w:r>
    </w:p>
    <w:p w14:paraId="60A978BB" w14:textId="5B3DC1A3" w:rsidR="00921E9E" w:rsidRDefault="005A53C5" w:rsidP="006A0998">
      <w:pPr>
        <w:jc w:val="center"/>
        <w:rPr>
          <w:caps/>
          <w:sz w:val="22"/>
          <w:szCs w:val="22"/>
        </w:rPr>
      </w:pPr>
      <w:r>
        <w:rPr>
          <w:caps/>
          <w:sz w:val="22"/>
          <w:szCs w:val="22"/>
        </w:rPr>
        <w:t xml:space="preserve">30 </w:t>
      </w:r>
      <w:r w:rsidR="00EA008C">
        <w:rPr>
          <w:caps/>
          <w:sz w:val="22"/>
          <w:szCs w:val="22"/>
        </w:rPr>
        <w:t>NOVEMBER</w:t>
      </w:r>
      <w:r w:rsidR="00172D57">
        <w:rPr>
          <w:caps/>
          <w:sz w:val="22"/>
          <w:szCs w:val="22"/>
        </w:rPr>
        <w:t xml:space="preserve"> </w:t>
      </w:r>
      <w:r w:rsidR="00EA008C">
        <w:rPr>
          <w:caps/>
          <w:sz w:val="22"/>
          <w:szCs w:val="22"/>
        </w:rPr>
        <w:t>2</w:t>
      </w:r>
      <w:r w:rsidR="00FA607C" w:rsidRPr="00723EE9">
        <w:rPr>
          <w:caps/>
          <w:sz w:val="22"/>
          <w:szCs w:val="22"/>
        </w:rPr>
        <w:t>0</w:t>
      </w:r>
      <w:r w:rsidR="000B6478" w:rsidRPr="00723EE9">
        <w:rPr>
          <w:caps/>
          <w:sz w:val="22"/>
          <w:szCs w:val="22"/>
        </w:rPr>
        <w:t>2</w:t>
      </w:r>
      <w:r w:rsidR="002B44E1">
        <w:rPr>
          <w:caps/>
          <w:sz w:val="22"/>
          <w:szCs w:val="22"/>
        </w:rPr>
        <w:t>1</w:t>
      </w:r>
    </w:p>
    <w:p w14:paraId="32410C52" w14:textId="77777777" w:rsidR="00BF3B28" w:rsidRPr="00723EE9" w:rsidRDefault="00BF3B28" w:rsidP="006A0998">
      <w:pPr>
        <w:jc w:val="center"/>
        <w:rPr>
          <w:rFonts w:eastAsia="Calibri"/>
          <w:caps/>
          <w:sz w:val="22"/>
          <w:szCs w:val="22"/>
        </w:rPr>
      </w:pPr>
    </w:p>
    <w:p w14:paraId="15CD43B6" w14:textId="6077FF1A" w:rsidR="007A307C" w:rsidRPr="00723EE9" w:rsidRDefault="00FA607C" w:rsidP="00F70A2C">
      <w:pPr>
        <w:jc w:val="center"/>
        <w:rPr>
          <w:rFonts w:eastAsia="Calibri"/>
          <w:sz w:val="22"/>
          <w:szCs w:val="22"/>
        </w:rPr>
      </w:pPr>
      <w:r w:rsidRPr="00723EE9">
        <w:rPr>
          <w:sz w:val="22"/>
          <w:szCs w:val="22"/>
        </w:rPr>
        <w:t xml:space="preserve">(Prepared by the </w:t>
      </w:r>
      <w:r w:rsidR="000B6478" w:rsidRPr="00723EE9">
        <w:rPr>
          <w:sz w:val="22"/>
          <w:szCs w:val="22"/>
        </w:rPr>
        <w:t>Executive Secretariat for Integral Development</w:t>
      </w:r>
      <w:r w:rsidRPr="00723EE9">
        <w:rPr>
          <w:sz w:val="22"/>
          <w:szCs w:val="22"/>
        </w:rPr>
        <w:t>)</w:t>
      </w:r>
    </w:p>
    <w:p w14:paraId="0C7F118F" w14:textId="77777777" w:rsidR="007A307C" w:rsidRPr="00723EE9" w:rsidRDefault="007A307C" w:rsidP="006A0998">
      <w:pPr>
        <w:jc w:val="both"/>
        <w:rPr>
          <w:rFonts w:eastAsia="Calibri"/>
          <w:sz w:val="22"/>
          <w:szCs w:val="22"/>
        </w:rPr>
      </w:pPr>
    </w:p>
    <w:p w14:paraId="36349AC8" w14:textId="54A7F808" w:rsidR="00EA008C" w:rsidRDefault="00902338" w:rsidP="00F70A2C">
      <w:pPr>
        <w:tabs>
          <w:tab w:val="left" w:pos="720"/>
          <w:tab w:val="left" w:pos="1440"/>
          <w:tab w:val="left" w:pos="3240"/>
        </w:tabs>
        <w:ind w:left="1080" w:hanging="1080"/>
        <w:contextualSpacing/>
        <w:jc w:val="both"/>
        <w:rPr>
          <w:b/>
          <w:bCs/>
          <w:sz w:val="22"/>
          <w:szCs w:val="22"/>
        </w:rPr>
      </w:pPr>
      <w:r w:rsidRPr="00EA008C">
        <w:rPr>
          <w:sz w:val="22"/>
          <w:szCs w:val="22"/>
        </w:rPr>
        <w:t>THEME:</w:t>
      </w:r>
      <w:r w:rsidR="00F70A2C">
        <w:rPr>
          <w:sz w:val="22"/>
          <w:szCs w:val="22"/>
        </w:rPr>
        <w:tab/>
      </w:r>
      <w:r w:rsidR="00EA008C" w:rsidRPr="005A53C5">
        <w:rPr>
          <w:b/>
          <w:bCs/>
          <w:sz w:val="22"/>
          <w:szCs w:val="22"/>
        </w:rPr>
        <w:t>FINANCING INNOVATION: EFFECTIVE PUBLIC-PRIVATE-ACADEMIA COLLABORATION TO ENHANCE COMPETITIVENESS AND QUALITY OF LIFE</w:t>
      </w:r>
    </w:p>
    <w:p w14:paraId="2548068C" w14:textId="77777777" w:rsidR="005A53C5" w:rsidRPr="009560BF" w:rsidRDefault="005A53C5" w:rsidP="006A0998">
      <w:pPr>
        <w:tabs>
          <w:tab w:val="left" w:pos="720"/>
          <w:tab w:val="left" w:pos="1440"/>
          <w:tab w:val="left" w:pos="3240"/>
        </w:tabs>
        <w:contextualSpacing/>
        <w:jc w:val="both"/>
        <w:rPr>
          <w:b/>
          <w:bCs/>
          <w:sz w:val="22"/>
          <w:szCs w:val="22"/>
        </w:rPr>
      </w:pPr>
    </w:p>
    <w:p w14:paraId="1BC24364" w14:textId="6E9BE780" w:rsidR="00902338" w:rsidRPr="009560BF" w:rsidRDefault="00902338" w:rsidP="006A0998">
      <w:pPr>
        <w:tabs>
          <w:tab w:val="left" w:pos="720"/>
          <w:tab w:val="left" w:pos="1440"/>
        </w:tabs>
        <w:jc w:val="both"/>
        <w:rPr>
          <w:sz w:val="22"/>
          <w:szCs w:val="22"/>
        </w:rPr>
      </w:pPr>
    </w:p>
    <w:p w14:paraId="1FE97DF8" w14:textId="5438C069" w:rsidR="00723EE9" w:rsidRDefault="00723EE9" w:rsidP="006A0998">
      <w:pPr>
        <w:numPr>
          <w:ilvl w:val="0"/>
          <w:numId w:val="10"/>
        </w:numPr>
        <w:ind w:left="0" w:firstLine="0"/>
        <w:rPr>
          <w:rFonts w:eastAsia="Calibri"/>
          <w:b/>
          <w:sz w:val="22"/>
          <w:szCs w:val="22"/>
        </w:rPr>
      </w:pPr>
      <w:r w:rsidRPr="00723EE9">
        <w:rPr>
          <w:rFonts w:eastAsia="Calibri"/>
          <w:b/>
          <w:sz w:val="22"/>
          <w:szCs w:val="22"/>
        </w:rPr>
        <w:t>Background</w:t>
      </w:r>
      <w:r w:rsidR="00C1307A">
        <w:rPr>
          <w:rFonts w:eastAsia="Calibri"/>
          <w:b/>
          <w:sz w:val="22"/>
          <w:szCs w:val="22"/>
        </w:rPr>
        <w:t>/Justification</w:t>
      </w:r>
    </w:p>
    <w:p w14:paraId="203A6EDD" w14:textId="77777777" w:rsidR="005B2929" w:rsidRPr="00723EE9" w:rsidRDefault="005B2929" w:rsidP="006A0998">
      <w:pPr>
        <w:rPr>
          <w:rFonts w:eastAsia="Calibri"/>
          <w:b/>
          <w:sz w:val="22"/>
          <w:szCs w:val="22"/>
        </w:rPr>
      </w:pPr>
    </w:p>
    <w:p w14:paraId="59801D4A" w14:textId="72DBE924" w:rsidR="00194645" w:rsidRDefault="00194645" w:rsidP="006A0998">
      <w:pPr>
        <w:pStyle w:val="NormalWeb"/>
        <w:spacing w:before="0" w:beforeAutospacing="0" w:after="0" w:afterAutospacing="0"/>
        <w:ind w:firstLine="720"/>
        <w:jc w:val="both"/>
        <w:rPr>
          <w:color w:val="3B3B3B"/>
          <w:sz w:val="22"/>
          <w:szCs w:val="22"/>
        </w:rPr>
      </w:pPr>
      <w:r w:rsidRPr="003E6BC2">
        <w:rPr>
          <w:color w:val="3B3B3B"/>
          <w:sz w:val="22"/>
          <w:szCs w:val="22"/>
        </w:rPr>
        <w:t xml:space="preserve">Notwithstanding the impact of the </w:t>
      </w:r>
      <w:r w:rsidR="005B2929">
        <w:rPr>
          <w:color w:val="3B3B3B"/>
          <w:sz w:val="22"/>
          <w:szCs w:val="22"/>
        </w:rPr>
        <w:t xml:space="preserve">COVID-19 </w:t>
      </w:r>
      <w:r w:rsidRPr="003E6BC2">
        <w:rPr>
          <w:color w:val="3B3B3B"/>
          <w:sz w:val="22"/>
          <w:szCs w:val="22"/>
        </w:rPr>
        <w:t xml:space="preserve">pandemic, scientific output, Research and Development (R&amp;D), and </w:t>
      </w:r>
      <w:r w:rsidR="00BC78C5">
        <w:rPr>
          <w:color w:val="3B3B3B"/>
          <w:sz w:val="22"/>
          <w:szCs w:val="22"/>
        </w:rPr>
        <w:t>V</w:t>
      </w:r>
      <w:r w:rsidRPr="003E6BC2">
        <w:rPr>
          <w:color w:val="3B3B3B"/>
          <w:sz w:val="22"/>
          <w:szCs w:val="22"/>
        </w:rPr>
        <w:t xml:space="preserve">enture </w:t>
      </w:r>
      <w:r w:rsidR="00BC78C5">
        <w:rPr>
          <w:color w:val="3B3B3B"/>
          <w:sz w:val="22"/>
          <w:szCs w:val="22"/>
        </w:rPr>
        <w:t>C</w:t>
      </w:r>
      <w:r w:rsidRPr="003E6BC2">
        <w:rPr>
          <w:color w:val="3B3B3B"/>
          <w:sz w:val="22"/>
          <w:szCs w:val="22"/>
        </w:rPr>
        <w:t xml:space="preserve">apital (VC) deals grew </w:t>
      </w:r>
      <w:r w:rsidR="005B2929">
        <w:rPr>
          <w:color w:val="3B3B3B"/>
          <w:sz w:val="22"/>
          <w:szCs w:val="22"/>
        </w:rPr>
        <w:t xml:space="preserve">globally </w:t>
      </w:r>
      <w:r w:rsidRPr="003E6BC2">
        <w:rPr>
          <w:color w:val="3B3B3B"/>
          <w:sz w:val="22"/>
          <w:szCs w:val="22"/>
        </w:rPr>
        <w:t>in 2020. However, innovation performance was uneven across sectors</w:t>
      </w:r>
      <w:r w:rsidR="005B2929">
        <w:rPr>
          <w:color w:val="3B3B3B"/>
          <w:sz w:val="22"/>
          <w:szCs w:val="22"/>
        </w:rPr>
        <w:t xml:space="preserve"> and countries</w:t>
      </w:r>
      <w:r w:rsidRPr="003E6BC2">
        <w:rPr>
          <w:color w:val="3B3B3B"/>
          <w:sz w:val="22"/>
          <w:szCs w:val="22"/>
        </w:rPr>
        <w:t xml:space="preserve">. Whereas service industries including travel and transportation were severely affected, those connected with digitalization, </w:t>
      </w:r>
      <w:proofErr w:type="gramStart"/>
      <w:r w:rsidRPr="003E6BC2">
        <w:rPr>
          <w:color w:val="3B3B3B"/>
          <w:sz w:val="22"/>
          <w:szCs w:val="22"/>
        </w:rPr>
        <w:t>technology</w:t>
      </w:r>
      <w:proofErr w:type="gramEnd"/>
      <w:r w:rsidRPr="003E6BC2">
        <w:rPr>
          <w:color w:val="3B3B3B"/>
          <w:sz w:val="22"/>
          <w:szCs w:val="22"/>
        </w:rPr>
        <w:t xml:space="preserve"> and innovation such as software, biotech, internet, telecommunications and electronics</w:t>
      </w:r>
      <w:r w:rsidR="004943F6">
        <w:rPr>
          <w:color w:val="3B3B3B"/>
          <w:sz w:val="22"/>
          <w:szCs w:val="22"/>
        </w:rPr>
        <w:t>,</w:t>
      </w:r>
      <w:r w:rsidRPr="003E6BC2">
        <w:rPr>
          <w:color w:val="3B3B3B"/>
          <w:sz w:val="22"/>
          <w:szCs w:val="22"/>
        </w:rPr>
        <w:t xml:space="preserve"> increased their investments and results.</w:t>
      </w:r>
      <w:r w:rsidRPr="006174D9">
        <w:rPr>
          <w:rStyle w:val="FootnoteReference"/>
          <w:color w:val="3B3B3B"/>
          <w:sz w:val="22"/>
          <w:szCs w:val="22"/>
          <w:u w:val="single"/>
        </w:rPr>
        <w:footnoteReference w:id="1"/>
      </w:r>
      <w:r w:rsidR="006174D9" w:rsidRPr="006174D9">
        <w:rPr>
          <w:color w:val="3B3B3B"/>
          <w:sz w:val="22"/>
          <w:szCs w:val="22"/>
          <w:vertAlign w:val="superscript"/>
        </w:rPr>
        <w:t>/</w:t>
      </w:r>
      <w:r w:rsidRPr="006174D9">
        <w:rPr>
          <w:color w:val="3B3B3B"/>
          <w:sz w:val="22"/>
          <w:szCs w:val="22"/>
          <w:vertAlign w:val="superscript"/>
        </w:rPr>
        <w:t xml:space="preserve"> </w:t>
      </w:r>
    </w:p>
    <w:p w14:paraId="10ACBE9C" w14:textId="77777777" w:rsidR="00BF3B28" w:rsidRPr="003E6BC2" w:rsidRDefault="00BF3B28" w:rsidP="006A0998">
      <w:pPr>
        <w:pStyle w:val="NormalWeb"/>
        <w:spacing w:before="0" w:beforeAutospacing="0" w:after="0" w:afterAutospacing="0"/>
        <w:ind w:firstLine="720"/>
        <w:jc w:val="both"/>
        <w:rPr>
          <w:color w:val="3B3B3B"/>
          <w:sz w:val="22"/>
          <w:szCs w:val="22"/>
        </w:rPr>
      </w:pPr>
    </w:p>
    <w:p w14:paraId="6BEC6C57" w14:textId="5CE6DBB8" w:rsidR="00194645" w:rsidRDefault="00194645" w:rsidP="006A0998">
      <w:pPr>
        <w:pStyle w:val="NormalWeb"/>
        <w:spacing w:before="0" w:beforeAutospacing="0" w:after="0" w:afterAutospacing="0"/>
        <w:ind w:firstLine="720"/>
        <w:jc w:val="both"/>
        <w:rPr>
          <w:sz w:val="22"/>
          <w:szCs w:val="22"/>
        </w:rPr>
      </w:pPr>
      <w:r w:rsidRPr="003E6BC2">
        <w:rPr>
          <w:color w:val="3B3B3B"/>
          <w:sz w:val="22"/>
          <w:szCs w:val="22"/>
        </w:rPr>
        <w:t xml:space="preserve">Only those emergent economies that complemented </w:t>
      </w:r>
      <w:r w:rsidR="005B2929">
        <w:rPr>
          <w:color w:val="3B3B3B"/>
          <w:sz w:val="22"/>
          <w:szCs w:val="22"/>
        </w:rPr>
        <w:t xml:space="preserve">actions at the </w:t>
      </w:r>
      <w:r w:rsidRPr="003E6BC2">
        <w:rPr>
          <w:color w:val="3B3B3B"/>
          <w:sz w:val="22"/>
          <w:szCs w:val="22"/>
        </w:rPr>
        <w:t xml:space="preserve">national level with links to dynamic sectors of the economy were able to support their recovery </w:t>
      </w:r>
      <w:r w:rsidR="005B2929">
        <w:rPr>
          <w:color w:val="3B3B3B"/>
          <w:sz w:val="22"/>
          <w:szCs w:val="22"/>
        </w:rPr>
        <w:t xml:space="preserve">efforts </w:t>
      </w:r>
      <w:r w:rsidRPr="003E6BC2">
        <w:rPr>
          <w:color w:val="3B3B3B"/>
          <w:sz w:val="22"/>
          <w:szCs w:val="22"/>
        </w:rPr>
        <w:t xml:space="preserve">with their </w:t>
      </w:r>
      <w:r w:rsidR="005B2929">
        <w:rPr>
          <w:color w:val="3B3B3B"/>
          <w:sz w:val="22"/>
          <w:szCs w:val="22"/>
        </w:rPr>
        <w:t xml:space="preserve">capacities available in their </w:t>
      </w:r>
      <w:r w:rsidRPr="003E6BC2">
        <w:rPr>
          <w:color w:val="3B3B3B"/>
          <w:sz w:val="22"/>
          <w:szCs w:val="22"/>
        </w:rPr>
        <w:t>innovation systems</w:t>
      </w:r>
      <w:r w:rsidR="005B2929">
        <w:rPr>
          <w:color w:val="3B3B3B"/>
          <w:sz w:val="22"/>
          <w:szCs w:val="22"/>
        </w:rPr>
        <w:t xml:space="preserve">. </w:t>
      </w:r>
      <w:r w:rsidRPr="003E6BC2">
        <w:rPr>
          <w:sz w:val="22"/>
          <w:szCs w:val="22"/>
        </w:rPr>
        <w:t>Some of the challenges for L</w:t>
      </w:r>
      <w:r w:rsidR="005B2929">
        <w:rPr>
          <w:sz w:val="22"/>
          <w:szCs w:val="22"/>
        </w:rPr>
        <w:t>atin America and the Caribbean (L</w:t>
      </w:r>
      <w:r w:rsidRPr="003E6BC2">
        <w:rPr>
          <w:sz w:val="22"/>
          <w:szCs w:val="22"/>
        </w:rPr>
        <w:t>AC</w:t>
      </w:r>
      <w:r w:rsidR="005B2929">
        <w:rPr>
          <w:sz w:val="22"/>
          <w:szCs w:val="22"/>
        </w:rPr>
        <w:t>)</w:t>
      </w:r>
      <w:r w:rsidRPr="003E6BC2">
        <w:rPr>
          <w:sz w:val="22"/>
          <w:szCs w:val="22"/>
        </w:rPr>
        <w:t xml:space="preserve"> include unbalanced innovation systems with needs related to human capital</w:t>
      </w:r>
      <w:r w:rsidR="005B2929">
        <w:rPr>
          <w:sz w:val="22"/>
          <w:szCs w:val="22"/>
        </w:rPr>
        <w:t xml:space="preserve">, </w:t>
      </w:r>
      <w:r w:rsidRPr="003E6BC2">
        <w:rPr>
          <w:sz w:val="22"/>
          <w:szCs w:val="22"/>
        </w:rPr>
        <w:t>research as well as limited capacities to translate its innovation inputs into outputs.</w:t>
      </w:r>
      <w:r w:rsidR="00EE4B48" w:rsidRPr="006174D9">
        <w:rPr>
          <w:rStyle w:val="FootnoteReference"/>
          <w:sz w:val="22"/>
          <w:szCs w:val="22"/>
          <w:u w:val="single"/>
        </w:rPr>
        <w:footnoteReference w:id="2"/>
      </w:r>
      <w:r w:rsidR="006174D9" w:rsidRPr="006174D9">
        <w:rPr>
          <w:sz w:val="22"/>
          <w:szCs w:val="22"/>
          <w:vertAlign w:val="superscript"/>
        </w:rPr>
        <w:t>/</w:t>
      </w:r>
    </w:p>
    <w:p w14:paraId="424F7B0A" w14:textId="77777777" w:rsidR="006A0998" w:rsidRPr="005B2929" w:rsidRDefault="006A0998" w:rsidP="006A0998">
      <w:pPr>
        <w:pStyle w:val="NormalWeb"/>
        <w:spacing w:before="0" w:beforeAutospacing="0" w:after="0" w:afterAutospacing="0"/>
        <w:ind w:firstLine="720"/>
        <w:jc w:val="both"/>
        <w:rPr>
          <w:color w:val="3B3B3B"/>
          <w:sz w:val="22"/>
          <w:szCs w:val="22"/>
        </w:rPr>
      </w:pPr>
    </w:p>
    <w:p w14:paraId="3D373CB6" w14:textId="36EEA589" w:rsidR="00E12BDF" w:rsidRPr="00E12BDF" w:rsidRDefault="005B2929" w:rsidP="006A0998">
      <w:pPr>
        <w:ind w:firstLine="720"/>
        <w:jc w:val="both"/>
        <w:rPr>
          <w:sz w:val="22"/>
          <w:szCs w:val="22"/>
        </w:rPr>
      </w:pPr>
      <w:r>
        <w:rPr>
          <w:sz w:val="22"/>
          <w:szCs w:val="22"/>
        </w:rPr>
        <w:t>T</w:t>
      </w:r>
      <w:r w:rsidR="00E12BDF" w:rsidRPr="00E12BDF">
        <w:rPr>
          <w:sz w:val="22"/>
          <w:szCs w:val="22"/>
        </w:rPr>
        <w:t xml:space="preserve">he budgetary constraints in developing countries </w:t>
      </w:r>
      <w:r>
        <w:rPr>
          <w:sz w:val="22"/>
          <w:szCs w:val="22"/>
        </w:rPr>
        <w:t xml:space="preserve">after the pandemic </w:t>
      </w:r>
      <w:r w:rsidR="00E12BDF" w:rsidRPr="00E12BDF">
        <w:rPr>
          <w:sz w:val="22"/>
          <w:szCs w:val="22"/>
        </w:rPr>
        <w:t xml:space="preserve">will require creativity and resourceful approaches to develop, adopt and deploy science and technology driven solutions to address development imperatives and pursue post-COVID recovery efforts. </w:t>
      </w:r>
    </w:p>
    <w:p w14:paraId="170053A3" w14:textId="77777777" w:rsidR="00E12BDF" w:rsidRPr="00E12BDF" w:rsidRDefault="00E12BDF" w:rsidP="006A0998">
      <w:pPr>
        <w:jc w:val="both"/>
        <w:rPr>
          <w:sz w:val="22"/>
          <w:szCs w:val="22"/>
        </w:rPr>
      </w:pPr>
    </w:p>
    <w:p w14:paraId="42078F65" w14:textId="1025B682" w:rsidR="002069D4" w:rsidRDefault="00E12BDF" w:rsidP="006A0998">
      <w:pPr>
        <w:pStyle w:val="NormalWeb"/>
        <w:spacing w:before="0" w:beforeAutospacing="0" w:after="0" w:afterAutospacing="0"/>
        <w:ind w:firstLine="720"/>
        <w:jc w:val="both"/>
        <w:rPr>
          <w:rFonts w:eastAsiaTheme="minorHAnsi"/>
          <w:sz w:val="22"/>
          <w:szCs w:val="22"/>
        </w:rPr>
      </w:pPr>
      <w:r w:rsidRPr="00E12BDF">
        <w:rPr>
          <w:rFonts w:eastAsiaTheme="minorHAnsi"/>
          <w:sz w:val="22"/>
          <w:szCs w:val="22"/>
        </w:rPr>
        <w:t>As indicated in the GII, finance plays a role at every stage of the innovation cycle from the conceptualization of a product, service or technology through to its commercialization and beyond.</w:t>
      </w:r>
      <w:r w:rsidR="005B2929" w:rsidRPr="006174D9">
        <w:rPr>
          <w:sz w:val="22"/>
          <w:szCs w:val="22"/>
          <w:u w:val="single"/>
          <w:vertAlign w:val="superscript"/>
        </w:rPr>
        <w:footnoteReference w:id="3"/>
      </w:r>
      <w:r w:rsidR="006174D9" w:rsidRPr="006174D9">
        <w:rPr>
          <w:rFonts w:eastAsiaTheme="minorHAnsi"/>
          <w:sz w:val="22"/>
          <w:szCs w:val="22"/>
          <w:vertAlign w:val="superscript"/>
        </w:rPr>
        <w:t>/</w:t>
      </w:r>
      <w:r w:rsidRPr="00E12BDF">
        <w:rPr>
          <w:rFonts w:eastAsiaTheme="minorHAnsi"/>
          <w:sz w:val="22"/>
          <w:szCs w:val="22"/>
        </w:rPr>
        <w:t xml:space="preserve"> Government-led programs continue to be fundamental, especially for mission-driven or frontier science research and development as well as </w:t>
      </w:r>
      <w:r>
        <w:rPr>
          <w:rFonts w:eastAsiaTheme="minorHAnsi"/>
          <w:sz w:val="22"/>
          <w:szCs w:val="22"/>
        </w:rPr>
        <w:t xml:space="preserve">initiatives </w:t>
      </w:r>
      <w:r w:rsidRPr="00E12BDF">
        <w:rPr>
          <w:rFonts w:eastAsiaTheme="minorHAnsi"/>
          <w:sz w:val="22"/>
          <w:szCs w:val="22"/>
        </w:rPr>
        <w:t xml:space="preserve">to </w:t>
      </w:r>
      <w:r>
        <w:rPr>
          <w:rFonts w:eastAsiaTheme="minorHAnsi"/>
          <w:sz w:val="22"/>
          <w:szCs w:val="22"/>
        </w:rPr>
        <w:t xml:space="preserve">expand financial inclusion to </w:t>
      </w:r>
      <w:r w:rsidRPr="00E12BDF">
        <w:rPr>
          <w:rFonts w:eastAsiaTheme="minorHAnsi"/>
          <w:sz w:val="22"/>
          <w:szCs w:val="22"/>
        </w:rPr>
        <w:t xml:space="preserve">address historic inequities and systematic limitations of access to </w:t>
      </w:r>
      <w:r>
        <w:rPr>
          <w:rFonts w:eastAsiaTheme="minorHAnsi"/>
          <w:sz w:val="22"/>
          <w:szCs w:val="22"/>
        </w:rPr>
        <w:t xml:space="preserve">credit and seed funding for </w:t>
      </w:r>
      <w:r w:rsidRPr="00E12BDF">
        <w:rPr>
          <w:rFonts w:eastAsiaTheme="minorHAnsi"/>
          <w:sz w:val="22"/>
          <w:szCs w:val="22"/>
        </w:rPr>
        <w:t xml:space="preserve">certain </w:t>
      </w:r>
      <w:r>
        <w:rPr>
          <w:rFonts w:eastAsiaTheme="minorHAnsi"/>
          <w:sz w:val="22"/>
          <w:szCs w:val="22"/>
        </w:rPr>
        <w:t>parts</w:t>
      </w:r>
      <w:r w:rsidRPr="00E12BDF">
        <w:rPr>
          <w:rFonts w:eastAsiaTheme="minorHAnsi"/>
          <w:sz w:val="22"/>
          <w:szCs w:val="22"/>
        </w:rPr>
        <w:t xml:space="preserve"> of the population.</w:t>
      </w:r>
    </w:p>
    <w:p w14:paraId="0D6D27C1" w14:textId="77777777" w:rsidR="006A0998" w:rsidRDefault="006A0998" w:rsidP="006A0998">
      <w:pPr>
        <w:pStyle w:val="NormalWeb"/>
        <w:spacing w:before="0" w:beforeAutospacing="0" w:after="0" w:afterAutospacing="0"/>
        <w:ind w:firstLine="720"/>
        <w:jc w:val="both"/>
        <w:rPr>
          <w:rFonts w:eastAsiaTheme="minorHAnsi"/>
          <w:sz w:val="22"/>
          <w:szCs w:val="22"/>
        </w:rPr>
      </w:pPr>
    </w:p>
    <w:p w14:paraId="08E4F955" w14:textId="4A8F80E2" w:rsidR="00E12BDF" w:rsidRDefault="00E12BDF" w:rsidP="006A0998">
      <w:pPr>
        <w:pStyle w:val="NormalWeb"/>
        <w:spacing w:before="0" w:beforeAutospacing="0" w:after="0" w:afterAutospacing="0"/>
        <w:ind w:firstLine="720"/>
        <w:jc w:val="both"/>
        <w:rPr>
          <w:rFonts w:eastAsiaTheme="minorHAnsi"/>
          <w:sz w:val="22"/>
          <w:szCs w:val="22"/>
        </w:rPr>
      </w:pPr>
      <w:r w:rsidRPr="00E12BDF">
        <w:rPr>
          <w:rFonts w:eastAsiaTheme="minorHAnsi"/>
          <w:sz w:val="22"/>
          <w:szCs w:val="22"/>
        </w:rPr>
        <w:t>New actors including corporate-driven endeavors, institutional investors, sovereign funds, venture capital firms, social and entrepreneurial challenges, non-profit organizations, crowdfunding and fintech solutions have become key players for the development and growth of the private and entrepreneurial capital industry and innovation ecosystem.</w:t>
      </w:r>
      <w:r w:rsidR="002069D4">
        <w:rPr>
          <w:rFonts w:eastAsiaTheme="minorHAnsi"/>
          <w:sz w:val="22"/>
          <w:szCs w:val="22"/>
        </w:rPr>
        <w:t xml:space="preserve"> </w:t>
      </w:r>
      <w:r w:rsidRPr="00E12BDF">
        <w:rPr>
          <w:rFonts w:eastAsiaTheme="minorHAnsi"/>
          <w:sz w:val="22"/>
          <w:szCs w:val="22"/>
        </w:rPr>
        <w:t>Before the pandemic and thanks to the convergence of transformative technologies and connectivity, these new actors and innovative mechanisms became available to fund and engage with innovators</w:t>
      </w:r>
      <w:r w:rsidR="00FC0500">
        <w:rPr>
          <w:rFonts w:eastAsiaTheme="minorHAnsi"/>
          <w:sz w:val="22"/>
          <w:szCs w:val="22"/>
        </w:rPr>
        <w:t xml:space="preserve">, </w:t>
      </w:r>
      <w:proofErr w:type="gramStart"/>
      <w:r w:rsidRPr="00E12BDF">
        <w:rPr>
          <w:rFonts w:eastAsiaTheme="minorHAnsi"/>
          <w:sz w:val="22"/>
          <w:szCs w:val="22"/>
        </w:rPr>
        <w:t>entrepreneurs</w:t>
      </w:r>
      <w:proofErr w:type="gramEnd"/>
      <w:r w:rsidR="00FC0500">
        <w:rPr>
          <w:rFonts w:eastAsiaTheme="minorHAnsi"/>
          <w:sz w:val="22"/>
          <w:szCs w:val="22"/>
        </w:rPr>
        <w:t xml:space="preserve"> and community-driven initiatives</w:t>
      </w:r>
      <w:r w:rsidRPr="00E12BDF">
        <w:rPr>
          <w:rFonts w:eastAsiaTheme="minorHAnsi"/>
          <w:sz w:val="22"/>
          <w:szCs w:val="22"/>
        </w:rPr>
        <w:t>. In many ways, the response of COVID</w:t>
      </w:r>
      <w:r w:rsidR="00B36279">
        <w:rPr>
          <w:rFonts w:eastAsiaTheme="minorHAnsi"/>
          <w:sz w:val="22"/>
          <w:szCs w:val="22"/>
        </w:rPr>
        <w:t>-19</w:t>
      </w:r>
      <w:r w:rsidRPr="00E12BDF">
        <w:rPr>
          <w:rFonts w:eastAsiaTheme="minorHAnsi"/>
          <w:sz w:val="22"/>
          <w:szCs w:val="22"/>
        </w:rPr>
        <w:t xml:space="preserve">, accelerated the synergies and urgency to drive and fund innovative solutions to </w:t>
      </w:r>
      <w:r w:rsidR="00FC0500">
        <w:rPr>
          <w:rFonts w:eastAsiaTheme="minorHAnsi"/>
          <w:sz w:val="22"/>
          <w:szCs w:val="22"/>
        </w:rPr>
        <w:t xml:space="preserve">deal with </w:t>
      </w:r>
      <w:r w:rsidRPr="00E12BDF">
        <w:rPr>
          <w:rFonts w:eastAsiaTheme="minorHAnsi"/>
          <w:sz w:val="22"/>
          <w:szCs w:val="22"/>
        </w:rPr>
        <w:t xml:space="preserve">the immediate needs of the pandemic and </w:t>
      </w:r>
      <w:r w:rsidR="00FC0500">
        <w:rPr>
          <w:rFonts w:eastAsiaTheme="minorHAnsi"/>
          <w:sz w:val="22"/>
          <w:szCs w:val="22"/>
        </w:rPr>
        <w:t xml:space="preserve">the </w:t>
      </w:r>
      <w:r w:rsidRPr="00E12BDF">
        <w:rPr>
          <w:rFonts w:eastAsiaTheme="minorHAnsi"/>
          <w:sz w:val="22"/>
          <w:szCs w:val="22"/>
        </w:rPr>
        <w:t xml:space="preserve">sudden </w:t>
      </w:r>
      <w:r w:rsidR="00FC0500">
        <w:rPr>
          <w:rFonts w:eastAsiaTheme="minorHAnsi"/>
          <w:sz w:val="22"/>
          <w:szCs w:val="22"/>
        </w:rPr>
        <w:t xml:space="preserve">disruption </w:t>
      </w:r>
      <w:r w:rsidR="003254F3">
        <w:rPr>
          <w:rFonts w:eastAsiaTheme="minorHAnsi"/>
          <w:sz w:val="22"/>
          <w:szCs w:val="22"/>
        </w:rPr>
        <w:t xml:space="preserve">of </w:t>
      </w:r>
      <w:r w:rsidR="00FC0500">
        <w:rPr>
          <w:rFonts w:eastAsiaTheme="minorHAnsi"/>
          <w:sz w:val="22"/>
          <w:szCs w:val="22"/>
        </w:rPr>
        <w:t>the</w:t>
      </w:r>
      <w:r w:rsidRPr="00E12BDF">
        <w:rPr>
          <w:rFonts w:eastAsiaTheme="minorHAnsi"/>
          <w:sz w:val="22"/>
          <w:szCs w:val="22"/>
        </w:rPr>
        <w:t xml:space="preserve"> access to goods and services from global value chains. </w:t>
      </w:r>
    </w:p>
    <w:p w14:paraId="4C9EA0B5" w14:textId="77777777" w:rsidR="006A0998" w:rsidRDefault="006A0998" w:rsidP="006A0998">
      <w:pPr>
        <w:pStyle w:val="NormalWeb"/>
        <w:spacing w:before="0" w:beforeAutospacing="0" w:after="0" w:afterAutospacing="0"/>
        <w:ind w:firstLine="720"/>
        <w:jc w:val="both"/>
        <w:rPr>
          <w:rFonts w:eastAsiaTheme="minorHAnsi"/>
          <w:sz w:val="22"/>
          <w:szCs w:val="22"/>
        </w:rPr>
      </w:pPr>
    </w:p>
    <w:p w14:paraId="38D1E2C5" w14:textId="1309DCEC" w:rsidR="00EE4B48" w:rsidRDefault="00EE4B48" w:rsidP="006A0998">
      <w:pPr>
        <w:ind w:firstLine="720"/>
        <w:jc w:val="both"/>
        <w:rPr>
          <w:rFonts w:eastAsiaTheme="minorHAnsi"/>
          <w:sz w:val="22"/>
          <w:szCs w:val="22"/>
        </w:rPr>
      </w:pPr>
      <w:r w:rsidRPr="00EE4B48">
        <w:rPr>
          <w:rFonts w:eastAsiaTheme="minorHAnsi"/>
          <w:sz w:val="22"/>
          <w:szCs w:val="22"/>
        </w:rPr>
        <w:t>In 2020, t</w:t>
      </w:r>
      <w:r w:rsidRPr="00055D62">
        <w:rPr>
          <w:rFonts w:eastAsiaTheme="minorHAnsi"/>
          <w:sz w:val="22"/>
          <w:szCs w:val="22"/>
        </w:rPr>
        <w:t xml:space="preserve">he number </w:t>
      </w:r>
      <w:r w:rsidRPr="00EE4B48">
        <w:rPr>
          <w:rFonts w:eastAsiaTheme="minorHAnsi"/>
          <w:sz w:val="22"/>
          <w:szCs w:val="22"/>
        </w:rPr>
        <w:t xml:space="preserve">of </w:t>
      </w:r>
      <w:r w:rsidRPr="00055D62">
        <w:rPr>
          <w:rFonts w:eastAsiaTheme="minorHAnsi"/>
          <w:sz w:val="22"/>
          <w:szCs w:val="22"/>
        </w:rPr>
        <w:t xml:space="preserve">VC deals </w:t>
      </w:r>
      <w:r w:rsidRPr="00EE4B48">
        <w:rPr>
          <w:rFonts w:eastAsiaTheme="minorHAnsi"/>
          <w:sz w:val="22"/>
          <w:szCs w:val="22"/>
        </w:rPr>
        <w:t xml:space="preserve">increased </w:t>
      </w:r>
      <w:r w:rsidRPr="00055D62">
        <w:rPr>
          <w:rFonts w:eastAsiaTheme="minorHAnsi"/>
          <w:sz w:val="22"/>
          <w:szCs w:val="22"/>
        </w:rPr>
        <w:t>by 5.8</w:t>
      </w:r>
      <w:r w:rsidR="00710E40">
        <w:rPr>
          <w:rFonts w:eastAsiaTheme="minorHAnsi"/>
          <w:sz w:val="22"/>
          <w:szCs w:val="22"/>
        </w:rPr>
        <w:t xml:space="preserve"> </w:t>
      </w:r>
      <w:r w:rsidRPr="00055D62">
        <w:rPr>
          <w:rFonts w:eastAsiaTheme="minorHAnsi"/>
          <w:sz w:val="22"/>
          <w:szCs w:val="22"/>
        </w:rPr>
        <w:t>percent</w:t>
      </w:r>
      <w:r w:rsidRPr="00EE4B48">
        <w:rPr>
          <w:rFonts w:eastAsiaTheme="minorHAnsi"/>
          <w:sz w:val="22"/>
          <w:szCs w:val="22"/>
        </w:rPr>
        <w:t>, the best performance in the last 10 years. LAC also registered double-digit increases</w:t>
      </w:r>
      <w:r w:rsidRPr="003E6BC2">
        <w:rPr>
          <w:color w:val="3B3B3B"/>
          <w:sz w:val="22"/>
          <w:szCs w:val="22"/>
          <w:shd w:val="clear" w:color="auto" w:fill="FAFAFA"/>
        </w:rPr>
        <w:t>.</w:t>
      </w:r>
      <w:r w:rsidRPr="006174D9">
        <w:rPr>
          <w:rStyle w:val="FootnoteReference"/>
          <w:color w:val="3B3B3B"/>
          <w:u w:val="single"/>
          <w:shd w:val="clear" w:color="auto" w:fill="FAFAFA"/>
        </w:rPr>
        <w:footnoteReference w:id="4"/>
      </w:r>
      <w:r w:rsidRPr="006174D9">
        <w:rPr>
          <w:color w:val="3B3B3B"/>
          <w:sz w:val="22"/>
          <w:szCs w:val="22"/>
          <w:u w:val="single"/>
          <w:shd w:val="clear" w:color="auto" w:fill="FAFAFA"/>
          <w:vertAlign w:val="superscript"/>
        </w:rPr>
        <w:t xml:space="preserve"> </w:t>
      </w:r>
      <w:r w:rsidR="006174D9" w:rsidRPr="006174D9">
        <w:rPr>
          <w:rFonts w:eastAsiaTheme="minorHAnsi"/>
          <w:sz w:val="22"/>
          <w:szCs w:val="22"/>
          <w:vertAlign w:val="superscript"/>
        </w:rPr>
        <w:t>/</w:t>
      </w:r>
      <w:r w:rsidR="00E12BDF" w:rsidRPr="00E12BDF">
        <w:rPr>
          <w:rFonts w:eastAsiaTheme="minorHAnsi"/>
          <w:sz w:val="22"/>
          <w:szCs w:val="22"/>
        </w:rPr>
        <w:t>There is</w:t>
      </w:r>
      <w:r>
        <w:rPr>
          <w:rFonts w:eastAsiaTheme="minorHAnsi"/>
          <w:sz w:val="22"/>
          <w:szCs w:val="22"/>
        </w:rPr>
        <w:t xml:space="preserve"> </w:t>
      </w:r>
      <w:r w:rsidR="00E12BDF" w:rsidRPr="00E12BDF">
        <w:rPr>
          <w:rFonts w:eastAsiaTheme="minorHAnsi"/>
          <w:sz w:val="22"/>
          <w:szCs w:val="22"/>
        </w:rPr>
        <w:t>an incipient and innovative entrepreneurial capital industry in development throughout LAC. Some of the new actors, in collaboration with other partners or innovative government-led programs, have resulted in the successful creation of new financing mechanisms</w:t>
      </w:r>
      <w:r w:rsidR="003254F3">
        <w:rPr>
          <w:rFonts w:eastAsiaTheme="minorHAnsi"/>
          <w:sz w:val="22"/>
          <w:szCs w:val="22"/>
        </w:rPr>
        <w:t xml:space="preserve"> and </w:t>
      </w:r>
      <w:r w:rsidR="003254F3" w:rsidRPr="00661424">
        <w:rPr>
          <w:rFonts w:eastAsiaTheme="minorHAnsi"/>
          <w:sz w:val="22"/>
          <w:szCs w:val="22"/>
        </w:rPr>
        <w:t>creative public-private partnerships</w:t>
      </w:r>
      <w:r w:rsidR="00E12BDF" w:rsidRPr="00661424">
        <w:rPr>
          <w:rFonts w:eastAsiaTheme="minorHAnsi"/>
          <w:sz w:val="22"/>
          <w:szCs w:val="22"/>
        </w:rPr>
        <w:t xml:space="preserve">. </w:t>
      </w:r>
      <w:proofErr w:type="gramStart"/>
      <w:r w:rsidR="00E12BDF" w:rsidRPr="00661424">
        <w:rPr>
          <w:rFonts w:eastAsiaTheme="minorHAnsi"/>
          <w:sz w:val="22"/>
          <w:szCs w:val="22"/>
        </w:rPr>
        <w:t>A number of</w:t>
      </w:r>
      <w:proofErr w:type="gramEnd"/>
      <w:r w:rsidR="00E12BDF" w:rsidRPr="00661424">
        <w:rPr>
          <w:rFonts w:eastAsiaTheme="minorHAnsi"/>
          <w:sz w:val="22"/>
          <w:szCs w:val="22"/>
        </w:rPr>
        <w:t xml:space="preserve"> unicorns</w:t>
      </w:r>
      <w:r w:rsidR="00E12BDF" w:rsidRPr="006174D9">
        <w:rPr>
          <w:rFonts w:eastAsiaTheme="minorHAnsi"/>
          <w:sz w:val="22"/>
          <w:szCs w:val="22"/>
          <w:u w:val="single"/>
          <w:vertAlign w:val="superscript"/>
        </w:rPr>
        <w:footnoteReference w:id="5"/>
      </w:r>
      <w:r w:rsidR="006174D9" w:rsidRPr="006174D9">
        <w:rPr>
          <w:rFonts w:eastAsiaTheme="minorHAnsi"/>
          <w:sz w:val="22"/>
          <w:szCs w:val="22"/>
          <w:vertAlign w:val="superscript"/>
        </w:rPr>
        <w:t>/</w:t>
      </w:r>
      <w:r w:rsidR="00E12BDF" w:rsidRPr="00661424">
        <w:rPr>
          <w:rFonts w:eastAsiaTheme="minorHAnsi"/>
          <w:sz w:val="22"/>
          <w:szCs w:val="22"/>
        </w:rPr>
        <w:t xml:space="preserve"> haven been recently launched in LAC, reaching 16</w:t>
      </w:r>
      <w:r w:rsidR="00602399" w:rsidRPr="00661424">
        <w:rPr>
          <w:rFonts w:eastAsiaTheme="minorHAnsi"/>
          <w:sz w:val="22"/>
          <w:szCs w:val="22"/>
        </w:rPr>
        <w:t xml:space="preserve"> by 2021</w:t>
      </w:r>
      <w:r w:rsidR="00E12BDF" w:rsidRPr="00661424">
        <w:rPr>
          <w:rFonts w:eastAsiaTheme="minorHAnsi"/>
          <w:sz w:val="22"/>
          <w:szCs w:val="22"/>
        </w:rPr>
        <w:t>, with companies based in Argentina, Brazil, Chile, Colombia, Mexico, and Uruguay.</w:t>
      </w:r>
      <w:r w:rsidR="00E12BDF" w:rsidRPr="005D4ECD">
        <w:rPr>
          <w:rStyle w:val="FootnoteReference"/>
          <w:rFonts w:eastAsiaTheme="minorHAnsi"/>
          <w:sz w:val="22"/>
          <w:szCs w:val="22"/>
          <w:u w:val="single"/>
        </w:rPr>
        <w:footnoteReference w:id="6"/>
      </w:r>
      <w:r w:rsidR="005D4ECD" w:rsidRPr="005D4ECD">
        <w:rPr>
          <w:rFonts w:eastAsiaTheme="minorHAnsi"/>
          <w:sz w:val="22"/>
          <w:szCs w:val="22"/>
          <w:vertAlign w:val="superscript"/>
        </w:rPr>
        <w:t>/</w:t>
      </w:r>
      <w:r w:rsidR="00E12BDF" w:rsidRPr="005D4ECD">
        <w:rPr>
          <w:rFonts w:eastAsiaTheme="minorHAnsi"/>
          <w:sz w:val="22"/>
          <w:szCs w:val="22"/>
          <w:vertAlign w:val="superscript"/>
        </w:rPr>
        <w:t xml:space="preserve"> </w:t>
      </w:r>
      <w:r w:rsidR="00E12BDF" w:rsidRPr="00661424">
        <w:rPr>
          <w:rFonts w:eastAsiaTheme="minorHAnsi"/>
          <w:sz w:val="22"/>
          <w:szCs w:val="22"/>
        </w:rPr>
        <w:t>Despite the uncertainty brought on by the C</w:t>
      </w:r>
      <w:r w:rsidR="00B36279">
        <w:rPr>
          <w:rFonts w:eastAsiaTheme="minorHAnsi"/>
          <w:sz w:val="22"/>
          <w:szCs w:val="22"/>
        </w:rPr>
        <w:t>OVID-</w:t>
      </w:r>
      <w:r w:rsidR="00E12BDF" w:rsidRPr="00661424">
        <w:rPr>
          <w:rFonts w:eastAsiaTheme="minorHAnsi"/>
          <w:sz w:val="22"/>
          <w:szCs w:val="22"/>
        </w:rPr>
        <w:t>19 pandemic, 2020 marked a record year for tech startups in Latin America and the Caribbean with tech companies raising a record $4.2B in funding across more than 370 deals.</w:t>
      </w:r>
      <w:r w:rsidR="00E12BDF" w:rsidRPr="005D4ECD">
        <w:rPr>
          <w:rFonts w:eastAsiaTheme="minorHAnsi"/>
          <w:sz w:val="22"/>
          <w:szCs w:val="22"/>
          <w:u w:val="single"/>
          <w:vertAlign w:val="superscript"/>
        </w:rPr>
        <w:footnoteReference w:id="7"/>
      </w:r>
      <w:r w:rsidR="005D4ECD" w:rsidRPr="005D4ECD">
        <w:rPr>
          <w:rFonts w:eastAsiaTheme="minorHAnsi"/>
          <w:sz w:val="22"/>
          <w:szCs w:val="22"/>
          <w:vertAlign w:val="superscript"/>
        </w:rPr>
        <w:t>/</w:t>
      </w:r>
    </w:p>
    <w:p w14:paraId="7325521B" w14:textId="77777777" w:rsidR="00EE4B48" w:rsidRDefault="00EE4B48" w:rsidP="006A0998">
      <w:pPr>
        <w:jc w:val="both"/>
        <w:rPr>
          <w:rFonts w:eastAsiaTheme="minorHAnsi"/>
          <w:sz w:val="22"/>
          <w:szCs w:val="22"/>
        </w:rPr>
      </w:pPr>
    </w:p>
    <w:p w14:paraId="551028B5" w14:textId="7E90B763" w:rsidR="00E12BDF" w:rsidRPr="00E12BDF" w:rsidRDefault="00B71785" w:rsidP="006A0998">
      <w:pPr>
        <w:ind w:firstLine="720"/>
        <w:jc w:val="both"/>
        <w:rPr>
          <w:rFonts w:eastAsiaTheme="minorHAnsi"/>
          <w:sz w:val="22"/>
          <w:szCs w:val="22"/>
        </w:rPr>
      </w:pPr>
      <w:r w:rsidRPr="00661424">
        <w:rPr>
          <w:rFonts w:eastAsiaTheme="minorHAnsi"/>
          <w:sz w:val="22"/>
          <w:szCs w:val="22"/>
        </w:rPr>
        <w:t xml:space="preserve">There </w:t>
      </w:r>
      <w:r w:rsidR="00423375">
        <w:rPr>
          <w:rFonts w:eastAsiaTheme="minorHAnsi"/>
          <w:sz w:val="22"/>
          <w:szCs w:val="22"/>
        </w:rPr>
        <w:t>is still</w:t>
      </w:r>
      <w:r w:rsidR="00EE4B48">
        <w:rPr>
          <w:rFonts w:eastAsiaTheme="minorHAnsi"/>
          <w:sz w:val="22"/>
          <w:szCs w:val="22"/>
        </w:rPr>
        <w:t xml:space="preserve">, however, </w:t>
      </w:r>
      <w:r w:rsidR="00423375">
        <w:rPr>
          <w:rFonts w:eastAsiaTheme="minorHAnsi"/>
          <w:sz w:val="22"/>
          <w:szCs w:val="22"/>
        </w:rPr>
        <w:t>a</w:t>
      </w:r>
      <w:r w:rsidRPr="00661424">
        <w:rPr>
          <w:rFonts w:eastAsiaTheme="minorHAnsi"/>
          <w:sz w:val="22"/>
          <w:szCs w:val="22"/>
        </w:rPr>
        <w:t>n important gap to make access to capital funding more inclusive</w:t>
      </w:r>
      <w:r w:rsidR="00EE4B48">
        <w:rPr>
          <w:rFonts w:eastAsiaTheme="minorHAnsi"/>
          <w:sz w:val="22"/>
          <w:szCs w:val="22"/>
        </w:rPr>
        <w:t xml:space="preserve"> in the Americas</w:t>
      </w:r>
      <w:r w:rsidRPr="00661424">
        <w:rPr>
          <w:rFonts w:eastAsiaTheme="minorHAnsi"/>
          <w:sz w:val="22"/>
          <w:szCs w:val="22"/>
        </w:rPr>
        <w:t xml:space="preserve">. </w:t>
      </w:r>
      <w:r w:rsidR="00602399" w:rsidRPr="00661424">
        <w:rPr>
          <w:rFonts w:eastAsiaTheme="minorHAnsi"/>
          <w:sz w:val="22"/>
          <w:szCs w:val="22"/>
        </w:rPr>
        <w:t xml:space="preserve">In the United States, for instance, </w:t>
      </w:r>
      <w:r w:rsidR="00602399" w:rsidRPr="00661424">
        <w:rPr>
          <w:color w:val="000000"/>
          <w:sz w:val="22"/>
          <w:szCs w:val="22"/>
        </w:rPr>
        <w:t xml:space="preserve">companies led by </w:t>
      </w:r>
      <w:r w:rsidR="00351BC4" w:rsidRPr="00661424">
        <w:rPr>
          <w:color w:val="000000"/>
          <w:sz w:val="22"/>
          <w:szCs w:val="22"/>
        </w:rPr>
        <w:t xml:space="preserve">female </w:t>
      </w:r>
      <w:r w:rsidR="00602399" w:rsidRPr="00661424">
        <w:rPr>
          <w:color w:val="000000"/>
          <w:sz w:val="22"/>
          <w:szCs w:val="22"/>
        </w:rPr>
        <w:t xml:space="preserve">entrepreneurs raised only around </w:t>
      </w:r>
      <w:r w:rsidR="00351BC4" w:rsidRPr="00661424">
        <w:rPr>
          <w:color w:val="000000"/>
          <w:sz w:val="22"/>
          <w:szCs w:val="22"/>
        </w:rPr>
        <w:t>2.2% of the total capital invested in venture-backed startups in the U</w:t>
      </w:r>
      <w:r w:rsidR="002E3DDA" w:rsidRPr="00661424">
        <w:rPr>
          <w:color w:val="000000"/>
          <w:sz w:val="22"/>
          <w:szCs w:val="22"/>
        </w:rPr>
        <w:t>nited States in 2020</w:t>
      </w:r>
      <w:r w:rsidR="00351BC4" w:rsidRPr="00661424">
        <w:rPr>
          <w:color w:val="000000"/>
          <w:sz w:val="22"/>
          <w:szCs w:val="22"/>
        </w:rPr>
        <w:t>.</w:t>
      </w:r>
      <w:r w:rsidR="002E3DDA" w:rsidRPr="005D4ECD">
        <w:rPr>
          <w:rStyle w:val="FootnoteReference"/>
          <w:color w:val="000000"/>
          <w:sz w:val="22"/>
          <w:szCs w:val="22"/>
          <w:u w:val="single"/>
        </w:rPr>
        <w:footnoteReference w:id="8"/>
      </w:r>
      <w:r w:rsidR="005D4ECD" w:rsidRPr="005D4ECD">
        <w:rPr>
          <w:color w:val="000000"/>
          <w:sz w:val="22"/>
          <w:szCs w:val="22"/>
          <w:vertAlign w:val="superscript"/>
        </w:rPr>
        <w:t>/</w:t>
      </w:r>
      <w:r w:rsidR="00351BC4" w:rsidRPr="005D4ECD">
        <w:rPr>
          <w:color w:val="000000"/>
          <w:sz w:val="22"/>
          <w:szCs w:val="22"/>
          <w:vertAlign w:val="superscript"/>
        </w:rPr>
        <w:t xml:space="preserve"> </w:t>
      </w:r>
      <w:r w:rsidR="002E3DDA" w:rsidRPr="00661424">
        <w:rPr>
          <w:color w:val="000000"/>
          <w:sz w:val="22"/>
          <w:szCs w:val="22"/>
        </w:rPr>
        <w:t>The gap widens when minority-led start-ups are involved, with more limited access to venture capital for women entrepreneurs from African American (0.2%) or Latin descend (0.4%).</w:t>
      </w:r>
      <w:r w:rsidR="002E3DDA" w:rsidRPr="005D4ECD">
        <w:rPr>
          <w:rStyle w:val="FootnoteReference"/>
          <w:rFonts w:eastAsiaTheme="minorHAnsi"/>
          <w:sz w:val="22"/>
          <w:szCs w:val="22"/>
          <w:u w:val="single"/>
        </w:rPr>
        <w:footnoteReference w:id="9"/>
      </w:r>
      <w:r w:rsidR="005D4ECD" w:rsidRPr="005D4ECD">
        <w:rPr>
          <w:color w:val="000000"/>
          <w:sz w:val="22"/>
          <w:szCs w:val="22"/>
          <w:vertAlign w:val="superscript"/>
        </w:rPr>
        <w:t>/</w:t>
      </w:r>
      <w:r w:rsidR="00EE4B48">
        <w:rPr>
          <w:color w:val="000000"/>
          <w:sz w:val="22"/>
          <w:szCs w:val="22"/>
        </w:rPr>
        <w:t xml:space="preserve"> </w:t>
      </w:r>
      <w:r w:rsidR="00E12BDF" w:rsidRPr="00E12BDF">
        <w:rPr>
          <w:rFonts w:eastAsiaTheme="minorHAnsi"/>
          <w:sz w:val="22"/>
          <w:szCs w:val="22"/>
        </w:rPr>
        <w:t>While integral development strategies cannot be built only around start-ups, the availability of a diverse, inclusive and accessible funding mechanisms is critical for start-up companies, SMEs and large companies, to develop innovation-driven solutions and businesses that can complement governmental efforts to address inclusive development imperatives and pursue post-COVID</w:t>
      </w:r>
      <w:r w:rsidR="006C48D7">
        <w:rPr>
          <w:rFonts w:eastAsiaTheme="minorHAnsi"/>
          <w:sz w:val="22"/>
          <w:szCs w:val="22"/>
        </w:rPr>
        <w:t xml:space="preserve"> </w:t>
      </w:r>
      <w:r w:rsidR="00E12BDF" w:rsidRPr="00E12BDF">
        <w:rPr>
          <w:rFonts w:eastAsiaTheme="minorHAnsi"/>
          <w:sz w:val="22"/>
          <w:szCs w:val="22"/>
        </w:rPr>
        <w:t>recovery efforts.</w:t>
      </w:r>
    </w:p>
    <w:p w14:paraId="55571647" w14:textId="77777777" w:rsidR="007147F0" w:rsidRPr="00A21F96" w:rsidRDefault="007147F0" w:rsidP="006A0998">
      <w:pPr>
        <w:ind w:firstLine="720"/>
        <w:jc w:val="both"/>
        <w:rPr>
          <w:rFonts w:eastAsia="Calibri"/>
          <w:bCs/>
          <w:sz w:val="22"/>
          <w:szCs w:val="22"/>
        </w:rPr>
      </w:pPr>
    </w:p>
    <w:p w14:paraId="59A074F4" w14:textId="56453DFC" w:rsidR="00723EE9" w:rsidRDefault="00601668" w:rsidP="006A0998">
      <w:pPr>
        <w:numPr>
          <w:ilvl w:val="0"/>
          <w:numId w:val="10"/>
        </w:numPr>
        <w:ind w:left="0" w:firstLine="0"/>
        <w:rPr>
          <w:rFonts w:eastAsia="Calibri"/>
          <w:b/>
          <w:sz w:val="22"/>
          <w:szCs w:val="22"/>
        </w:rPr>
      </w:pPr>
      <w:r>
        <w:rPr>
          <w:rFonts w:eastAsia="Calibri"/>
          <w:b/>
          <w:sz w:val="22"/>
          <w:szCs w:val="22"/>
        </w:rPr>
        <w:t>Purpose</w:t>
      </w:r>
      <w:r w:rsidR="00EF772D">
        <w:rPr>
          <w:rFonts w:eastAsia="Calibri"/>
          <w:b/>
          <w:sz w:val="22"/>
          <w:szCs w:val="22"/>
        </w:rPr>
        <w:t xml:space="preserve"> of the </w:t>
      </w:r>
      <w:r w:rsidR="005D4ECD">
        <w:rPr>
          <w:rFonts w:eastAsia="Calibri"/>
          <w:b/>
          <w:sz w:val="22"/>
          <w:szCs w:val="22"/>
        </w:rPr>
        <w:t>m</w:t>
      </w:r>
      <w:r w:rsidR="00EF772D">
        <w:rPr>
          <w:rFonts w:eastAsia="Calibri"/>
          <w:b/>
          <w:sz w:val="22"/>
          <w:szCs w:val="22"/>
        </w:rPr>
        <w:t>eeting</w:t>
      </w:r>
    </w:p>
    <w:p w14:paraId="7514AFD0" w14:textId="35A9BF11" w:rsidR="00F35671" w:rsidRDefault="00F35671" w:rsidP="006A0998">
      <w:pPr>
        <w:rPr>
          <w:rFonts w:eastAsia="Calibri"/>
          <w:b/>
          <w:sz w:val="22"/>
          <w:szCs w:val="22"/>
        </w:rPr>
      </w:pPr>
    </w:p>
    <w:p w14:paraId="54F32CFC" w14:textId="7C88226E" w:rsidR="00F35671" w:rsidRPr="009560BF" w:rsidRDefault="006A0998" w:rsidP="006A0998">
      <w:pPr>
        <w:pStyle w:val="NormalWeb"/>
        <w:tabs>
          <w:tab w:val="left" w:pos="720"/>
          <w:tab w:val="left" w:pos="1440"/>
        </w:tabs>
        <w:spacing w:before="0" w:beforeAutospacing="0" w:after="0" w:afterAutospacing="0"/>
        <w:jc w:val="both"/>
        <w:rPr>
          <w:rFonts w:eastAsiaTheme="minorHAnsi"/>
          <w:sz w:val="22"/>
          <w:szCs w:val="22"/>
        </w:rPr>
      </w:pPr>
      <w:bookmarkStart w:id="0" w:name="_Hlk77271427"/>
      <w:r>
        <w:rPr>
          <w:rFonts w:eastAsiaTheme="minorHAnsi"/>
          <w:sz w:val="22"/>
          <w:szCs w:val="22"/>
        </w:rPr>
        <w:tab/>
      </w:r>
      <w:r w:rsidR="00F35671" w:rsidRPr="0004458F">
        <w:rPr>
          <w:rFonts w:eastAsiaTheme="minorHAnsi"/>
          <w:sz w:val="22"/>
          <w:szCs w:val="22"/>
        </w:rPr>
        <w:t>The</w:t>
      </w:r>
      <w:r w:rsidR="0004458F" w:rsidRPr="0004458F">
        <w:rPr>
          <w:rFonts w:eastAsiaTheme="minorHAnsi"/>
          <w:sz w:val="22"/>
          <w:szCs w:val="22"/>
        </w:rPr>
        <w:t xml:space="preserve"> CIDI</w:t>
      </w:r>
      <w:r w:rsidR="00F35671" w:rsidRPr="0004458F">
        <w:rPr>
          <w:rFonts w:eastAsiaTheme="minorHAnsi"/>
          <w:sz w:val="22"/>
          <w:szCs w:val="22"/>
        </w:rPr>
        <w:t xml:space="preserve"> meeting will be a space for member states to share experiences, good practices and offers of collaboration on innovative mechanisms to finance innovation and business development to enhance inclusion and diversity of sources and beneficiaries. The meeting will feature examples of</w:t>
      </w:r>
      <w:r w:rsidR="0004458F">
        <w:rPr>
          <w:rFonts w:eastAsiaTheme="minorHAnsi"/>
          <w:sz w:val="22"/>
          <w:szCs w:val="22"/>
        </w:rPr>
        <w:t xml:space="preserve"> </w:t>
      </w:r>
      <w:r w:rsidR="00423375">
        <w:rPr>
          <w:rFonts w:eastAsiaTheme="minorHAnsi"/>
          <w:sz w:val="22"/>
          <w:szCs w:val="22"/>
        </w:rPr>
        <w:t>approaches</w:t>
      </w:r>
      <w:r w:rsidR="00F35671" w:rsidRPr="0004458F">
        <w:rPr>
          <w:rFonts w:eastAsiaTheme="minorHAnsi"/>
          <w:sz w:val="22"/>
          <w:szCs w:val="22"/>
        </w:rPr>
        <w:t xml:space="preserve"> to </w:t>
      </w:r>
      <w:r w:rsidR="00423375">
        <w:rPr>
          <w:rFonts w:eastAsiaTheme="minorHAnsi"/>
          <w:sz w:val="22"/>
          <w:szCs w:val="22"/>
        </w:rPr>
        <w:t xml:space="preserve">improve </w:t>
      </w:r>
      <w:r w:rsidR="00F35671" w:rsidRPr="0004458F">
        <w:rPr>
          <w:rFonts w:eastAsiaTheme="minorHAnsi"/>
          <w:sz w:val="22"/>
          <w:szCs w:val="22"/>
        </w:rPr>
        <w:t xml:space="preserve">financial inclusion for innovation; technology driven </w:t>
      </w:r>
      <w:r w:rsidR="00423375">
        <w:rPr>
          <w:rFonts w:eastAsiaTheme="minorHAnsi"/>
          <w:sz w:val="22"/>
          <w:szCs w:val="22"/>
        </w:rPr>
        <w:t xml:space="preserve">solutions </w:t>
      </w:r>
      <w:r w:rsidR="00F35671" w:rsidRPr="0004458F">
        <w:rPr>
          <w:rFonts w:eastAsiaTheme="minorHAnsi"/>
          <w:sz w:val="22"/>
          <w:szCs w:val="22"/>
        </w:rPr>
        <w:t xml:space="preserve">to expand the availability of capital and reach across different regions </w:t>
      </w:r>
      <w:r w:rsidR="0004458F" w:rsidRPr="0004458F">
        <w:rPr>
          <w:rFonts w:eastAsiaTheme="minorHAnsi"/>
          <w:sz w:val="22"/>
          <w:szCs w:val="22"/>
        </w:rPr>
        <w:t xml:space="preserve">and communities </w:t>
      </w:r>
      <w:r w:rsidR="00F35671" w:rsidRPr="0004458F">
        <w:rPr>
          <w:rFonts w:eastAsiaTheme="minorHAnsi"/>
          <w:sz w:val="22"/>
          <w:szCs w:val="22"/>
        </w:rPr>
        <w:t xml:space="preserve">within a country. Moreover, it will be an opportunity to identify the gaps and needs of member states and from the perspective of private sector, </w:t>
      </w:r>
      <w:proofErr w:type="gramStart"/>
      <w:r w:rsidR="00F35671" w:rsidRPr="0004458F">
        <w:rPr>
          <w:rFonts w:eastAsiaTheme="minorHAnsi"/>
          <w:sz w:val="22"/>
          <w:szCs w:val="22"/>
        </w:rPr>
        <w:t>entrepreneurs</w:t>
      </w:r>
      <w:proofErr w:type="gramEnd"/>
      <w:r w:rsidR="00F35671" w:rsidRPr="0004458F">
        <w:rPr>
          <w:rFonts w:eastAsiaTheme="minorHAnsi"/>
          <w:sz w:val="22"/>
          <w:szCs w:val="22"/>
        </w:rPr>
        <w:t xml:space="preserve"> and financial institutions. The focus will be on offers of collaboration and initiatives of cooperation to support OAS member states.</w:t>
      </w:r>
    </w:p>
    <w:bookmarkEnd w:id="0"/>
    <w:p w14:paraId="06904A93" w14:textId="77777777" w:rsidR="00BA0EED" w:rsidRPr="009560BF" w:rsidRDefault="00BA0EED" w:rsidP="006A0998">
      <w:pPr>
        <w:tabs>
          <w:tab w:val="left" w:pos="720"/>
          <w:tab w:val="left" w:pos="1440"/>
        </w:tabs>
        <w:ind w:left="720" w:firstLine="720"/>
        <w:jc w:val="both"/>
        <w:rPr>
          <w:sz w:val="22"/>
          <w:szCs w:val="22"/>
        </w:rPr>
      </w:pPr>
    </w:p>
    <w:p w14:paraId="127A2F1F" w14:textId="5ED08303" w:rsidR="00601668" w:rsidRPr="0030650A" w:rsidRDefault="00601668" w:rsidP="006A0998">
      <w:pPr>
        <w:tabs>
          <w:tab w:val="left" w:pos="720"/>
          <w:tab w:val="left" w:pos="1440"/>
          <w:tab w:val="left" w:pos="2160"/>
        </w:tabs>
        <w:ind w:left="720" w:hanging="720"/>
        <w:jc w:val="both"/>
        <w:rPr>
          <w:b/>
          <w:sz w:val="22"/>
          <w:szCs w:val="22"/>
        </w:rPr>
      </w:pPr>
      <w:r>
        <w:rPr>
          <w:b/>
          <w:sz w:val="22"/>
          <w:szCs w:val="22"/>
        </w:rPr>
        <w:t>3.</w:t>
      </w:r>
      <w:r w:rsidR="00BC3CED">
        <w:rPr>
          <w:b/>
          <w:sz w:val="22"/>
          <w:szCs w:val="22"/>
        </w:rPr>
        <w:tab/>
      </w:r>
      <w:r w:rsidRPr="0030650A">
        <w:rPr>
          <w:b/>
          <w:sz w:val="22"/>
          <w:szCs w:val="22"/>
        </w:rPr>
        <w:t xml:space="preserve">Relevance to </w:t>
      </w:r>
      <w:r>
        <w:rPr>
          <w:b/>
          <w:sz w:val="22"/>
          <w:szCs w:val="22"/>
        </w:rPr>
        <w:t>the Executive Secretariat for Integral Development (</w:t>
      </w:r>
      <w:r w:rsidRPr="0030650A">
        <w:rPr>
          <w:b/>
          <w:sz w:val="22"/>
          <w:szCs w:val="22"/>
        </w:rPr>
        <w:t>SEDI</w:t>
      </w:r>
      <w:r>
        <w:rPr>
          <w:b/>
          <w:sz w:val="22"/>
          <w:szCs w:val="22"/>
        </w:rPr>
        <w:t xml:space="preserve">) and OAS </w:t>
      </w:r>
      <w:r w:rsidR="005D4ECD">
        <w:rPr>
          <w:b/>
          <w:sz w:val="22"/>
          <w:szCs w:val="22"/>
        </w:rPr>
        <w:t>m</w:t>
      </w:r>
      <w:r>
        <w:rPr>
          <w:b/>
          <w:sz w:val="22"/>
          <w:szCs w:val="22"/>
        </w:rPr>
        <w:t>andates</w:t>
      </w:r>
    </w:p>
    <w:p w14:paraId="42620451" w14:textId="3B83C41F" w:rsidR="00C53DB0" w:rsidRPr="006B1932" w:rsidRDefault="00C53DB0" w:rsidP="006A0998">
      <w:pPr>
        <w:tabs>
          <w:tab w:val="left" w:pos="720"/>
          <w:tab w:val="left" w:pos="1440"/>
        </w:tabs>
        <w:rPr>
          <w:sz w:val="22"/>
          <w:szCs w:val="22"/>
          <w:u w:val="single"/>
        </w:rPr>
      </w:pPr>
    </w:p>
    <w:p w14:paraId="0EFC82E8" w14:textId="71938FB2" w:rsidR="004B301B" w:rsidRDefault="00055019" w:rsidP="006A0998">
      <w:pPr>
        <w:tabs>
          <w:tab w:val="left" w:pos="720"/>
          <w:tab w:val="left" w:pos="2955"/>
        </w:tabs>
        <w:jc w:val="both"/>
        <w:rPr>
          <w:sz w:val="22"/>
          <w:szCs w:val="22"/>
        </w:rPr>
      </w:pPr>
      <w:r>
        <w:rPr>
          <w:sz w:val="22"/>
          <w:szCs w:val="22"/>
        </w:rPr>
        <w:tab/>
      </w:r>
      <w:r w:rsidR="004B301B">
        <w:rPr>
          <w:sz w:val="22"/>
          <w:szCs w:val="22"/>
        </w:rPr>
        <w:t>T</w:t>
      </w:r>
      <w:r w:rsidR="004B301B" w:rsidRPr="009560BF">
        <w:rPr>
          <w:sz w:val="22"/>
          <w:szCs w:val="22"/>
        </w:rPr>
        <w:t>he Inter-American Committee on Science and Technology (COMCYT)</w:t>
      </w:r>
      <w:r w:rsidR="004B301B">
        <w:rPr>
          <w:sz w:val="22"/>
          <w:szCs w:val="22"/>
        </w:rPr>
        <w:t xml:space="preserve"> agreed on the </w:t>
      </w:r>
      <w:r w:rsidR="004B301B" w:rsidRPr="009560BF">
        <w:rPr>
          <w:sz w:val="22"/>
          <w:szCs w:val="22"/>
        </w:rPr>
        <w:t xml:space="preserve">main theme of the VI REMCYT: “Harnessing the </w:t>
      </w:r>
      <w:r w:rsidR="004B301B" w:rsidRPr="00082E10">
        <w:rPr>
          <w:sz w:val="22"/>
          <w:szCs w:val="22"/>
        </w:rPr>
        <w:t xml:space="preserve">Power of Transformative Science and Technologies to Drive our Communities Forward.” One of the subthemes is </w:t>
      </w:r>
      <w:r w:rsidR="0004458F">
        <w:rPr>
          <w:sz w:val="22"/>
          <w:szCs w:val="22"/>
        </w:rPr>
        <w:t>“</w:t>
      </w:r>
      <w:r w:rsidR="0004458F" w:rsidRPr="0004458F">
        <w:rPr>
          <w:sz w:val="22"/>
          <w:szCs w:val="22"/>
        </w:rPr>
        <w:t>Effective public-private-academia collaboration to enhance competitiveness and quality of life</w:t>
      </w:r>
      <w:r w:rsidR="00BA0EED" w:rsidRPr="0004458F">
        <w:rPr>
          <w:sz w:val="22"/>
          <w:szCs w:val="22"/>
        </w:rPr>
        <w:t xml:space="preserve">” </w:t>
      </w:r>
      <w:r w:rsidR="004B301B" w:rsidRPr="0004458F">
        <w:rPr>
          <w:sz w:val="22"/>
          <w:szCs w:val="22"/>
        </w:rPr>
        <w:t xml:space="preserve">which is the </w:t>
      </w:r>
      <w:r w:rsidR="00BA0EED" w:rsidRPr="0004458F">
        <w:rPr>
          <w:sz w:val="22"/>
          <w:szCs w:val="22"/>
        </w:rPr>
        <w:t>topic under consideration f</w:t>
      </w:r>
      <w:r w:rsidR="004B301B" w:rsidRPr="0004458F">
        <w:rPr>
          <w:sz w:val="22"/>
          <w:szCs w:val="22"/>
        </w:rPr>
        <w:t>or this CIDI Meeting</w:t>
      </w:r>
      <w:r w:rsidR="00BA0EED" w:rsidRPr="0004458F">
        <w:rPr>
          <w:sz w:val="22"/>
          <w:szCs w:val="22"/>
        </w:rPr>
        <w:t xml:space="preserve"> with a focus on</w:t>
      </w:r>
      <w:r w:rsidR="004B6550">
        <w:rPr>
          <w:sz w:val="22"/>
          <w:szCs w:val="22"/>
        </w:rPr>
        <w:t xml:space="preserve"> </w:t>
      </w:r>
      <w:r w:rsidR="0004458F">
        <w:rPr>
          <w:sz w:val="22"/>
          <w:szCs w:val="22"/>
        </w:rPr>
        <w:t>financing innovation</w:t>
      </w:r>
      <w:r w:rsidR="004B301B">
        <w:rPr>
          <w:sz w:val="22"/>
          <w:szCs w:val="22"/>
        </w:rPr>
        <w:t xml:space="preserve">. </w:t>
      </w:r>
    </w:p>
    <w:p w14:paraId="0836C072" w14:textId="77777777" w:rsidR="004B301B" w:rsidRDefault="004B301B" w:rsidP="006A0998">
      <w:pPr>
        <w:tabs>
          <w:tab w:val="left" w:pos="720"/>
          <w:tab w:val="left" w:pos="1440"/>
        </w:tabs>
        <w:jc w:val="both"/>
        <w:rPr>
          <w:sz w:val="22"/>
          <w:szCs w:val="22"/>
        </w:rPr>
      </w:pPr>
    </w:p>
    <w:p w14:paraId="5CB58B58" w14:textId="3C7FB13F" w:rsidR="00723EE9" w:rsidRPr="00103208" w:rsidRDefault="00055019" w:rsidP="006A0998">
      <w:pPr>
        <w:tabs>
          <w:tab w:val="left" w:pos="720"/>
          <w:tab w:val="left" w:pos="1440"/>
        </w:tabs>
        <w:jc w:val="both"/>
        <w:rPr>
          <w:bCs/>
          <w:sz w:val="22"/>
          <w:szCs w:val="22"/>
        </w:rPr>
      </w:pPr>
      <w:r>
        <w:rPr>
          <w:sz w:val="22"/>
          <w:szCs w:val="22"/>
        </w:rPr>
        <w:tab/>
      </w:r>
      <w:r w:rsidR="00723EE9" w:rsidRPr="00723EE9">
        <w:rPr>
          <w:sz w:val="22"/>
          <w:szCs w:val="22"/>
        </w:rPr>
        <w:t xml:space="preserve">“Promoting inclusive and competitive economies” is one of the strategic lines for Integral Development in the OAS Comprehensive Strategic Plan </w:t>
      </w:r>
      <w:r w:rsidR="00723EE9" w:rsidRPr="00723EE9">
        <w:rPr>
          <w:b/>
          <w:color w:val="171717"/>
          <w:sz w:val="22"/>
          <w:szCs w:val="22"/>
        </w:rPr>
        <w:t>(AG/RES.1 (LI-E/16)</w:t>
      </w:r>
      <w:r w:rsidR="00723EE9" w:rsidRPr="00723EE9">
        <w:rPr>
          <w:color w:val="171717"/>
          <w:sz w:val="22"/>
          <w:szCs w:val="22"/>
        </w:rPr>
        <w:t xml:space="preserve">. One of its </w:t>
      </w:r>
      <w:r w:rsidR="00723EE9" w:rsidRPr="00723EE9">
        <w:rPr>
          <w:sz w:val="22"/>
          <w:szCs w:val="22"/>
        </w:rPr>
        <w:t>Strategic Objectives (1.3) is to: “Increase cooperation for strengthening member States institutional capacities on</w:t>
      </w:r>
      <w:r w:rsidR="00723EE9" w:rsidRPr="00723EE9">
        <w:rPr>
          <w:b/>
          <w:sz w:val="22"/>
          <w:szCs w:val="22"/>
        </w:rPr>
        <w:t xml:space="preserve"> </w:t>
      </w:r>
      <w:r w:rsidR="00723EE9" w:rsidRPr="00103208">
        <w:rPr>
          <w:bCs/>
          <w:sz w:val="22"/>
          <w:szCs w:val="22"/>
        </w:rPr>
        <w:t>incorporating innovation and transformative technology to create added value and diversification in their economies in a sustainable and inclusive fashion.”</w:t>
      </w:r>
    </w:p>
    <w:p w14:paraId="3BAF93F9" w14:textId="77777777" w:rsidR="00723EE9" w:rsidRPr="00723EE9" w:rsidRDefault="00723EE9" w:rsidP="006A0998">
      <w:pPr>
        <w:jc w:val="both"/>
        <w:rPr>
          <w:sz w:val="22"/>
          <w:szCs w:val="22"/>
        </w:rPr>
      </w:pPr>
    </w:p>
    <w:p w14:paraId="34BF47ED" w14:textId="607B5C7C" w:rsidR="004B6550" w:rsidRPr="005D4ECD" w:rsidRDefault="00FF48BA" w:rsidP="005D4ECD">
      <w:pPr>
        <w:ind w:firstLine="720"/>
        <w:jc w:val="both"/>
        <w:rPr>
          <w:b/>
          <w:bCs/>
          <w:sz w:val="22"/>
          <w:szCs w:val="22"/>
        </w:rPr>
      </w:pPr>
      <w:r w:rsidRPr="005D4ECD">
        <w:rPr>
          <w:sz w:val="22"/>
          <w:szCs w:val="22"/>
        </w:rPr>
        <w:t>The</w:t>
      </w:r>
      <w:r w:rsidR="008260C9" w:rsidRPr="005D4ECD">
        <w:rPr>
          <w:sz w:val="22"/>
          <w:szCs w:val="22"/>
        </w:rPr>
        <w:t xml:space="preserve"> </w:t>
      </w:r>
      <w:r w:rsidR="005D4ECD" w:rsidRPr="005D4ECD">
        <w:rPr>
          <w:sz w:val="22"/>
          <w:szCs w:val="22"/>
        </w:rPr>
        <w:t>r</w:t>
      </w:r>
      <w:r w:rsidR="00B40DC8" w:rsidRPr="005D4ECD">
        <w:rPr>
          <w:sz w:val="22"/>
          <w:szCs w:val="22"/>
        </w:rPr>
        <w:t>esolution</w:t>
      </w:r>
      <w:r w:rsidR="00B40DC8" w:rsidRPr="00FF48BA">
        <w:rPr>
          <w:b/>
          <w:bCs/>
          <w:sz w:val="22"/>
          <w:szCs w:val="22"/>
        </w:rPr>
        <w:t xml:space="preserve"> </w:t>
      </w:r>
      <w:r w:rsidR="005D4ECD">
        <w:rPr>
          <w:b/>
          <w:bCs/>
          <w:sz w:val="22"/>
          <w:szCs w:val="22"/>
        </w:rPr>
        <w:t>“</w:t>
      </w:r>
      <w:r w:rsidR="00B40DC8" w:rsidRPr="00FF48BA">
        <w:rPr>
          <w:b/>
          <w:bCs/>
          <w:sz w:val="22"/>
          <w:szCs w:val="22"/>
        </w:rPr>
        <w:t>Advancing Hemispheric Initiatives on Integral Development</w:t>
      </w:r>
      <w:r w:rsidR="005D4ECD">
        <w:rPr>
          <w:b/>
          <w:bCs/>
          <w:sz w:val="22"/>
          <w:szCs w:val="22"/>
        </w:rPr>
        <w:t xml:space="preserve">: Promoting Resilience” </w:t>
      </w:r>
      <w:r w:rsidR="006B4518" w:rsidRPr="006B4518">
        <w:rPr>
          <w:sz w:val="22"/>
          <w:szCs w:val="22"/>
        </w:rPr>
        <w:t xml:space="preserve">approved </w:t>
      </w:r>
      <w:r w:rsidR="005D4ECD">
        <w:rPr>
          <w:sz w:val="22"/>
          <w:szCs w:val="22"/>
        </w:rPr>
        <w:t>by the</w:t>
      </w:r>
      <w:r w:rsidR="006B4518" w:rsidRPr="006B4518">
        <w:rPr>
          <w:sz w:val="22"/>
          <w:szCs w:val="22"/>
        </w:rPr>
        <w:t xml:space="preserve"> General Assembly</w:t>
      </w:r>
      <w:r w:rsidR="006B4518">
        <w:rPr>
          <w:sz w:val="22"/>
          <w:szCs w:val="22"/>
        </w:rPr>
        <w:t xml:space="preserve"> on </w:t>
      </w:r>
      <w:r w:rsidR="005D4ECD">
        <w:rPr>
          <w:sz w:val="22"/>
          <w:szCs w:val="22"/>
        </w:rPr>
        <w:t xml:space="preserve">its fifty-first regular session, held </w:t>
      </w:r>
      <w:r w:rsidR="006B4518">
        <w:rPr>
          <w:sz w:val="22"/>
          <w:szCs w:val="22"/>
        </w:rPr>
        <w:t xml:space="preserve">November 10-12, 2021, </w:t>
      </w:r>
      <w:r w:rsidR="00B40DC8" w:rsidRPr="00B40DC8">
        <w:rPr>
          <w:sz w:val="22"/>
          <w:szCs w:val="22"/>
        </w:rPr>
        <w:t xml:space="preserve">urges </w:t>
      </w:r>
      <w:r w:rsidR="005D4ECD">
        <w:rPr>
          <w:sz w:val="22"/>
          <w:szCs w:val="22"/>
        </w:rPr>
        <w:t>m</w:t>
      </w:r>
      <w:r w:rsidR="00B40DC8" w:rsidRPr="00B40DC8">
        <w:rPr>
          <w:sz w:val="22"/>
          <w:szCs w:val="22"/>
        </w:rPr>
        <w:t xml:space="preserve">ember </w:t>
      </w:r>
      <w:r w:rsidR="005D4ECD">
        <w:rPr>
          <w:sz w:val="22"/>
          <w:szCs w:val="22"/>
        </w:rPr>
        <w:t>s</w:t>
      </w:r>
      <w:r w:rsidR="00B40DC8" w:rsidRPr="00B40DC8">
        <w:rPr>
          <w:sz w:val="22"/>
          <w:szCs w:val="22"/>
        </w:rPr>
        <w:t xml:space="preserve">tates to </w:t>
      </w:r>
      <w:r w:rsidR="004B6550" w:rsidRPr="004B6550">
        <w:rPr>
          <w:sz w:val="22"/>
          <w:szCs w:val="22"/>
        </w:rPr>
        <w:t>“exchange good practices, experiences, training opportunities, and technical assistance to promote: research, the use and dissemination of transformative science, innovation, knowledge from local, indigenous,  afro descendant, and other ethnic groups; and the voluntary transfer of technology on mutually agreed terms to support post-COVID-19 the implementation of Industry 4.0 technologies and the recovery and digital transformation of member states within the framework of the Inter-American Committee on Science and Technology (COMCYT), with a view to developing concrete and actionable proposals for consideration during the Sixth Meeting of Ministers and High Authorities of Science and Technology (REMCYT).”</w:t>
      </w:r>
    </w:p>
    <w:p w14:paraId="4C958772" w14:textId="77777777" w:rsidR="004B6550" w:rsidRPr="00B40DC8" w:rsidRDefault="004B6550" w:rsidP="006A0998">
      <w:pPr>
        <w:ind w:firstLine="720"/>
        <w:jc w:val="both"/>
        <w:rPr>
          <w:sz w:val="22"/>
          <w:szCs w:val="22"/>
        </w:rPr>
      </w:pPr>
    </w:p>
    <w:p w14:paraId="7E220C95" w14:textId="1AC8A4B4" w:rsidR="00723EE9" w:rsidRPr="00601668" w:rsidRDefault="00601668" w:rsidP="006A0998">
      <w:pPr>
        <w:pStyle w:val="ListParagraph0"/>
        <w:numPr>
          <w:ilvl w:val="0"/>
          <w:numId w:val="18"/>
        </w:numPr>
        <w:ind w:left="720" w:hanging="720"/>
        <w:rPr>
          <w:b/>
          <w:sz w:val="22"/>
          <w:szCs w:val="22"/>
        </w:rPr>
      </w:pPr>
      <w:r w:rsidRPr="00601668">
        <w:rPr>
          <w:b/>
          <w:sz w:val="22"/>
          <w:szCs w:val="22"/>
        </w:rPr>
        <w:t>Structure</w:t>
      </w:r>
      <w:r w:rsidR="003B0B19" w:rsidRPr="00601668">
        <w:rPr>
          <w:b/>
          <w:sz w:val="22"/>
          <w:szCs w:val="22"/>
        </w:rPr>
        <w:t xml:space="preserve"> of the </w:t>
      </w:r>
      <w:r w:rsidR="005D4ECD">
        <w:rPr>
          <w:b/>
          <w:sz w:val="22"/>
          <w:szCs w:val="22"/>
        </w:rPr>
        <w:t>m</w:t>
      </w:r>
      <w:r w:rsidR="00723EE9" w:rsidRPr="00601668">
        <w:rPr>
          <w:b/>
          <w:sz w:val="22"/>
          <w:szCs w:val="22"/>
        </w:rPr>
        <w:t xml:space="preserve">eeting </w:t>
      </w:r>
    </w:p>
    <w:p w14:paraId="1CD6530B" w14:textId="2DA17F24" w:rsidR="00723EE9" w:rsidRPr="00723EE9" w:rsidRDefault="00723EE9" w:rsidP="006A0998">
      <w:pPr>
        <w:jc w:val="both"/>
        <w:rPr>
          <w:rFonts w:eastAsia="Calibri"/>
          <w:sz w:val="22"/>
          <w:szCs w:val="22"/>
        </w:rPr>
      </w:pPr>
    </w:p>
    <w:p w14:paraId="653C7F32" w14:textId="791425D6" w:rsidR="00723EE9" w:rsidRDefault="00DD14D2" w:rsidP="006A0998">
      <w:pPr>
        <w:ind w:firstLine="720"/>
        <w:jc w:val="both"/>
        <w:rPr>
          <w:rFonts w:eastAsia="Calibri"/>
          <w:sz w:val="22"/>
          <w:szCs w:val="22"/>
        </w:rPr>
      </w:pPr>
      <w:r>
        <w:rPr>
          <w:sz w:val="22"/>
          <w:szCs w:val="22"/>
        </w:rPr>
        <w:t xml:space="preserve">Experts will be invited as guest speakers to present </w:t>
      </w:r>
      <w:r w:rsidR="00BA0EED">
        <w:rPr>
          <w:sz w:val="22"/>
          <w:szCs w:val="22"/>
        </w:rPr>
        <w:t xml:space="preserve">experiences on </w:t>
      </w:r>
      <w:r w:rsidR="000533B5">
        <w:rPr>
          <w:sz w:val="22"/>
          <w:szCs w:val="22"/>
        </w:rPr>
        <w:t xml:space="preserve">innovative mechanisms to finance innovation and public-private partnerships to </w:t>
      </w:r>
      <w:r w:rsidR="000533B5" w:rsidRPr="0004458F">
        <w:rPr>
          <w:rFonts w:eastAsiaTheme="minorHAnsi"/>
          <w:sz w:val="22"/>
          <w:szCs w:val="22"/>
        </w:rPr>
        <w:t>enhance inclusion and diversity of sources and beneficiaries</w:t>
      </w:r>
      <w:r w:rsidR="001301D2">
        <w:rPr>
          <w:sz w:val="22"/>
          <w:szCs w:val="22"/>
        </w:rPr>
        <w:t xml:space="preserve"> </w:t>
      </w:r>
      <w:r w:rsidR="00A734B5">
        <w:rPr>
          <w:sz w:val="22"/>
          <w:szCs w:val="22"/>
        </w:rPr>
        <w:t xml:space="preserve">in the entrepreneurial capital industry </w:t>
      </w:r>
      <w:r w:rsidR="001301D2">
        <w:rPr>
          <w:sz w:val="22"/>
          <w:szCs w:val="22"/>
        </w:rPr>
        <w:t xml:space="preserve">to support economic and social development. </w:t>
      </w:r>
    </w:p>
    <w:p w14:paraId="799B1B3A" w14:textId="77777777" w:rsidR="00DD14D2" w:rsidRPr="00723EE9" w:rsidRDefault="00DD14D2" w:rsidP="006A0998">
      <w:pPr>
        <w:ind w:firstLine="720"/>
        <w:jc w:val="both"/>
        <w:rPr>
          <w:rFonts w:eastAsia="Calibri"/>
          <w:sz w:val="22"/>
          <w:szCs w:val="22"/>
        </w:rPr>
      </w:pPr>
    </w:p>
    <w:p w14:paraId="4E707C13" w14:textId="1E635626" w:rsidR="00DD14D2" w:rsidRDefault="00DD14D2" w:rsidP="006A0998">
      <w:pPr>
        <w:ind w:firstLine="720"/>
        <w:jc w:val="both"/>
        <w:rPr>
          <w:sz w:val="22"/>
          <w:szCs w:val="22"/>
        </w:rPr>
      </w:pPr>
      <w:r>
        <w:rPr>
          <w:sz w:val="22"/>
          <w:szCs w:val="22"/>
        </w:rPr>
        <w:t>Member states will be invited to ask questions to the invited experts on their presentations and/or main points covered during their interventions as part an</w:t>
      </w:r>
      <w:r w:rsidRPr="009560BF">
        <w:rPr>
          <w:sz w:val="22"/>
          <w:szCs w:val="22"/>
        </w:rPr>
        <w:t xml:space="preserve"> interactive dialogue guided by the Chair</w:t>
      </w:r>
      <w:r>
        <w:rPr>
          <w:sz w:val="22"/>
          <w:szCs w:val="22"/>
        </w:rPr>
        <w:t>.</w:t>
      </w:r>
    </w:p>
    <w:p w14:paraId="63ECB197" w14:textId="77777777" w:rsidR="005D4ECD" w:rsidRDefault="005D4ECD" w:rsidP="005D4ECD">
      <w:pPr>
        <w:jc w:val="both"/>
        <w:rPr>
          <w:sz w:val="22"/>
          <w:szCs w:val="22"/>
        </w:rPr>
      </w:pPr>
    </w:p>
    <w:p w14:paraId="64BE151C" w14:textId="45C5B986" w:rsidR="005C3C0B" w:rsidRPr="009560BF" w:rsidRDefault="005C3C0B" w:rsidP="006A0998">
      <w:pPr>
        <w:ind w:firstLine="720"/>
        <w:jc w:val="both"/>
        <w:rPr>
          <w:sz w:val="22"/>
          <w:szCs w:val="22"/>
        </w:rPr>
      </w:pPr>
      <w:r>
        <w:rPr>
          <w:sz w:val="22"/>
          <w:szCs w:val="22"/>
        </w:rPr>
        <w:t xml:space="preserve">Following the </w:t>
      </w:r>
      <w:proofErr w:type="gramStart"/>
      <w:r w:rsidR="00B8071C">
        <w:rPr>
          <w:sz w:val="22"/>
          <w:szCs w:val="22"/>
        </w:rPr>
        <w:t>q</w:t>
      </w:r>
      <w:r>
        <w:rPr>
          <w:sz w:val="22"/>
          <w:szCs w:val="22"/>
        </w:rPr>
        <w:t xml:space="preserve">uestion and </w:t>
      </w:r>
      <w:r w:rsidR="00B8071C">
        <w:rPr>
          <w:sz w:val="22"/>
          <w:szCs w:val="22"/>
        </w:rPr>
        <w:t>a</w:t>
      </w:r>
      <w:r>
        <w:rPr>
          <w:sz w:val="22"/>
          <w:szCs w:val="22"/>
        </w:rPr>
        <w:t>nswer</w:t>
      </w:r>
      <w:proofErr w:type="gramEnd"/>
      <w:r>
        <w:rPr>
          <w:sz w:val="22"/>
          <w:szCs w:val="22"/>
        </w:rPr>
        <w:t xml:space="preserve"> period, delegations will be invited to share good practices, specific offers of collaboration or needs related to this topic. </w:t>
      </w:r>
    </w:p>
    <w:p w14:paraId="310F57F0" w14:textId="77777777" w:rsidR="005C3C0B" w:rsidRDefault="005C3C0B" w:rsidP="006A0998">
      <w:pPr>
        <w:ind w:firstLine="720"/>
        <w:jc w:val="both"/>
        <w:rPr>
          <w:sz w:val="22"/>
          <w:szCs w:val="22"/>
        </w:rPr>
      </w:pPr>
    </w:p>
    <w:p w14:paraId="237FE29D" w14:textId="77777777" w:rsidR="006C6A81" w:rsidRPr="0030650A" w:rsidRDefault="006C6A81" w:rsidP="006C6A81">
      <w:pPr>
        <w:keepNext/>
        <w:keepLines/>
        <w:tabs>
          <w:tab w:val="left" w:pos="720"/>
          <w:tab w:val="left" w:pos="1440"/>
          <w:tab w:val="left" w:pos="2160"/>
        </w:tabs>
        <w:jc w:val="both"/>
        <w:rPr>
          <w:sz w:val="22"/>
          <w:szCs w:val="22"/>
        </w:rPr>
      </w:pPr>
      <w:r w:rsidRPr="0030650A">
        <w:rPr>
          <w:sz w:val="22"/>
          <w:szCs w:val="22"/>
        </w:rPr>
        <w:tab/>
        <w:t>Invited Panelists:</w:t>
      </w:r>
    </w:p>
    <w:p w14:paraId="286C8904" w14:textId="77777777" w:rsidR="006C6A81" w:rsidRDefault="006C6A81" w:rsidP="006C6A81">
      <w:pPr>
        <w:shd w:val="clear" w:color="auto" w:fill="FFFFFF"/>
        <w:ind w:left="1890"/>
        <w:jc w:val="both"/>
        <w:rPr>
          <w:color w:val="000000"/>
          <w:sz w:val="22"/>
          <w:szCs w:val="22"/>
          <w:lang w:val="pt-BR"/>
        </w:rPr>
      </w:pPr>
    </w:p>
    <w:p w14:paraId="211E40E9" w14:textId="53E58D5A" w:rsidR="006C6A81" w:rsidRPr="00B41EC3" w:rsidRDefault="006C6A81" w:rsidP="006C6A81">
      <w:pPr>
        <w:numPr>
          <w:ilvl w:val="0"/>
          <w:numId w:val="24"/>
        </w:numPr>
        <w:shd w:val="clear" w:color="auto" w:fill="FFFFFF"/>
        <w:ind w:hanging="720"/>
        <w:jc w:val="both"/>
        <w:rPr>
          <w:color w:val="000000"/>
          <w:sz w:val="22"/>
          <w:szCs w:val="22"/>
          <w:lang w:val="pt-BR"/>
        </w:rPr>
      </w:pPr>
      <w:r w:rsidRPr="00B41EC3">
        <w:rPr>
          <w:color w:val="000000"/>
          <w:sz w:val="22"/>
          <w:szCs w:val="22"/>
          <w:lang w:val="pt-BR"/>
        </w:rPr>
        <w:t>Dr. Mart</w:t>
      </w:r>
      <w:r>
        <w:rPr>
          <w:color w:val="000000"/>
          <w:sz w:val="22"/>
          <w:szCs w:val="22"/>
          <w:lang w:val="pt-BR"/>
        </w:rPr>
        <w:t>í</w:t>
      </w:r>
      <w:r w:rsidRPr="00B41EC3">
        <w:rPr>
          <w:color w:val="000000"/>
          <w:sz w:val="22"/>
          <w:szCs w:val="22"/>
          <w:lang w:val="pt-BR"/>
        </w:rPr>
        <w:t>n Rodriguez, Executive Director of Prociencia, CONCYTEC</w:t>
      </w:r>
      <w:r>
        <w:rPr>
          <w:color w:val="000000"/>
          <w:sz w:val="22"/>
          <w:szCs w:val="22"/>
          <w:lang w:val="pt-BR"/>
        </w:rPr>
        <w:t>,</w:t>
      </w:r>
      <w:r w:rsidRPr="00B41EC3">
        <w:rPr>
          <w:color w:val="000000"/>
          <w:sz w:val="22"/>
          <w:szCs w:val="22"/>
          <w:lang w:val="pt-BR"/>
        </w:rPr>
        <w:t xml:space="preserve"> Peru</w:t>
      </w:r>
    </w:p>
    <w:p w14:paraId="20ACE5C4" w14:textId="77777777" w:rsidR="006C6A81" w:rsidRPr="00B41EC3" w:rsidRDefault="006C6A81" w:rsidP="006C6A81">
      <w:pPr>
        <w:shd w:val="clear" w:color="auto" w:fill="FFFFFF"/>
        <w:ind w:left="1440" w:hanging="720"/>
        <w:jc w:val="both"/>
        <w:rPr>
          <w:color w:val="000000"/>
          <w:sz w:val="22"/>
          <w:szCs w:val="22"/>
          <w:lang w:val="pt-BR"/>
        </w:rPr>
      </w:pPr>
    </w:p>
    <w:p w14:paraId="23F74FBF" w14:textId="77777777" w:rsidR="006C6A81" w:rsidRPr="00CD58DA" w:rsidRDefault="006C6A81" w:rsidP="006C6A81">
      <w:pPr>
        <w:numPr>
          <w:ilvl w:val="0"/>
          <w:numId w:val="24"/>
        </w:numPr>
        <w:shd w:val="clear" w:color="auto" w:fill="FFFFFF"/>
        <w:ind w:hanging="720"/>
        <w:jc w:val="both"/>
        <w:rPr>
          <w:color w:val="000000"/>
          <w:sz w:val="22"/>
          <w:szCs w:val="22"/>
        </w:rPr>
      </w:pPr>
      <w:r w:rsidRPr="00CD58DA">
        <w:rPr>
          <w:color w:val="000000"/>
          <w:sz w:val="22"/>
          <w:szCs w:val="22"/>
        </w:rPr>
        <w:t xml:space="preserve">Dr. </w:t>
      </w:r>
      <w:proofErr w:type="spellStart"/>
      <w:r w:rsidRPr="00CD58DA">
        <w:rPr>
          <w:color w:val="000000"/>
          <w:sz w:val="22"/>
          <w:szCs w:val="22"/>
        </w:rPr>
        <w:t>Charah</w:t>
      </w:r>
      <w:proofErr w:type="spellEnd"/>
      <w:r w:rsidRPr="00CD58DA">
        <w:rPr>
          <w:color w:val="000000"/>
          <w:sz w:val="22"/>
          <w:szCs w:val="22"/>
        </w:rPr>
        <w:t xml:space="preserve"> T. Watson, Executive Director, Scientific Research Council, Jamaica</w:t>
      </w:r>
    </w:p>
    <w:p w14:paraId="61BB070F" w14:textId="77777777" w:rsidR="006C6A81" w:rsidRPr="00CD58DA" w:rsidRDefault="006C6A81" w:rsidP="006C6A81">
      <w:pPr>
        <w:shd w:val="clear" w:color="auto" w:fill="FFFFFF"/>
        <w:ind w:left="1440" w:hanging="720"/>
        <w:jc w:val="both"/>
        <w:rPr>
          <w:color w:val="000000"/>
          <w:sz w:val="22"/>
          <w:szCs w:val="22"/>
        </w:rPr>
      </w:pPr>
    </w:p>
    <w:p w14:paraId="5F0ABEE3" w14:textId="77777777" w:rsidR="006C6A81" w:rsidRPr="00CD58DA" w:rsidRDefault="006C6A81" w:rsidP="006C6A81">
      <w:pPr>
        <w:numPr>
          <w:ilvl w:val="0"/>
          <w:numId w:val="24"/>
        </w:numPr>
        <w:shd w:val="clear" w:color="auto" w:fill="FFFFFF"/>
        <w:ind w:hanging="720"/>
        <w:jc w:val="both"/>
        <w:rPr>
          <w:color w:val="000000"/>
          <w:sz w:val="22"/>
          <w:szCs w:val="22"/>
        </w:rPr>
      </w:pPr>
      <w:r>
        <w:rPr>
          <w:color w:val="000000"/>
          <w:sz w:val="22"/>
          <w:szCs w:val="22"/>
        </w:rPr>
        <w:lastRenderedPageBreak/>
        <w:t xml:space="preserve">Mr. </w:t>
      </w:r>
      <w:r w:rsidRPr="00CD58DA">
        <w:rPr>
          <w:color w:val="000000"/>
          <w:sz w:val="22"/>
          <w:szCs w:val="22"/>
        </w:rPr>
        <w:t>James Chung, Associate Vice President for Research, Innovation and Entrepreneurship at George Washington University, and a Co-Principal Investigator for the </w:t>
      </w:r>
      <w:hyperlink r:id="rId11" w:tgtFrame="_blank" w:history="1">
        <w:r w:rsidRPr="00CD58DA">
          <w:rPr>
            <w:sz w:val="22"/>
            <w:szCs w:val="22"/>
          </w:rPr>
          <w:t>NSF Innovation Corps</w:t>
        </w:r>
      </w:hyperlink>
      <w:r w:rsidRPr="00CD58DA">
        <w:rPr>
          <w:color w:val="000000"/>
          <w:sz w:val="22"/>
          <w:szCs w:val="22"/>
        </w:rPr>
        <w:t> Node in Washington, DC</w:t>
      </w:r>
    </w:p>
    <w:p w14:paraId="2AE01B29" w14:textId="727EB933" w:rsidR="006C6A81" w:rsidRDefault="006C6A81" w:rsidP="006A0998">
      <w:pPr>
        <w:pStyle w:val="ListParagraph0"/>
        <w:ind w:left="1440"/>
        <w:jc w:val="both"/>
        <w:rPr>
          <w:sz w:val="22"/>
          <w:szCs w:val="22"/>
        </w:rPr>
      </w:pPr>
    </w:p>
    <w:p w14:paraId="412B4FC4" w14:textId="293843F6" w:rsidR="00723EE9" w:rsidRPr="00723EE9" w:rsidRDefault="00723EE9" w:rsidP="006A0998">
      <w:pPr>
        <w:numPr>
          <w:ilvl w:val="0"/>
          <w:numId w:val="18"/>
        </w:numPr>
        <w:ind w:left="0" w:firstLine="0"/>
        <w:rPr>
          <w:rFonts w:eastAsia="Calibri"/>
          <w:b/>
          <w:sz w:val="22"/>
          <w:szCs w:val="22"/>
        </w:rPr>
      </w:pPr>
      <w:r w:rsidRPr="00723EE9">
        <w:rPr>
          <w:rFonts w:eastAsia="Calibri"/>
          <w:b/>
          <w:sz w:val="22"/>
          <w:szCs w:val="22"/>
        </w:rPr>
        <w:t>Outcome of the</w:t>
      </w:r>
      <w:r w:rsidR="003B0B19">
        <w:rPr>
          <w:rFonts w:eastAsia="Calibri"/>
          <w:b/>
          <w:sz w:val="22"/>
          <w:szCs w:val="22"/>
        </w:rPr>
        <w:t xml:space="preserve"> </w:t>
      </w:r>
      <w:r w:rsidR="005D4ECD">
        <w:rPr>
          <w:rFonts w:eastAsia="Calibri"/>
          <w:b/>
          <w:sz w:val="22"/>
          <w:szCs w:val="22"/>
        </w:rPr>
        <w:t>m</w:t>
      </w:r>
      <w:r w:rsidR="003B0B19">
        <w:rPr>
          <w:rFonts w:eastAsia="Calibri"/>
          <w:b/>
          <w:sz w:val="22"/>
          <w:szCs w:val="22"/>
        </w:rPr>
        <w:t>eeting</w:t>
      </w:r>
    </w:p>
    <w:p w14:paraId="359FE12E" w14:textId="77777777" w:rsidR="00723EE9" w:rsidRPr="00723EE9" w:rsidRDefault="00723EE9" w:rsidP="006A0998">
      <w:pPr>
        <w:jc w:val="both"/>
        <w:rPr>
          <w:rFonts w:eastAsia="Calibri"/>
          <w:b/>
          <w:sz w:val="22"/>
          <w:szCs w:val="22"/>
        </w:rPr>
      </w:pPr>
    </w:p>
    <w:p w14:paraId="518E666B" w14:textId="1E6D5489" w:rsidR="00723EE9" w:rsidRDefault="00723EE9" w:rsidP="006A0998">
      <w:pPr>
        <w:ind w:firstLine="720"/>
        <w:jc w:val="both"/>
        <w:rPr>
          <w:rFonts w:eastAsia="Calibri"/>
          <w:sz w:val="22"/>
          <w:szCs w:val="22"/>
        </w:rPr>
      </w:pPr>
      <w:r w:rsidRPr="00723EE9">
        <w:rPr>
          <w:rFonts w:eastAsia="Calibri"/>
          <w:sz w:val="22"/>
          <w:szCs w:val="22"/>
        </w:rPr>
        <w:t>It is expected that the session will contribute to:</w:t>
      </w:r>
    </w:p>
    <w:p w14:paraId="6350D220" w14:textId="77777777" w:rsidR="00BF3B28" w:rsidRPr="00723EE9" w:rsidRDefault="00BF3B28" w:rsidP="006A0998">
      <w:pPr>
        <w:ind w:firstLine="720"/>
        <w:jc w:val="both"/>
        <w:rPr>
          <w:rFonts w:eastAsia="Calibri"/>
          <w:sz w:val="22"/>
          <w:szCs w:val="22"/>
        </w:rPr>
      </w:pPr>
    </w:p>
    <w:p w14:paraId="058D026B" w14:textId="533D2F26" w:rsidR="00723EE9" w:rsidRPr="00723EE9" w:rsidRDefault="00723EE9" w:rsidP="00BF3B28">
      <w:pPr>
        <w:numPr>
          <w:ilvl w:val="0"/>
          <w:numId w:val="11"/>
        </w:numPr>
        <w:tabs>
          <w:tab w:val="left" w:pos="1440"/>
        </w:tabs>
        <w:ind w:left="1440" w:hanging="720"/>
        <w:jc w:val="both"/>
        <w:rPr>
          <w:rFonts w:eastAsia="Calibri"/>
          <w:sz w:val="22"/>
          <w:szCs w:val="22"/>
        </w:rPr>
      </w:pPr>
      <w:r w:rsidRPr="00723EE9">
        <w:rPr>
          <w:rFonts w:eastAsia="Calibri"/>
          <w:sz w:val="22"/>
          <w:szCs w:val="22"/>
        </w:rPr>
        <w:t xml:space="preserve">Providing information on </w:t>
      </w:r>
      <w:r w:rsidR="00194B58">
        <w:rPr>
          <w:rFonts w:eastAsia="Calibri"/>
          <w:sz w:val="22"/>
          <w:szCs w:val="22"/>
        </w:rPr>
        <w:t xml:space="preserve">main trends, </w:t>
      </w:r>
      <w:proofErr w:type="gramStart"/>
      <w:r w:rsidR="00194B58">
        <w:rPr>
          <w:rFonts w:eastAsia="Calibri"/>
          <w:sz w:val="22"/>
          <w:szCs w:val="22"/>
        </w:rPr>
        <w:t>challenges</w:t>
      </w:r>
      <w:proofErr w:type="gramEnd"/>
      <w:r w:rsidR="00194B58">
        <w:rPr>
          <w:rFonts w:eastAsia="Calibri"/>
          <w:sz w:val="22"/>
          <w:szCs w:val="22"/>
        </w:rPr>
        <w:t xml:space="preserve"> and opportunities </w:t>
      </w:r>
      <w:r w:rsidR="004F0AD2">
        <w:rPr>
          <w:rFonts w:eastAsia="Calibri"/>
          <w:sz w:val="22"/>
          <w:szCs w:val="22"/>
        </w:rPr>
        <w:t>to diversify and expand access to mechanism</w:t>
      </w:r>
      <w:r w:rsidR="000533B5">
        <w:rPr>
          <w:rFonts w:eastAsia="Calibri"/>
          <w:sz w:val="22"/>
          <w:szCs w:val="22"/>
        </w:rPr>
        <w:t xml:space="preserve">s to finance innovation in </w:t>
      </w:r>
      <w:r w:rsidR="00FA7D08">
        <w:rPr>
          <w:rFonts w:eastAsia="Calibri"/>
          <w:sz w:val="22"/>
          <w:szCs w:val="22"/>
        </w:rPr>
        <w:t xml:space="preserve">OAS </w:t>
      </w:r>
      <w:r w:rsidR="005D4ECD">
        <w:rPr>
          <w:rFonts w:eastAsia="Calibri"/>
          <w:sz w:val="22"/>
          <w:szCs w:val="22"/>
        </w:rPr>
        <w:t>m</w:t>
      </w:r>
      <w:r w:rsidR="00FA7D08">
        <w:rPr>
          <w:rFonts w:eastAsia="Calibri"/>
          <w:sz w:val="22"/>
          <w:szCs w:val="22"/>
        </w:rPr>
        <w:t xml:space="preserve">ember </w:t>
      </w:r>
      <w:r w:rsidR="005D4ECD">
        <w:rPr>
          <w:rFonts w:eastAsia="Calibri"/>
          <w:sz w:val="22"/>
          <w:szCs w:val="22"/>
        </w:rPr>
        <w:t>s</w:t>
      </w:r>
      <w:r w:rsidR="00FA7D08">
        <w:rPr>
          <w:rFonts w:eastAsia="Calibri"/>
          <w:sz w:val="22"/>
          <w:szCs w:val="22"/>
        </w:rPr>
        <w:t>tates</w:t>
      </w:r>
      <w:r w:rsidR="00AB7A69">
        <w:rPr>
          <w:rFonts w:eastAsia="Calibri"/>
          <w:sz w:val="22"/>
          <w:szCs w:val="22"/>
        </w:rPr>
        <w:t>.</w:t>
      </w:r>
    </w:p>
    <w:p w14:paraId="68986623" w14:textId="440C24BA" w:rsidR="00194B58" w:rsidRDefault="00194B58" w:rsidP="00BF3B28">
      <w:pPr>
        <w:numPr>
          <w:ilvl w:val="0"/>
          <w:numId w:val="11"/>
        </w:numPr>
        <w:tabs>
          <w:tab w:val="left" w:pos="1440"/>
        </w:tabs>
        <w:ind w:left="1440" w:hanging="720"/>
        <w:jc w:val="both"/>
        <w:rPr>
          <w:rFonts w:eastAsia="Calibri"/>
          <w:sz w:val="22"/>
          <w:szCs w:val="22"/>
        </w:rPr>
      </w:pPr>
      <w:r>
        <w:rPr>
          <w:rFonts w:eastAsia="Calibri"/>
          <w:sz w:val="22"/>
          <w:szCs w:val="22"/>
        </w:rPr>
        <w:t>Identify</w:t>
      </w:r>
      <w:r w:rsidR="00984C5A">
        <w:rPr>
          <w:rFonts w:eastAsia="Calibri"/>
          <w:sz w:val="22"/>
          <w:szCs w:val="22"/>
        </w:rPr>
        <w:t>ing</w:t>
      </w:r>
      <w:r>
        <w:rPr>
          <w:rFonts w:eastAsia="Calibri"/>
          <w:sz w:val="22"/>
          <w:szCs w:val="22"/>
        </w:rPr>
        <w:t xml:space="preserve"> priorities and areas of regional cooperation</w:t>
      </w:r>
      <w:r w:rsidR="008D6555">
        <w:rPr>
          <w:rFonts w:eastAsia="Calibri"/>
          <w:sz w:val="22"/>
          <w:szCs w:val="22"/>
        </w:rPr>
        <w:t xml:space="preserve"> in the Americas to promote</w:t>
      </w:r>
      <w:r w:rsidR="000533B5">
        <w:rPr>
          <w:rFonts w:eastAsia="Calibri"/>
          <w:sz w:val="22"/>
          <w:szCs w:val="22"/>
        </w:rPr>
        <w:t xml:space="preserve"> inclusion and access to funding opportunities for entrepreneurs and innovators</w:t>
      </w:r>
      <w:r w:rsidR="00A734B5">
        <w:rPr>
          <w:rFonts w:eastAsia="Calibri"/>
          <w:sz w:val="22"/>
          <w:szCs w:val="22"/>
        </w:rPr>
        <w:t>, including</w:t>
      </w:r>
      <w:r w:rsidR="000533B5">
        <w:rPr>
          <w:rFonts w:eastAsia="Calibri"/>
          <w:sz w:val="22"/>
          <w:szCs w:val="22"/>
        </w:rPr>
        <w:t xml:space="preserve"> for youth, women, indigenous and other populations</w:t>
      </w:r>
      <w:r w:rsidR="00A734B5">
        <w:rPr>
          <w:rFonts w:eastAsia="Calibri"/>
          <w:sz w:val="22"/>
          <w:szCs w:val="22"/>
        </w:rPr>
        <w:t>.</w:t>
      </w:r>
    </w:p>
    <w:p w14:paraId="21954D1D" w14:textId="6DDCF340" w:rsidR="000B6478" w:rsidRPr="00FF48BA" w:rsidRDefault="003B0B19" w:rsidP="00BF3B28">
      <w:pPr>
        <w:numPr>
          <w:ilvl w:val="0"/>
          <w:numId w:val="11"/>
        </w:numPr>
        <w:tabs>
          <w:tab w:val="left" w:pos="1440"/>
        </w:tabs>
        <w:ind w:left="1440" w:hanging="720"/>
        <w:jc w:val="both"/>
        <w:rPr>
          <w:sz w:val="22"/>
          <w:szCs w:val="22"/>
        </w:rPr>
      </w:pPr>
      <w:r w:rsidRPr="00FF48BA">
        <w:rPr>
          <w:rFonts w:eastAsia="Calibri"/>
          <w:sz w:val="22"/>
          <w:szCs w:val="22"/>
        </w:rPr>
        <w:t>Encourag</w:t>
      </w:r>
      <w:r w:rsidR="00984C5A" w:rsidRPr="00FF48BA">
        <w:rPr>
          <w:rFonts w:eastAsia="Calibri"/>
          <w:sz w:val="22"/>
          <w:szCs w:val="22"/>
        </w:rPr>
        <w:t>ing</w:t>
      </w:r>
      <w:r w:rsidRPr="00FF48BA">
        <w:rPr>
          <w:rFonts w:eastAsia="Calibri"/>
          <w:sz w:val="22"/>
          <w:szCs w:val="22"/>
        </w:rPr>
        <w:t xml:space="preserve"> m</w:t>
      </w:r>
      <w:r w:rsidR="00723EE9" w:rsidRPr="00FF48BA">
        <w:rPr>
          <w:rFonts w:eastAsia="Calibri"/>
          <w:sz w:val="22"/>
          <w:szCs w:val="22"/>
        </w:rPr>
        <w:t xml:space="preserve">ember </w:t>
      </w:r>
      <w:r w:rsidRPr="00FF48BA">
        <w:rPr>
          <w:rFonts w:eastAsia="Calibri"/>
          <w:sz w:val="22"/>
          <w:szCs w:val="22"/>
        </w:rPr>
        <w:t>s</w:t>
      </w:r>
      <w:r w:rsidR="00723EE9" w:rsidRPr="00FF48BA">
        <w:rPr>
          <w:rFonts w:eastAsia="Calibri"/>
          <w:sz w:val="22"/>
          <w:szCs w:val="22"/>
        </w:rPr>
        <w:t xml:space="preserve">tates </w:t>
      </w:r>
      <w:r w:rsidRPr="00FF48BA">
        <w:rPr>
          <w:rFonts w:eastAsia="Calibri"/>
          <w:sz w:val="22"/>
          <w:szCs w:val="22"/>
        </w:rPr>
        <w:t xml:space="preserve">to </w:t>
      </w:r>
      <w:r w:rsidR="00723EE9" w:rsidRPr="00FF48BA">
        <w:rPr>
          <w:rFonts w:eastAsia="Calibri"/>
          <w:sz w:val="22"/>
          <w:szCs w:val="22"/>
        </w:rPr>
        <w:t>pr</w:t>
      </w:r>
      <w:r w:rsidRPr="00FF48BA">
        <w:rPr>
          <w:rFonts w:eastAsia="Calibri"/>
          <w:sz w:val="22"/>
          <w:szCs w:val="22"/>
        </w:rPr>
        <w:t xml:space="preserve">esent good practices </w:t>
      </w:r>
      <w:r w:rsidR="00194B58" w:rsidRPr="00FF48BA">
        <w:rPr>
          <w:rFonts w:eastAsia="Calibri"/>
          <w:sz w:val="22"/>
          <w:szCs w:val="22"/>
        </w:rPr>
        <w:t xml:space="preserve">with opportunities for cooperation </w:t>
      </w:r>
      <w:r w:rsidR="00203F80" w:rsidRPr="00FF48BA">
        <w:rPr>
          <w:rFonts w:eastAsia="Calibri"/>
          <w:sz w:val="22"/>
          <w:szCs w:val="22"/>
        </w:rPr>
        <w:t xml:space="preserve">to </w:t>
      </w:r>
      <w:r w:rsidR="00FF48BA" w:rsidRPr="00FF48BA">
        <w:rPr>
          <w:rFonts w:eastAsia="Calibri"/>
          <w:sz w:val="22"/>
          <w:szCs w:val="22"/>
        </w:rPr>
        <w:t xml:space="preserve">advance </w:t>
      </w:r>
      <w:r w:rsidR="00A734B5">
        <w:rPr>
          <w:rFonts w:eastAsia="Calibri"/>
          <w:sz w:val="22"/>
          <w:szCs w:val="22"/>
        </w:rPr>
        <w:t xml:space="preserve">public-private partnerships and innovative mechanisms for financing innovation in </w:t>
      </w:r>
      <w:r w:rsidR="00423375">
        <w:rPr>
          <w:rFonts w:eastAsia="Calibri"/>
          <w:sz w:val="22"/>
          <w:szCs w:val="22"/>
        </w:rPr>
        <w:t xml:space="preserve">OAS </w:t>
      </w:r>
      <w:r w:rsidR="00BF3B28">
        <w:rPr>
          <w:rFonts w:eastAsia="Calibri"/>
          <w:sz w:val="22"/>
          <w:szCs w:val="22"/>
        </w:rPr>
        <w:t>m</w:t>
      </w:r>
      <w:r w:rsidR="00423375">
        <w:rPr>
          <w:rFonts w:eastAsia="Calibri"/>
          <w:sz w:val="22"/>
          <w:szCs w:val="22"/>
        </w:rPr>
        <w:t xml:space="preserve">ember </w:t>
      </w:r>
      <w:r w:rsidR="00BF3B28">
        <w:rPr>
          <w:rFonts w:eastAsia="Calibri"/>
          <w:sz w:val="22"/>
          <w:szCs w:val="22"/>
        </w:rPr>
        <w:t>s</w:t>
      </w:r>
      <w:r w:rsidR="00423375">
        <w:rPr>
          <w:rFonts w:eastAsia="Calibri"/>
          <w:sz w:val="22"/>
          <w:szCs w:val="22"/>
        </w:rPr>
        <w:t>tates</w:t>
      </w:r>
      <w:r w:rsidR="00A734B5">
        <w:rPr>
          <w:rFonts w:eastAsia="Calibri"/>
          <w:sz w:val="22"/>
          <w:szCs w:val="22"/>
        </w:rPr>
        <w:t>.</w:t>
      </w:r>
      <w:r w:rsidR="00036C42">
        <w:rPr>
          <w:noProof/>
          <w:sz w:val="22"/>
          <w:szCs w:val="22"/>
        </w:rPr>
        <mc:AlternateContent>
          <mc:Choice Requires="wps">
            <w:drawing>
              <wp:anchor distT="0" distB="0" distL="114300" distR="114300" simplePos="0" relativeHeight="251659264" behindDoc="0" locked="1" layoutInCell="1" allowOverlap="1" wp14:anchorId="506CC055" wp14:editId="06B3304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9F0B558" w14:textId="15C48F86" w:rsidR="00036C42" w:rsidRPr="00036C42" w:rsidRDefault="00036C42">
                            <w:pPr>
                              <w:rPr>
                                <w:sz w:val="18"/>
                              </w:rPr>
                            </w:pPr>
                            <w:r>
                              <w:rPr>
                                <w:sz w:val="18"/>
                              </w:rPr>
                              <w:fldChar w:fldCharType="begin"/>
                            </w:r>
                            <w:r>
                              <w:rPr>
                                <w:sz w:val="18"/>
                              </w:rPr>
                              <w:instrText xml:space="preserve"> FILENAME  \* MERGEFORMAT </w:instrText>
                            </w:r>
                            <w:r>
                              <w:rPr>
                                <w:sz w:val="18"/>
                              </w:rPr>
                              <w:fldChar w:fldCharType="separate"/>
                            </w:r>
                            <w:r>
                              <w:rPr>
                                <w:noProof/>
                                <w:sz w:val="18"/>
                              </w:rPr>
                              <w:t>CIDRP03432E01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6CC055"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9F0B558" w14:textId="15C48F86" w:rsidR="00036C42" w:rsidRPr="00036C42" w:rsidRDefault="00036C42">
                      <w:pPr>
                        <w:rPr>
                          <w:sz w:val="18"/>
                        </w:rPr>
                      </w:pPr>
                      <w:r>
                        <w:rPr>
                          <w:sz w:val="18"/>
                        </w:rPr>
                        <w:fldChar w:fldCharType="begin"/>
                      </w:r>
                      <w:r>
                        <w:rPr>
                          <w:sz w:val="18"/>
                        </w:rPr>
                        <w:instrText xml:space="preserve"> FILENAME  \* MERGEFORMAT </w:instrText>
                      </w:r>
                      <w:r>
                        <w:rPr>
                          <w:sz w:val="18"/>
                        </w:rPr>
                        <w:fldChar w:fldCharType="separate"/>
                      </w:r>
                      <w:r>
                        <w:rPr>
                          <w:noProof/>
                          <w:sz w:val="18"/>
                        </w:rPr>
                        <w:t>CIDRP03432E01</w:t>
                      </w:r>
                      <w:r>
                        <w:rPr>
                          <w:sz w:val="18"/>
                        </w:rPr>
                        <w:fldChar w:fldCharType="end"/>
                      </w:r>
                    </w:p>
                  </w:txbxContent>
                </v:textbox>
                <w10:wrap anchory="page"/>
                <w10:anchorlock/>
              </v:shape>
            </w:pict>
          </mc:Fallback>
        </mc:AlternateContent>
      </w:r>
    </w:p>
    <w:sectPr w:rsidR="000B6478" w:rsidRPr="00FF48BA" w:rsidSect="00A870BA">
      <w:headerReference w:type="default" r:id="rId12"/>
      <w:headerReference w:type="first" r:id="rId13"/>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FD4A" w14:textId="77777777" w:rsidR="00BC73C3" w:rsidRDefault="00BC73C3">
      <w:r>
        <w:separator/>
      </w:r>
    </w:p>
  </w:endnote>
  <w:endnote w:type="continuationSeparator" w:id="0">
    <w:p w14:paraId="127D4F54" w14:textId="77777777" w:rsidR="00BC73C3" w:rsidRDefault="00BC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 Book">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B909" w14:textId="77777777" w:rsidR="00BC73C3" w:rsidRDefault="00BC73C3">
      <w:r>
        <w:separator/>
      </w:r>
    </w:p>
  </w:footnote>
  <w:footnote w:type="continuationSeparator" w:id="0">
    <w:p w14:paraId="13073BCF" w14:textId="77777777" w:rsidR="00BC73C3" w:rsidRDefault="00BC73C3">
      <w:r>
        <w:continuationSeparator/>
      </w:r>
    </w:p>
  </w:footnote>
  <w:footnote w:id="1">
    <w:p w14:paraId="68053AB7" w14:textId="1E3626A9" w:rsidR="00194645" w:rsidRPr="006A0998" w:rsidRDefault="00194645" w:rsidP="006A0998">
      <w:pPr>
        <w:shd w:val="clear" w:color="auto" w:fill="FFFFFF" w:themeFill="background1"/>
        <w:ind w:firstLine="360"/>
        <w:rPr>
          <w:i/>
          <w:iCs/>
          <w:color w:val="3B3B3B"/>
          <w:bdr w:val="none" w:sz="0" w:space="0" w:color="auto" w:frame="1"/>
          <w:shd w:val="clear" w:color="auto" w:fill="FAFAFA"/>
        </w:rPr>
      </w:pPr>
      <w:r w:rsidRPr="006A0998">
        <w:rPr>
          <w:rStyle w:val="FootnoteReference"/>
          <w:vertAlign w:val="baseline"/>
        </w:rPr>
        <w:footnoteRef/>
      </w:r>
      <w:r w:rsidR="006A0998">
        <w:t>.</w:t>
      </w:r>
      <w:r w:rsidR="006A0998">
        <w:tab/>
      </w:r>
      <w:r w:rsidRPr="006A0998">
        <w:rPr>
          <w:rFonts w:eastAsiaTheme="minorHAnsi"/>
          <w:color w:val="3B3B3B"/>
        </w:rPr>
        <w:t>Global Innovation Index 2021, 14th Edition</w:t>
      </w:r>
      <w:r w:rsidRPr="006A0998">
        <w:rPr>
          <w:color w:val="3B3B3B"/>
        </w:rPr>
        <w:t xml:space="preserve">, </w:t>
      </w:r>
      <w:hyperlink r:id="rId1" w:history="1">
        <w:r w:rsidRPr="006A0998">
          <w:rPr>
            <w:rStyle w:val="Hyperlink"/>
            <w:bdr w:val="none" w:sz="0" w:space="0" w:color="auto" w:frame="1"/>
          </w:rPr>
          <w:t>https://www.wipo.int/global_innovation_index/en/2021/</w:t>
        </w:r>
      </w:hyperlink>
      <w:r w:rsidRPr="006A0998">
        <w:rPr>
          <w:rStyle w:val="Emphasis"/>
          <w:color w:val="3B3B3B"/>
          <w:bdr w:val="none" w:sz="0" w:space="0" w:color="auto" w:frame="1"/>
          <w:shd w:val="clear" w:color="auto" w:fill="FAFAFA"/>
        </w:rPr>
        <w:t xml:space="preserve"> </w:t>
      </w:r>
    </w:p>
  </w:footnote>
  <w:footnote w:id="2">
    <w:p w14:paraId="4CCC5BE9" w14:textId="0CA2757B" w:rsidR="00EE4B48" w:rsidRPr="006A0998" w:rsidRDefault="00EE4B48" w:rsidP="006A0998">
      <w:pPr>
        <w:pStyle w:val="FootnoteText"/>
        <w:shd w:val="clear" w:color="auto" w:fill="FFFFFF" w:themeFill="background1"/>
        <w:ind w:left="720" w:hanging="360"/>
      </w:pPr>
      <w:r w:rsidRPr="006A0998">
        <w:rPr>
          <w:rStyle w:val="FootnoteReference"/>
          <w:vertAlign w:val="baseline"/>
        </w:rPr>
        <w:footnoteRef/>
      </w:r>
      <w:r w:rsidR="006A0998">
        <w:t>.</w:t>
      </w:r>
      <w:r w:rsidR="006A0998">
        <w:tab/>
      </w:r>
      <w:r w:rsidRPr="006A0998">
        <w:t>Id.</w:t>
      </w:r>
    </w:p>
  </w:footnote>
  <w:footnote w:id="3">
    <w:p w14:paraId="02DB58C9" w14:textId="74C2DBF7" w:rsidR="005B2929" w:rsidRPr="006A0998" w:rsidRDefault="005B2929" w:rsidP="006A0998">
      <w:pPr>
        <w:pStyle w:val="FootnoteText"/>
        <w:shd w:val="clear" w:color="auto" w:fill="FFFFFF" w:themeFill="background1"/>
        <w:ind w:left="720" w:hanging="360"/>
      </w:pPr>
      <w:r w:rsidRPr="006A0998">
        <w:rPr>
          <w:rStyle w:val="FootnoteReference"/>
          <w:vertAlign w:val="baseline"/>
        </w:rPr>
        <w:footnoteRef/>
      </w:r>
      <w:r w:rsidR="006A0998">
        <w:t>.</w:t>
      </w:r>
      <w:r w:rsidR="006A0998">
        <w:tab/>
      </w:r>
      <w:r w:rsidRPr="006A0998">
        <w:t xml:space="preserve">The GII is a report jointly published by the World Intellectual Property Organization (WIPO), Cornell University and INSEAD; 2020 edition available at </w:t>
      </w:r>
      <w:hyperlink r:id="rId2" w:history="1">
        <w:r w:rsidRPr="006A0998">
          <w:rPr>
            <w:rStyle w:val="Hyperlink"/>
            <w:bdr w:val="none" w:sz="0" w:space="0" w:color="auto" w:frame="1"/>
            <w:shd w:val="clear" w:color="auto" w:fill="FFFFFF" w:themeFill="background1"/>
          </w:rPr>
          <w:t>https://www.wipo.int/global_innovation_index/en/2020/</w:t>
        </w:r>
      </w:hyperlink>
    </w:p>
  </w:footnote>
  <w:footnote w:id="4">
    <w:p w14:paraId="3CC98920" w14:textId="4D0ABAA1" w:rsidR="00EE4B48" w:rsidRPr="006A0998" w:rsidRDefault="00EE4B48" w:rsidP="006A0998">
      <w:pPr>
        <w:pStyle w:val="FootnoteText"/>
        <w:shd w:val="clear" w:color="auto" w:fill="FFFFFF" w:themeFill="background1"/>
        <w:ind w:left="720" w:hanging="360"/>
      </w:pPr>
      <w:r w:rsidRPr="006A0998">
        <w:rPr>
          <w:rStyle w:val="FootnoteReference"/>
          <w:vertAlign w:val="baseline"/>
        </w:rPr>
        <w:footnoteRef/>
      </w:r>
      <w:r w:rsidR="006A0998" w:rsidRPr="006A0998">
        <w:t>.</w:t>
      </w:r>
      <w:r w:rsidR="006A0998" w:rsidRPr="006A0998">
        <w:tab/>
      </w:r>
      <w:r w:rsidRPr="006A0998">
        <w:rPr>
          <w:rFonts w:eastAsiaTheme="minorHAnsi"/>
          <w:color w:val="3B3B3B"/>
          <w:shd w:val="clear" w:color="auto" w:fill="FFFFFF" w:themeFill="background1"/>
        </w:rPr>
        <w:t>Global Innovation Index 2021, 14th Edition</w:t>
      </w:r>
    </w:p>
  </w:footnote>
  <w:footnote w:id="5">
    <w:p w14:paraId="1C8CCB18" w14:textId="2F32CDF1" w:rsidR="00E12BDF" w:rsidRPr="006A0998" w:rsidRDefault="00E12BDF" w:rsidP="006A0998">
      <w:pPr>
        <w:pStyle w:val="FootnoteText"/>
        <w:shd w:val="clear" w:color="auto" w:fill="FFFFFF" w:themeFill="background1"/>
        <w:ind w:left="720" w:hanging="360"/>
      </w:pPr>
      <w:r w:rsidRPr="006A0998">
        <w:rPr>
          <w:rStyle w:val="FootnoteReference"/>
          <w:vertAlign w:val="baseline"/>
        </w:rPr>
        <w:footnoteRef/>
      </w:r>
      <w:r w:rsidR="006A0998" w:rsidRPr="006A0998">
        <w:t>.</w:t>
      </w:r>
      <w:r w:rsidR="006A0998" w:rsidRPr="006A0998">
        <w:tab/>
      </w:r>
      <w:r w:rsidRPr="006A0998">
        <w:t>Start</w:t>
      </w:r>
      <w:r w:rsidR="004600F6" w:rsidRPr="006A0998">
        <w:t>-</w:t>
      </w:r>
      <w:r w:rsidRPr="006A0998">
        <w:t xml:space="preserve">up companies valued at over US $1 billion dollars </w:t>
      </w:r>
    </w:p>
  </w:footnote>
  <w:footnote w:id="6">
    <w:p w14:paraId="6058280A" w14:textId="4FDC05E0" w:rsidR="00E12BDF" w:rsidRPr="006A0998" w:rsidRDefault="00E12BDF" w:rsidP="006A0998">
      <w:pPr>
        <w:pStyle w:val="NormalWeb"/>
        <w:shd w:val="clear" w:color="auto" w:fill="FFFFFF" w:themeFill="background1"/>
        <w:spacing w:before="0" w:beforeAutospacing="0" w:after="0" w:afterAutospacing="0"/>
        <w:ind w:left="720" w:hanging="360"/>
        <w:rPr>
          <w:rFonts w:eastAsiaTheme="minorHAnsi"/>
          <w:sz w:val="20"/>
          <w:szCs w:val="20"/>
        </w:rPr>
      </w:pPr>
      <w:r w:rsidRPr="006A0998">
        <w:rPr>
          <w:rStyle w:val="FootnoteReference"/>
          <w:sz w:val="20"/>
          <w:szCs w:val="20"/>
          <w:vertAlign w:val="baseline"/>
        </w:rPr>
        <w:footnoteRef/>
      </w:r>
      <w:r w:rsidR="006A0998" w:rsidRPr="006A0998">
        <w:rPr>
          <w:sz w:val="20"/>
          <w:szCs w:val="20"/>
        </w:rPr>
        <w:t>.</w:t>
      </w:r>
      <w:r w:rsidR="006A0998" w:rsidRPr="006A0998">
        <w:rPr>
          <w:sz w:val="20"/>
          <w:szCs w:val="20"/>
        </w:rPr>
        <w:tab/>
      </w:r>
      <w:r w:rsidRPr="006A0998">
        <w:rPr>
          <w:color w:val="212121"/>
          <w:sz w:val="20"/>
          <w:szCs w:val="20"/>
          <w:shd w:val="clear" w:color="auto" w:fill="FFFFFF"/>
        </w:rPr>
        <w:t xml:space="preserve">Startup Continent: The Most Well-Funded Tech Startups </w:t>
      </w:r>
      <w:proofErr w:type="gramStart"/>
      <w:r w:rsidRPr="006A0998">
        <w:rPr>
          <w:color w:val="212121"/>
          <w:sz w:val="20"/>
          <w:szCs w:val="20"/>
          <w:shd w:val="clear" w:color="auto" w:fill="FFFFFF"/>
        </w:rPr>
        <w:t>In</w:t>
      </w:r>
      <w:proofErr w:type="gramEnd"/>
      <w:r w:rsidRPr="006A0998">
        <w:rPr>
          <w:color w:val="212121"/>
          <w:sz w:val="20"/>
          <w:szCs w:val="20"/>
          <w:shd w:val="clear" w:color="auto" w:fill="FFFFFF"/>
        </w:rPr>
        <w:t xml:space="preserve"> Latin America And The Caribbean. </w:t>
      </w:r>
      <w:hyperlink r:id="rId3" w:history="1">
        <w:r w:rsidRPr="006A0998">
          <w:rPr>
            <w:rStyle w:val="Hyperlink"/>
            <w:rFonts w:eastAsiaTheme="minorHAnsi"/>
            <w:sz w:val="20"/>
            <w:szCs w:val="20"/>
          </w:rPr>
          <w:t>https://www.statista.com/statistics/1095155/number-of-unicorns-in-latin-america-by-industry/</w:t>
        </w:r>
      </w:hyperlink>
    </w:p>
  </w:footnote>
  <w:footnote w:id="7">
    <w:p w14:paraId="3104FD0C" w14:textId="63EDE66C" w:rsidR="00E12BDF" w:rsidRPr="006A0998" w:rsidRDefault="006A0998" w:rsidP="006A0998">
      <w:pPr>
        <w:pStyle w:val="FootnoteText"/>
        <w:shd w:val="clear" w:color="auto" w:fill="FFFFFF" w:themeFill="background1"/>
        <w:ind w:left="720" w:hanging="360"/>
      </w:pPr>
      <w:r w:rsidRPr="006A0998">
        <w:t>7.</w:t>
      </w:r>
      <w:r w:rsidRPr="006A0998">
        <w:tab/>
      </w:r>
      <w:r w:rsidR="00E12BDF" w:rsidRPr="006A0998">
        <w:t>https://www.cbinsights.com/research/top-startups-latin-america-map/</w:t>
      </w:r>
    </w:p>
  </w:footnote>
  <w:footnote w:id="8">
    <w:p w14:paraId="1309A072" w14:textId="1791D240" w:rsidR="002E3DDA" w:rsidRPr="006A0998" w:rsidRDefault="002E3DDA" w:rsidP="006A0998">
      <w:pPr>
        <w:pStyle w:val="FootnoteText"/>
        <w:shd w:val="clear" w:color="auto" w:fill="FFFFFF" w:themeFill="background1"/>
        <w:ind w:left="720" w:hanging="360"/>
      </w:pPr>
      <w:r w:rsidRPr="006A0998">
        <w:rPr>
          <w:rStyle w:val="FootnoteReference"/>
          <w:vertAlign w:val="baseline"/>
        </w:rPr>
        <w:footnoteRef/>
      </w:r>
      <w:r w:rsidR="006A0998" w:rsidRPr="006A0998">
        <w:t>.</w:t>
      </w:r>
      <w:r w:rsidR="006A0998" w:rsidRPr="006A0998">
        <w:tab/>
      </w:r>
      <w:hyperlink r:id="rId4" w:history="1">
        <w:r w:rsidRPr="006A0998">
          <w:rPr>
            <w:rStyle w:val="Hyperlink"/>
            <w:spacing w:val="8"/>
            <w:shd w:val="clear" w:color="auto" w:fill="FFFFFF"/>
          </w:rPr>
          <w:t>https://pitchbook.com/news/articles/the-vc-female-founders-dashboard</w:t>
        </w:r>
      </w:hyperlink>
      <w:r w:rsidRPr="006A0998">
        <w:rPr>
          <w:rFonts w:ascii="Georgia" w:hAnsi="Georgia"/>
          <w:color w:val="000000"/>
          <w:spacing w:val="8"/>
          <w:shd w:val="clear" w:color="auto" w:fill="FFFFFF"/>
        </w:rPr>
        <w:t xml:space="preserve"> </w:t>
      </w:r>
      <w:r w:rsidRPr="006A0998">
        <w:rPr>
          <w:rFonts w:ascii="Gotham Book" w:hAnsi="Gotham Book"/>
          <w:color w:val="000000"/>
        </w:rPr>
        <w:t> </w:t>
      </w:r>
    </w:p>
  </w:footnote>
  <w:footnote w:id="9">
    <w:p w14:paraId="566B5382" w14:textId="64E746BE" w:rsidR="002E3DDA" w:rsidRDefault="002E3DDA" w:rsidP="006A0998">
      <w:pPr>
        <w:pStyle w:val="FootnoteText"/>
        <w:shd w:val="clear" w:color="auto" w:fill="FFFFFF" w:themeFill="background1"/>
        <w:ind w:left="720" w:hanging="360"/>
      </w:pPr>
      <w:r w:rsidRPr="006A0998">
        <w:rPr>
          <w:rStyle w:val="FootnoteReference"/>
          <w:vertAlign w:val="baseline"/>
        </w:rPr>
        <w:footnoteRef/>
      </w:r>
      <w:r w:rsidR="006A0998" w:rsidRPr="006A0998">
        <w:t>.</w:t>
      </w:r>
      <w:r w:rsidR="006A0998" w:rsidRPr="006A0998">
        <w:tab/>
      </w:r>
      <w:hyperlink r:id="rId5" w:history="1">
        <w:r w:rsidRPr="006A0998">
          <w:rPr>
            <w:rStyle w:val="Hyperlink"/>
            <w:rFonts w:eastAsiaTheme="minorHAnsi"/>
          </w:rPr>
          <w:t>https://fortune.com/2018/10/26/latinx-female-founders-women-venture-capital-funding/</w:t>
        </w:r>
      </w:hyperlink>
      <w:r>
        <w:rPr>
          <w:rFonts w:eastAsiaTheme="minorHAns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4"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8"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3"/>
  </w:num>
  <w:num w:numId="4">
    <w:abstractNumId w:val="17"/>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9"/>
  </w:num>
  <w:num w:numId="11">
    <w:abstractNumId w:val="12"/>
  </w:num>
  <w:num w:numId="12">
    <w:abstractNumId w:val="19"/>
  </w:num>
  <w:num w:numId="13">
    <w:abstractNumId w:val="8"/>
  </w:num>
  <w:num w:numId="14">
    <w:abstractNumId w:val="14"/>
  </w:num>
  <w:num w:numId="15">
    <w:abstractNumId w:val="7"/>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
  </w:num>
  <w:num w:numId="21">
    <w:abstractNumId w:val="10"/>
  </w:num>
  <w:num w:numId="22">
    <w:abstractNumId w:val="4"/>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300D"/>
    <w:rsid w:val="000205EC"/>
    <w:rsid w:val="0002644D"/>
    <w:rsid w:val="00036C42"/>
    <w:rsid w:val="000427B5"/>
    <w:rsid w:val="0004458F"/>
    <w:rsid w:val="00050886"/>
    <w:rsid w:val="000533B5"/>
    <w:rsid w:val="00055019"/>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0E6DEF"/>
    <w:rsid w:val="00100FE1"/>
    <w:rsid w:val="00103208"/>
    <w:rsid w:val="001069A4"/>
    <w:rsid w:val="00106D57"/>
    <w:rsid w:val="001170ED"/>
    <w:rsid w:val="0012371A"/>
    <w:rsid w:val="001259E2"/>
    <w:rsid w:val="0012611C"/>
    <w:rsid w:val="001301D2"/>
    <w:rsid w:val="0013037E"/>
    <w:rsid w:val="00133A15"/>
    <w:rsid w:val="001405C9"/>
    <w:rsid w:val="00142D34"/>
    <w:rsid w:val="00146FB1"/>
    <w:rsid w:val="00150AE4"/>
    <w:rsid w:val="00152D2E"/>
    <w:rsid w:val="00153DD8"/>
    <w:rsid w:val="0016660D"/>
    <w:rsid w:val="00166C73"/>
    <w:rsid w:val="001675EC"/>
    <w:rsid w:val="00171B89"/>
    <w:rsid w:val="00172D57"/>
    <w:rsid w:val="00180746"/>
    <w:rsid w:val="00183C2C"/>
    <w:rsid w:val="001842C2"/>
    <w:rsid w:val="00187D59"/>
    <w:rsid w:val="00194645"/>
    <w:rsid w:val="00194B58"/>
    <w:rsid w:val="001B0828"/>
    <w:rsid w:val="001B0AB0"/>
    <w:rsid w:val="001B193D"/>
    <w:rsid w:val="001C6DC5"/>
    <w:rsid w:val="001D0221"/>
    <w:rsid w:val="001D02E9"/>
    <w:rsid w:val="001D738C"/>
    <w:rsid w:val="001E3150"/>
    <w:rsid w:val="001E3C78"/>
    <w:rsid w:val="001F2739"/>
    <w:rsid w:val="0020125B"/>
    <w:rsid w:val="0020227F"/>
    <w:rsid w:val="002024FE"/>
    <w:rsid w:val="00203839"/>
    <w:rsid w:val="00203F80"/>
    <w:rsid w:val="0020460C"/>
    <w:rsid w:val="002050F0"/>
    <w:rsid w:val="002069D4"/>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3DDA"/>
    <w:rsid w:val="002E609F"/>
    <w:rsid w:val="002F0A27"/>
    <w:rsid w:val="002F0AF9"/>
    <w:rsid w:val="002F25F2"/>
    <w:rsid w:val="002F5352"/>
    <w:rsid w:val="00305E93"/>
    <w:rsid w:val="0031130C"/>
    <w:rsid w:val="003116AC"/>
    <w:rsid w:val="0031291C"/>
    <w:rsid w:val="003143F1"/>
    <w:rsid w:val="003254F3"/>
    <w:rsid w:val="0032713A"/>
    <w:rsid w:val="003302CF"/>
    <w:rsid w:val="00335ABE"/>
    <w:rsid w:val="003366D5"/>
    <w:rsid w:val="00345C27"/>
    <w:rsid w:val="00345DCF"/>
    <w:rsid w:val="00350910"/>
    <w:rsid w:val="00351BC4"/>
    <w:rsid w:val="003529F3"/>
    <w:rsid w:val="00352BB7"/>
    <w:rsid w:val="00353D48"/>
    <w:rsid w:val="00353D7A"/>
    <w:rsid w:val="00354536"/>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3375"/>
    <w:rsid w:val="004279F5"/>
    <w:rsid w:val="00457B19"/>
    <w:rsid w:val="004600F6"/>
    <w:rsid w:val="00461F49"/>
    <w:rsid w:val="0046301C"/>
    <w:rsid w:val="00463A6B"/>
    <w:rsid w:val="0046512F"/>
    <w:rsid w:val="00467A8F"/>
    <w:rsid w:val="004712B6"/>
    <w:rsid w:val="004732D7"/>
    <w:rsid w:val="00476255"/>
    <w:rsid w:val="004774F0"/>
    <w:rsid w:val="00490731"/>
    <w:rsid w:val="00493B12"/>
    <w:rsid w:val="004943F6"/>
    <w:rsid w:val="00495215"/>
    <w:rsid w:val="00496643"/>
    <w:rsid w:val="00496BBC"/>
    <w:rsid w:val="00497068"/>
    <w:rsid w:val="004A1D26"/>
    <w:rsid w:val="004A6065"/>
    <w:rsid w:val="004A7C48"/>
    <w:rsid w:val="004B2B39"/>
    <w:rsid w:val="004B301B"/>
    <w:rsid w:val="004B3050"/>
    <w:rsid w:val="004B387B"/>
    <w:rsid w:val="004B5C41"/>
    <w:rsid w:val="004B6550"/>
    <w:rsid w:val="004B6C1E"/>
    <w:rsid w:val="004C13FA"/>
    <w:rsid w:val="004D2279"/>
    <w:rsid w:val="004D3097"/>
    <w:rsid w:val="004D44C9"/>
    <w:rsid w:val="004F0AD2"/>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A53C5"/>
    <w:rsid w:val="005B2929"/>
    <w:rsid w:val="005B5F61"/>
    <w:rsid w:val="005B7D03"/>
    <w:rsid w:val="005C20AF"/>
    <w:rsid w:val="005C3C0B"/>
    <w:rsid w:val="005D1365"/>
    <w:rsid w:val="005D1D57"/>
    <w:rsid w:val="005D44CE"/>
    <w:rsid w:val="005D4ECD"/>
    <w:rsid w:val="005D5589"/>
    <w:rsid w:val="005D74F2"/>
    <w:rsid w:val="005E085B"/>
    <w:rsid w:val="005F1964"/>
    <w:rsid w:val="005F29C1"/>
    <w:rsid w:val="005F78BB"/>
    <w:rsid w:val="005F7B63"/>
    <w:rsid w:val="00601668"/>
    <w:rsid w:val="00602399"/>
    <w:rsid w:val="00602980"/>
    <w:rsid w:val="006123C5"/>
    <w:rsid w:val="00612E0C"/>
    <w:rsid w:val="006174D9"/>
    <w:rsid w:val="00622F41"/>
    <w:rsid w:val="00631FB8"/>
    <w:rsid w:val="00634E7B"/>
    <w:rsid w:val="006374D0"/>
    <w:rsid w:val="00642E66"/>
    <w:rsid w:val="0064648A"/>
    <w:rsid w:val="00647CB9"/>
    <w:rsid w:val="00650EFA"/>
    <w:rsid w:val="00655B90"/>
    <w:rsid w:val="00656B5A"/>
    <w:rsid w:val="00661424"/>
    <w:rsid w:val="00663D49"/>
    <w:rsid w:val="00666B25"/>
    <w:rsid w:val="00670E8A"/>
    <w:rsid w:val="006711F3"/>
    <w:rsid w:val="006734B2"/>
    <w:rsid w:val="00675F54"/>
    <w:rsid w:val="00680EA5"/>
    <w:rsid w:val="006839FF"/>
    <w:rsid w:val="00685580"/>
    <w:rsid w:val="00686FEA"/>
    <w:rsid w:val="00691B9D"/>
    <w:rsid w:val="006A0998"/>
    <w:rsid w:val="006A1A6B"/>
    <w:rsid w:val="006A483E"/>
    <w:rsid w:val="006A545B"/>
    <w:rsid w:val="006A6025"/>
    <w:rsid w:val="006A67F9"/>
    <w:rsid w:val="006B1932"/>
    <w:rsid w:val="006B21AD"/>
    <w:rsid w:val="006B3BA2"/>
    <w:rsid w:val="006B4518"/>
    <w:rsid w:val="006B710A"/>
    <w:rsid w:val="006C48D7"/>
    <w:rsid w:val="006C6A81"/>
    <w:rsid w:val="006C6F0E"/>
    <w:rsid w:val="006C7485"/>
    <w:rsid w:val="006D11BB"/>
    <w:rsid w:val="006D1E13"/>
    <w:rsid w:val="006D5A66"/>
    <w:rsid w:val="006D7239"/>
    <w:rsid w:val="006F0712"/>
    <w:rsid w:val="006F1262"/>
    <w:rsid w:val="006F4488"/>
    <w:rsid w:val="007026A5"/>
    <w:rsid w:val="00710E40"/>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3B46"/>
    <w:rsid w:val="008260C9"/>
    <w:rsid w:val="00827358"/>
    <w:rsid w:val="008365F4"/>
    <w:rsid w:val="00836740"/>
    <w:rsid w:val="00836CCC"/>
    <w:rsid w:val="0084046A"/>
    <w:rsid w:val="00860083"/>
    <w:rsid w:val="00860DE1"/>
    <w:rsid w:val="00865686"/>
    <w:rsid w:val="00865B5C"/>
    <w:rsid w:val="008814B8"/>
    <w:rsid w:val="008819DA"/>
    <w:rsid w:val="00887157"/>
    <w:rsid w:val="00887A65"/>
    <w:rsid w:val="0089063B"/>
    <w:rsid w:val="00890C34"/>
    <w:rsid w:val="008916E8"/>
    <w:rsid w:val="008917B9"/>
    <w:rsid w:val="00896014"/>
    <w:rsid w:val="008A2F14"/>
    <w:rsid w:val="008B4134"/>
    <w:rsid w:val="008B5AF8"/>
    <w:rsid w:val="008C254E"/>
    <w:rsid w:val="008D2C52"/>
    <w:rsid w:val="008D487B"/>
    <w:rsid w:val="008D57AD"/>
    <w:rsid w:val="008D6555"/>
    <w:rsid w:val="008E3561"/>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94B4D"/>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34B5"/>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B7A69"/>
    <w:rsid w:val="00AC29B0"/>
    <w:rsid w:val="00AC3A0C"/>
    <w:rsid w:val="00AC4232"/>
    <w:rsid w:val="00AC7FA2"/>
    <w:rsid w:val="00AD4B7D"/>
    <w:rsid w:val="00AD6394"/>
    <w:rsid w:val="00AE13AF"/>
    <w:rsid w:val="00AF06BC"/>
    <w:rsid w:val="00AF0C03"/>
    <w:rsid w:val="00B16016"/>
    <w:rsid w:val="00B234AF"/>
    <w:rsid w:val="00B27F1B"/>
    <w:rsid w:val="00B36279"/>
    <w:rsid w:val="00B37C1B"/>
    <w:rsid w:val="00B40DC8"/>
    <w:rsid w:val="00B43107"/>
    <w:rsid w:val="00B439EC"/>
    <w:rsid w:val="00B47109"/>
    <w:rsid w:val="00B50945"/>
    <w:rsid w:val="00B5122D"/>
    <w:rsid w:val="00B53242"/>
    <w:rsid w:val="00B5382C"/>
    <w:rsid w:val="00B5781C"/>
    <w:rsid w:val="00B624CF"/>
    <w:rsid w:val="00B63B4B"/>
    <w:rsid w:val="00B6694A"/>
    <w:rsid w:val="00B71785"/>
    <w:rsid w:val="00B8071C"/>
    <w:rsid w:val="00B847B7"/>
    <w:rsid w:val="00B90CD0"/>
    <w:rsid w:val="00B930C9"/>
    <w:rsid w:val="00B94C7D"/>
    <w:rsid w:val="00B97D8D"/>
    <w:rsid w:val="00BA0EED"/>
    <w:rsid w:val="00BA3604"/>
    <w:rsid w:val="00BB0341"/>
    <w:rsid w:val="00BB0755"/>
    <w:rsid w:val="00BB4A78"/>
    <w:rsid w:val="00BB7135"/>
    <w:rsid w:val="00BC3CED"/>
    <w:rsid w:val="00BC5445"/>
    <w:rsid w:val="00BC73C3"/>
    <w:rsid w:val="00BC78C5"/>
    <w:rsid w:val="00BC7B0E"/>
    <w:rsid w:val="00BD2433"/>
    <w:rsid w:val="00BD4B3F"/>
    <w:rsid w:val="00BD6CF4"/>
    <w:rsid w:val="00BE0DFE"/>
    <w:rsid w:val="00BE3015"/>
    <w:rsid w:val="00BF1293"/>
    <w:rsid w:val="00BF3B28"/>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349"/>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E0149A"/>
    <w:rsid w:val="00E0378E"/>
    <w:rsid w:val="00E0439B"/>
    <w:rsid w:val="00E0528B"/>
    <w:rsid w:val="00E06590"/>
    <w:rsid w:val="00E072BE"/>
    <w:rsid w:val="00E12BDF"/>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68B6"/>
    <w:rsid w:val="00E83BE7"/>
    <w:rsid w:val="00E90F30"/>
    <w:rsid w:val="00E946CB"/>
    <w:rsid w:val="00EA008C"/>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4B48"/>
    <w:rsid w:val="00EE51B7"/>
    <w:rsid w:val="00EE7D67"/>
    <w:rsid w:val="00EF5709"/>
    <w:rsid w:val="00EF772D"/>
    <w:rsid w:val="00F013AE"/>
    <w:rsid w:val="00F0248D"/>
    <w:rsid w:val="00F0479A"/>
    <w:rsid w:val="00F103CE"/>
    <w:rsid w:val="00F213D6"/>
    <w:rsid w:val="00F256C7"/>
    <w:rsid w:val="00F31B9A"/>
    <w:rsid w:val="00F35272"/>
    <w:rsid w:val="00F35671"/>
    <w:rsid w:val="00F41616"/>
    <w:rsid w:val="00F4735E"/>
    <w:rsid w:val="00F5197F"/>
    <w:rsid w:val="00F524DB"/>
    <w:rsid w:val="00F530B2"/>
    <w:rsid w:val="00F53223"/>
    <w:rsid w:val="00F5469A"/>
    <w:rsid w:val="00F663E8"/>
    <w:rsid w:val="00F70A2C"/>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0500"/>
    <w:rsid w:val="00FC16EC"/>
    <w:rsid w:val="00FC73C7"/>
    <w:rsid w:val="00FD02D9"/>
    <w:rsid w:val="00FD4F65"/>
    <w:rsid w:val="00FE1847"/>
    <w:rsid w:val="00FE24CB"/>
    <w:rsid w:val="00FE356F"/>
    <w:rsid w:val="00FE404F"/>
    <w:rsid w:val="00FE7AA0"/>
    <w:rsid w:val="00FF2762"/>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f.gov/news/special_reports/i-corps/nodes.j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statistics/1095155/number-of-unicorns-in-latin-america-by-industry/" TargetMode="External"/><Relationship Id="rId2" Type="http://schemas.openxmlformats.org/officeDocument/2006/relationships/hyperlink" Target="https://www.wipo.int/global_innovation_index/en/2020/" TargetMode="External"/><Relationship Id="rId1" Type="http://schemas.openxmlformats.org/officeDocument/2006/relationships/hyperlink" Target="https://www.wipo.int/global_innovation_index/en/2021/" TargetMode="External"/><Relationship Id="rId5" Type="http://schemas.openxmlformats.org/officeDocument/2006/relationships/hyperlink" Target="https://fortune.com/2018/10/26/latinx-female-founders-women-venture-capital-funding/" TargetMode="External"/><Relationship Id="rId4" Type="http://schemas.openxmlformats.org/officeDocument/2006/relationships/hyperlink" Target="https://pitchbook.com/news/articles/the-vc-female-founders-dashboar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2021-11-27T18:34:00Z</dcterms:created>
  <dcterms:modified xsi:type="dcterms:W3CDTF">2021-11-27T18:35:00Z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