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1A0FA5EA" w:rsidR="00722693" w:rsidRPr="006E5C04" w:rsidRDefault="00FA607C" w:rsidP="006A0998">
      <w:pPr>
        <w:tabs>
          <w:tab w:val="left" w:pos="7200"/>
        </w:tabs>
        <w:ind w:right="-1080"/>
        <w:rPr>
          <w:sz w:val="22"/>
          <w:szCs w:val="22"/>
          <w:lang w:val="pt-BR"/>
        </w:rPr>
      </w:pPr>
      <w:r w:rsidRPr="007F108B">
        <w:rPr>
          <w:sz w:val="22"/>
          <w:szCs w:val="22"/>
        </w:rPr>
        <w:tab/>
      </w:r>
      <w:r w:rsidRPr="006E5C04">
        <w:rPr>
          <w:sz w:val="22"/>
          <w:szCs w:val="22"/>
          <w:lang w:val="pt-BR"/>
        </w:rPr>
        <w:t>OEA/Ser.W</w:t>
      </w:r>
    </w:p>
    <w:p w14:paraId="47887D17" w14:textId="07C08CFB" w:rsidR="00722693" w:rsidRPr="006E5C04" w:rsidRDefault="00FA607C" w:rsidP="006A0998">
      <w:pPr>
        <w:tabs>
          <w:tab w:val="left" w:pos="7200"/>
        </w:tabs>
        <w:ind w:right="-1080"/>
        <w:rPr>
          <w:sz w:val="22"/>
          <w:szCs w:val="22"/>
          <w:lang w:val="pt-BR"/>
        </w:rPr>
      </w:pPr>
      <w:r w:rsidRPr="006E5C04">
        <w:rPr>
          <w:sz w:val="22"/>
          <w:szCs w:val="22"/>
          <w:lang w:val="pt-BR"/>
        </w:rPr>
        <w:tab/>
        <w:t>CIDI/INF.476/21</w:t>
      </w:r>
      <w:r w:rsidR="00B41EE3">
        <w:rPr>
          <w:sz w:val="22"/>
          <w:szCs w:val="22"/>
          <w:lang w:val="pt-BR"/>
        </w:rPr>
        <w:t xml:space="preserve"> rev.1</w:t>
      </w:r>
    </w:p>
    <w:p w14:paraId="5A33C6A7" w14:textId="3B764C5B" w:rsidR="00921E9E" w:rsidRPr="007F108B" w:rsidRDefault="00FA607C" w:rsidP="006A0998">
      <w:pPr>
        <w:tabs>
          <w:tab w:val="left" w:pos="7200"/>
        </w:tabs>
        <w:ind w:right="-1080"/>
        <w:rPr>
          <w:sz w:val="22"/>
          <w:szCs w:val="22"/>
        </w:rPr>
      </w:pPr>
      <w:r w:rsidRPr="006E5C04">
        <w:rPr>
          <w:sz w:val="22"/>
          <w:szCs w:val="22"/>
          <w:lang w:val="pt-BR"/>
        </w:rPr>
        <w:tab/>
      </w:r>
      <w:r w:rsidR="00B41EE3">
        <w:rPr>
          <w:sz w:val="22"/>
          <w:szCs w:val="22"/>
        </w:rPr>
        <w:t>27</w:t>
      </w:r>
      <w:r w:rsidRPr="007F108B">
        <w:rPr>
          <w:sz w:val="22"/>
          <w:szCs w:val="22"/>
        </w:rPr>
        <w:t xml:space="preserve"> novembre 2021</w:t>
      </w:r>
    </w:p>
    <w:p w14:paraId="0F58D2B5" w14:textId="77777777" w:rsidR="00921E9E" w:rsidRPr="007F108B" w:rsidRDefault="00FA607C" w:rsidP="006A0998">
      <w:pPr>
        <w:pBdr>
          <w:bottom w:val="single" w:sz="12" w:space="1" w:color="auto"/>
        </w:pBdr>
        <w:tabs>
          <w:tab w:val="left" w:pos="7200"/>
        </w:tabs>
        <w:ind w:right="-389"/>
        <w:rPr>
          <w:sz w:val="22"/>
          <w:szCs w:val="22"/>
        </w:rPr>
      </w:pPr>
      <w:r w:rsidRPr="007F108B">
        <w:rPr>
          <w:sz w:val="22"/>
          <w:szCs w:val="22"/>
        </w:rPr>
        <w:tab/>
        <w:t>Original: anglais</w:t>
      </w:r>
    </w:p>
    <w:p w14:paraId="5D981BA8" w14:textId="77777777" w:rsidR="00921E9E" w:rsidRPr="007F108B" w:rsidRDefault="00921E9E" w:rsidP="006A0998">
      <w:pPr>
        <w:pBdr>
          <w:bottom w:val="single" w:sz="12" w:space="1" w:color="auto"/>
        </w:pBdr>
        <w:tabs>
          <w:tab w:val="left" w:pos="7200"/>
        </w:tabs>
        <w:ind w:right="-389"/>
        <w:rPr>
          <w:sz w:val="22"/>
          <w:szCs w:val="22"/>
        </w:rPr>
      </w:pPr>
    </w:p>
    <w:p w14:paraId="2F69D4D3" w14:textId="77777777" w:rsidR="00722693" w:rsidRPr="007F108B" w:rsidRDefault="00722693" w:rsidP="006A0998">
      <w:pPr>
        <w:tabs>
          <w:tab w:val="left" w:pos="7200"/>
        </w:tabs>
        <w:ind w:right="-1080"/>
        <w:rPr>
          <w:sz w:val="22"/>
          <w:szCs w:val="22"/>
        </w:rPr>
      </w:pPr>
    </w:p>
    <w:p w14:paraId="175A517F" w14:textId="177E4B3A" w:rsidR="00921E9E" w:rsidRPr="007F108B" w:rsidRDefault="00FA607C" w:rsidP="006A0998">
      <w:pPr>
        <w:jc w:val="center"/>
        <w:rPr>
          <w:rFonts w:eastAsia="Calibri"/>
          <w:sz w:val="22"/>
          <w:szCs w:val="22"/>
        </w:rPr>
      </w:pPr>
      <w:r w:rsidRPr="007F108B">
        <w:rPr>
          <w:sz w:val="22"/>
          <w:szCs w:val="22"/>
        </w:rPr>
        <w:t>DOCUMENT DE RÉFLEXION</w:t>
      </w:r>
    </w:p>
    <w:p w14:paraId="215CDB98" w14:textId="32E33758" w:rsidR="00DD0DD6" w:rsidRPr="007F108B" w:rsidRDefault="00FA607C" w:rsidP="006A0998">
      <w:pPr>
        <w:jc w:val="center"/>
        <w:rPr>
          <w:rFonts w:eastAsia="Calibri"/>
          <w:caps/>
          <w:sz w:val="22"/>
          <w:szCs w:val="22"/>
        </w:rPr>
      </w:pPr>
      <w:r w:rsidRPr="007F108B">
        <w:rPr>
          <w:caps/>
          <w:sz w:val="22"/>
          <w:szCs w:val="22"/>
        </w:rPr>
        <w:t>Réunion ordinaire du</w:t>
      </w:r>
    </w:p>
    <w:p w14:paraId="02610FD8" w14:textId="77777777" w:rsidR="00921E9E" w:rsidRPr="007F108B" w:rsidRDefault="00FA607C" w:rsidP="006A0998">
      <w:pPr>
        <w:jc w:val="center"/>
        <w:rPr>
          <w:rFonts w:eastAsia="Calibri"/>
          <w:caps/>
          <w:sz w:val="22"/>
          <w:szCs w:val="22"/>
        </w:rPr>
      </w:pPr>
      <w:r w:rsidRPr="007F108B">
        <w:rPr>
          <w:caps/>
          <w:sz w:val="22"/>
          <w:szCs w:val="22"/>
        </w:rPr>
        <w:t xml:space="preserve">Conseil interaméricain pour le développement intégré (CIDI) </w:t>
      </w:r>
    </w:p>
    <w:p w14:paraId="60A978BB" w14:textId="7B510DFD" w:rsidR="00921E9E" w:rsidRPr="007F108B" w:rsidRDefault="005A53C5" w:rsidP="006A0998">
      <w:pPr>
        <w:jc w:val="center"/>
        <w:rPr>
          <w:caps/>
          <w:sz w:val="22"/>
          <w:szCs w:val="22"/>
        </w:rPr>
      </w:pPr>
      <w:r w:rsidRPr="007F108B">
        <w:rPr>
          <w:caps/>
          <w:sz w:val="22"/>
          <w:szCs w:val="22"/>
        </w:rPr>
        <w:t>30 novembre 2021</w:t>
      </w:r>
    </w:p>
    <w:p w14:paraId="32410C52" w14:textId="77777777" w:rsidR="00BF3B28" w:rsidRPr="007F108B" w:rsidRDefault="00BF3B28" w:rsidP="006A0998">
      <w:pPr>
        <w:jc w:val="center"/>
        <w:rPr>
          <w:rFonts w:eastAsia="Calibri"/>
          <w:caps/>
          <w:sz w:val="22"/>
          <w:szCs w:val="22"/>
        </w:rPr>
      </w:pPr>
    </w:p>
    <w:p w14:paraId="15CD43B6" w14:textId="6077FF1A" w:rsidR="007A307C" w:rsidRPr="007F108B" w:rsidRDefault="00FA607C" w:rsidP="00F70A2C">
      <w:pPr>
        <w:jc w:val="center"/>
        <w:rPr>
          <w:rFonts w:eastAsia="Calibri"/>
          <w:sz w:val="22"/>
          <w:szCs w:val="22"/>
        </w:rPr>
      </w:pPr>
      <w:r w:rsidRPr="007F108B">
        <w:rPr>
          <w:sz w:val="22"/>
          <w:szCs w:val="22"/>
        </w:rPr>
        <w:t>(Élaboré par le Secrétariat exécutif au développement intégré)</w:t>
      </w:r>
    </w:p>
    <w:p w14:paraId="0C7F118F" w14:textId="77777777" w:rsidR="007A307C" w:rsidRPr="007F108B" w:rsidRDefault="007A307C" w:rsidP="006A0998">
      <w:pPr>
        <w:jc w:val="both"/>
        <w:rPr>
          <w:rFonts w:eastAsia="Calibri"/>
          <w:sz w:val="22"/>
          <w:szCs w:val="22"/>
        </w:rPr>
      </w:pPr>
    </w:p>
    <w:p w14:paraId="36349AC8" w14:textId="54A7F808" w:rsidR="00EA008C" w:rsidRPr="007F108B" w:rsidRDefault="00902338" w:rsidP="00F70A2C">
      <w:pPr>
        <w:tabs>
          <w:tab w:val="left" w:pos="720"/>
          <w:tab w:val="left" w:pos="1440"/>
          <w:tab w:val="left" w:pos="3240"/>
        </w:tabs>
        <w:ind w:left="1080" w:hanging="1080"/>
        <w:contextualSpacing/>
        <w:jc w:val="both"/>
        <w:rPr>
          <w:b/>
          <w:bCs/>
          <w:sz w:val="22"/>
          <w:szCs w:val="22"/>
        </w:rPr>
      </w:pPr>
      <w:r w:rsidRPr="007F108B">
        <w:rPr>
          <w:sz w:val="22"/>
          <w:szCs w:val="22"/>
        </w:rPr>
        <w:t>THÈME :</w:t>
      </w:r>
      <w:r w:rsidRPr="007F108B">
        <w:rPr>
          <w:sz w:val="22"/>
          <w:szCs w:val="22"/>
        </w:rPr>
        <w:tab/>
      </w:r>
      <w:r w:rsidRPr="007F108B">
        <w:rPr>
          <w:b/>
          <w:sz w:val="22"/>
          <w:szCs w:val="22"/>
        </w:rPr>
        <w:t>L’INNOVATION DANS LE FINANCEMENT : UNE COLLABORATION EFFICACE ENTRE LE SECTEUR PUBLIC, LE SECTEUR PRIVÉ ET LE MILIEU UNIVERSITAIRE POUR AMÉLIORER LA COMPÉTITIVITÉ ET LA QUALITÉ DE VIE</w:t>
      </w:r>
    </w:p>
    <w:p w14:paraId="2548068C" w14:textId="77777777" w:rsidR="005A53C5" w:rsidRPr="006E5C04" w:rsidRDefault="005A53C5" w:rsidP="006A0998">
      <w:pPr>
        <w:tabs>
          <w:tab w:val="left" w:pos="720"/>
          <w:tab w:val="left" w:pos="1440"/>
          <w:tab w:val="left" w:pos="3240"/>
        </w:tabs>
        <w:contextualSpacing/>
        <w:jc w:val="both"/>
        <w:rPr>
          <w:sz w:val="22"/>
          <w:szCs w:val="22"/>
        </w:rPr>
      </w:pPr>
    </w:p>
    <w:p w14:paraId="1BC24364" w14:textId="6E9BE780" w:rsidR="00902338" w:rsidRPr="007F108B" w:rsidRDefault="00902338" w:rsidP="006A0998">
      <w:pPr>
        <w:tabs>
          <w:tab w:val="left" w:pos="720"/>
          <w:tab w:val="left" w:pos="1440"/>
        </w:tabs>
        <w:jc w:val="both"/>
        <w:rPr>
          <w:sz w:val="22"/>
          <w:szCs w:val="22"/>
        </w:rPr>
      </w:pPr>
    </w:p>
    <w:p w14:paraId="1FE97DF8" w14:textId="5438C069" w:rsidR="00723EE9" w:rsidRPr="007F108B" w:rsidRDefault="00723EE9" w:rsidP="006A0998">
      <w:pPr>
        <w:numPr>
          <w:ilvl w:val="0"/>
          <w:numId w:val="10"/>
        </w:numPr>
        <w:ind w:left="0" w:firstLine="0"/>
        <w:rPr>
          <w:rFonts w:eastAsia="Calibri"/>
          <w:b/>
          <w:sz w:val="22"/>
          <w:szCs w:val="22"/>
        </w:rPr>
      </w:pPr>
      <w:r w:rsidRPr="007F108B">
        <w:rPr>
          <w:b/>
          <w:sz w:val="22"/>
          <w:szCs w:val="22"/>
        </w:rPr>
        <w:t>Contexte et justification</w:t>
      </w:r>
    </w:p>
    <w:p w14:paraId="203A6EDD" w14:textId="77777777" w:rsidR="005B2929" w:rsidRPr="006E5C04" w:rsidRDefault="005B2929" w:rsidP="006A0998">
      <w:pPr>
        <w:rPr>
          <w:rFonts w:eastAsia="Calibri"/>
          <w:bCs/>
          <w:sz w:val="22"/>
          <w:szCs w:val="22"/>
        </w:rPr>
      </w:pPr>
    </w:p>
    <w:p w14:paraId="59801D4A" w14:textId="72DBE924" w:rsidR="00194645" w:rsidRPr="007F108B" w:rsidRDefault="00194645" w:rsidP="006A0998">
      <w:pPr>
        <w:pStyle w:val="NormalWeb"/>
        <w:spacing w:before="0" w:beforeAutospacing="0" w:after="0" w:afterAutospacing="0"/>
        <w:ind w:firstLine="720"/>
        <w:jc w:val="both"/>
        <w:rPr>
          <w:color w:val="3B3B3B"/>
          <w:sz w:val="22"/>
          <w:szCs w:val="22"/>
        </w:rPr>
      </w:pPr>
      <w:r w:rsidRPr="007F108B">
        <w:rPr>
          <w:color w:val="3B3B3B"/>
          <w:sz w:val="22"/>
          <w:szCs w:val="22"/>
        </w:rPr>
        <w:t>En dépit de l'impact de la pandémie de COVID-19, la production scientifique, la recherche et le développement (R&amp;D) et les transactions de capital-risque (CR) ont augmenté dans le monde en 2020. Toutefois, les performances en matière d'innovation étaient inégales selon les secteurs et les pays. Alors que les industries de services, notamment les voyages et les transports, ont été sévèrement touchées, celles liées à la numérisation, à la technologie et à l'innovation, comme les logiciels, les biotechnologies, l'internet, les télécommunications et l'électronique, ont augmenté leurs investissements et leurs résultats.</w:t>
      </w:r>
      <w:r w:rsidRPr="007F108B">
        <w:rPr>
          <w:rStyle w:val="FootnoteReference"/>
          <w:color w:val="3B3B3B"/>
          <w:sz w:val="22"/>
          <w:szCs w:val="22"/>
          <w:u w:val="single"/>
        </w:rPr>
        <w:footnoteReference w:id="1"/>
      </w:r>
      <w:r w:rsidRPr="007F108B">
        <w:rPr>
          <w:color w:val="3B3B3B"/>
          <w:sz w:val="22"/>
          <w:szCs w:val="22"/>
          <w:vertAlign w:val="superscript"/>
        </w:rPr>
        <w:t xml:space="preserve">/ </w:t>
      </w:r>
    </w:p>
    <w:p w14:paraId="10ACBE9C" w14:textId="77777777" w:rsidR="00BF3B28" w:rsidRPr="007F108B" w:rsidRDefault="00BF3B28" w:rsidP="006E5C04">
      <w:pPr>
        <w:rPr>
          <w:color w:val="3B3B3B"/>
          <w:sz w:val="22"/>
          <w:szCs w:val="22"/>
        </w:rPr>
      </w:pPr>
    </w:p>
    <w:p w14:paraId="6BEC6C57" w14:textId="5CE6DBB8" w:rsidR="00194645" w:rsidRPr="007F108B" w:rsidRDefault="00194645" w:rsidP="006A0998">
      <w:pPr>
        <w:pStyle w:val="NormalWeb"/>
        <w:spacing w:before="0" w:beforeAutospacing="0" w:after="0" w:afterAutospacing="0"/>
        <w:ind w:firstLine="720"/>
        <w:jc w:val="both"/>
        <w:rPr>
          <w:sz w:val="22"/>
          <w:szCs w:val="22"/>
        </w:rPr>
      </w:pPr>
      <w:r w:rsidRPr="007F108B">
        <w:rPr>
          <w:color w:val="3B3B3B"/>
          <w:sz w:val="22"/>
          <w:szCs w:val="22"/>
        </w:rPr>
        <w:t xml:space="preserve">Seules les économies émergentes qui ont complété les actions au niveau national par des liens avec les secteurs dynamiques de l'économie ont pu soutenir leurs efforts de relance grâce aux capacités disponibles dans leurs systèmes d'innovation. </w:t>
      </w:r>
      <w:r w:rsidRPr="007F108B">
        <w:rPr>
          <w:sz w:val="22"/>
          <w:szCs w:val="22"/>
        </w:rPr>
        <w:t>Parmi les défis que doit relever la région Amérique latine et Caraïbes (ALC), citons le déséquilibre des systèmes d'innovation, avec des besoins liés au capital humain et à la recherche, ainsi que des capacités limitées à traduire les apports de l'innovation en résultats.</w:t>
      </w:r>
      <w:r w:rsidR="00EE4B48" w:rsidRPr="007F108B">
        <w:rPr>
          <w:rStyle w:val="FootnoteReference"/>
          <w:sz w:val="22"/>
          <w:szCs w:val="22"/>
          <w:u w:val="single"/>
        </w:rPr>
        <w:footnoteReference w:id="2"/>
      </w:r>
      <w:r w:rsidRPr="007F108B">
        <w:rPr>
          <w:sz w:val="22"/>
          <w:szCs w:val="22"/>
          <w:vertAlign w:val="superscript"/>
        </w:rPr>
        <w:t>/</w:t>
      </w:r>
    </w:p>
    <w:p w14:paraId="424F7B0A" w14:textId="77777777" w:rsidR="006A0998" w:rsidRPr="007F108B" w:rsidRDefault="006A0998" w:rsidP="006E5C04">
      <w:pPr>
        <w:rPr>
          <w:color w:val="3B3B3B"/>
          <w:sz w:val="22"/>
          <w:szCs w:val="22"/>
        </w:rPr>
      </w:pPr>
    </w:p>
    <w:p w14:paraId="3D373CB6" w14:textId="36EEA589" w:rsidR="00E12BDF" w:rsidRPr="007F108B" w:rsidRDefault="005B2929" w:rsidP="006A0998">
      <w:pPr>
        <w:ind w:firstLine="720"/>
        <w:jc w:val="both"/>
        <w:rPr>
          <w:sz w:val="22"/>
          <w:szCs w:val="22"/>
        </w:rPr>
      </w:pPr>
      <w:r w:rsidRPr="007F108B">
        <w:rPr>
          <w:sz w:val="22"/>
          <w:szCs w:val="22"/>
        </w:rPr>
        <w:t xml:space="preserve">Les contraintes budgétaires qui découlent de la pandémie dans les pays en développement nécessiteront une créativité et des approches ingénieuses pour développer, adopter et déployer des solutions scientifiques et technologiques afin de répondre aux impératifs de développement et de poursuivre les efforts de redressement post-COVID. </w:t>
      </w:r>
    </w:p>
    <w:p w14:paraId="170053A3" w14:textId="77777777" w:rsidR="00E12BDF" w:rsidRPr="007F108B" w:rsidRDefault="00E12BDF" w:rsidP="006A0998">
      <w:pPr>
        <w:jc w:val="both"/>
        <w:rPr>
          <w:sz w:val="22"/>
          <w:szCs w:val="22"/>
        </w:rPr>
      </w:pPr>
    </w:p>
    <w:p w14:paraId="42078F65" w14:textId="1025B682" w:rsidR="002069D4" w:rsidRPr="007F108B" w:rsidRDefault="00E12BDF" w:rsidP="006A0998">
      <w:pPr>
        <w:pStyle w:val="NormalWeb"/>
        <w:spacing w:before="0" w:beforeAutospacing="0" w:after="0" w:afterAutospacing="0"/>
        <w:ind w:firstLine="720"/>
        <w:jc w:val="both"/>
        <w:rPr>
          <w:rFonts w:eastAsiaTheme="minorHAnsi"/>
          <w:sz w:val="22"/>
          <w:szCs w:val="22"/>
        </w:rPr>
      </w:pPr>
      <w:r w:rsidRPr="007F108B">
        <w:rPr>
          <w:sz w:val="22"/>
          <w:szCs w:val="22"/>
        </w:rPr>
        <w:t xml:space="preserve">Selon l'Indice mondial de l’innovation, le financement joue un rôle à chaque étape du cycle de l'innovation, de la conceptualisation d'un produit, d'un service ou d'une technologie à sa </w:t>
      </w:r>
      <w:r w:rsidRPr="007F108B">
        <w:rPr>
          <w:sz w:val="22"/>
          <w:szCs w:val="22"/>
        </w:rPr>
        <w:lastRenderedPageBreak/>
        <w:t>commercialisation et au-delà.</w:t>
      </w:r>
      <w:r w:rsidR="005B2929" w:rsidRPr="007F108B">
        <w:rPr>
          <w:sz w:val="22"/>
          <w:szCs w:val="22"/>
          <w:u w:val="single"/>
          <w:vertAlign w:val="superscript"/>
        </w:rPr>
        <w:footnoteReference w:id="3"/>
      </w:r>
      <w:r w:rsidRPr="007F108B">
        <w:rPr>
          <w:sz w:val="22"/>
          <w:szCs w:val="22"/>
          <w:vertAlign w:val="superscript"/>
        </w:rPr>
        <w:t>/</w:t>
      </w:r>
      <w:r w:rsidRPr="007F108B">
        <w:rPr>
          <w:sz w:val="22"/>
          <w:szCs w:val="22"/>
        </w:rPr>
        <w:t xml:space="preserve"> Les programmes menés par les gouvernements restent fondamentaux, notamment pour la recherche et le développement scientifiques axés sur les missions ou les frontières, ainsi que les initiatives visant à étendre l'inclusion financière afin de remédier aux inégalités historiques et aux limitations systématiques de l'accès au crédit et au financement de démarrage pour certaines parties de la population.</w:t>
      </w:r>
    </w:p>
    <w:p w14:paraId="0D6D27C1" w14:textId="77777777" w:rsidR="006A0998" w:rsidRPr="007F108B" w:rsidRDefault="006A0998" w:rsidP="008271F8">
      <w:pPr>
        <w:pStyle w:val="NormalWeb"/>
        <w:spacing w:before="0" w:beforeAutospacing="0" w:after="0" w:afterAutospacing="0"/>
        <w:jc w:val="both"/>
        <w:rPr>
          <w:rFonts w:eastAsiaTheme="minorHAnsi"/>
          <w:sz w:val="22"/>
          <w:szCs w:val="22"/>
        </w:rPr>
      </w:pPr>
    </w:p>
    <w:p w14:paraId="08E4F955" w14:textId="4A8F80E2" w:rsidR="00E12BDF" w:rsidRPr="007F108B" w:rsidRDefault="00E12BDF" w:rsidP="006A0998">
      <w:pPr>
        <w:pStyle w:val="NormalWeb"/>
        <w:spacing w:before="0" w:beforeAutospacing="0" w:after="0" w:afterAutospacing="0"/>
        <w:ind w:firstLine="720"/>
        <w:jc w:val="both"/>
        <w:rPr>
          <w:rFonts w:eastAsiaTheme="minorHAnsi"/>
          <w:sz w:val="22"/>
          <w:szCs w:val="22"/>
        </w:rPr>
      </w:pPr>
      <w:r w:rsidRPr="007F108B">
        <w:rPr>
          <w:sz w:val="22"/>
          <w:szCs w:val="22"/>
        </w:rPr>
        <w:t xml:space="preserve">De nouveaux acteurs, tels que les entreprises, les investisseurs institutionnels, les fonds souverains, les sociétés de capital-risque, les défis sociaux et entrepreneuriaux, les organisations à but non lucratif, le crowdfunding et les solutions fintech, sont devenus des acteurs clés du développement et de la croissance de l'industrie du capital privé et entrepreneurial et de l'écosystème de l'innovation. Avant la pandémie et grâce à la convergence des technologies transformatrices et de la connectivité, ces nouveaux acteurs et mécanismes innovants sont devenus disponibles pour financer et s'engager avec les innovateurs, les entrepreneurs et les initiatives communautaires. A bien des égards, la riposte à la COVID-19 a accéléré les synergies et l'urgence de conduire et de financer des solutions innovantes pour faire face aux besoins immédiats de la pandémie et à la perturbation soudaine de l'accès aux biens et services des chaînes de valeur mondiales. </w:t>
      </w:r>
    </w:p>
    <w:p w14:paraId="4C9EA0B5" w14:textId="77777777" w:rsidR="006A0998" w:rsidRPr="007F108B" w:rsidRDefault="006A0998" w:rsidP="00103FFE">
      <w:pPr>
        <w:pStyle w:val="NormalWeb"/>
        <w:spacing w:before="0" w:beforeAutospacing="0" w:after="0" w:afterAutospacing="0"/>
        <w:jc w:val="both"/>
        <w:rPr>
          <w:rFonts w:eastAsiaTheme="minorHAnsi"/>
          <w:sz w:val="22"/>
          <w:szCs w:val="22"/>
        </w:rPr>
      </w:pPr>
    </w:p>
    <w:p w14:paraId="38D1E2C5" w14:textId="0EAD0A9F" w:rsidR="00EE4B48" w:rsidRPr="007F108B" w:rsidRDefault="00EE4B48" w:rsidP="006A0998">
      <w:pPr>
        <w:ind w:firstLine="720"/>
        <w:jc w:val="both"/>
        <w:rPr>
          <w:rFonts w:eastAsiaTheme="minorHAnsi"/>
          <w:sz w:val="22"/>
          <w:szCs w:val="22"/>
        </w:rPr>
      </w:pPr>
      <w:r w:rsidRPr="007F108B">
        <w:rPr>
          <w:sz w:val="22"/>
          <w:szCs w:val="22"/>
        </w:rPr>
        <w:t>En 2020, le nombre d'opérations de capital-risque a augmenté de 5,8 %, soit la meilleure performance de ces dix dernières années. La région ALC a également enregistré des augmentations à deux chiffres</w:t>
      </w:r>
      <w:r w:rsidRPr="007F108B">
        <w:rPr>
          <w:color w:val="3B3B3B"/>
          <w:sz w:val="22"/>
          <w:szCs w:val="22"/>
          <w:shd w:val="clear" w:color="auto" w:fill="FAFAFA"/>
        </w:rPr>
        <w:t>.</w:t>
      </w:r>
      <w:r w:rsidRPr="007F108B">
        <w:rPr>
          <w:rStyle w:val="FootnoteReference"/>
          <w:color w:val="3B3B3B"/>
          <w:sz w:val="22"/>
          <w:szCs w:val="22"/>
          <w:u w:val="single"/>
          <w:shd w:val="clear" w:color="auto" w:fill="FAFAFA"/>
        </w:rPr>
        <w:footnoteReference w:id="4"/>
      </w:r>
      <w:r w:rsidR="003171DC" w:rsidRPr="003171DC">
        <w:rPr>
          <w:color w:val="3B3B3B"/>
          <w:sz w:val="22"/>
          <w:szCs w:val="22"/>
          <w:shd w:val="clear" w:color="auto" w:fill="FAFAFA"/>
          <w:vertAlign w:val="superscript"/>
        </w:rPr>
        <w:t>/</w:t>
      </w:r>
      <w:r w:rsidR="003171DC" w:rsidRPr="003171DC">
        <w:rPr>
          <w:color w:val="3B3B3B"/>
          <w:sz w:val="22"/>
          <w:szCs w:val="22"/>
          <w:shd w:val="clear" w:color="auto" w:fill="FAFAFA"/>
        </w:rPr>
        <w:t xml:space="preserve"> </w:t>
      </w:r>
      <w:r w:rsidRPr="007F108B">
        <w:rPr>
          <w:sz w:val="22"/>
          <w:szCs w:val="22"/>
        </w:rPr>
        <w:t>Une industrie naissante et innovante du capital entrepreneurial se développe dans la région ALC tout entière. Certains nouveaux acteurs, en collaboration avec d’autres partenaires ou des programmes novateurs menés par les gouvernements, ont réussi à créer de nouveaux mécanismes de financement et des partenariats publics-privés innovants. Un certain nombre de licornes</w:t>
      </w:r>
      <w:r w:rsidR="00E12BDF" w:rsidRPr="007F108B">
        <w:rPr>
          <w:rFonts w:eastAsiaTheme="minorHAnsi"/>
          <w:sz w:val="22"/>
          <w:szCs w:val="22"/>
          <w:u w:val="single"/>
          <w:vertAlign w:val="superscript"/>
        </w:rPr>
        <w:footnoteReference w:id="5"/>
      </w:r>
      <w:r w:rsidRPr="007F108B">
        <w:rPr>
          <w:sz w:val="22"/>
          <w:szCs w:val="22"/>
          <w:vertAlign w:val="superscript"/>
        </w:rPr>
        <w:t>/</w:t>
      </w:r>
      <w:r w:rsidRPr="007F108B">
        <w:rPr>
          <w:sz w:val="22"/>
          <w:szCs w:val="22"/>
        </w:rPr>
        <w:t xml:space="preserve"> ont été lancées récemment en région ALC, pour atteindre le nombre de 16 d'ici 2021, avec des entreprises basées en Argentine, au Brésil, au Chili, en Colombie, au Mexique et en Uruguay.</w:t>
      </w:r>
      <w:r w:rsidR="00E12BDF" w:rsidRPr="007F108B">
        <w:rPr>
          <w:rStyle w:val="FootnoteReference"/>
          <w:rFonts w:eastAsiaTheme="minorHAnsi"/>
          <w:sz w:val="22"/>
          <w:szCs w:val="22"/>
          <w:u w:val="single"/>
        </w:rPr>
        <w:footnoteReference w:id="6"/>
      </w:r>
      <w:r w:rsidRPr="007F108B">
        <w:rPr>
          <w:sz w:val="22"/>
          <w:szCs w:val="22"/>
          <w:vertAlign w:val="superscript"/>
        </w:rPr>
        <w:t xml:space="preserve">/ </w:t>
      </w:r>
      <w:r w:rsidRPr="007F108B">
        <w:rPr>
          <w:sz w:val="22"/>
          <w:szCs w:val="22"/>
        </w:rPr>
        <w:t>Malgré l'incertitude engendrée par la pandémie de COVID-19, l'année 2020 a été une année record pour les startups technologiques en Amérique latine et dans les Caraïbes. Les entreprises technologiques ont levé un montant record de $4,2 milliards de fonds à travers plus de 370 transactions.</w:t>
      </w:r>
      <w:r w:rsidR="00E12BDF" w:rsidRPr="007F108B">
        <w:rPr>
          <w:rFonts w:eastAsiaTheme="minorHAnsi"/>
          <w:sz w:val="22"/>
          <w:szCs w:val="22"/>
          <w:u w:val="single"/>
          <w:vertAlign w:val="superscript"/>
        </w:rPr>
        <w:footnoteReference w:id="7"/>
      </w:r>
      <w:r w:rsidRPr="007F108B">
        <w:rPr>
          <w:sz w:val="22"/>
          <w:szCs w:val="22"/>
          <w:vertAlign w:val="superscript"/>
        </w:rPr>
        <w:t>/</w:t>
      </w:r>
    </w:p>
    <w:p w14:paraId="7325521B" w14:textId="77777777" w:rsidR="00EE4B48" w:rsidRPr="007F108B" w:rsidRDefault="00EE4B48" w:rsidP="006A0998">
      <w:pPr>
        <w:jc w:val="both"/>
        <w:rPr>
          <w:rFonts w:eastAsiaTheme="minorHAnsi"/>
          <w:sz w:val="22"/>
          <w:szCs w:val="22"/>
        </w:rPr>
      </w:pPr>
    </w:p>
    <w:p w14:paraId="551028B5" w14:textId="53AD317D" w:rsidR="00E12BDF" w:rsidRPr="007F108B" w:rsidRDefault="00B71785" w:rsidP="006A0998">
      <w:pPr>
        <w:ind w:firstLine="720"/>
        <w:jc w:val="both"/>
        <w:rPr>
          <w:rFonts w:eastAsiaTheme="minorHAnsi"/>
          <w:sz w:val="22"/>
          <w:szCs w:val="22"/>
        </w:rPr>
      </w:pPr>
      <w:r w:rsidRPr="007F108B">
        <w:rPr>
          <w:sz w:val="22"/>
          <w:szCs w:val="22"/>
        </w:rPr>
        <w:t xml:space="preserve">Il reste cependant une lacune importante pour rendre l'accès au financement du capital plus inclusif dans les Amériques. Aux États-Unis, par exemple, les </w:t>
      </w:r>
      <w:r w:rsidRPr="007F108B">
        <w:rPr>
          <w:color w:val="000000"/>
          <w:sz w:val="22"/>
          <w:szCs w:val="22"/>
        </w:rPr>
        <w:t>entreprises dirigées par des femmes entrepreneurs n'ont levé qu'environ 2,2 % du capital total investi dans les startups financées par des fonds de capital-risque aux États-Unis en 2020.</w:t>
      </w:r>
      <w:r w:rsidR="002E3DDA" w:rsidRPr="007F108B">
        <w:rPr>
          <w:rStyle w:val="FootnoteReference"/>
          <w:color w:val="000000"/>
          <w:sz w:val="22"/>
          <w:szCs w:val="22"/>
          <w:u w:val="single"/>
        </w:rPr>
        <w:footnoteReference w:id="8"/>
      </w:r>
      <w:r w:rsidRPr="007F108B">
        <w:rPr>
          <w:color w:val="000000"/>
          <w:sz w:val="22"/>
          <w:szCs w:val="22"/>
          <w:vertAlign w:val="superscript"/>
        </w:rPr>
        <w:t xml:space="preserve">/ </w:t>
      </w:r>
      <w:r w:rsidRPr="007F108B">
        <w:rPr>
          <w:color w:val="000000"/>
          <w:sz w:val="22"/>
          <w:szCs w:val="22"/>
        </w:rPr>
        <w:t>L'écart se creuse lorsqu'il s'agit de startups dirigées par des minorités, l'accès au capital-risque étant plus limité pour les femmes entrepreneurs afro-américaines (0,2 %) ou d'origine latine (0,4 %).</w:t>
      </w:r>
      <w:r w:rsidR="002E3DDA" w:rsidRPr="007F108B">
        <w:rPr>
          <w:rStyle w:val="FootnoteReference"/>
          <w:rFonts w:eastAsiaTheme="minorHAnsi"/>
          <w:sz w:val="22"/>
          <w:szCs w:val="22"/>
          <w:u w:val="single"/>
        </w:rPr>
        <w:footnoteReference w:id="9"/>
      </w:r>
      <w:r w:rsidRPr="007F108B">
        <w:rPr>
          <w:color w:val="000000"/>
          <w:sz w:val="22"/>
          <w:szCs w:val="22"/>
          <w:vertAlign w:val="superscript"/>
        </w:rPr>
        <w:t>/</w:t>
      </w:r>
      <w:r w:rsidRPr="007F108B">
        <w:rPr>
          <w:color w:val="000000"/>
          <w:sz w:val="22"/>
          <w:szCs w:val="22"/>
        </w:rPr>
        <w:t xml:space="preserve"> </w:t>
      </w:r>
      <w:r w:rsidRPr="007F108B">
        <w:rPr>
          <w:sz w:val="22"/>
          <w:szCs w:val="22"/>
        </w:rPr>
        <w:t xml:space="preserve">Bien que les stratégies de développement intégré ne puissent pas être entièrement centrées sur les startups, la disponibilité de sources de financement diverses, inclusives et accessibles est essentielle pour ces jeunes pousses, pour les PME ainsi que pour les grandes entreprises afin de développer des solutions et des entreprises axées sur l'innovation qui </w:t>
      </w:r>
      <w:r w:rsidRPr="007F108B">
        <w:rPr>
          <w:sz w:val="22"/>
          <w:szCs w:val="22"/>
        </w:rPr>
        <w:lastRenderedPageBreak/>
        <w:t xml:space="preserve">peuvent compléter les efforts gouvernementaux et ainsi faire face aux impératifs </w:t>
      </w:r>
      <w:r w:rsidR="0007418B">
        <w:rPr>
          <w:sz w:val="22"/>
          <w:szCs w:val="22"/>
        </w:rPr>
        <w:t xml:space="preserve">de </w:t>
      </w:r>
      <w:r w:rsidRPr="007F108B">
        <w:rPr>
          <w:sz w:val="22"/>
          <w:szCs w:val="22"/>
        </w:rPr>
        <w:t>développement inclusif et poursuivre la relance après la COVID-19.</w:t>
      </w:r>
    </w:p>
    <w:p w14:paraId="55571647" w14:textId="77777777" w:rsidR="007147F0" w:rsidRPr="007F108B" w:rsidRDefault="007147F0" w:rsidP="0007418B">
      <w:pPr>
        <w:jc w:val="both"/>
        <w:rPr>
          <w:rFonts w:eastAsia="Calibri"/>
          <w:bCs/>
          <w:sz w:val="22"/>
          <w:szCs w:val="22"/>
        </w:rPr>
      </w:pPr>
    </w:p>
    <w:p w14:paraId="59A074F4" w14:textId="56453DFC" w:rsidR="00723EE9" w:rsidRPr="007F108B" w:rsidRDefault="00601668" w:rsidP="006A0998">
      <w:pPr>
        <w:numPr>
          <w:ilvl w:val="0"/>
          <w:numId w:val="10"/>
        </w:numPr>
        <w:ind w:left="0" w:firstLine="0"/>
        <w:rPr>
          <w:rFonts w:eastAsia="Calibri"/>
          <w:b/>
          <w:sz w:val="22"/>
          <w:szCs w:val="22"/>
        </w:rPr>
      </w:pPr>
      <w:r w:rsidRPr="007F108B">
        <w:rPr>
          <w:b/>
          <w:sz w:val="22"/>
          <w:szCs w:val="22"/>
        </w:rPr>
        <w:t>Objet de la réunion</w:t>
      </w:r>
    </w:p>
    <w:p w14:paraId="7514AFD0" w14:textId="35A9BF11" w:rsidR="00F35671" w:rsidRPr="0007418B" w:rsidRDefault="00F35671" w:rsidP="006A0998">
      <w:pPr>
        <w:rPr>
          <w:rFonts w:eastAsia="Calibri"/>
          <w:bCs/>
          <w:sz w:val="22"/>
          <w:szCs w:val="22"/>
        </w:rPr>
      </w:pPr>
    </w:p>
    <w:p w14:paraId="54F32CFC" w14:textId="7C88226E" w:rsidR="00F35671" w:rsidRPr="007F108B" w:rsidRDefault="006A0998" w:rsidP="006A0998">
      <w:pPr>
        <w:pStyle w:val="NormalWeb"/>
        <w:tabs>
          <w:tab w:val="left" w:pos="720"/>
          <w:tab w:val="left" w:pos="1440"/>
        </w:tabs>
        <w:spacing w:before="0" w:beforeAutospacing="0" w:after="0" w:afterAutospacing="0"/>
        <w:jc w:val="both"/>
        <w:rPr>
          <w:rFonts w:eastAsiaTheme="minorHAnsi"/>
          <w:sz w:val="22"/>
          <w:szCs w:val="22"/>
        </w:rPr>
      </w:pPr>
      <w:bookmarkStart w:id="0" w:name="_Hlk77271427"/>
      <w:r w:rsidRPr="007F108B">
        <w:rPr>
          <w:sz w:val="22"/>
          <w:szCs w:val="22"/>
        </w:rPr>
        <w:tab/>
        <w:t>La réunion du CIDI sera l'occasion pour les États membres de partager leurs expériences, leurs bonnes pratiques et leurs offres de collaboration sur des mécanismes novateurs de financement de l'innovation et du développement des entreprises afin de renforcer l'inclusion et la diversité des sources et des bénéficiaires. La réunion présentera des exemples d’approches visant à améliorer l'inclusion financière pour l'innovation ; des solutions axées sur la technologie pour étendre la disponibilité du capital et la portée dans les différentes régions et communautés d'un pays. En outre, ce sera l'occasion d'identifier les lacunes et les besoins des États membres et du point de vue du secteur privé, des entrepreneurs et des institutions financières. L'accent sera mis sur les offres de collaboration et les initiatives de coopération visant à soutenir les États membres de l'OEA.</w:t>
      </w:r>
    </w:p>
    <w:bookmarkEnd w:id="0"/>
    <w:p w14:paraId="06904A93" w14:textId="77777777" w:rsidR="00BA0EED" w:rsidRPr="007F108B" w:rsidRDefault="00BA0EED" w:rsidP="00A436BB">
      <w:pPr>
        <w:jc w:val="both"/>
        <w:rPr>
          <w:sz w:val="22"/>
          <w:szCs w:val="22"/>
        </w:rPr>
      </w:pPr>
    </w:p>
    <w:p w14:paraId="127A2F1F" w14:textId="5ED08303" w:rsidR="00601668" w:rsidRPr="007F108B" w:rsidRDefault="00601668" w:rsidP="006A0998">
      <w:pPr>
        <w:tabs>
          <w:tab w:val="left" w:pos="720"/>
          <w:tab w:val="left" w:pos="1440"/>
          <w:tab w:val="left" w:pos="2160"/>
        </w:tabs>
        <w:ind w:left="720" w:hanging="720"/>
        <w:jc w:val="both"/>
        <w:rPr>
          <w:b/>
          <w:sz w:val="22"/>
          <w:szCs w:val="22"/>
        </w:rPr>
      </w:pPr>
      <w:r w:rsidRPr="007F108B">
        <w:rPr>
          <w:b/>
          <w:sz w:val="22"/>
          <w:szCs w:val="22"/>
        </w:rPr>
        <w:t>3.</w:t>
      </w:r>
      <w:r w:rsidRPr="007F108B">
        <w:rPr>
          <w:b/>
          <w:sz w:val="22"/>
          <w:szCs w:val="22"/>
        </w:rPr>
        <w:tab/>
        <w:t>Pertinence pour le Secrétariat exécutif au développement intégré (SEDI) et les mandats de l’OEA</w:t>
      </w:r>
    </w:p>
    <w:p w14:paraId="42620451" w14:textId="3B83C41F" w:rsidR="00C53DB0" w:rsidRPr="007F108B" w:rsidRDefault="00C53DB0" w:rsidP="006A0998">
      <w:pPr>
        <w:tabs>
          <w:tab w:val="left" w:pos="720"/>
          <w:tab w:val="left" w:pos="1440"/>
        </w:tabs>
        <w:rPr>
          <w:sz w:val="22"/>
          <w:szCs w:val="22"/>
          <w:u w:val="single"/>
        </w:rPr>
      </w:pPr>
    </w:p>
    <w:p w14:paraId="0EFC82E8" w14:textId="71938FB2" w:rsidR="004B301B" w:rsidRPr="007F108B" w:rsidRDefault="00055019" w:rsidP="006A0998">
      <w:pPr>
        <w:tabs>
          <w:tab w:val="left" w:pos="720"/>
          <w:tab w:val="left" w:pos="2955"/>
        </w:tabs>
        <w:jc w:val="both"/>
        <w:rPr>
          <w:sz w:val="22"/>
          <w:szCs w:val="22"/>
        </w:rPr>
      </w:pPr>
      <w:r w:rsidRPr="007F108B">
        <w:rPr>
          <w:sz w:val="22"/>
          <w:szCs w:val="22"/>
        </w:rPr>
        <w:tab/>
        <w:t xml:space="preserve">La Commission interaméricaine de la science et de la technologie (COMCYT) a convenu du thème principal de la Sixième Réunion de la REMCYT : « Mobiliser la puissance des sciences et technologies transformatrices pour impulser l’avenir de nos communautés ». L'un des sous-thèmes est « Une collaboration efficace entre le secteur public, le secteur privé et le milieu universitaire pour améliorer la compétitivité et la qualité de vie », qui est le thème de cette réunion du CIDI, avec un accent sur l’innovation dans le financement. </w:t>
      </w:r>
    </w:p>
    <w:p w14:paraId="0836C072" w14:textId="77777777" w:rsidR="004B301B" w:rsidRPr="007F108B" w:rsidRDefault="004B301B" w:rsidP="006A0998">
      <w:pPr>
        <w:tabs>
          <w:tab w:val="left" w:pos="720"/>
          <w:tab w:val="left" w:pos="1440"/>
        </w:tabs>
        <w:jc w:val="both"/>
        <w:rPr>
          <w:sz w:val="22"/>
          <w:szCs w:val="22"/>
        </w:rPr>
      </w:pPr>
    </w:p>
    <w:p w14:paraId="5CB58B58" w14:textId="3C7FB13F" w:rsidR="00723EE9" w:rsidRPr="007F108B" w:rsidRDefault="00055019" w:rsidP="006A0998">
      <w:pPr>
        <w:tabs>
          <w:tab w:val="left" w:pos="720"/>
          <w:tab w:val="left" w:pos="1440"/>
        </w:tabs>
        <w:jc w:val="both"/>
        <w:rPr>
          <w:bCs/>
          <w:sz w:val="22"/>
          <w:szCs w:val="22"/>
        </w:rPr>
      </w:pPr>
      <w:r w:rsidRPr="007F108B">
        <w:rPr>
          <w:sz w:val="22"/>
          <w:szCs w:val="22"/>
        </w:rPr>
        <w:tab/>
        <w:t>« La promotion d’économies inclusives et compétitives » est l'une des lignes stratégiques du développement intégré qui figurent dans le Plan stratégique intégral [AG/RES. 1 (LI-E/16)].</w:t>
      </w:r>
      <w:r w:rsidRPr="007F108B">
        <w:rPr>
          <w:color w:val="171717"/>
          <w:sz w:val="22"/>
          <w:szCs w:val="22"/>
        </w:rPr>
        <w:t xml:space="preserve"> </w:t>
      </w:r>
      <w:r w:rsidRPr="007F108B">
        <w:rPr>
          <w:sz w:val="22"/>
          <w:szCs w:val="22"/>
        </w:rPr>
        <w:t>L'</w:t>
      </w:r>
      <w:r w:rsidRPr="007F108B">
        <w:rPr>
          <w:color w:val="171717"/>
          <w:sz w:val="22"/>
          <w:szCs w:val="22"/>
        </w:rPr>
        <w:t xml:space="preserve">un de ses </w:t>
      </w:r>
      <w:r w:rsidRPr="007F108B">
        <w:rPr>
          <w:sz w:val="22"/>
          <w:szCs w:val="22"/>
        </w:rPr>
        <w:t>objectifs stratégiques (1.3) est : « Intensifier la coopération en vue renforcer les capacités des institutions des États membres à assimiler l’innovation et les technologies transformatrices afin d’apporter une valeur ajoutée et de diversifier leurs économies de manière durable et inclusive ».</w:t>
      </w:r>
    </w:p>
    <w:p w14:paraId="3BAF93F9" w14:textId="77777777" w:rsidR="00723EE9" w:rsidRPr="007F108B" w:rsidRDefault="00723EE9" w:rsidP="006A0998">
      <w:pPr>
        <w:jc w:val="both"/>
        <w:rPr>
          <w:sz w:val="22"/>
          <w:szCs w:val="22"/>
        </w:rPr>
      </w:pPr>
    </w:p>
    <w:p w14:paraId="34BF47ED" w14:textId="607B5C7C" w:rsidR="004B6550" w:rsidRPr="007F108B" w:rsidRDefault="00FF48BA" w:rsidP="005D4ECD">
      <w:pPr>
        <w:ind w:firstLine="720"/>
        <w:jc w:val="both"/>
        <w:rPr>
          <w:b/>
          <w:bCs/>
          <w:sz w:val="22"/>
          <w:szCs w:val="22"/>
        </w:rPr>
      </w:pPr>
      <w:r w:rsidRPr="007F108B">
        <w:rPr>
          <w:sz w:val="22"/>
          <w:szCs w:val="22"/>
        </w:rPr>
        <w:t>La résolution « Encourager les initiatives continentales en matière de développement intégré :</w:t>
      </w:r>
      <w:r w:rsidRPr="007F108B">
        <w:rPr>
          <w:b/>
          <w:sz w:val="22"/>
          <w:szCs w:val="22"/>
        </w:rPr>
        <w:t xml:space="preserve"> </w:t>
      </w:r>
      <w:r w:rsidRPr="007F108B">
        <w:rPr>
          <w:sz w:val="22"/>
          <w:szCs w:val="22"/>
        </w:rPr>
        <w:t>Promotion de la résilience », adoptée par l'Assemblée générale lors de sa cinquante-et-unième session ordinaire, qui s'est tenue du 10 au 12 novembre 2021, exhorte les États membres à « échanger des bonnes pratiques, des expériences, des possibilités de formation et une assistance technique pour promouvoir la recherche, l'utilisation et la diffusion de la science transformatrice, l'innovation, les connaissances des groupes locaux, autochtones, d’ascendance africaine et d’autres groupes ethniques et le transfert volontaire de technologie à des conditions mutuellement convenues pour soutenir après la COVID-19 la mise en œuvre des technologies après la 4</w:t>
      </w:r>
      <w:r w:rsidRPr="007F108B">
        <w:rPr>
          <w:sz w:val="22"/>
          <w:szCs w:val="22"/>
          <w:vertAlign w:val="superscript"/>
        </w:rPr>
        <w:t>e</w:t>
      </w:r>
      <w:r w:rsidRPr="007F108B">
        <w:rPr>
          <w:sz w:val="22"/>
          <w:szCs w:val="22"/>
        </w:rPr>
        <w:t xml:space="preserve"> révolution industrielle (Industrie 4.0) ainsi que la relance et la transformation numérique des États membres dans le cadre de la Commission interaméricaine de la science et de la technologie (COMCYT), en vue d'élaborer des propositions concrètes et exploitables qui seront examinées lors de la Sixième Réunion des ministres et hauts fonctionnaires chargés de la science et de la technologie (REMCYT) ».</w:t>
      </w:r>
    </w:p>
    <w:p w14:paraId="4C958772" w14:textId="77777777" w:rsidR="004B6550" w:rsidRPr="007F108B" w:rsidRDefault="004B6550" w:rsidP="00A436BB">
      <w:pPr>
        <w:jc w:val="both"/>
        <w:rPr>
          <w:sz w:val="22"/>
          <w:szCs w:val="22"/>
        </w:rPr>
      </w:pPr>
    </w:p>
    <w:p w14:paraId="7E220C95" w14:textId="1AC8A4B4" w:rsidR="00723EE9" w:rsidRPr="007F108B" w:rsidRDefault="00601668" w:rsidP="006A0998">
      <w:pPr>
        <w:pStyle w:val="ListParagraph0"/>
        <w:numPr>
          <w:ilvl w:val="0"/>
          <w:numId w:val="18"/>
        </w:numPr>
        <w:ind w:left="720" w:hanging="720"/>
        <w:rPr>
          <w:b/>
          <w:sz w:val="22"/>
          <w:szCs w:val="22"/>
        </w:rPr>
      </w:pPr>
      <w:r w:rsidRPr="007F108B">
        <w:rPr>
          <w:b/>
          <w:sz w:val="22"/>
          <w:szCs w:val="22"/>
        </w:rPr>
        <w:t xml:space="preserve">Structure de la réunion </w:t>
      </w:r>
    </w:p>
    <w:p w14:paraId="1CD6530B" w14:textId="2DA17F24" w:rsidR="00723EE9" w:rsidRPr="007F108B" w:rsidRDefault="00723EE9" w:rsidP="006A0998">
      <w:pPr>
        <w:jc w:val="both"/>
        <w:rPr>
          <w:rFonts w:eastAsia="Calibri"/>
          <w:sz w:val="22"/>
          <w:szCs w:val="22"/>
        </w:rPr>
      </w:pPr>
    </w:p>
    <w:p w14:paraId="653C7F32" w14:textId="791425D6" w:rsidR="00723EE9" w:rsidRPr="007F108B" w:rsidRDefault="00DD14D2" w:rsidP="006A0998">
      <w:pPr>
        <w:ind w:firstLine="720"/>
        <w:jc w:val="both"/>
        <w:rPr>
          <w:rFonts w:eastAsia="Calibri"/>
          <w:sz w:val="22"/>
          <w:szCs w:val="22"/>
        </w:rPr>
      </w:pPr>
      <w:r w:rsidRPr="007F108B">
        <w:rPr>
          <w:sz w:val="22"/>
          <w:szCs w:val="22"/>
        </w:rPr>
        <w:t xml:space="preserve">Des experts seront invités en tant que conférenciers pour présenter leurs expériences sur les mécanismes innovants de financement de l'innovation et les partenariats publics-privés pour améliorer </w:t>
      </w:r>
      <w:r w:rsidRPr="007F108B">
        <w:rPr>
          <w:sz w:val="22"/>
          <w:szCs w:val="22"/>
        </w:rPr>
        <w:lastRenderedPageBreak/>
        <w:t xml:space="preserve">l'inclusion et la diversité des sources et des bénéficiaires dans l'industrie du capital entrepreneurial afin de soutenir le développement économique et social. </w:t>
      </w:r>
    </w:p>
    <w:p w14:paraId="799B1B3A" w14:textId="77777777" w:rsidR="00DD14D2" w:rsidRPr="007F108B" w:rsidRDefault="00DD14D2" w:rsidP="00A436BB">
      <w:pPr>
        <w:jc w:val="both"/>
        <w:rPr>
          <w:rFonts w:eastAsia="Calibri"/>
          <w:sz w:val="22"/>
          <w:szCs w:val="22"/>
        </w:rPr>
      </w:pPr>
    </w:p>
    <w:p w14:paraId="4E707C13" w14:textId="1E635626" w:rsidR="00DD14D2" w:rsidRPr="007F108B" w:rsidRDefault="00DD14D2" w:rsidP="006A0998">
      <w:pPr>
        <w:ind w:firstLine="720"/>
        <w:jc w:val="both"/>
        <w:rPr>
          <w:sz w:val="22"/>
          <w:szCs w:val="22"/>
        </w:rPr>
      </w:pPr>
      <w:r w:rsidRPr="007F108B">
        <w:rPr>
          <w:sz w:val="22"/>
          <w:szCs w:val="22"/>
        </w:rPr>
        <w:t>Les États membres seront invités à poser des questions aux experts invités sur leurs exposés et/ou les principaux points abordés lors de leurs interventions dans le cadre d'un dialogue interactif guidé par la présidence.</w:t>
      </w:r>
    </w:p>
    <w:p w14:paraId="63ECB197" w14:textId="77777777" w:rsidR="005D4ECD" w:rsidRPr="007F108B" w:rsidRDefault="005D4ECD" w:rsidP="005D4ECD">
      <w:pPr>
        <w:jc w:val="both"/>
        <w:rPr>
          <w:sz w:val="22"/>
          <w:szCs w:val="22"/>
        </w:rPr>
      </w:pPr>
    </w:p>
    <w:p w14:paraId="64BE151C" w14:textId="45C5B986" w:rsidR="005C3C0B" w:rsidRPr="007F108B" w:rsidRDefault="005C3C0B" w:rsidP="006A0998">
      <w:pPr>
        <w:ind w:firstLine="720"/>
        <w:jc w:val="both"/>
        <w:rPr>
          <w:sz w:val="22"/>
          <w:szCs w:val="22"/>
        </w:rPr>
      </w:pPr>
      <w:r w:rsidRPr="007F108B">
        <w:rPr>
          <w:sz w:val="22"/>
          <w:szCs w:val="22"/>
        </w:rPr>
        <w:t xml:space="preserve">Après les questions et réponses, les délégations seront invitées à partager les bonnes pratiques, les offres spécifiques de collaboration ou les besoins liés à ce thème. </w:t>
      </w:r>
    </w:p>
    <w:p w14:paraId="310F57F0" w14:textId="77777777" w:rsidR="005C3C0B" w:rsidRPr="007F108B" w:rsidRDefault="005C3C0B" w:rsidP="00AD309A">
      <w:pPr>
        <w:jc w:val="both"/>
        <w:rPr>
          <w:sz w:val="22"/>
          <w:szCs w:val="22"/>
        </w:rPr>
      </w:pPr>
    </w:p>
    <w:p w14:paraId="12CA97E7" w14:textId="77777777" w:rsidR="00B41EE3" w:rsidRPr="00A03ECC" w:rsidRDefault="00B41EE3" w:rsidP="00B41EE3">
      <w:pPr>
        <w:keepNext/>
        <w:keepLines/>
        <w:tabs>
          <w:tab w:val="left" w:pos="720"/>
          <w:tab w:val="left" w:pos="1440"/>
          <w:tab w:val="left" w:pos="2160"/>
        </w:tabs>
        <w:jc w:val="both"/>
        <w:rPr>
          <w:sz w:val="22"/>
          <w:szCs w:val="22"/>
        </w:rPr>
      </w:pPr>
      <w:r w:rsidRPr="00A03ECC">
        <w:rPr>
          <w:sz w:val="22"/>
          <w:szCs w:val="22"/>
        </w:rPr>
        <w:tab/>
        <w:t>Panélistes invités :</w:t>
      </w:r>
    </w:p>
    <w:p w14:paraId="03FEF5F7" w14:textId="151DD16D" w:rsidR="00B41EE3" w:rsidRPr="00B41EE3" w:rsidRDefault="00B41EE3" w:rsidP="00B41EE3">
      <w:pPr>
        <w:ind w:left="720"/>
        <w:jc w:val="both"/>
        <w:rPr>
          <w:rFonts w:eastAsia="Calibri"/>
          <w:sz w:val="22"/>
          <w:szCs w:val="22"/>
          <w:lang w:val="en-US"/>
        </w:rPr>
      </w:pPr>
    </w:p>
    <w:p w14:paraId="2249F3CB" w14:textId="30B729F0" w:rsidR="00B41EE3" w:rsidRPr="00B41EE3" w:rsidRDefault="00B41EE3" w:rsidP="00B41EE3">
      <w:pPr>
        <w:pStyle w:val="ListParagraph0"/>
        <w:numPr>
          <w:ilvl w:val="0"/>
          <w:numId w:val="2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fr-FR"/>
        </w:rPr>
      </w:pPr>
      <w:r w:rsidRPr="00B41EE3">
        <w:rPr>
          <w:color w:val="202124"/>
          <w:sz w:val="22"/>
          <w:szCs w:val="22"/>
          <w:lang w:val="fr-FR"/>
        </w:rPr>
        <w:t xml:space="preserve">Dr. Martín Rodriguez, directeur </w:t>
      </w:r>
      <w:proofErr w:type="gramStart"/>
      <w:r w:rsidRPr="00B41EE3">
        <w:rPr>
          <w:color w:val="202124"/>
          <w:sz w:val="22"/>
          <w:szCs w:val="22"/>
          <w:lang w:val="fr-FR"/>
        </w:rPr>
        <w:t>exécutif</w:t>
      </w:r>
      <w:proofErr w:type="gramEnd"/>
      <w:r w:rsidRPr="00B41EE3">
        <w:rPr>
          <w:color w:val="202124"/>
          <w:sz w:val="22"/>
          <w:szCs w:val="22"/>
          <w:lang w:val="fr-FR"/>
        </w:rPr>
        <w:t xml:space="preserve"> de </w:t>
      </w:r>
      <w:proofErr w:type="spellStart"/>
      <w:r w:rsidRPr="00B41EE3">
        <w:rPr>
          <w:color w:val="202124"/>
          <w:sz w:val="22"/>
          <w:szCs w:val="22"/>
          <w:lang w:val="fr-FR"/>
        </w:rPr>
        <w:t>Prociencia</w:t>
      </w:r>
      <w:proofErr w:type="spellEnd"/>
      <w:r w:rsidRPr="00B41EE3">
        <w:rPr>
          <w:color w:val="202124"/>
          <w:sz w:val="22"/>
          <w:szCs w:val="22"/>
          <w:lang w:val="fr-FR"/>
        </w:rPr>
        <w:t>, CONCYTEC, Pérou</w:t>
      </w:r>
    </w:p>
    <w:p w14:paraId="0A1A6DCB" w14:textId="77777777" w:rsidR="00B41EE3" w:rsidRPr="00B41EE3" w:rsidRDefault="00B41EE3" w:rsidP="00B41E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color w:val="202124"/>
          <w:sz w:val="22"/>
          <w:szCs w:val="22"/>
          <w:lang w:val="fr-FR"/>
        </w:rPr>
      </w:pPr>
    </w:p>
    <w:p w14:paraId="32F2BD51" w14:textId="19C96695" w:rsidR="00B41EE3" w:rsidRPr="00B41EE3" w:rsidRDefault="00B41EE3" w:rsidP="00B41EE3">
      <w:pPr>
        <w:pStyle w:val="ListParagraph0"/>
        <w:numPr>
          <w:ilvl w:val="0"/>
          <w:numId w:val="2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fr-FR"/>
        </w:rPr>
      </w:pPr>
      <w:r w:rsidRPr="00B41EE3">
        <w:rPr>
          <w:color w:val="202124"/>
          <w:sz w:val="22"/>
          <w:szCs w:val="22"/>
          <w:lang w:val="fr-FR"/>
        </w:rPr>
        <w:t xml:space="preserve">Dr. </w:t>
      </w:r>
      <w:proofErr w:type="spellStart"/>
      <w:r w:rsidRPr="00B41EE3">
        <w:rPr>
          <w:color w:val="202124"/>
          <w:sz w:val="22"/>
          <w:szCs w:val="22"/>
          <w:lang w:val="fr-FR"/>
        </w:rPr>
        <w:t>Charah</w:t>
      </w:r>
      <w:proofErr w:type="spellEnd"/>
      <w:r w:rsidRPr="00B41EE3">
        <w:rPr>
          <w:color w:val="202124"/>
          <w:sz w:val="22"/>
          <w:szCs w:val="22"/>
          <w:lang w:val="fr-FR"/>
        </w:rPr>
        <w:t xml:space="preserve"> T. Watson, directeur </w:t>
      </w:r>
      <w:proofErr w:type="gramStart"/>
      <w:r w:rsidRPr="00B41EE3">
        <w:rPr>
          <w:color w:val="202124"/>
          <w:sz w:val="22"/>
          <w:szCs w:val="22"/>
          <w:lang w:val="fr-FR"/>
        </w:rPr>
        <w:t>exécutif</w:t>
      </w:r>
      <w:proofErr w:type="gramEnd"/>
      <w:r w:rsidRPr="00B41EE3">
        <w:rPr>
          <w:color w:val="202124"/>
          <w:sz w:val="22"/>
          <w:szCs w:val="22"/>
          <w:lang w:val="fr-FR"/>
        </w:rPr>
        <w:t>, Conseil de recherche scientifique, Jamaïque</w:t>
      </w:r>
    </w:p>
    <w:p w14:paraId="2555AB96" w14:textId="77777777" w:rsidR="00B41EE3" w:rsidRPr="00B41EE3" w:rsidRDefault="00B41EE3" w:rsidP="00B41E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color w:val="202124"/>
          <w:sz w:val="22"/>
          <w:szCs w:val="22"/>
          <w:lang w:val="fr-FR"/>
        </w:rPr>
      </w:pPr>
    </w:p>
    <w:p w14:paraId="62A46731" w14:textId="62049C07" w:rsidR="00B41EE3" w:rsidRPr="00B41EE3" w:rsidRDefault="00B41EE3" w:rsidP="00B41EE3">
      <w:pPr>
        <w:pStyle w:val="ListParagraph0"/>
        <w:numPr>
          <w:ilvl w:val="0"/>
          <w:numId w:val="2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rPr>
      </w:pPr>
      <w:r w:rsidRPr="00B41EE3">
        <w:rPr>
          <w:color w:val="202124"/>
          <w:sz w:val="22"/>
          <w:szCs w:val="22"/>
          <w:lang w:val="fr-FR"/>
        </w:rPr>
        <w:t xml:space="preserve">M. James Chung, vice-président associé pour la recherche, l'innovation et l'entrepreneuriat à l'Université George Washington, et </w:t>
      </w:r>
      <w:proofErr w:type="spellStart"/>
      <w:r w:rsidRPr="00B41EE3">
        <w:rPr>
          <w:color w:val="202124"/>
          <w:sz w:val="22"/>
          <w:szCs w:val="22"/>
          <w:lang w:val="fr-FR"/>
        </w:rPr>
        <w:t>co</w:t>
      </w:r>
      <w:proofErr w:type="spellEnd"/>
      <w:r w:rsidRPr="00B41EE3">
        <w:rPr>
          <w:color w:val="202124"/>
          <w:sz w:val="22"/>
          <w:szCs w:val="22"/>
          <w:lang w:val="fr-FR"/>
        </w:rPr>
        <w:t>-chercheur principal pour le nœud du corps d'innovation de la NSF à Washington, D</w:t>
      </w:r>
      <w:r>
        <w:rPr>
          <w:color w:val="202124"/>
          <w:sz w:val="22"/>
          <w:szCs w:val="22"/>
          <w:lang w:val="fr-FR"/>
        </w:rPr>
        <w:t>.</w:t>
      </w:r>
      <w:r w:rsidRPr="00B41EE3">
        <w:rPr>
          <w:color w:val="202124"/>
          <w:sz w:val="22"/>
          <w:szCs w:val="22"/>
          <w:lang w:val="fr-FR"/>
        </w:rPr>
        <w:t>C</w:t>
      </w:r>
      <w:r>
        <w:rPr>
          <w:color w:val="202124"/>
          <w:sz w:val="22"/>
          <w:szCs w:val="22"/>
          <w:lang w:val="fr-FR"/>
        </w:rPr>
        <w:t>.</w:t>
      </w:r>
    </w:p>
    <w:p w14:paraId="33F7FE04" w14:textId="4BD8BADE" w:rsidR="00B41EE3" w:rsidRPr="00B41EE3" w:rsidRDefault="00B41EE3" w:rsidP="00B41EE3">
      <w:pPr>
        <w:ind w:left="720"/>
        <w:jc w:val="both"/>
        <w:rPr>
          <w:rFonts w:eastAsia="Calibri"/>
          <w:sz w:val="22"/>
          <w:szCs w:val="22"/>
        </w:rPr>
      </w:pPr>
    </w:p>
    <w:p w14:paraId="412B4FC4" w14:textId="293843F6" w:rsidR="00723EE9" w:rsidRPr="007F108B" w:rsidRDefault="00723EE9" w:rsidP="006A0998">
      <w:pPr>
        <w:numPr>
          <w:ilvl w:val="0"/>
          <w:numId w:val="18"/>
        </w:numPr>
        <w:ind w:left="0" w:firstLine="0"/>
        <w:rPr>
          <w:rFonts w:eastAsia="Calibri"/>
          <w:b/>
          <w:sz w:val="22"/>
          <w:szCs w:val="22"/>
        </w:rPr>
      </w:pPr>
      <w:r w:rsidRPr="007F108B">
        <w:rPr>
          <w:b/>
          <w:sz w:val="22"/>
          <w:szCs w:val="22"/>
        </w:rPr>
        <w:t>Résultat de la réunion</w:t>
      </w:r>
    </w:p>
    <w:p w14:paraId="359FE12E" w14:textId="77777777" w:rsidR="00723EE9" w:rsidRPr="00AD309A" w:rsidRDefault="00723EE9" w:rsidP="006A0998">
      <w:pPr>
        <w:jc w:val="both"/>
        <w:rPr>
          <w:rFonts w:eastAsia="Calibri"/>
          <w:bCs/>
          <w:sz w:val="22"/>
          <w:szCs w:val="22"/>
        </w:rPr>
      </w:pPr>
    </w:p>
    <w:p w14:paraId="518E666B" w14:textId="1E6D5489" w:rsidR="00723EE9" w:rsidRPr="007F108B" w:rsidRDefault="00723EE9" w:rsidP="006A0998">
      <w:pPr>
        <w:ind w:firstLine="720"/>
        <w:jc w:val="both"/>
        <w:rPr>
          <w:rFonts w:eastAsia="Calibri"/>
          <w:sz w:val="22"/>
          <w:szCs w:val="22"/>
        </w:rPr>
      </w:pPr>
      <w:r w:rsidRPr="007F108B">
        <w:rPr>
          <w:sz w:val="22"/>
          <w:szCs w:val="22"/>
        </w:rPr>
        <w:t>La réunion devrait contribuer à :</w:t>
      </w:r>
    </w:p>
    <w:p w14:paraId="6350D220" w14:textId="77777777" w:rsidR="00BF3B28" w:rsidRPr="007F108B" w:rsidRDefault="00BF3B28" w:rsidP="00AD309A">
      <w:pPr>
        <w:jc w:val="both"/>
        <w:rPr>
          <w:rFonts w:eastAsia="Calibri"/>
          <w:sz w:val="22"/>
          <w:szCs w:val="22"/>
        </w:rPr>
      </w:pPr>
    </w:p>
    <w:p w14:paraId="058D026B" w14:textId="533D2F26" w:rsidR="00723EE9" w:rsidRPr="007F108B" w:rsidRDefault="00723EE9" w:rsidP="00BF3B28">
      <w:pPr>
        <w:numPr>
          <w:ilvl w:val="0"/>
          <w:numId w:val="11"/>
        </w:numPr>
        <w:tabs>
          <w:tab w:val="left" w:pos="1440"/>
        </w:tabs>
        <w:ind w:left="1440" w:hanging="720"/>
        <w:jc w:val="both"/>
        <w:rPr>
          <w:rFonts w:eastAsia="Calibri"/>
          <w:sz w:val="22"/>
          <w:szCs w:val="22"/>
        </w:rPr>
      </w:pPr>
      <w:proofErr w:type="gramStart"/>
      <w:r w:rsidRPr="007F108B">
        <w:rPr>
          <w:sz w:val="22"/>
          <w:szCs w:val="22"/>
        </w:rPr>
        <w:t>fournir</w:t>
      </w:r>
      <w:proofErr w:type="gramEnd"/>
      <w:r w:rsidRPr="007F108B">
        <w:rPr>
          <w:sz w:val="22"/>
          <w:szCs w:val="22"/>
        </w:rPr>
        <w:t xml:space="preserve"> des informations sur les principales tendances, les défis et les opportunités en matière de diversification et d’expansion de l’accès aux mécanismes de financement de l’innovation dans les États membres de l'OEA ;</w:t>
      </w:r>
    </w:p>
    <w:p w14:paraId="68986623" w14:textId="440C24BA" w:rsidR="00194B58" w:rsidRPr="007F108B" w:rsidRDefault="00194B58" w:rsidP="00BF3B28">
      <w:pPr>
        <w:numPr>
          <w:ilvl w:val="0"/>
          <w:numId w:val="11"/>
        </w:numPr>
        <w:tabs>
          <w:tab w:val="left" w:pos="1440"/>
        </w:tabs>
        <w:ind w:left="1440" w:hanging="720"/>
        <w:jc w:val="both"/>
        <w:rPr>
          <w:rFonts w:eastAsia="Calibri"/>
          <w:sz w:val="22"/>
          <w:szCs w:val="22"/>
        </w:rPr>
      </w:pPr>
      <w:proofErr w:type="gramStart"/>
      <w:r w:rsidRPr="007F108B">
        <w:rPr>
          <w:sz w:val="22"/>
          <w:szCs w:val="22"/>
        </w:rPr>
        <w:t>identifier</w:t>
      </w:r>
      <w:proofErr w:type="gramEnd"/>
      <w:r w:rsidRPr="007F108B">
        <w:rPr>
          <w:sz w:val="22"/>
          <w:szCs w:val="22"/>
        </w:rPr>
        <w:t xml:space="preserve"> des priorités et des domaines de coopération régionale dans les Amériques pour promouvoir l'inclusion et l’accès aux possibilités de financement pour les entrepreneurs et innovateurs, y compris les jeunes, les femmes, les peuples autochtones et d’autres groupes de population ;</w:t>
      </w:r>
    </w:p>
    <w:p w14:paraId="21954D1D" w14:textId="66F44DDC" w:rsidR="000B6478" w:rsidRPr="007F108B" w:rsidRDefault="003B0B19" w:rsidP="00BF3B28">
      <w:pPr>
        <w:numPr>
          <w:ilvl w:val="0"/>
          <w:numId w:val="11"/>
        </w:numPr>
        <w:tabs>
          <w:tab w:val="left" w:pos="1440"/>
        </w:tabs>
        <w:ind w:left="1440" w:hanging="720"/>
        <w:jc w:val="both"/>
        <w:rPr>
          <w:sz w:val="22"/>
          <w:szCs w:val="22"/>
        </w:rPr>
      </w:pPr>
      <w:proofErr w:type="gramStart"/>
      <w:r w:rsidRPr="007F108B">
        <w:rPr>
          <w:sz w:val="22"/>
          <w:szCs w:val="22"/>
        </w:rPr>
        <w:t>encourager</w:t>
      </w:r>
      <w:proofErr w:type="gramEnd"/>
      <w:r w:rsidRPr="007F108B">
        <w:rPr>
          <w:sz w:val="22"/>
          <w:szCs w:val="22"/>
        </w:rPr>
        <w:t xml:space="preserve"> les États membres à présenter des bonnes pratiques avec des possibilités de coopération au bénéfice des partenariats publics-privés et des mécanismes innovants </w:t>
      </w:r>
      <w:proofErr w:type="gramStart"/>
      <w:r w:rsidRPr="007F108B">
        <w:rPr>
          <w:sz w:val="22"/>
          <w:szCs w:val="22"/>
        </w:rPr>
        <w:t>pour</w:t>
      </w:r>
      <w:proofErr w:type="gramEnd"/>
      <w:r w:rsidRPr="007F108B">
        <w:rPr>
          <w:sz w:val="22"/>
          <w:szCs w:val="22"/>
        </w:rPr>
        <w:t xml:space="preserve"> l’innovation dans le financement à travers les États membres de l'OEA.</w:t>
      </w:r>
      <w:r w:rsidR="00BC47B4">
        <w:rPr>
          <w:noProof/>
          <w:sz w:val="22"/>
          <w:szCs w:val="22"/>
        </w:rPr>
        <mc:AlternateContent>
          <mc:Choice Requires="wps">
            <w:drawing>
              <wp:anchor distT="0" distB="0" distL="114300" distR="114300" simplePos="0" relativeHeight="251659264" behindDoc="0" locked="1" layoutInCell="1" allowOverlap="1" wp14:anchorId="455BDD6B" wp14:editId="7FBE73CD">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3308785" w14:textId="7DE9283C" w:rsidR="00BC47B4" w:rsidRPr="00BC47B4" w:rsidRDefault="00BC47B4">
                            <w:pPr>
                              <w:rPr>
                                <w:sz w:val="18"/>
                              </w:rPr>
                            </w:pPr>
                            <w:r>
                              <w:rPr>
                                <w:sz w:val="18"/>
                              </w:rPr>
                              <w:fldChar w:fldCharType="begin"/>
                            </w:r>
                            <w:r>
                              <w:rPr>
                                <w:sz w:val="18"/>
                              </w:rPr>
                              <w:instrText xml:space="preserve"> FILENAME  \* MERGEFORMAT </w:instrText>
                            </w:r>
                            <w:r>
                              <w:rPr>
                                <w:sz w:val="18"/>
                              </w:rPr>
                              <w:fldChar w:fldCharType="separate"/>
                            </w:r>
                            <w:r>
                              <w:rPr>
                                <w:noProof/>
                                <w:sz w:val="18"/>
                              </w:rPr>
                              <w:t>CIDRP03432F01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5BDD6B"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23308785" w14:textId="7DE9283C" w:rsidR="00BC47B4" w:rsidRPr="00BC47B4" w:rsidRDefault="00BC47B4">
                      <w:pPr>
                        <w:rPr>
                          <w:sz w:val="18"/>
                        </w:rPr>
                      </w:pPr>
                      <w:r>
                        <w:rPr>
                          <w:sz w:val="18"/>
                        </w:rPr>
                        <w:fldChar w:fldCharType="begin"/>
                      </w:r>
                      <w:r>
                        <w:rPr>
                          <w:sz w:val="18"/>
                        </w:rPr>
                        <w:instrText xml:space="preserve"> FILENAME  \* MERGEFORMAT </w:instrText>
                      </w:r>
                      <w:r>
                        <w:rPr>
                          <w:sz w:val="18"/>
                        </w:rPr>
                        <w:fldChar w:fldCharType="separate"/>
                      </w:r>
                      <w:r>
                        <w:rPr>
                          <w:noProof/>
                          <w:sz w:val="18"/>
                        </w:rPr>
                        <w:t>CIDRP03432F01</w:t>
                      </w:r>
                      <w:r>
                        <w:rPr>
                          <w:sz w:val="18"/>
                        </w:rPr>
                        <w:fldChar w:fldCharType="end"/>
                      </w:r>
                    </w:p>
                  </w:txbxContent>
                </v:textbox>
                <w10:wrap anchory="page"/>
                <w10:anchorlock/>
              </v:shape>
            </w:pict>
          </mc:Fallback>
        </mc:AlternateContent>
      </w:r>
    </w:p>
    <w:sectPr w:rsidR="000B6478" w:rsidRPr="007F108B"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FD4A" w14:textId="77777777" w:rsidR="00BC73C3" w:rsidRDefault="00BC73C3">
      <w:r>
        <w:separator/>
      </w:r>
    </w:p>
  </w:endnote>
  <w:endnote w:type="continuationSeparator" w:id="0">
    <w:p w14:paraId="127D4F54" w14:textId="77777777" w:rsidR="00BC73C3" w:rsidRDefault="00BC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B909" w14:textId="77777777" w:rsidR="00BC73C3" w:rsidRDefault="00BC73C3">
      <w:r>
        <w:separator/>
      </w:r>
    </w:p>
  </w:footnote>
  <w:footnote w:type="continuationSeparator" w:id="0">
    <w:p w14:paraId="13073BCF" w14:textId="77777777" w:rsidR="00BC73C3" w:rsidRDefault="00BC73C3">
      <w:r>
        <w:continuationSeparator/>
      </w:r>
    </w:p>
  </w:footnote>
  <w:footnote w:id="1">
    <w:p w14:paraId="68053AB7" w14:textId="4680DA2F" w:rsidR="00194645" w:rsidRPr="00103FFE" w:rsidRDefault="00194645" w:rsidP="00103FFE">
      <w:pPr>
        <w:shd w:val="clear" w:color="auto" w:fill="FFFFFF" w:themeFill="background1"/>
        <w:ind w:left="720" w:right="-360" w:hanging="360"/>
        <w:rPr>
          <w:i/>
          <w:iCs/>
          <w:color w:val="3B3B3B"/>
          <w:bdr w:val="none" w:sz="0" w:space="0" w:color="auto" w:frame="1"/>
          <w:shd w:val="clear" w:color="auto" w:fill="FAFAFA"/>
        </w:rPr>
      </w:pPr>
      <w:r w:rsidRPr="00103FFE">
        <w:rPr>
          <w:rStyle w:val="FootnoteReference"/>
          <w:vertAlign w:val="baseline"/>
        </w:rPr>
        <w:footnoteRef/>
      </w:r>
      <w:r w:rsidRPr="00103FFE">
        <w:t>.</w:t>
      </w:r>
      <w:r w:rsidRPr="00103FFE">
        <w:tab/>
      </w:r>
      <w:r w:rsidRPr="00103FFE">
        <w:rPr>
          <w:color w:val="3B3B3B"/>
        </w:rPr>
        <w:t>Indice mondial de l'innovation 2021, 14</w:t>
      </w:r>
      <w:r w:rsidRPr="00103FFE">
        <w:rPr>
          <w:color w:val="3B3B3B"/>
          <w:vertAlign w:val="superscript"/>
        </w:rPr>
        <w:t>e</w:t>
      </w:r>
      <w:r w:rsidRPr="00103FFE">
        <w:rPr>
          <w:color w:val="3B3B3B"/>
        </w:rPr>
        <w:t xml:space="preserve"> édition, </w:t>
      </w:r>
      <w:hyperlink r:id="rId1" w:history="1">
        <w:r w:rsidRPr="00103FFE">
          <w:rPr>
            <w:rStyle w:val="Hyperlink"/>
            <w:bdr w:val="none" w:sz="0" w:space="0" w:color="auto" w:frame="1"/>
          </w:rPr>
          <w:t>https://www.wipo.int/global_innovation_index/en/2021/</w:t>
        </w:r>
      </w:hyperlink>
    </w:p>
  </w:footnote>
  <w:footnote w:id="2">
    <w:p w14:paraId="4CCC5BE9" w14:textId="0CA2757B" w:rsidR="00EE4B48" w:rsidRPr="00103FFE" w:rsidRDefault="00EE4B48" w:rsidP="00103FFE">
      <w:pPr>
        <w:pStyle w:val="FootnoteText"/>
        <w:shd w:val="clear" w:color="auto" w:fill="FFFFFF" w:themeFill="background1"/>
        <w:ind w:left="720" w:hanging="360"/>
      </w:pPr>
      <w:r w:rsidRPr="00103FFE">
        <w:rPr>
          <w:rStyle w:val="FootnoteReference"/>
          <w:vertAlign w:val="baseline"/>
        </w:rPr>
        <w:footnoteRef/>
      </w:r>
      <w:r w:rsidRPr="00103FFE">
        <w:t>.</w:t>
      </w:r>
      <w:r w:rsidRPr="00103FFE">
        <w:tab/>
        <w:t>Id.</w:t>
      </w:r>
    </w:p>
  </w:footnote>
  <w:footnote w:id="3">
    <w:p w14:paraId="02DB58C9" w14:textId="74C2DBF7" w:rsidR="005B2929" w:rsidRPr="00103FFE" w:rsidRDefault="005B2929" w:rsidP="00103FFE">
      <w:pPr>
        <w:pStyle w:val="FootnoteText"/>
        <w:shd w:val="clear" w:color="auto" w:fill="FFFFFF" w:themeFill="background1"/>
        <w:ind w:left="720" w:hanging="360"/>
      </w:pPr>
      <w:r w:rsidRPr="00103FFE">
        <w:rPr>
          <w:rStyle w:val="FootnoteReference"/>
          <w:vertAlign w:val="baseline"/>
        </w:rPr>
        <w:footnoteRef/>
      </w:r>
      <w:r w:rsidRPr="00103FFE">
        <w:t>.</w:t>
      </w:r>
      <w:r w:rsidRPr="00103FFE">
        <w:tab/>
        <w:t xml:space="preserve">L’Indice mondial de l’innovation est un rapport publié conjointement par l'Organisation mondiale de la propriété intellectuelle (OMPI), l'université Cornell et l'INSEAD ; l'édition 2020 est disponible sur </w:t>
      </w:r>
      <w:hyperlink r:id="rId2" w:history="1">
        <w:r w:rsidRPr="00103FFE">
          <w:rPr>
            <w:rStyle w:val="Hyperlink"/>
            <w:bdr w:val="none" w:sz="0" w:space="0" w:color="auto" w:frame="1"/>
            <w:shd w:val="clear" w:color="auto" w:fill="FFFFFF" w:themeFill="background1"/>
          </w:rPr>
          <w:t>https://www.wipo.int/global_innovation_index/en/2020/</w:t>
        </w:r>
      </w:hyperlink>
    </w:p>
  </w:footnote>
  <w:footnote w:id="4">
    <w:p w14:paraId="3CC98920" w14:textId="4D0ABAA1" w:rsidR="00EE4B48" w:rsidRPr="00103FFE" w:rsidRDefault="00EE4B48" w:rsidP="00103FFE">
      <w:pPr>
        <w:pStyle w:val="FootnoteText"/>
        <w:shd w:val="clear" w:color="auto" w:fill="FFFFFF" w:themeFill="background1"/>
        <w:ind w:left="720" w:hanging="360"/>
      </w:pPr>
      <w:r w:rsidRPr="00103FFE">
        <w:rPr>
          <w:rStyle w:val="FootnoteReference"/>
          <w:vertAlign w:val="baseline"/>
        </w:rPr>
        <w:footnoteRef/>
      </w:r>
      <w:r w:rsidRPr="00103FFE">
        <w:t>.</w:t>
      </w:r>
      <w:r w:rsidRPr="00103FFE">
        <w:tab/>
        <w:t>Indice mondial de l'innovation 2021, 14</w:t>
      </w:r>
      <w:r w:rsidRPr="00103FFE">
        <w:rPr>
          <w:vertAlign w:val="superscript"/>
        </w:rPr>
        <w:t>e</w:t>
      </w:r>
      <w:r w:rsidRPr="00103FFE">
        <w:t xml:space="preserve"> édition.</w:t>
      </w:r>
    </w:p>
  </w:footnote>
  <w:footnote w:id="5">
    <w:p w14:paraId="1C8CCB18" w14:textId="2F32CDF1" w:rsidR="00E12BDF" w:rsidRPr="00103FFE" w:rsidRDefault="00E12BDF" w:rsidP="00103FFE">
      <w:pPr>
        <w:pStyle w:val="FootnoteText"/>
        <w:shd w:val="clear" w:color="auto" w:fill="FFFFFF" w:themeFill="background1"/>
        <w:ind w:left="720" w:hanging="360"/>
      </w:pPr>
      <w:r w:rsidRPr="00103FFE">
        <w:rPr>
          <w:rStyle w:val="FootnoteReference"/>
          <w:vertAlign w:val="baseline"/>
        </w:rPr>
        <w:footnoteRef/>
      </w:r>
      <w:r w:rsidRPr="00103FFE">
        <w:t>.</w:t>
      </w:r>
      <w:r w:rsidRPr="00103FFE">
        <w:tab/>
        <w:t xml:space="preserve">Startups évaluées à plus d'un milliard de dollars. </w:t>
      </w:r>
    </w:p>
  </w:footnote>
  <w:footnote w:id="6">
    <w:p w14:paraId="6058280A" w14:textId="4FDC05E0" w:rsidR="00E12BDF" w:rsidRPr="00103FFE" w:rsidRDefault="00E12BDF" w:rsidP="00103FFE">
      <w:pPr>
        <w:pStyle w:val="NormalWeb"/>
        <w:shd w:val="clear" w:color="auto" w:fill="FFFFFF" w:themeFill="background1"/>
        <w:spacing w:before="0" w:beforeAutospacing="0" w:after="0" w:afterAutospacing="0"/>
        <w:ind w:left="720" w:hanging="360"/>
        <w:rPr>
          <w:rFonts w:eastAsiaTheme="minorHAnsi"/>
          <w:sz w:val="20"/>
          <w:szCs w:val="20"/>
        </w:rPr>
      </w:pPr>
      <w:r w:rsidRPr="00103FFE">
        <w:rPr>
          <w:rStyle w:val="FootnoteReference"/>
          <w:sz w:val="20"/>
          <w:szCs w:val="20"/>
          <w:vertAlign w:val="baseline"/>
        </w:rPr>
        <w:footnoteRef/>
      </w:r>
      <w:r w:rsidRPr="00103FFE">
        <w:rPr>
          <w:sz w:val="20"/>
          <w:szCs w:val="20"/>
          <w:lang w:val="en-US"/>
        </w:rPr>
        <w:t>.</w:t>
      </w:r>
      <w:r w:rsidRPr="00103FFE">
        <w:rPr>
          <w:sz w:val="20"/>
          <w:szCs w:val="20"/>
          <w:lang w:val="en-US"/>
        </w:rPr>
        <w:tab/>
      </w:r>
      <w:r w:rsidRPr="00103FFE">
        <w:rPr>
          <w:color w:val="212121"/>
          <w:sz w:val="20"/>
          <w:szCs w:val="20"/>
          <w:shd w:val="clear" w:color="auto" w:fill="FFFFFF"/>
          <w:lang w:val="en-US"/>
        </w:rPr>
        <w:t xml:space="preserve">Startup Continent: The Most Well-Funded Tech Startups </w:t>
      </w:r>
      <w:proofErr w:type="gramStart"/>
      <w:r w:rsidRPr="00103FFE">
        <w:rPr>
          <w:color w:val="212121"/>
          <w:sz w:val="20"/>
          <w:szCs w:val="20"/>
          <w:shd w:val="clear" w:color="auto" w:fill="FFFFFF"/>
          <w:lang w:val="en-US"/>
        </w:rPr>
        <w:t>In</w:t>
      </w:r>
      <w:proofErr w:type="gramEnd"/>
      <w:r w:rsidRPr="00103FFE">
        <w:rPr>
          <w:color w:val="212121"/>
          <w:sz w:val="20"/>
          <w:szCs w:val="20"/>
          <w:shd w:val="clear" w:color="auto" w:fill="FFFFFF"/>
          <w:lang w:val="en-US"/>
        </w:rPr>
        <w:t xml:space="preserve"> Latin America And The Caribbean. </w:t>
      </w:r>
      <w:hyperlink r:id="rId3" w:history="1">
        <w:r w:rsidRPr="00103FFE">
          <w:rPr>
            <w:rStyle w:val="Hyperlink"/>
            <w:sz w:val="20"/>
            <w:szCs w:val="20"/>
          </w:rPr>
          <w:t>https://www.statista.com/statistics/1095155/number-of-unicorns-in-latin-america-by-industry/</w:t>
        </w:r>
      </w:hyperlink>
    </w:p>
  </w:footnote>
  <w:footnote w:id="7">
    <w:p w14:paraId="3104FD0C" w14:textId="63EDE66C" w:rsidR="00E12BDF" w:rsidRPr="00103FFE" w:rsidRDefault="006A0998" w:rsidP="00103FFE">
      <w:pPr>
        <w:pStyle w:val="FootnoteText"/>
        <w:shd w:val="clear" w:color="auto" w:fill="FFFFFF" w:themeFill="background1"/>
        <w:ind w:left="720" w:hanging="360"/>
      </w:pPr>
      <w:r w:rsidRPr="00103FFE">
        <w:t>7.</w:t>
      </w:r>
      <w:r w:rsidRPr="00103FFE">
        <w:tab/>
        <w:t>https://www.cbinsights.com/research/top-startups-latin-america-map/</w:t>
      </w:r>
    </w:p>
  </w:footnote>
  <w:footnote w:id="8">
    <w:p w14:paraId="1309A072" w14:textId="68125B12" w:rsidR="002E3DDA" w:rsidRPr="00103FFE" w:rsidRDefault="002E3DDA" w:rsidP="00103FFE">
      <w:pPr>
        <w:pStyle w:val="FootnoteText"/>
        <w:shd w:val="clear" w:color="auto" w:fill="FFFFFF" w:themeFill="background1"/>
        <w:ind w:left="720" w:hanging="360"/>
      </w:pPr>
      <w:r w:rsidRPr="00103FFE">
        <w:rPr>
          <w:rStyle w:val="FootnoteReference"/>
          <w:vertAlign w:val="baseline"/>
        </w:rPr>
        <w:footnoteRef/>
      </w:r>
      <w:r w:rsidRPr="00103FFE">
        <w:t>.</w:t>
      </w:r>
      <w:r w:rsidRPr="00103FFE">
        <w:tab/>
      </w:r>
      <w:hyperlink r:id="rId4" w:history="1">
        <w:r w:rsidRPr="00103FFE">
          <w:rPr>
            <w:rStyle w:val="Hyperlink"/>
            <w:shd w:val="clear" w:color="auto" w:fill="FFFFFF"/>
          </w:rPr>
          <w:t>https://pitchbook.com/news/articles/the-vc-female-founders-dashboard</w:t>
        </w:r>
      </w:hyperlink>
    </w:p>
  </w:footnote>
  <w:footnote w:id="9">
    <w:p w14:paraId="566B5382" w14:textId="64E746BE" w:rsidR="002E3DDA" w:rsidRPr="00103FFE" w:rsidRDefault="002E3DDA" w:rsidP="00103FFE">
      <w:pPr>
        <w:pStyle w:val="FootnoteText"/>
        <w:shd w:val="clear" w:color="auto" w:fill="FFFFFF" w:themeFill="background1"/>
        <w:ind w:left="720" w:hanging="360"/>
      </w:pPr>
      <w:r w:rsidRPr="00103FFE">
        <w:rPr>
          <w:rStyle w:val="FootnoteReference"/>
          <w:vertAlign w:val="baseline"/>
        </w:rPr>
        <w:footnoteRef/>
      </w:r>
      <w:r w:rsidRPr="00103FFE">
        <w:t>.</w:t>
      </w:r>
      <w:r w:rsidRPr="00103FFE">
        <w:tab/>
      </w:r>
      <w:hyperlink r:id="rId5" w:history="1">
        <w:r w:rsidRPr="00103FFE">
          <w:rPr>
            <w:rStyle w:val="Hyperlink"/>
          </w:rPr>
          <w:t>https://fortune.com/2018/10/26/latinx-female-founders-women-venture-capital-funding/</w:t>
        </w:r>
      </w:hyperlink>
      <w:r w:rsidRPr="00103FF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650EFA">
      <w:rPr>
        <w:sz w:val="22"/>
      </w:rPr>
      <w:t>- 2 -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113A5971">
              <wp:simplePos x="0" y="0"/>
              <wp:positionH relativeFrom="column">
                <wp:posOffset>441960</wp:posOffset>
              </wp:positionH>
              <wp:positionV relativeFrom="paragraph">
                <wp:posOffset>-253669</wp:posOffset>
              </wp:positionV>
              <wp:extent cx="4728845" cy="649081"/>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490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Conseil interaméricain pour le développement intégré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6" type="#_x0000_t202" style="position:absolute;margin-left:34.8pt;margin-top:-19.95pt;width:372.35pt;height:5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" stroked="f">
              <v:textbo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Conseil interaméricain pour le développement intégré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4"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6"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17"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18"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DCF4A6D"/>
    <w:multiLevelType w:val="hybridMultilevel"/>
    <w:tmpl w:val="FE14F33A"/>
    <w:lvl w:ilvl="0" w:tplc="37B20FDE">
      <w:start w:val="2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5"/>
  </w:num>
  <w:num w:numId="3">
    <w:abstractNumId w:val="3"/>
  </w:num>
  <w:num w:numId="4">
    <w:abstractNumId w:val="17"/>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9"/>
  </w:num>
  <w:num w:numId="11">
    <w:abstractNumId w:val="12"/>
  </w:num>
  <w:num w:numId="12">
    <w:abstractNumId w:val="20"/>
  </w:num>
  <w:num w:numId="13">
    <w:abstractNumId w:val="8"/>
  </w:num>
  <w:num w:numId="14">
    <w:abstractNumId w:val="14"/>
  </w:num>
  <w:num w:numId="15">
    <w:abstractNumId w:val="7"/>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 w:numId="20">
    <w:abstractNumId w:val="2"/>
  </w:num>
  <w:num w:numId="21">
    <w:abstractNumId w:val="10"/>
  </w:num>
  <w:num w:numId="22">
    <w:abstractNumId w:val="4"/>
  </w:num>
  <w:num w:numId="23">
    <w:abstractNumId w:val="0"/>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1300D"/>
    <w:rsid w:val="000205EC"/>
    <w:rsid w:val="0002644D"/>
    <w:rsid w:val="000427B5"/>
    <w:rsid w:val="0004458F"/>
    <w:rsid w:val="00050886"/>
    <w:rsid w:val="000533B5"/>
    <w:rsid w:val="00055019"/>
    <w:rsid w:val="00061861"/>
    <w:rsid w:val="00064A6B"/>
    <w:rsid w:val="00064DCC"/>
    <w:rsid w:val="000661F4"/>
    <w:rsid w:val="00070537"/>
    <w:rsid w:val="000736AA"/>
    <w:rsid w:val="00073CCC"/>
    <w:rsid w:val="0007418B"/>
    <w:rsid w:val="00074325"/>
    <w:rsid w:val="00074E66"/>
    <w:rsid w:val="000969F9"/>
    <w:rsid w:val="00097899"/>
    <w:rsid w:val="000A72E3"/>
    <w:rsid w:val="000B1FCF"/>
    <w:rsid w:val="000B43F5"/>
    <w:rsid w:val="000B6478"/>
    <w:rsid w:val="000C1C8E"/>
    <w:rsid w:val="000C3438"/>
    <w:rsid w:val="000C344F"/>
    <w:rsid w:val="000D4368"/>
    <w:rsid w:val="000D540D"/>
    <w:rsid w:val="000D6070"/>
    <w:rsid w:val="000E313E"/>
    <w:rsid w:val="000E439E"/>
    <w:rsid w:val="000E6C8E"/>
    <w:rsid w:val="000E6DEF"/>
    <w:rsid w:val="00100FE1"/>
    <w:rsid w:val="00103208"/>
    <w:rsid w:val="00103FFE"/>
    <w:rsid w:val="001069A4"/>
    <w:rsid w:val="00106D57"/>
    <w:rsid w:val="001170ED"/>
    <w:rsid w:val="001226AF"/>
    <w:rsid w:val="0012371A"/>
    <w:rsid w:val="001259E2"/>
    <w:rsid w:val="0012611C"/>
    <w:rsid w:val="001301D2"/>
    <w:rsid w:val="0013037E"/>
    <w:rsid w:val="00133A15"/>
    <w:rsid w:val="001405C9"/>
    <w:rsid w:val="00142D34"/>
    <w:rsid w:val="00146FB1"/>
    <w:rsid w:val="00150AE4"/>
    <w:rsid w:val="00152D2E"/>
    <w:rsid w:val="00153DD8"/>
    <w:rsid w:val="0016660D"/>
    <w:rsid w:val="00166C73"/>
    <w:rsid w:val="001675EC"/>
    <w:rsid w:val="00171B89"/>
    <w:rsid w:val="00172D57"/>
    <w:rsid w:val="00180746"/>
    <w:rsid w:val="00183C2C"/>
    <w:rsid w:val="001842C2"/>
    <w:rsid w:val="00187D59"/>
    <w:rsid w:val="00194645"/>
    <w:rsid w:val="00194B58"/>
    <w:rsid w:val="001B0828"/>
    <w:rsid w:val="001B0AB0"/>
    <w:rsid w:val="001B193D"/>
    <w:rsid w:val="001C6DC5"/>
    <w:rsid w:val="001D0221"/>
    <w:rsid w:val="001D02E9"/>
    <w:rsid w:val="001D738C"/>
    <w:rsid w:val="001E3150"/>
    <w:rsid w:val="001E3C78"/>
    <w:rsid w:val="001F2739"/>
    <w:rsid w:val="0020125B"/>
    <w:rsid w:val="0020227F"/>
    <w:rsid w:val="002024FE"/>
    <w:rsid w:val="00203839"/>
    <w:rsid w:val="00203F80"/>
    <w:rsid w:val="0020460C"/>
    <w:rsid w:val="002050F0"/>
    <w:rsid w:val="002069D4"/>
    <w:rsid w:val="00222AFE"/>
    <w:rsid w:val="00224C3F"/>
    <w:rsid w:val="00225597"/>
    <w:rsid w:val="00233927"/>
    <w:rsid w:val="00234996"/>
    <w:rsid w:val="00235CB9"/>
    <w:rsid w:val="00256DD6"/>
    <w:rsid w:val="00264202"/>
    <w:rsid w:val="0026449A"/>
    <w:rsid w:val="00267E1B"/>
    <w:rsid w:val="0027412E"/>
    <w:rsid w:val="002772C8"/>
    <w:rsid w:val="00277682"/>
    <w:rsid w:val="00281CAA"/>
    <w:rsid w:val="002822E7"/>
    <w:rsid w:val="0028278B"/>
    <w:rsid w:val="00282ED9"/>
    <w:rsid w:val="0028696A"/>
    <w:rsid w:val="00286D8C"/>
    <w:rsid w:val="00292E95"/>
    <w:rsid w:val="002A03E9"/>
    <w:rsid w:val="002A1985"/>
    <w:rsid w:val="002A1CB2"/>
    <w:rsid w:val="002A3CB5"/>
    <w:rsid w:val="002A63EC"/>
    <w:rsid w:val="002B0898"/>
    <w:rsid w:val="002B2DE0"/>
    <w:rsid w:val="002B44E1"/>
    <w:rsid w:val="002C6B0D"/>
    <w:rsid w:val="002D412D"/>
    <w:rsid w:val="002E1F2D"/>
    <w:rsid w:val="002E2CC7"/>
    <w:rsid w:val="002E3DDA"/>
    <w:rsid w:val="002E609F"/>
    <w:rsid w:val="002F0A27"/>
    <w:rsid w:val="002F0AF9"/>
    <w:rsid w:val="002F25F2"/>
    <w:rsid w:val="002F5352"/>
    <w:rsid w:val="00305E93"/>
    <w:rsid w:val="0031130C"/>
    <w:rsid w:val="003116AC"/>
    <w:rsid w:val="0031291C"/>
    <w:rsid w:val="003143F1"/>
    <w:rsid w:val="003171DC"/>
    <w:rsid w:val="003254F3"/>
    <w:rsid w:val="0032713A"/>
    <w:rsid w:val="003302CF"/>
    <w:rsid w:val="00335ABE"/>
    <w:rsid w:val="003366D5"/>
    <w:rsid w:val="00345C27"/>
    <w:rsid w:val="00345DCF"/>
    <w:rsid w:val="00350910"/>
    <w:rsid w:val="00351BC4"/>
    <w:rsid w:val="003529F3"/>
    <w:rsid w:val="00352BB7"/>
    <w:rsid w:val="00353D48"/>
    <w:rsid w:val="00353D7A"/>
    <w:rsid w:val="00354536"/>
    <w:rsid w:val="00357684"/>
    <w:rsid w:val="003614A1"/>
    <w:rsid w:val="00362D68"/>
    <w:rsid w:val="0037599C"/>
    <w:rsid w:val="003775B4"/>
    <w:rsid w:val="003805E5"/>
    <w:rsid w:val="003836D2"/>
    <w:rsid w:val="00385985"/>
    <w:rsid w:val="00390A70"/>
    <w:rsid w:val="00390D0F"/>
    <w:rsid w:val="003923A6"/>
    <w:rsid w:val="003945DC"/>
    <w:rsid w:val="003A5B70"/>
    <w:rsid w:val="003A6437"/>
    <w:rsid w:val="003B0B19"/>
    <w:rsid w:val="003B40C4"/>
    <w:rsid w:val="003C332F"/>
    <w:rsid w:val="003C448A"/>
    <w:rsid w:val="003D0721"/>
    <w:rsid w:val="003D13AD"/>
    <w:rsid w:val="003D4305"/>
    <w:rsid w:val="003E687F"/>
    <w:rsid w:val="003F023D"/>
    <w:rsid w:val="003F4FA0"/>
    <w:rsid w:val="003F6FF7"/>
    <w:rsid w:val="004113BA"/>
    <w:rsid w:val="00413FE5"/>
    <w:rsid w:val="00414A9D"/>
    <w:rsid w:val="00421AA1"/>
    <w:rsid w:val="00423375"/>
    <w:rsid w:val="004279F5"/>
    <w:rsid w:val="00457B19"/>
    <w:rsid w:val="004600F6"/>
    <w:rsid w:val="00461F49"/>
    <w:rsid w:val="0046301C"/>
    <w:rsid w:val="00463A6B"/>
    <w:rsid w:val="0046512F"/>
    <w:rsid w:val="00467A8F"/>
    <w:rsid w:val="004712B6"/>
    <w:rsid w:val="004732D7"/>
    <w:rsid w:val="00476255"/>
    <w:rsid w:val="004774F0"/>
    <w:rsid w:val="00490731"/>
    <w:rsid w:val="00493B12"/>
    <w:rsid w:val="004943F6"/>
    <w:rsid w:val="00495215"/>
    <w:rsid w:val="00496643"/>
    <w:rsid w:val="00496BBC"/>
    <w:rsid w:val="00497068"/>
    <w:rsid w:val="004A1D26"/>
    <w:rsid w:val="004A6065"/>
    <w:rsid w:val="004A7C48"/>
    <w:rsid w:val="004B2B39"/>
    <w:rsid w:val="004B301B"/>
    <w:rsid w:val="004B3050"/>
    <w:rsid w:val="004B387B"/>
    <w:rsid w:val="004B5C41"/>
    <w:rsid w:val="004B6550"/>
    <w:rsid w:val="004B6C1E"/>
    <w:rsid w:val="004C13FA"/>
    <w:rsid w:val="004D2279"/>
    <w:rsid w:val="004D3097"/>
    <w:rsid w:val="004D44C9"/>
    <w:rsid w:val="004F0AD2"/>
    <w:rsid w:val="004F0EF3"/>
    <w:rsid w:val="004F4571"/>
    <w:rsid w:val="004F6805"/>
    <w:rsid w:val="0050011F"/>
    <w:rsid w:val="00502854"/>
    <w:rsid w:val="0050667F"/>
    <w:rsid w:val="00510EDF"/>
    <w:rsid w:val="005112C3"/>
    <w:rsid w:val="00513B4E"/>
    <w:rsid w:val="00514EDB"/>
    <w:rsid w:val="0052023C"/>
    <w:rsid w:val="00527F6D"/>
    <w:rsid w:val="005336D0"/>
    <w:rsid w:val="0053678B"/>
    <w:rsid w:val="00540938"/>
    <w:rsid w:val="005462E3"/>
    <w:rsid w:val="0055186F"/>
    <w:rsid w:val="005533CC"/>
    <w:rsid w:val="00564C90"/>
    <w:rsid w:val="00564FA3"/>
    <w:rsid w:val="005679D8"/>
    <w:rsid w:val="00575576"/>
    <w:rsid w:val="00577517"/>
    <w:rsid w:val="0058420A"/>
    <w:rsid w:val="00594069"/>
    <w:rsid w:val="00597477"/>
    <w:rsid w:val="005A5372"/>
    <w:rsid w:val="005A53C5"/>
    <w:rsid w:val="005B2929"/>
    <w:rsid w:val="005B5F61"/>
    <w:rsid w:val="005B7D03"/>
    <w:rsid w:val="005C20AF"/>
    <w:rsid w:val="005C3C0B"/>
    <w:rsid w:val="005D1365"/>
    <w:rsid w:val="005D1D57"/>
    <w:rsid w:val="005D44CE"/>
    <w:rsid w:val="005D4ECD"/>
    <w:rsid w:val="005D5589"/>
    <w:rsid w:val="005D74F2"/>
    <w:rsid w:val="005E085B"/>
    <w:rsid w:val="005F1964"/>
    <w:rsid w:val="005F29C1"/>
    <w:rsid w:val="005F78BB"/>
    <w:rsid w:val="005F7B63"/>
    <w:rsid w:val="00601668"/>
    <w:rsid w:val="00602399"/>
    <w:rsid w:val="00602980"/>
    <w:rsid w:val="006123C5"/>
    <w:rsid w:val="00612E0C"/>
    <w:rsid w:val="006174D9"/>
    <w:rsid w:val="00622F41"/>
    <w:rsid w:val="00631FB8"/>
    <w:rsid w:val="00634E7B"/>
    <w:rsid w:val="006374D0"/>
    <w:rsid w:val="00642E66"/>
    <w:rsid w:val="0064648A"/>
    <w:rsid w:val="00647CB9"/>
    <w:rsid w:val="00650EFA"/>
    <w:rsid w:val="00655B90"/>
    <w:rsid w:val="00656B5A"/>
    <w:rsid w:val="00661424"/>
    <w:rsid w:val="00663D49"/>
    <w:rsid w:val="00666B25"/>
    <w:rsid w:val="00670E8A"/>
    <w:rsid w:val="006711F3"/>
    <w:rsid w:val="006734B2"/>
    <w:rsid w:val="00675F54"/>
    <w:rsid w:val="00680EA5"/>
    <w:rsid w:val="006839FF"/>
    <w:rsid w:val="00685580"/>
    <w:rsid w:val="00686FEA"/>
    <w:rsid w:val="00691B9D"/>
    <w:rsid w:val="006A0998"/>
    <w:rsid w:val="006A1A6B"/>
    <w:rsid w:val="006A483E"/>
    <w:rsid w:val="006A545B"/>
    <w:rsid w:val="006A6025"/>
    <w:rsid w:val="006A67F9"/>
    <w:rsid w:val="006B1932"/>
    <w:rsid w:val="006B21AD"/>
    <w:rsid w:val="006B3BA2"/>
    <w:rsid w:val="006B4518"/>
    <w:rsid w:val="006B710A"/>
    <w:rsid w:val="006C48D7"/>
    <w:rsid w:val="006C6F0E"/>
    <w:rsid w:val="006C7485"/>
    <w:rsid w:val="006D11BB"/>
    <w:rsid w:val="006D1E13"/>
    <w:rsid w:val="006D5A66"/>
    <w:rsid w:val="006D7239"/>
    <w:rsid w:val="006E5C04"/>
    <w:rsid w:val="006F0712"/>
    <w:rsid w:val="006F1262"/>
    <w:rsid w:val="006F4488"/>
    <w:rsid w:val="007026A5"/>
    <w:rsid w:val="00710E40"/>
    <w:rsid w:val="007147F0"/>
    <w:rsid w:val="0071494C"/>
    <w:rsid w:val="00721843"/>
    <w:rsid w:val="00722693"/>
    <w:rsid w:val="00723DE2"/>
    <w:rsid w:val="00723EE9"/>
    <w:rsid w:val="0072562F"/>
    <w:rsid w:val="00730E0A"/>
    <w:rsid w:val="00731A03"/>
    <w:rsid w:val="007325A6"/>
    <w:rsid w:val="0073480E"/>
    <w:rsid w:val="00743DD7"/>
    <w:rsid w:val="007443E9"/>
    <w:rsid w:val="00756232"/>
    <w:rsid w:val="0076198A"/>
    <w:rsid w:val="007648E4"/>
    <w:rsid w:val="007703A2"/>
    <w:rsid w:val="00772F05"/>
    <w:rsid w:val="00781CB8"/>
    <w:rsid w:val="00781D3F"/>
    <w:rsid w:val="00783480"/>
    <w:rsid w:val="00787435"/>
    <w:rsid w:val="00791388"/>
    <w:rsid w:val="00791916"/>
    <w:rsid w:val="00794A66"/>
    <w:rsid w:val="00794BF4"/>
    <w:rsid w:val="00794E46"/>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6421"/>
    <w:rsid w:val="007D764E"/>
    <w:rsid w:val="007E4931"/>
    <w:rsid w:val="007E4BB3"/>
    <w:rsid w:val="007E57B0"/>
    <w:rsid w:val="007E6D06"/>
    <w:rsid w:val="007F108B"/>
    <w:rsid w:val="007F13AB"/>
    <w:rsid w:val="007F22EF"/>
    <w:rsid w:val="007F2774"/>
    <w:rsid w:val="007F764A"/>
    <w:rsid w:val="00801C23"/>
    <w:rsid w:val="008023AC"/>
    <w:rsid w:val="008026FE"/>
    <w:rsid w:val="00815A1F"/>
    <w:rsid w:val="00820F66"/>
    <w:rsid w:val="00821E7C"/>
    <w:rsid w:val="00823B46"/>
    <w:rsid w:val="008260C9"/>
    <w:rsid w:val="008271F8"/>
    <w:rsid w:val="00827358"/>
    <w:rsid w:val="008365F4"/>
    <w:rsid w:val="00836740"/>
    <w:rsid w:val="00836CCC"/>
    <w:rsid w:val="0084046A"/>
    <w:rsid w:val="00860083"/>
    <w:rsid w:val="00860DE1"/>
    <w:rsid w:val="00865686"/>
    <w:rsid w:val="00865B5C"/>
    <w:rsid w:val="008814B8"/>
    <w:rsid w:val="008819DA"/>
    <w:rsid w:val="00887157"/>
    <w:rsid w:val="00887A65"/>
    <w:rsid w:val="0089063B"/>
    <w:rsid w:val="00890C34"/>
    <w:rsid w:val="008916E8"/>
    <w:rsid w:val="008917B9"/>
    <w:rsid w:val="00896014"/>
    <w:rsid w:val="008A2F14"/>
    <w:rsid w:val="008B4134"/>
    <w:rsid w:val="008B5AF8"/>
    <w:rsid w:val="008C254E"/>
    <w:rsid w:val="008D2C52"/>
    <w:rsid w:val="008D487B"/>
    <w:rsid w:val="008D57AD"/>
    <w:rsid w:val="008D6555"/>
    <w:rsid w:val="008E3561"/>
    <w:rsid w:val="008E4A93"/>
    <w:rsid w:val="008F747C"/>
    <w:rsid w:val="0090209F"/>
    <w:rsid w:val="00902338"/>
    <w:rsid w:val="009054CB"/>
    <w:rsid w:val="00910645"/>
    <w:rsid w:val="00920867"/>
    <w:rsid w:val="00920F2A"/>
    <w:rsid w:val="00921B83"/>
    <w:rsid w:val="00921E9E"/>
    <w:rsid w:val="00922D98"/>
    <w:rsid w:val="00924BA1"/>
    <w:rsid w:val="009304AE"/>
    <w:rsid w:val="00934387"/>
    <w:rsid w:val="00934888"/>
    <w:rsid w:val="0093527F"/>
    <w:rsid w:val="00942059"/>
    <w:rsid w:val="00942174"/>
    <w:rsid w:val="00943F3F"/>
    <w:rsid w:val="00945D81"/>
    <w:rsid w:val="009571C8"/>
    <w:rsid w:val="0096142F"/>
    <w:rsid w:val="00962EF0"/>
    <w:rsid w:val="00965A6D"/>
    <w:rsid w:val="0097131C"/>
    <w:rsid w:val="00984C5A"/>
    <w:rsid w:val="00986E8C"/>
    <w:rsid w:val="00994B4D"/>
    <w:rsid w:val="009979A7"/>
    <w:rsid w:val="009A194A"/>
    <w:rsid w:val="009B2AE9"/>
    <w:rsid w:val="009B2F59"/>
    <w:rsid w:val="009B307F"/>
    <w:rsid w:val="009B7761"/>
    <w:rsid w:val="009C0065"/>
    <w:rsid w:val="009C3EA4"/>
    <w:rsid w:val="009C5117"/>
    <w:rsid w:val="009C6F26"/>
    <w:rsid w:val="009C75F5"/>
    <w:rsid w:val="009C7AAB"/>
    <w:rsid w:val="009E628C"/>
    <w:rsid w:val="009F0791"/>
    <w:rsid w:val="009F0C3E"/>
    <w:rsid w:val="009F392F"/>
    <w:rsid w:val="00A06676"/>
    <w:rsid w:val="00A06AF5"/>
    <w:rsid w:val="00A06FE9"/>
    <w:rsid w:val="00A115F5"/>
    <w:rsid w:val="00A12EA0"/>
    <w:rsid w:val="00A13E2C"/>
    <w:rsid w:val="00A178FB"/>
    <w:rsid w:val="00A21F96"/>
    <w:rsid w:val="00A232CD"/>
    <w:rsid w:val="00A256AB"/>
    <w:rsid w:val="00A323C5"/>
    <w:rsid w:val="00A34777"/>
    <w:rsid w:val="00A36552"/>
    <w:rsid w:val="00A40903"/>
    <w:rsid w:val="00A436BB"/>
    <w:rsid w:val="00A5263A"/>
    <w:rsid w:val="00A52CAE"/>
    <w:rsid w:val="00A61635"/>
    <w:rsid w:val="00A61DEB"/>
    <w:rsid w:val="00A65508"/>
    <w:rsid w:val="00A67CD8"/>
    <w:rsid w:val="00A734B5"/>
    <w:rsid w:val="00A74B2B"/>
    <w:rsid w:val="00A840AC"/>
    <w:rsid w:val="00A851C2"/>
    <w:rsid w:val="00A86D6C"/>
    <w:rsid w:val="00A870BA"/>
    <w:rsid w:val="00A9203C"/>
    <w:rsid w:val="00A946F7"/>
    <w:rsid w:val="00A95E01"/>
    <w:rsid w:val="00A96D30"/>
    <w:rsid w:val="00A97B79"/>
    <w:rsid w:val="00AA2AE0"/>
    <w:rsid w:val="00AA7CBB"/>
    <w:rsid w:val="00AB18ED"/>
    <w:rsid w:val="00AB4DE4"/>
    <w:rsid w:val="00AB7175"/>
    <w:rsid w:val="00AB7642"/>
    <w:rsid w:val="00AB7A69"/>
    <w:rsid w:val="00AC29B0"/>
    <w:rsid w:val="00AC3A0C"/>
    <w:rsid w:val="00AC4232"/>
    <w:rsid w:val="00AC7FA2"/>
    <w:rsid w:val="00AD309A"/>
    <w:rsid w:val="00AD4B7D"/>
    <w:rsid w:val="00AD6394"/>
    <w:rsid w:val="00AE13AF"/>
    <w:rsid w:val="00AF06BC"/>
    <w:rsid w:val="00AF0C03"/>
    <w:rsid w:val="00B16016"/>
    <w:rsid w:val="00B234AF"/>
    <w:rsid w:val="00B27F1B"/>
    <w:rsid w:val="00B36279"/>
    <w:rsid w:val="00B37C1B"/>
    <w:rsid w:val="00B40DC8"/>
    <w:rsid w:val="00B41EE3"/>
    <w:rsid w:val="00B43107"/>
    <w:rsid w:val="00B439EC"/>
    <w:rsid w:val="00B47109"/>
    <w:rsid w:val="00B50945"/>
    <w:rsid w:val="00B5122D"/>
    <w:rsid w:val="00B53242"/>
    <w:rsid w:val="00B5382C"/>
    <w:rsid w:val="00B5781C"/>
    <w:rsid w:val="00B624CF"/>
    <w:rsid w:val="00B63B4B"/>
    <w:rsid w:val="00B6694A"/>
    <w:rsid w:val="00B71785"/>
    <w:rsid w:val="00B8071C"/>
    <w:rsid w:val="00B847B7"/>
    <w:rsid w:val="00B90CD0"/>
    <w:rsid w:val="00B930C9"/>
    <w:rsid w:val="00B94C7D"/>
    <w:rsid w:val="00B97D8D"/>
    <w:rsid w:val="00BA0EED"/>
    <w:rsid w:val="00BA3604"/>
    <w:rsid w:val="00BB0341"/>
    <w:rsid w:val="00BB0755"/>
    <w:rsid w:val="00BB4A78"/>
    <w:rsid w:val="00BB7135"/>
    <w:rsid w:val="00BC3CED"/>
    <w:rsid w:val="00BC47B4"/>
    <w:rsid w:val="00BC5445"/>
    <w:rsid w:val="00BC73C3"/>
    <w:rsid w:val="00BC78C5"/>
    <w:rsid w:val="00BC7B0E"/>
    <w:rsid w:val="00BD2433"/>
    <w:rsid w:val="00BD4B3F"/>
    <w:rsid w:val="00BD6CF4"/>
    <w:rsid w:val="00BE0DFE"/>
    <w:rsid w:val="00BE3015"/>
    <w:rsid w:val="00BF1293"/>
    <w:rsid w:val="00BF3B28"/>
    <w:rsid w:val="00C02DB7"/>
    <w:rsid w:val="00C02DEE"/>
    <w:rsid w:val="00C05556"/>
    <w:rsid w:val="00C11323"/>
    <w:rsid w:val="00C1307A"/>
    <w:rsid w:val="00C14A3E"/>
    <w:rsid w:val="00C223D4"/>
    <w:rsid w:val="00C41591"/>
    <w:rsid w:val="00C45F98"/>
    <w:rsid w:val="00C4655D"/>
    <w:rsid w:val="00C46BCF"/>
    <w:rsid w:val="00C51DDA"/>
    <w:rsid w:val="00C52216"/>
    <w:rsid w:val="00C53DB0"/>
    <w:rsid w:val="00C607E3"/>
    <w:rsid w:val="00C611B0"/>
    <w:rsid w:val="00C61825"/>
    <w:rsid w:val="00C6456D"/>
    <w:rsid w:val="00C7616A"/>
    <w:rsid w:val="00C80A1C"/>
    <w:rsid w:val="00C81A83"/>
    <w:rsid w:val="00C83349"/>
    <w:rsid w:val="00C83711"/>
    <w:rsid w:val="00C8384A"/>
    <w:rsid w:val="00C86C6A"/>
    <w:rsid w:val="00C878A5"/>
    <w:rsid w:val="00C90BA2"/>
    <w:rsid w:val="00C92818"/>
    <w:rsid w:val="00C962B2"/>
    <w:rsid w:val="00CA12D4"/>
    <w:rsid w:val="00CA2349"/>
    <w:rsid w:val="00CA266B"/>
    <w:rsid w:val="00CB0A35"/>
    <w:rsid w:val="00CB2F2F"/>
    <w:rsid w:val="00CC49AE"/>
    <w:rsid w:val="00CC550E"/>
    <w:rsid w:val="00CC7FAC"/>
    <w:rsid w:val="00CD3A0E"/>
    <w:rsid w:val="00CD3B89"/>
    <w:rsid w:val="00CD472D"/>
    <w:rsid w:val="00CE26A3"/>
    <w:rsid w:val="00CE4110"/>
    <w:rsid w:val="00CE52EB"/>
    <w:rsid w:val="00CF4554"/>
    <w:rsid w:val="00CF4D95"/>
    <w:rsid w:val="00CF629A"/>
    <w:rsid w:val="00CF6933"/>
    <w:rsid w:val="00CF6FDB"/>
    <w:rsid w:val="00D07BD9"/>
    <w:rsid w:val="00D108CD"/>
    <w:rsid w:val="00D12A50"/>
    <w:rsid w:val="00D2606E"/>
    <w:rsid w:val="00D307BF"/>
    <w:rsid w:val="00D31989"/>
    <w:rsid w:val="00D324C0"/>
    <w:rsid w:val="00D32A6A"/>
    <w:rsid w:val="00D57730"/>
    <w:rsid w:val="00D57E47"/>
    <w:rsid w:val="00D643E9"/>
    <w:rsid w:val="00D64EA6"/>
    <w:rsid w:val="00D6769E"/>
    <w:rsid w:val="00D676CC"/>
    <w:rsid w:val="00D71ED9"/>
    <w:rsid w:val="00D80335"/>
    <w:rsid w:val="00D8755F"/>
    <w:rsid w:val="00DA67FE"/>
    <w:rsid w:val="00DB360D"/>
    <w:rsid w:val="00DB36EA"/>
    <w:rsid w:val="00DB3B6E"/>
    <w:rsid w:val="00DB5D3D"/>
    <w:rsid w:val="00DC24A9"/>
    <w:rsid w:val="00DC4BF4"/>
    <w:rsid w:val="00DC520A"/>
    <w:rsid w:val="00DD0139"/>
    <w:rsid w:val="00DD0DD6"/>
    <w:rsid w:val="00DD14D2"/>
    <w:rsid w:val="00DD2D47"/>
    <w:rsid w:val="00DD505E"/>
    <w:rsid w:val="00DE2DA4"/>
    <w:rsid w:val="00DF12CD"/>
    <w:rsid w:val="00E0149A"/>
    <w:rsid w:val="00E0378E"/>
    <w:rsid w:val="00E0439B"/>
    <w:rsid w:val="00E0528B"/>
    <w:rsid w:val="00E06590"/>
    <w:rsid w:val="00E072BE"/>
    <w:rsid w:val="00E12BDF"/>
    <w:rsid w:val="00E16177"/>
    <w:rsid w:val="00E209E8"/>
    <w:rsid w:val="00E23168"/>
    <w:rsid w:val="00E3284A"/>
    <w:rsid w:val="00E351A1"/>
    <w:rsid w:val="00E40079"/>
    <w:rsid w:val="00E423A7"/>
    <w:rsid w:val="00E50C47"/>
    <w:rsid w:val="00E51CC2"/>
    <w:rsid w:val="00E55047"/>
    <w:rsid w:val="00E55B8A"/>
    <w:rsid w:val="00E61585"/>
    <w:rsid w:val="00E62556"/>
    <w:rsid w:val="00E65892"/>
    <w:rsid w:val="00E70330"/>
    <w:rsid w:val="00E768B6"/>
    <w:rsid w:val="00E83BE7"/>
    <w:rsid w:val="00E90F30"/>
    <w:rsid w:val="00E946CB"/>
    <w:rsid w:val="00EA008C"/>
    <w:rsid w:val="00EA7DE7"/>
    <w:rsid w:val="00EB09BC"/>
    <w:rsid w:val="00EB69E3"/>
    <w:rsid w:val="00EB7237"/>
    <w:rsid w:val="00EB7C4A"/>
    <w:rsid w:val="00EC00D8"/>
    <w:rsid w:val="00EC4BFD"/>
    <w:rsid w:val="00EC5E91"/>
    <w:rsid w:val="00EC7711"/>
    <w:rsid w:val="00ED2AF4"/>
    <w:rsid w:val="00ED2DE0"/>
    <w:rsid w:val="00ED5D59"/>
    <w:rsid w:val="00ED7C6A"/>
    <w:rsid w:val="00EE1EC8"/>
    <w:rsid w:val="00EE29AE"/>
    <w:rsid w:val="00EE4B48"/>
    <w:rsid w:val="00EE51B7"/>
    <w:rsid w:val="00EE7D67"/>
    <w:rsid w:val="00EF5709"/>
    <w:rsid w:val="00EF772D"/>
    <w:rsid w:val="00F013AE"/>
    <w:rsid w:val="00F0248D"/>
    <w:rsid w:val="00F0479A"/>
    <w:rsid w:val="00F103CE"/>
    <w:rsid w:val="00F213D6"/>
    <w:rsid w:val="00F256C7"/>
    <w:rsid w:val="00F31B9A"/>
    <w:rsid w:val="00F35272"/>
    <w:rsid w:val="00F35671"/>
    <w:rsid w:val="00F41616"/>
    <w:rsid w:val="00F4735E"/>
    <w:rsid w:val="00F5197F"/>
    <w:rsid w:val="00F524DB"/>
    <w:rsid w:val="00F530B2"/>
    <w:rsid w:val="00F53223"/>
    <w:rsid w:val="00F5469A"/>
    <w:rsid w:val="00F663E8"/>
    <w:rsid w:val="00F70A2C"/>
    <w:rsid w:val="00F760D5"/>
    <w:rsid w:val="00F76DC9"/>
    <w:rsid w:val="00F773E4"/>
    <w:rsid w:val="00F8041D"/>
    <w:rsid w:val="00F8105E"/>
    <w:rsid w:val="00F82046"/>
    <w:rsid w:val="00F82C91"/>
    <w:rsid w:val="00F87541"/>
    <w:rsid w:val="00F91F7C"/>
    <w:rsid w:val="00FA607C"/>
    <w:rsid w:val="00FA61C9"/>
    <w:rsid w:val="00FA6A04"/>
    <w:rsid w:val="00FA7D08"/>
    <w:rsid w:val="00FB0853"/>
    <w:rsid w:val="00FB33AD"/>
    <w:rsid w:val="00FB6445"/>
    <w:rsid w:val="00FC0500"/>
    <w:rsid w:val="00FC16EC"/>
    <w:rsid w:val="00FC73C7"/>
    <w:rsid w:val="00FD02D9"/>
    <w:rsid w:val="00FD4F65"/>
    <w:rsid w:val="00FE1847"/>
    <w:rsid w:val="00FE24CB"/>
    <w:rsid w:val="00FE356F"/>
    <w:rsid w:val="00FE404F"/>
    <w:rsid w:val="00FE7AA0"/>
    <w:rsid w:val="00FF2762"/>
    <w:rsid w:val="00FF4055"/>
    <w:rsid w:val="00FF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paragraph" w:customStyle="1" w:styleId="TableHeading">
    <w:name w:val="Table Heading"/>
    <w:basedOn w:val="Normal"/>
    <w:rsid w:val="00B41EE3"/>
    <w:pPr>
      <w:suppressLineNumbers/>
      <w:suppressAutoHyphens/>
      <w:jc w:val="center"/>
    </w:pPr>
    <w:rPr>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544417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tatista.com/statistics/1095155/number-of-unicorns-in-latin-america-by-industry/" TargetMode="External"/><Relationship Id="rId2" Type="http://schemas.openxmlformats.org/officeDocument/2006/relationships/hyperlink" Target="https://www.wipo.int/global_innovation_index/en/2020/" TargetMode="External"/><Relationship Id="rId1" Type="http://schemas.openxmlformats.org/officeDocument/2006/relationships/hyperlink" Target="https://www.wipo.int/global_innovation_index/en/2021/" TargetMode="External"/><Relationship Id="rId5" Type="http://schemas.openxmlformats.org/officeDocument/2006/relationships/hyperlink" Target="https://fortune.com/2018/10/26/latinx-female-founders-women-venture-capital-funding/" TargetMode="External"/><Relationship Id="rId4" Type="http://schemas.openxmlformats.org/officeDocument/2006/relationships/hyperlink" Target="https://pitchbook.com/news/articles/the-vc-female-founders-dashboard"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3.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4</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2021-11-27T18:47:00Z</dcterms:created>
  <dcterms:modified xsi:type="dcterms:W3CDTF">2021-11-27T18:48:00Z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