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1A0FA5EA" w:rsidR="00722693" w:rsidRPr="00876936" w:rsidRDefault="00FA607C" w:rsidP="006A0998">
      <w:pPr>
        <w:tabs>
          <w:tab w:val="left" w:pos="7200"/>
        </w:tabs>
        <w:ind w:right="-1080"/>
        <w:rPr>
          <w:sz w:val="22"/>
          <w:szCs w:val="22"/>
        </w:rPr>
      </w:pPr>
      <w:r w:rsidRPr="00876936">
        <w:rPr>
          <w:sz w:val="22"/>
        </w:rPr>
        <w:tab/>
        <w:t>OEA/Ser.W</w:t>
      </w:r>
    </w:p>
    <w:p w14:paraId="47887D17" w14:textId="4C9FA395" w:rsidR="00722693" w:rsidRPr="00876936" w:rsidRDefault="00FA607C" w:rsidP="006A0998">
      <w:pPr>
        <w:tabs>
          <w:tab w:val="left" w:pos="7200"/>
        </w:tabs>
        <w:ind w:right="-1080"/>
        <w:rPr>
          <w:sz w:val="22"/>
          <w:szCs w:val="22"/>
        </w:rPr>
      </w:pPr>
      <w:r w:rsidRPr="00876936">
        <w:rPr>
          <w:sz w:val="22"/>
        </w:rPr>
        <w:tab/>
        <w:t>CIDI/INF. 476/21</w:t>
      </w:r>
      <w:r w:rsidR="00F655C4">
        <w:rPr>
          <w:sz w:val="22"/>
        </w:rPr>
        <w:t xml:space="preserve"> rev.1</w:t>
      </w:r>
    </w:p>
    <w:p w14:paraId="5A33C6A7" w14:textId="5B2C253D" w:rsidR="00921E9E" w:rsidRPr="00876936" w:rsidRDefault="00FA607C" w:rsidP="006A0998">
      <w:pPr>
        <w:tabs>
          <w:tab w:val="left" w:pos="7200"/>
        </w:tabs>
        <w:ind w:right="-1080"/>
        <w:rPr>
          <w:sz w:val="22"/>
          <w:szCs w:val="22"/>
        </w:rPr>
      </w:pPr>
      <w:r w:rsidRPr="00876936">
        <w:rPr>
          <w:sz w:val="22"/>
        </w:rPr>
        <w:tab/>
      </w:r>
      <w:r w:rsidR="00F655C4">
        <w:rPr>
          <w:sz w:val="22"/>
        </w:rPr>
        <w:t>27</w:t>
      </w:r>
      <w:r w:rsidRPr="00876936">
        <w:rPr>
          <w:sz w:val="22"/>
        </w:rPr>
        <w:t xml:space="preserve"> novembro 2021</w:t>
      </w:r>
    </w:p>
    <w:p w14:paraId="0F58D2B5" w14:textId="77777777" w:rsidR="00921E9E" w:rsidRPr="00876936" w:rsidRDefault="00FA607C" w:rsidP="006A0998">
      <w:pPr>
        <w:pBdr>
          <w:bottom w:val="single" w:sz="12" w:space="1" w:color="auto"/>
        </w:pBdr>
        <w:tabs>
          <w:tab w:val="left" w:pos="7200"/>
        </w:tabs>
        <w:ind w:right="-389"/>
        <w:rPr>
          <w:sz w:val="22"/>
          <w:szCs w:val="22"/>
        </w:rPr>
      </w:pPr>
      <w:r w:rsidRPr="00876936">
        <w:rPr>
          <w:sz w:val="22"/>
        </w:rPr>
        <w:tab/>
        <w:t>Original: inglês</w:t>
      </w:r>
    </w:p>
    <w:p w14:paraId="5D981BA8" w14:textId="77777777" w:rsidR="00921E9E" w:rsidRPr="00876936" w:rsidRDefault="00921E9E" w:rsidP="006A0998">
      <w:pPr>
        <w:pBdr>
          <w:bottom w:val="single" w:sz="12" w:space="1" w:color="auto"/>
        </w:pBdr>
        <w:tabs>
          <w:tab w:val="left" w:pos="7200"/>
        </w:tabs>
        <w:ind w:right="-389"/>
        <w:rPr>
          <w:sz w:val="22"/>
          <w:szCs w:val="22"/>
        </w:rPr>
      </w:pPr>
    </w:p>
    <w:p w14:paraId="2F69D4D3" w14:textId="77777777" w:rsidR="00722693" w:rsidRPr="00876936" w:rsidRDefault="00722693" w:rsidP="006A0998">
      <w:pPr>
        <w:tabs>
          <w:tab w:val="left" w:pos="7200"/>
        </w:tabs>
        <w:ind w:right="-1080"/>
        <w:rPr>
          <w:sz w:val="22"/>
          <w:szCs w:val="22"/>
        </w:rPr>
      </w:pPr>
    </w:p>
    <w:p w14:paraId="175A517F" w14:textId="177E4B3A" w:rsidR="00921E9E" w:rsidRPr="00876936" w:rsidRDefault="00FA607C" w:rsidP="006A0998">
      <w:pPr>
        <w:jc w:val="center"/>
        <w:rPr>
          <w:rFonts w:eastAsia="Calibri"/>
          <w:sz w:val="22"/>
          <w:szCs w:val="22"/>
        </w:rPr>
      </w:pPr>
      <w:r w:rsidRPr="00876936">
        <w:rPr>
          <w:sz w:val="22"/>
        </w:rPr>
        <w:t>NOTA CONCEITUAL</w:t>
      </w:r>
    </w:p>
    <w:p w14:paraId="215CDB98" w14:textId="32E33758" w:rsidR="00DD0DD6" w:rsidRPr="00876936" w:rsidRDefault="00FA607C" w:rsidP="006A0998">
      <w:pPr>
        <w:jc w:val="center"/>
        <w:rPr>
          <w:rFonts w:eastAsia="Calibri"/>
          <w:caps/>
          <w:sz w:val="22"/>
          <w:szCs w:val="22"/>
        </w:rPr>
      </w:pPr>
      <w:r w:rsidRPr="00876936">
        <w:rPr>
          <w:caps/>
          <w:sz w:val="22"/>
        </w:rPr>
        <w:t>SESSÃO ORDINÁRIA DO</w:t>
      </w:r>
    </w:p>
    <w:p w14:paraId="02610FD8" w14:textId="77777777" w:rsidR="00921E9E" w:rsidRPr="00876936" w:rsidRDefault="00FA607C" w:rsidP="006A0998">
      <w:pPr>
        <w:jc w:val="center"/>
        <w:rPr>
          <w:rFonts w:eastAsia="Calibri"/>
          <w:caps/>
          <w:sz w:val="22"/>
          <w:szCs w:val="22"/>
        </w:rPr>
      </w:pPr>
      <w:r w:rsidRPr="00876936">
        <w:rPr>
          <w:caps/>
          <w:sz w:val="22"/>
        </w:rPr>
        <w:t xml:space="preserve">Conselho Interamericano de Desenvolvimento Integral (CIDI) </w:t>
      </w:r>
    </w:p>
    <w:p w14:paraId="60A978BB" w14:textId="5B3DC1A3" w:rsidR="00921E9E" w:rsidRPr="00876936" w:rsidRDefault="005A53C5" w:rsidP="006A0998">
      <w:pPr>
        <w:jc w:val="center"/>
        <w:rPr>
          <w:caps/>
          <w:sz w:val="22"/>
          <w:szCs w:val="22"/>
        </w:rPr>
      </w:pPr>
      <w:r w:rsidRPr="00876936">
        <w:rPr>
          <w:caps/>
          <w:sz w:val="22"/>
        </w:rPr>
        <w:t>30 novembro 2021</w:t>
      </w:r>
    </w:p>
    <w:p w14:paraId="32410C52" w14:textId="77777777" w:rsidR="00BF3B28" w:rsidRPr="00876936" w:rsidRDefault="00BF3B28" w:rsidP="006A0998">
      <w:pPr>
        <w:jc w:val="center"/>
        <w:rPr>
          <w:rFonts w:eastAsia="Calibri"/>
          <w:caps/>
          <w:sz w:val="22"/>
          <w:szCs w:val="22"/>
        </w:rPr>
      </w:pPr>
    </w:p>
    <w:p w14:paraId="15CD43B6" w14:textId="6077FF1A" w:rsidR="007A307C" w:rsidRPr="00876936" w:rsidRDefault="00FA607C" w:rsidP="00F70A2C">
      <w:pPr>
        <w:jc w:val="center"/>
        <w:rPr>
          <w:rFonts w:eastAsia="Calibri"/>
          <w:sz w:val="22"/>
          <w:szCs w:val="22"/>
        </w:rPr>
      </w:pPr>
      <w:r w:rsidRPr="00876936">
        <w:rPr>
          <w:sz w:val="22"/>
        </w:rPr>
        <w:t>(Elaborada pela Secretaria Executiva de Desenvolvimento Integral)</w:t>
      </w:r>
    </w:p>
    <w:p w14:paraId="0C7F118F" w14:textId="77777777" w:rsidR="007A307C" w:rsidRPr="00876936" w:rsidRDefault="007A307C" w:rsidP="006A0998">
      <w:pPr>
        <w:jc w:val="both"/>
        <w:rPr>
          <w:rFonts w:eastAsia="Calibri"/>
          <w:sz w:val="22"/>
          <w:szCs w:val="22"/>
        </w:rPr>
      </w:pPr>
    </w:p>
    <w:p w14:paraId="36349AC8" w14:textId="5E6F16BA" w:rsidR="00EA008C" w:rsidRPr="00876936" w:rsidRDefault="00902338" w:rsidP="00F70A2C">
      <w:pPr>
        <w:tabs>
          <w:tab w:val="left" w:pos="720"/>
          <w:tab w:val="left" w:pos="1440"/>
          <w:tab w:val="left" w:pos="3240"/>
        </w:tabs>
        <w:ind w:left="1080" w:hanging="1080"/>
        <w:contextualSpacing/>
        <w:jc w:val="both"/>
        <w:rPr>
          <w:b/>
          <w:bCs/>
          <w:sz w:val="22"/>
          <w:szCs w:val="22"/>
        </w:rPr>
      </w:pPr>
      <w:r w:rsidRPr="00876936">
        <w:rPr>
          <w:sz w:val="22"/>
        </w:rPr>
        <w:t>TEMA:</w:t>
      </w:r>
      <w:r w:rsidRPr="00876936">
        <w:rPr>
          <w:sz w:val="22"/>
        </w:rPr>
        <w:tab/>
      </w:r>
      <w:r w:rsidR="00BE7857" w:rsidRPr="00876936">
        <w:rPr>
          <w:sz w:val="22"/>
        </w:rPr>
        <w:tab/>
      </w:r>
      <w:r w:rsidRPr="00876936">
        <w:rPr>
          <w:b/>
          <w:sz w:val="22"/>
        </w:rPr>
        <w:t>FINANCIAMENTO DA INOVAÇÃO: COLABORAÇÃO EFICAZ ENTRE SETOR PÚBLICO, PRIVADO E ACADÊMICO PARA MELHORAR A COMPETITIVIDADE E A QUALIDADE DE VIDA</w:t>
      </w:r>
    </w:p>
    <w:p w14:paraId="2548068C" w14:textId="77777777" w:rsidR="005A53C5" w:rsidRPr="00876936" w:rsidRDefault="005A53C5" w:rsidP="006A0998">
      <w:pPr>
        <w:tabs>
          <w:tab w:val="left" w:pos="720"/>
          <w:tab w:val="left" w:pos="1440"/>
          <w:tab w:val="left" w:pos="3240"/>
        </w:tabs>
        <w:contextualSpacing/>
        <w:jc w:val="both"/>
        <w:rPr>
          <w:b/>
          <w:bCs/>
          <w:sz w:val="22"/>
          <w:szCs w:val="22"/>
        </w:rPr>
      </w:pPr>
    </w:p>
    <w:p w14:paraId="1BC24364" w14:textId="6E9BE780" w:rsidR="00902338" w:rsidRPr="00876936" w:rsidRDefault="00902338" w:rsidP="006A0998">
      <w:pPr>
        <w:tabs>
          <w:tab w:val="left" w:pos="720"/>
          <w:tab w:val="left" w:pos="1440"/>
        </w:tabs>
        <w:jc w:val="both"/>
        <w:rPr>
          <w:sz w:val="22"/>
          <w:szCs w:val="22"/>
        </w:rPr>
      </w:pPr>
    </w:p>
    <w:p w14:paraId="1FE97DF8" w14:textId="5438C069" w:rsidR="00723EE9" w:rsidRPr="00876936" w:rsidRDefault="00723EE9" w:rsidP="006A0998">
      <w:pPr>
        <w:numPr>
          <w:ilvl w:val="0"/>
          <w:numId w:val="10"/>
        </w:numPr>
        <w:ind w:left="0" w:firstLine="0"/>
        <w:rPr>
          <w:rFonts w:eastAsia="Calibri"/>
          <w:b/>
          <w:sz w:val="22"/>
          <w:szCs w:val="22"/>
        </w:rPr>
      </w:pPr>
      <w:r w:rsidRPr="00876936">
        <w:rPr>
          <w:b/>
          <w:sz w:val="22"/>
        </w:rPr>
        <w:t>Antecedentes/Justificativa</w:t>
      </w:r>
    </w:p>
    <w:p w14:paraId="203A6EDD" w14:textId="77777777" w:rsidR="005B2929" w:rsidRPr="00876936" w:rsidRDefault="005B2929" w:rsidP="006A0998">
      <w:pPr>
        <w:rPr>
          <w:rFonts w:eastAsia="Calibri"/>
          <w:b/>
          <w:sz w:val="22"/>
          <w:szCs w:val="22"/>
        </w:rPr>
      </w:pPr>
    </w:p>
    <w:p w14:paraId="59801D4A" w14:textId="72DBE924" w:rsidR="00194645" w:rsidRPr="00876936" w:rsidRDefault="00194645" w:rsidP="006A0998">
      <w:pPr>
        <w:pStyle w:val="NormalWeb"/>
        <w:spacing w:before="0" w:beforeAutospacing="0" w:after="0" w:afterAutospacing="0"/>
        <w:ind w:firstLine="720"/>
        <w:jc w:val="both"/>
        <w:rPr>
          <w:color w:val="3B3B3B"/>
          <w:sz w:val="22"/>
          <w:szCs w:val="22"/>
        </w:rPr>
      </w:pPr>
      <w:r w:rsidRPr="00876936">
        <w:rPr>
          <w:color w:val="3B3B3B"/>
          <w:sz w:val="22"/>
        </w:rPr>
        <w:t>Apesar do impacto da pandemia de covid-19, a produção científica, a pesquisa e o desenvolvimento (P&amp;D) e os contratos de capital de risco (CR) cresceram em nível mundial em 2020. Entretanto, o desempenho da inovação foi desigual entre setores e países. Enquanto os setores de serviços, como os de viagens e transportes, foram severamente afetados, aqueles ligados a digitalização, tecnologia e inovação, como os de software, biotecnologia, internet, telecomunicações e eletrônica, aumentaram investimentos e resultados.</w:t>
      </w:r>
      <w:r w:rsidRPr="00876936">
        <w:rPr>
          <w:rStyle w:val="FootnoteReference"/>
          <w:color w:val="3B3B3B"/>
          <w:sz w:val="22"/>
          <w:szCs w:val="22"/>
          <w:u w:val="single"/>
        </w:rPr>
        <w:footnoteReference w:id="1"/>
      </w:r>
      <w:r w:rsidRPr="00876936">
        <w:rPr>
          <w:color w:val="3B3B3B"/>
          <w:sz w:val="22"/>
          <w:vertAlign w:val="superscript"/>
        </w:rPr>
        <w:t xml:space="preserve">/ </w:t>
      </w:r>
    </w:p>
    <w:p w14:paraId="10ACBE9C" w14:textId="77777777" w:rsidR="00BF3B28" w:rsidRPr="00876936" w:rsidRDefault="00BF3B28" w:rsidP="003C1C49">
      <w:pPr>
        <w:pStyle w:val="NormalWeb"/>
        <w:spacing w:before="0" w:beforeAutospacing="0" w:after="0" w:afterAutospacing="0"/>
        <w:jc w:val="both"/>
        <w:rPr>
          <w:color w:val="3B3B3B"/>
          <w:sz w:val="22"/>
          <w:szCs w:val="22"/>
        </w:rPr>
      </w:pPr>
    </w:p>
    <w:p w14:paraId="6BEC6C57" w14:textId="5CE6DBB8" w:rsidR="00194645" w:rsidRPr="00876936" w:rsidRDefault="00194645" w:rsidP="006A0998">
      <w:pPr>
        <w:pStyle w:val="NormalWeb"/>
        <w:spacing w:before="0" w:beforeAutospacing="0" w:after="0" w:afterAutospacing="0"/>
        <w:ind w:firstLine="720"/>
        <w:jc w:val="both"/>
        <w:rPr>
          <w:sz w:val="22"/>
          <w:szCs w:val="22"/>
        </w:rPr>
      </w:pPr>
      <w:r w:rsidRPr="00876936">
        <w:rPr>
          <w:color w:val="3B3B3B"/>
          <w:sz w:val="22"/>
        </w:rPr>
        <w:t xml:space="preserve">Somente aquelas economias emergentes que complementaram ações em nível nacional com vínculos com setores dinâmicos da economia puderam apoiar seus esforços de recuperação com as capacidades disponíveis em seus sistemas de inovação. </w:t>
      </w:r>
      <w:r w:rsidRPr="00876936">
        <w:rPr>
          <w:sz w:val="22"/>
        </w:rPr>
        <w:t>Alguns dos desafios para a América Latina e o Caribe (ALC) incluem sistemas de inovação desequilibrados, com necessidades relacionadas a capital humano e pesquisa, assim como capacidades limitadas para traduzir seus insumos de inovação em resultados.</w:t>
      </w:r>
      <w:r w:rsidR="00EE4B48" w:rsidRPr="00876936">
        <w:rPr>
          <w:rStyle w:val="FootnoteReference"/>
          <w:sz w:val="22"/>
          <w:szCs w:val="22"/>
          <w:u w:val="single"/>
        </w:rPr>
        <w:footnoteReference w:id="2"/>
      </w:r>
      <w:r w:rsidRPr="00876936">
        <w:rPr>
          <w:sz w:val="22"/>
          <w:vertAlign w:val="superscript"/>
        </w:rPr>
        <w:t>/</w:t>
      </w:r>
    </w:p>
    <w:p w14:paraId="424F7B0A" w14:textId="77777777" w:rsidR="006A0998" w:rsidRPr="00876936" w:rsidRDefault="006A0998" w:rsidP="003C1C49">
      <w:pPr>
        <w:pStyle w:val="NormalWeb"/>
        <w:spacing w:before="0" w:beforeAutospacing="0" w:after="0" w:afterAutospacing="0"/>
        <w:jc w:val="both"/>
        <w:rPr>
          <w:color w:val="3B3B3B"/>
          <w:sz w:val="22"/>
          <w:szCs w:val="22"/>
        </w:rPr>
      </w:pPr>
    </w:p>
    <w:p w14:paraId="3D373CB6" w14:textId="36EEA589" w:rsidR="00E12BDF" w:rsidRPr="00876936" w:rsidRDefault="005B2929" w:rsidP="006A0998">
      <w:pPr>
        <w:ind w:firstLine="720"/>
        <w:jc w:val="both"/>
        <w:rPr>
          <w:sz w:val="22"/>
          <w:szCs w:val="22"/>
        </w:rPr>
      </w:pPr>
      <w:r w:rsidRPr="00876936">
        <w:rPr>
          <w:sz w:val="22"/>
        </w:rPr>
        <w:t xml:space="preserve">As restrições orçamentárias presentes nos países em desenvolvimento após a pandemia exigirão criatividade e abordagens engenhosas para desenvolver, adotar e implementar soluções impulsionadas pela ciência e tecnologia, a fim de abordar os imperativos de desenvolvimento e envidar os esforços de recuperação pós-covid. </w:t>
      </w:r>
    </w:p>
    <w:p w14:paraId="170053A3" w14:textId="77777777" w:rsidR="00E12BDF" w:rsidRPr="00876936" w:rsidRDefault="00E12BDF" w:rsidP="006A0998">
      <w:pPr>
        <w:jc w:val="both"/>
        <w:rPr>
          <w:sz w:val="22"/>
          <w:szCs w:val="22"/>
        </w:rPr>
      </w:pPr>
    </w:p>
    <w:p w14:paraId="42078F65" w14:textId="1025B682" w:rsidR="002069D4" w:rsidRPr="00876936" w:rsidRDefault="00E12BDF" w:rsidP="006A0998">
      <w:pPr>
        <w:pStyle w:val="NormalWeb"/>
        <w:spacing w:before="0" w:beforeAutospacing="0" w:after="0" w:afterAutospacing="0"/>
        <w:ind w:firstLine="720"/>
        <w:jc w:val="both"/>
        <w:rPr>
          <w:rFonts w:eastAsiaTheme="minorHAnsi"/>
          <w:sz w:val="22"/>
          <w:szCs w:val="22"/>
        </w:rPr>
      </w:pPr>
      <w:r w:rsidRPr="00876936">
        <w:rPr>
          <w:sz w:val="22"/>
        </w:rPr>
        <w:t>Como indicado no IGI, as finanças desempenham um papel em cada etapa do ciclo de inovação, desde a concepção de um produto, serviço ou tecnologia até sua comercialização e etapas posteriores.</w:t>
      </w:r>
      <w:r w:rsidR="005B2929" w:rsidRPr="00876936">
        <w:rPr>
          <w:sz w:val="22"/>
          <w:szCs w:val="22"/>
          <w:u w:val="single"/>
          <w:vertAlign w:val="superscript"/>
        </w:rPr>
        <w:footnoteReference w:id="3"/>
      </w:r>
      <w:r w:rsidRPr="00876936">
        <w:rPr>
          <w:sz w:val="22"/>
          <w:vertAlign w:val="superscript"/>
        </w:rPr>
        <w:t>/</w:t>
      </w:r>
      <w:r w:rsidRPr="00876936">
        <w:rPr>
          <w:sz w:val="22"/>
        </w:rPr>
        <w:t xml:space="preserve"> Os programas conduzidos por governos continuam sendo fundamentais, especialmente para a pesquisa e o desenvolvimento de ciências de fronteira ou impulsionadas por uma missão, bem como as iniciativas </w:t>
      </w:r>
      <w:r w:rsidRPr="00876936">
        <w:rPr>
          <w:sz w:val="22"/>
        </w:rPr>
        <w:lastRenderedPageBreak/>
        <w:t>para expandir a inclusão financeira a fim de abordar as desigualdades históricas e as limitações sistemáticas de acesso ao crédito e ao capital semente para certas partes da população.</w:t>
      </w:r>
    </w:p>
    <w:p w14:paraId="0D6D27C1" w14:textId="77777777" w:rsidR="006A0998" w:rsidRPr="00876936" w:rsidRDefault="006A0998" w:rsidP="003C1C49">
      <w:pPr>
        <w:pStyle w:val="NormalWeb"/>
        <w:spacing w:before="0" w:beforeAutospacing="0" w:after="0" w:afterAutospacing="0"/>
        <w:jc w:val="both"/>
        <w:rPr>
          <w:rFonts w:eastAsiaTheme="minorHAnsi"/>
          <w:sz w:val="22"/>
          <w:szCs w:val="22"/>
        </w:rPr>
      </w:pPr>
    </w:p>
    <w:p w14:paraId="08E4F955" w14:textId="14446F17" w:rsidR="00E12BDF" w:rsidRPr="00876936" w:rsidRDefault="00E12BDF" w:rsidP="006A0998">
      <w:pPr>
        <w:pStyle w:val="NormalWeb"/>
        <w:spacing w:before="0" w:beforeAutospacing="0" w:after="0" w:afterAutospacing="0"/>
        <w:ind w:firstLine="720"/>
        <w:jc w:val="both"/>
        <w:rPr>
          <w:rFonts w:eastAsiaTheme="minorHAnsi"/>
          <w:sz w:val="22"/>
          <w:szCs w:val="22"/>
        </w:rPr>
      </w:pPr>
      <w:r w:rsidRPr="00876936">
        <w:rPr>
          <w:sz w:val="22"/>
        </w:rPr>
        <w:t xml:space="preserve">Novos atores, dentre eles empreendimentos corporativos, investidores institucionais, fundos soberanos, empresas de capital de risco, desafios sociais e empresariais, organizações sem fins lucrativos, </w:t>
      </w:r>
      <w:r w:rsidRPr="00876936">
        <w:rPr>
          <w:i/>
          <w:iCs/>
          <w:sz w:val="22"/>
        </w:rPr>
        <w:t>crowdfunding</w:t>
      </w:r>
      <w:r w:rsidRPr="00876936">
        <w:rPr>
          <w:sz w:val="22"/>
        </w:rPr>
        <w:t xml:space="preserve"> e soluções </w:t>
      </w:r>
      <w:r w:rsidRPr="00876936">
        <w:rPr>
          <w:i/>
          <w:iCs/>
          <w:sz w:val="22"/>
        </w:rPr>
        <w:t>fintech</w:t>
      </w:r>
      <w:r w:rsidRPr="00876936">
        <w:rPr>
          <w:sz w:val="22"/>
        </w:rPr>
        <w:t xml:space="preserve">, tornaram-se fundamentais para o desenvolvimento e o crescimento do setor de capital privado e empreendedor e do ecossistema de inovação. Antes da pandemia e graças à convergência de tecnologias transformadoras e conectividade, esses novos atores e mecanismos inovadores </w:t>
      </w:r>
      <w:r w:rsidR="002C3C09" w:rsidRPr="00876936">
        <w:rPr>
          <w:sz w:val="22"/>
        </w:rPr>
        <w:t>tornaram-se</w:t>
      </w:r>
      <w:r w:rsidRPr="00876936">
        <w:rPr>
          <w:sz w:val="22"/>
        </w:rPr>
        <w:t xml:space="preserve"> disponíveis para financiar e contribuir com inovadores, empreendedores e iniciativas comunitárias. Em muitos aspectos, a resposta à covid-19 acelerou as sinergias e a urgência de impulsionar e financiar soluções inovadoras para lidar com as necessidades imediatas da pandemia e a súbita interrupção do acesso aos bens e serviços das cadeias de valor mundiais. </w:t>
      </w:r>
    </w:p>
    <w:p w14:paraId="4C9EA0B5" w14:textId="77777777" w:rsidR="006A0998" w:rsidRPr="00876936" w:rsidRDefault="006A0998" w:rsidP="003C1C49">
      <w:pPr>
        <w:pStyle w:val="NormalWeb"/>
        <w:spacing w:before="0" w:beforeAutospacing="0" w:after="0" w:afterAutospacing="0"/>
        <w:jc w:val="both"/>
        <w:rPr>
          <w:rFonts w:eastAsiaTheme="minorHAnsi"/>
          <w:sz w:val="22"/>
          <w:szCs w:val="22"/>
        </w:rPr>
      </w:pPr>
    </w:p>
    <w:p w14:paraId="38D1E2C5" w14:textId="206683FF" w:rsidR="00EE4B48" w:rsidRPr="00876936" w:rsidRDefault="00EE4B48" w:rsidP="006A0998">
      <w:pPr>
        <w:ind w:firstLine="720"/>
        <w:jc w:val="both"/>
        <w:rPr>
          <w:rFonts w:eastAsiaTheme="minorHAnsi"/>
          <w:sz w:val="22"/>
          <w:szCs w:val="22"/>
        </w:rPr>
      </w:pPr>
      <w:r w:rsidRPr="00876936">
        <w:rPr>
          <w:sz w:val="22"/>
        </w:rPr>
        <w:t>Em 2020, o número de contratos de capital de risco aumentou 5,8%, o melhor desempenho nos últimos 10 anos. A região da ALC também registrou aumentos de dois dígitos</w:t>
      </w:r>
      <w:r w:rsidRPr="00876936">
        <w:rPr>
          <w:color w:val="3B3B3B"/>
          <w:sz w:val="22"/>
          <w:shd w:val="clear" w:color="auto" w:fill="FAFAFA"/>
        </w:rPr>
        <w:t>.</w:t>
      </w:r>
      <w:r w:rsidRPr="00876936">
        <w:rPr>
          <w:rStyle w:val="FootnoteReference"/>
          <w:color w:val="3B3B3B"/>
          <w:u w:val="single"/>
          <w:shd w:val="clear" w:color="auto" w:fill="FAFAFA"/>
        </w:rPr>
        <w:footnoteReference w:id="4"/>
      </w:r>
      <w:r w:rsidRPr="00876936">
        <w:rPr>
          <w:color w:val="3B3B3B"/>
          <w:sz w:val="22"/>
          <w:u w:val="single"/>
          <w:shd w:val="clear" w:color="auto" w:fill="FAFAFA"/>
          <w:vertAlign w:val="superscript"/>
        </w:rPr>
        <w:t xml:space="preserve"> </w:t>
      </w:r>
      <w:r w:rsidRPr="00876936">
        <w:rPr>
          <w:sz w:val="22"/>
          <w:vertAlign w:val="superscript"/>
        </w:rPr>
        <w:t>/</w:t>
      </w:r>
      <w:r w:rsidR="002C3C09" w:rsidRPr="00876936">
        <w:rPr>
          <w:sz w:val="22"/>
          <w:vertAlign w:val="superscript"/>
        </w:rPr>
        <w:t xml:space="preserve"> </w:t>
      </w:r>
      <w:r w:rsidRPr="00876936">
        <w:rPr>
          <w:sz w:val="22"/>
        </w:rPr>
        <w:t>Existe uma indústria de capital empreendedor incipiente e inovadora em desenvolvimento na ALC. Alguns dos novos atores, em colaboração com outros parceiros ou programas inovadores conduzidos por governos, resultaram na criação bem-sucedida de novos mecanismos de financiamento e parcerias público-privadas criativas. Vários unicórnios</w:t>
      </w:r>
      <w:r w:rsidR="00E12BDF" w:rsidRPr="00876936">
        <w:rPr>
          <w:rFonts w:eastAsiaTheme="minorHAnsi"/>
          <w:sz w:val="22"/>
          <w:szCs w:val="22"/>
          <w:u w:val="single"/>
          <w:vertAlign w:val="superscript"/>
        </w:rPr>
        <w:footnoteReference w:id="5"/>
      </w:r>
      <w:r w:rsidRPr="00876936">
        <w:rPr>
          <w:sz w:val="22"/>
          <w:vertAlign w:val="superscript"/>
        </w:rPr>
        <w:t>/</w:t>
      </w:r>
      <w:r w:rsidRPr="00876936">
        <w:rPr>
          <w:sz w:val="22"/>
        </w:rPr>
        <w:t xml:space="preserve"> foram lançados recentemente na ALC, chegando a 16 em 2021, com empresas sediadas em Argentina, Brasil, Chile, Colômbia, México e Uruguai.</w:t>
      </w:r>
      <w:r w:rsidR="00E12BDF" w:rsidRPr="00876936">
        <w:rPr>
          <w:rStyle w:val="FootnoteReference"/>
          <w:rFonts w:eastAsiaTheme="minorHAnsi"/>
          <w:sz w:val="22"/>
          <w:szCs w:val="22"/>
          <w:u w:val="single"/>
        </w:rPr>
        <w:footnoteReference w:id="6"/>
      </w:r>
      <w:r w:rsidRPr="00876936">
        <w:rPr>
          <w:sz w:val="22"/>
          <w:vertAlign w:val="superscript"/>
        </w:rPr>
        <w:t xml:space="preserve">/ </w:t>
      </w:r>
      <w:r w:rsidRPr="00876936">
        <w:rPr>
          <w:sz w:val="22"/>
        </w:rPr>
        <w:t xml:space="preserve">Apesar da incerteza causada pela pandemia de covid-19, 2020 marcou um ano recorde para as </w:t>
      </w:r>
      <w:r w:rsidRPr="00876936">
        <w:rPr>
          <w:i/>
          <w:iCs/>
          <w:sz w:val="22"/>
        </w:rPr>
        <w:t>startups</w:t>
      </w:r>
      <w:r w:rsidRPr="00876936">
        <w:rPr>
          <w:sz w:val="22"/>
        </w:rPr>
        <w:t xml:space="preserve"> de tecnologia na América Latina e no Caribe, com as empresas de tecnologia levantando um recorde de US$ 4,2 bilhões em financiamentos em mais de 370 contratos.</w:t>
      </w:r>
      <w:r w:rsidR="00E12BDF" w:rsidRPr="00876936">
        <w:rPr>
          <w:rFonts w:eastAsiaTheme="minorHAnsi"/>
          <w:sz w:val="22"/>
          <w:szCs w:val="22"/>
          <w:u w:val="single"/>
          <w:vertAlign w:val="superscript"/>
        </w:rPr>
        <w:footnoteReference w:id="7"/>
      </w:r>
      <w:r w:rsidRPr="00876936">
        <w:rPr>
          <w:sz w:val="22"/>
          <w:vertAlign w:val="superscript"/>
        </w:rPr>
        <w:t>/</w:t>
      </w:r>
    </w:p>
    <w:p w14:paraId="7325521B" w14:textId="77777777" w:rsidR="00EE4B48" w:rsidRPr="00876936" w:rsidRDefault="00EE4B48" w:rsidP="006A0998">
      <w:pPr>
        <w:jc w:val="both"/>
        <w:rPr>
          <w:rFonts w:eastAsiaTheme="minorHAnsi"/>
          <w:sz w:val="22"/>
          <w:szCs w:val="22"/>
        </w:rPr>
      </w:pPr>
    </w:p>
    <w:p w14:paraId="551028B5" w14:textId="7E90B763" w:rsidR="00E12BDF" w:rsidRPr="00876936" w:rsidRDefault="00B71785" w:rsidP="006A0998">
      <w:pPr>
        <w:ind w:firstLine="720"/>
        <w:jc w:val="both"/>
        <w:rPr>
          <w:rFonts w:eastAsiaTheme="minorHAnsi"/>
          <w:sz w:val="22"/>
          <w:szCs w:val="22"/>
        </w:rPr>
      </w:pPr>
      <w:r w:rsidRPr="00876936">
        <w:rPr>
          <w:sz w:val="22"/>
        </w:rPr>
        <w:t xml:space="preserve">Ainda existe, contudo, uma lacuna importante a ser vencida para tornar o acesso ao financiamento de capital mais inclusivo nas Américas. Nos Estados Unidos, por exemplo, as </w:t>
      </w:r>
      <w:r w:rsidRPr="00876936">
        <w:rPr>
          <w:color w:val="000000"/>
          <w:sz w:val="22"/>
        </w:rPr>
        <w:t xml:space="preserve">empresas lideradas por mulheres arrecadaram apenas cerca de 2,2% do capital total investido em </w:t>
      </w:r>
      <w:r w:rsidRPr="00876936">
        <w:rPr>
          <w:i/>
          <w:iCs/>
          <w:color w:val="000000"/>
          <w:sz w:val="22"/>
        </w:rPr>
        <w:t>startups</w:t>
      </w:r>
      <w:r w:rsidRPr="00876936">
        <w:rPr>
          <w:color w:val="000000"/>
          <w:sz w:val="22"/>
        </w:rPr>
        <w:t xml:space="preserve"> respaldadas por capital de risco nos Estados Unidos em 2020.</w:t>
      </w:r>
      <w:r w:rsidR="002E3DDA" w:rsidRPr="00876936">
        <w:rPr>
          <w:rStyle w:val="FootnoteReference"/>
          <w:color w:val="000000"/>
          <w:sz w:val="22"/>
          <w:szCs w:val="22"/>
          <w:u w:val="single"/>
        </w:rPr>
        <w:footnoteReference w:id="8"/>
      </w:r>
      <w:r w:rsidRPr="00876936">
        <w:rPr>
          <w:color w:val="000000"/>
          <w:sz w:val="22"/>
          <w:vertAlign w:val="superscript"/>
        </w:rPr>
        <w:t xml:space="preserve">/ </w:t>
      </w:r>
      <w:r w:rsidRPr="00876936">
        <w:rPr>
          <w:color w:val="000000"/>
          <w:sz w:val="22"/>
        </w:rPr>
        <w:t xml:space="preserve">A lacuna aumenta quando se trata de </w:t>
      </w:r>
      <w:r w:rsidRPr="00876936">
        <w:rPr>
          <w:i/>
          <w:iCs/>
          <w:color w:val="000000"/>
          <w:sz w:val="22"/>
        </w:rPr>
        <w:t>startups</w:t>
      </w:r>
      <w:r w:rsidRPr="00876936">
        <w:rPr>
          <w:color w:val="000000"/>
          <w:sz w:val="22"/>
        </w:rPr>
        <w:t xml:space="preserve"> lideradas por minorias, com acesso mais limitado ao capital de risco para mulheres afro-americanas (0,2%) ou de ascendência latina (0,4%).</w:t>
      </w:r>
      <w:r w:rsidR="002E3DDA" w:rsidRPr="00876936">
        <w:rPr>
          <w:rStyle w:val="FootnoteReference"/>
          <w:rFonts w:eastAsiaTheme="minorHAnsi"/>
          <w:sz w:val="22"/>
          <w:szCs w:val="22"/>
          <w:u w:val="single"/>
        </w:rPr>
        <w:footnoteReference w:id="9"/>
      </w:r>
      <w:r w:rsidRPr="00876936">
        <w:rPr>
          <w:color w:val="000000"/>
          <w:sz w:val="22"/>
          <w:vertAlign w:val="superscript"/>
        </w:rPr>
        <w:t>/</w:t>
      </w:r>
      <w:r w:rsidRPr="00876936">
        <w:rPr>
          <w:color w:val="000000"/>
          <w:sz w:val="22"/>
        </w:rPr>
        <w:t xml:space="preserve"> </w:t>
      </w:r>
      <w:r w:rsidRPr="00876936">
        <w:rPr>
          <w:sz w:val="22"/>
        </w:rPr>
        <w:t xml:space="preserve">Embora as estratégias de desenvolvimento integral não possam ser construídas apenas em torno de </w:t>
      </w:r>
      <w:r w:rsidRPr="00876936">
        <w:rPr>
          <w:i/>
          <w:iCs/>
          <w:sz w:val="22"/>
        </w:rPr>
        <w:t>startups</w:t>
      </w:r>
      <w:r w:rsidRPr="00876936">
        <w:rPr>
          <w:sz w:val="22"/>
        </w:rPr>
        <w:t xml:space="preserve">, a disponibilidade de mecanismos de financiamento diversificados, inclusivos e acessíveis é fundamental para que </w:t>
      </w:r>
      <w:r w:rsidRPr="00876936">
        <w:rPr>
          <w:i/>
          <w:iCs/>
          <w:sz w:val="22"/>
        </w:rPr>
        <w:t>startups</w:t>
      </w:r>
      <w:r w:rsidRPr="00876936">
        <w:rPr>
          <w:sz w:val="22"/>
        </w:rPr>
        <w:t>, PMEs e grandes empresas possam desenvolver soluções e negócios voltados para a inovação, que complementem os esforços governamentais destinados a atender os imperativos de desenvolvimento inclusivo e possibilitar a recuperação pós-covid-19.</w:t>
      </w:r>
    </w:p>
    <w:p w14:paraId="55571647" w14:textId="77777777" w:rsidR="007147F0" w:rsidRPr="00876936" w:rsidRDefault="007147F0" w:rsidP="003C1C49">
      <w:pPr>
        <w:jc w:val="both"/>
        <w:rPr>
          <w:rFonts w:eastAsia="Calibri"/>
          <w:bCs/>
          <w:sz w:val="22"/>
          <w:szCs w:val="22"/>
        </w:rPr>
      </w:pPr>
    </w:p>
    <w:p w14:paraId="59A074F4" w14:textId="56453DFC" w:rsidR="00723EE9" w:rsidRPr="00876936" w:rsidRDefault="00601668" w:rsidP="006A0998">
      <w:pPr>
        <w:numPr>
          <w:ilvl w:val="0"/>
          <w:numId w:val="10"/>
        </w:numPr>
        <w:ind w:left="0" w:firstLine="0"/>
        <w:rPr>
          <w:rFonts w:eastAsia="Calibri"/>
          <w:b/>
          <w:sz w:val="22"/>
          <w:szCs w:val="22"/>
        </w:rPr>
      </w:pPr>
      <w:r w:rsidRPr="00876936">
        <w:rPr>
          <w:b/>
          <w:sz w:val="22"/>
        </w:rPr>
        <w:t>Propósito da reunião</w:t>
      </w:r>
    </w:p>
    <w:p w14:paraId="7514AFD0" w14:textId="35A9BF11" w:rsidR="00F35671" w:rsidRPr="00876936" w:rsidRDefault="00F35671" w:rsidP="006A0998">
      <w:pPr>
        <w:rPr>
          <w:rFonts w:eastAsia="Calibri"/>
          <w:b/>
          <w:sz w:val="22"/>
          <w:szCs w:val="22"/>
        </w:rPr>
      </w:pPr>
    </w:p>
    <w:p w14:paraId="54F32CFC" w14:textId="1793C086" w:rsidR="00F35671" w:rsidRPr="00876936" w:rsidRDefault="006A0998" w:rsidP="006A0998">
      <w:pPr>
        <w:pStyle w:val="NormalWeb"/>
        <w:tabs>
          <w:tab w:val="left" w:pos="720"/>
          <w:tab w:val="left" w:pos="1440"/>
        </w:tabs>
        <w:spacing w:before="0" w:beforeAutospacing="0" w:after="0" w:afterAutospacing="0"/>
        <w:jc w:val="both"/>
        <w:rPr>
          <w:rFonts w:eastAsiaTheme="minorHAnsi"/>
          <w:sz w:val="22"/>
          <w:szCs w:val="22"/>
        </w:rPr>
      </w:pPr>
      <w:bookmarkStart w:id="0" w:name="_Hlk77271427"/>
      <w:r w:rsidRPr="00876936">
        <w:rPr>
          <w:sz w:val="22"/>
        </w:rPr>
        <w:tab/>
        <w:t xml:space="preserve">A reunião do CIDI será um espaço para os Estados membros compartilharem experiências, boas práticas e ofertas de colaboração em mecanismos inovadores para financiar a inovação e o </w:t>
      </w:r>
      <w:r w:rsidRPr="00876936">
        <w:rPr>
          <w:sz w:val="22"/>
        </w:rPr>
        <w:lastRenderedPageBreak/>
        <w:t xml:space="preserve">desenvolvimento empresarial, a fim de aumentar a inclusão e a diversidade de fontes e beneficiários. A reunião mostrará exemplos de enfoques para </w:t>
      </w:r>
      <w:r w:rsidR="00876936" w:rsidRPr="00876936">
        <w:rPr>
          <w:sz w:val="22"/>
        </w:rPr>
        <w:t>aumentar</w:t>
      </w:r>
      <w:r w:rsidRPr="00876936">
        <w:rPr>
          <w:sz w:val="22"/>
        </w:rPr>
        <w:t xml:space="preserve"> a inclusão financeira para a inovação; soluções tecnológicas para </w:t>
      </w:r>
      <w:r w:rsidR="00876936" w:rsidRPr="00876936">
        <w:rPr>
          <w:sz w:val="22"/>
        </w:rPr>
        <w:t>expandir</w:t>
      </w:r>
      <w:r w:rsidRPr="00876936">
        <w:rPr>
          <w:sz w:val="22"/>
        </w:rPr>
        <w:t xml:space="preserve"> a disponibilidade de capital e alcançar diferentes regiões e comunidades dentro de um país. Além disso, será uma oportunidade para identificar as deficiências e as necessidades dos Estados membros e a partir da perspectiva do setor privado, dos empreendedores e das instituições financeiras. A atenção estará voltada para ofertas de colaboração e iniciativas de cooperação para apoiar os Estados membros da OEA.</w:t>
      </w:r>
    </w:p>
    <w:bookmarkEnd w:id="0"/>
    <w:p w14:paraId="06904A93" w14:textId="77777777" w:rsidR="00BA0EED" w:rsidRPr="00876936" w:rsidRDefault="00BA0EED" w:rsidP="003C1C49">
      <w:pPr>
        <w:tabs>
          <w:tab w:val="left" w:pos="720"/>
          <w:tab w:val="left" w:pos="1440"/>
        </w:tabs>
        <w:jc w:val="both"/>
        <w:rPr>
          <w:sz w:val="22"/>
          <w:szCs w:val="22"/>
        </w:rPr>
      </w:pPr>
    </w:p>
    <w:p w14:paraId="127A2F1F" w14:textId="5ED08303" w:rsidR="00601668" w:rsidRPr="00876936" w:rsidRDefault="00601668" w:rsidP="006A0998">
      <w:pPr>
        <w:tabs>
          <w:tab w:val="left" w:pos="720"/>
          <w:tab w:val="left" w:pos="1440"/>
          <w:tab w:val="left" w:pos="2160"/>
        </w:tabs>
        <w:ind w:left="720" w:hanging="720"/>
        <w:jc w:val="both"/>
        <w:rPr>
          <w:b/>
          <w:sz w:val="22"/>
          <w:szCs w:val="22"/>
        </w:rPr>
      </w:pPr>
      <w:r w:rsidRPr="00876936">
        <w:rPr>
          <w:b/>
          <w:sz w:val="22"/>
        </w:rPr>
        <w:t>3.</w:t>
      </w:r>
      <w:r w:rsidRPr="00876936">
        <w:rPr>
          <w:b/>
          <w:sz w:val="22"/>
        </w:rPr>
        <w:tab/>
        <w:t>Relevância para a Secretaria Executiva de Desenvolvimento Integral (SEDI) e os mandatos da OEA</w:t>
      </w:r>
    </w:p>
    <w:p w14:paraId="42620451" w14:textId="3B83C41F" w:rsidR="00C53DB0" w:rsidRPr="00876936" w:rsidRDefault="00C53DB0" w:rsidP="006A0998">
      <w:pPr>
        <w:tabs>
          <w:tab w:val="left" w:pos="720"/>
          <w:tab w:val="left" w:pos="1440"/>
        </w:tabs>
        <w:rPr>
          <w:sz w:val="22"/>
          <w:szCs w:val="22"/>
          <w:u w:val="single"/>
        </w:rPr>
      </w:pPr>
    </w:p>
    <w:p w14:paraId="0EFC82E8" w14:textId="1A4DA2E8" w:rsidR="004B301B" w:rsidRPr="00876936" w:rsidRDefault="00055019" w:rsidP="006A0998">
      <w:pPr>
        <w:tabs>
          <w:tab w:val="left" w:pos="720"/>
          <w:tab w:val="left" w:pos="2955"/>
        </w:tabs>
        <w:jc w:val="both"/>
        <w:rPr>
          <w:sz w:val="22"/>
          <w:szCs w:val="22"/>
        </w:rPr>
      </w:pPr>
      <w:r w:rsidRPr="00876936">
        <w:rPr>
          <w:sz w:val="22"/>
        </w:rPr>
        <w:tab/>
        <w:t>A Comissão Interamericana de Ciência e Tecnologia (COMCYT) acordou o tema principal da Sexta REMCYT: “Como aproveitar o potencial da ciência e das tecnologias transformadoras para impulsionar nossas comunidades”</w:t>
      </w:r>
      <w:r w:rsidR="00876936" w:rsidRPr="00876936">
        <w:rPr>
          <w:sz w:val="22"/>
        </w:rPr>
        <w:t>.</w:t>
      </w:r>
      <w:r w:rsidRPr="00876936">
        <w:rPr>
          <w:sz w:val="22"/>
        </w:rPr>
        <w:t xml:space="preserve"> Um dos subtemas é “Colaboração eficaz entre setor público, privado e acadêmico para melhorar a competitividade e a qualidade de vida”, que é o tema em consideração para essa reunião do CIDI com foco no financiamento da inovação. </w:t>
      </w:r>
    </w:p>
    <w:p w14:paraId="0836C072" w14:textId="77777777" w:rsidR="004B301B" w:rsidRPr="00876936" w:rsidRDefault="004B301B" w:rsidP="006A0998">
      <w:pPr>
        <w:tabs>
          <w:tab w:val="left" w:pos="720"/>
          <w:tab w:val="left" w:pos="1440"/>
        </w:tabs>
        <w:jc w:val="both"/>
        <w:rPr>
          <w:sz w:val="22"/>
          <w:szCs w:val="22"/>
        </w:rPr>
      </w:pPr>
    </w:p>
    <w:p w14:paraId="5CB58B58" w14:textId="1E73FCC5" w:rsidR="00723EE9" w:rsidRPr="00876936" w:rsidRDefault="00055019" w:rsidP="006A0998">
      <w:pPr>
        <w:tabs>
          <w:tab w:val="left" w:pos="720"/>
          <w:tab w:val="left" w:pos="1440"/>
        </w:tabs>
        <w:jc w:val="both"/>
        <w:rPr>
          <w:bCs/>
          <w:sz w:val="22"/>
          <w:szCs w:val="22"/>
        </w:rPr>
      </w:pPr>
      <w:r w:rsidRPr="00876936">
        <w:rPr>
          <w:sz w:val="22"/>
        </w:rPr>
        <w:tab/>
        <w:t xml:space="preserve">“Promover economias inclusivas e competitivas” é uma das linhas estratégicas para o desenvolvimento integral no Plano Estratégico Integral da OEA </w:t>
      </w:r>
      <w:r w:rsidR="00876936" w:rsidRPr="00876936">
        <w:rPr>
          <w:sz w:val="22"/>
        </w:rPr>
        <w:t>[</w:t>
      </w:r>
      <w:r w:rsidRPr="00876936">
        <w:rPr>
          <w:b/>
          <w:color w:val="171717"/>
          <w:sz w:val="22"/>
        </w:rPr>
        <w:t>AG/RES.1 (LI-E/16)</w:t>
      </w:r>
      <w:r w:rsidR="00876936" w:rsidRPr="00876936">
        <w:rPr>
          <w:b/>
          <w:color w:val="171717"/>
          <w:sz w:val="22"/>
        </w:rPr>
        <w:t>]</w:t>
      </w:r>
      <w:r w:rsidRPr="00876936">
        <w:rPr>
          <w:color w:val="171717"/>
          <w:sz w:val="22"/>
        </w:rPr>
        <w:t xml:space="preserve">. Um de seus </w:t>
      </w:r>
      <w:r w:rsidRPr="00876936">
        <w:rPr>
          <w:sz w:val="22"/>
        </w:rPr>
        <w:t>objetivos estratégicos (1.3) é: “Aumentar a cooperação para fortalecer a capacidade institucional dos Estados membros de incorporar inovação e tecnologias transformadoras que gerem valor agregado e diversificação nas suas economias, de maneira sustentável e inclusiva”.</w:t>
      </w:r>
    </w:p>
    <w:p w14:paraId="3BAF93F9" w14:textId="77777777" w:rsidR="00723EE9" w:rsidRPr="00876936" w:rsidRDefault="00723EE9" w:rsidP="006A0998">
      <w:pPr>
        <w:jc w:val="both"/>
        <w:rPr>
          <w:sz w:val="22"/>
          <w:szCs w:val="22"/>
        </w:rPr>
      </w:pPr>
    </w:p>
    <w:p w14:paraId="34BF47ED" w14:textId="607B5C7C" w:rsidR="004B6550" w:rsidRPr="00876936" w:rsidRDefault="00FF48BA" w:rsidP="005D4ECD">
      <w:pPr>
        <w:ind w:firstLine="720"/>
        <w:jc w:val="both"/>
        <w:rPr>
          <w:b/>
          <w:bCs/>
          <w:sz w:val="22"/>
          <w:szCs w:val="22"/>
        </w:rPr>
      </w:pPr>
      <w:r w:rsidRPr="00876936">
        <w:rPr>
          <w:sz w:val="22"/>
        </w:rPr>
        <w:t>A resolução “</w:t>
      </w:r>
      <w:r w:rsidRPr="00876936">
        <w:rPr>
          <w:b/>
          <w:bCs/>
          <w:sz w:val="22"/>
        </w:rPr>
        <w:t>Promovendo iniciativas hemisféricas em matéria de desenvolvimento integral:</w:t>
      </w:r>
      <w:r w:rsidRPr="00876936">
        <w:rPr>
          <w:b/>
          <w:sz w:val="22"/>
        </w:rPr>
        <w:t xml:space="preserve"> Promoção da resiliência”</w:t>
      </w:r>
      <w:r w:rsidRPr="00876936">
        <w:rPr>
          <w:sz w:val="22"/>
        </w:rPr>
        <w:t>,</w:t>
      </w:r>
      <w:r w:rsidRPr="00876936">
        <w:rPr>
          <w:b/>
          <w:sz w:val="22"/>
        </w:rPr>
        <w:t xml:space="preserve"> </w:t>
      </w:r>
      <w:r w:rsidRPr="00876936">
        <w:rPr>
          <w:sz w:val="22"/>
        </w:rPr>
        <w:t>aprovada pela Assembleia Geral em seu Quinquagésimo Primeiro Período Ordinário de Sessões, realizado de 10 a 12 de novembro de 2021, insta os Estados membros a que “intercambiem boas práticas, experiências, oportunidades de capacitação e assistência técnica para promover a pesquisa, o uso e a divulgação da ciência, da inovação, dos conhecimentos locais, indígenas, afrodescendentes e de outros grupos étnicos, e a transferência voluntária de tecnologia, em termos mutuamente acordados, para apoiar a recuperação pós-covid-19, a implementação de tecnologias 4.0 e a transformação digital dos Estados membros no âmbito da Comissão Interamericana de Ciência e Tecnologia (COMCyT), com vistas ao desenvolvimento de propostas concretas e viáveis para serem consideradas na Sexta Reunião de Ministros e Altas Autoridades de Ciência e Tecnologia (REMCYT-VI)”.</w:t>
      </w:r>
    </w:p>
    <w:p w14:paraId="4C958772" w14:textId="77777777" w:rsidR="004B6550" w:rsidRPr="00876936" w:rsidRDefault="004B6550" w:rsidP="003C1C49">
      <w:pPr>
        <w:jc w:val="both"/>
        <w:rPr>
          <w:sz w:val="22"/>
          <w:szCs w:val="22"/>
        </w:rPr>
      </w:pPr>
    </w:p>
    <w:p w14:paraId="7E220C95" w14:textId="1AC8A4B4" w:rsidR="00723EE9" w:rsidRPr="00876936" w:rsidRDefault="00601668" w:rsidP="006A0998">
      <w:pPr>
        <w:pStyle w:val="ListParagraph0"/>
        <w:numPr>
          <w:ilvl w:val="0"/>
          <w:numId w:val="18"/>
        </w:numPr>
        <w:ind w:left="720" w:hanging="720"/>
        <w:rPr>
          <w:b/>
          <w:sz w:val="22"/>
          <w:szCs w:val="22"/>
        </w:rPr>
      </w:pPr>
      <w:r w:rsidRPr="00876936">
        <w:rPr>
          <w:b/>
          <w:sz w:val="22"/>
        </w:rPr>
        <w:t xml:space="preserve">Estrutura da reunião </w:t>
      </w:r>
    </w:p>
    <w:p w14:paraId="1CD6530B" w14:textId="2DA17F24" w:rsidR="00723EE9" w:rsidRPr="00876936" w:rsidRDefault="00723EE9" w:rsidP="006A0998">
      <w:pPr>
        <w:jc w:val="both"/>
        <w:rPr>
          <w:rFonts w:eastAsia="Calibri"/>
          <w:sz w:val="22"/>
          <w:szCs w:val="22"/>
        </w:rPr>
      </w:pPr>
    </w:p>
    <w:p w14:paraId="653C7F32" w14:textId="791425D6" w:rsidR="00723EE9" w:rsidRPr="00876936" w:rsidRDefault="00DD14D2" w:rsidP="006A0998">
      <w:pPr>
        <w:ind w:firstLine="720"/>
        <w:jc w:val="both"/>
        <w:rPr>
          <w:rFonts w:eastAsia="Calibri"/>
          <w:sz w:val="22"/>
          <w:szCs w:val="22"/>
        </w:rPr>
      </w:pPr>
      <w:r w:rsidRPr="00876936">
        <w:rPr>
          <w:sz w:val="22"/>
        </w:rPr>
        <w:t xml:space="preserve">Serão convidados peritos para apresentarem experiências sobre mecanismos inovadores para o financiamento de inovação e sobre parcerias público-privadas para o aumento da inclusão e da diversidade de fontes e beneficiários no setor do capital empreendedor para apoiar o desenvolvimento econômico e social. </w:t>
      </w:r>
    </w:p>
    <w:p w14:paraId="799B1B3A" w14:textId="77777777" w:rsidR="00DD14D2" w:rsidRPr="00876936" w:rsidRDefault="00DD14D2" w:rsidP="003C1C49">
      <w:pPr>
        <w:jc w:val="both"/>
        <w:rPr>
          <w:rFonts w:eastAsia="Calibri"/>
          <w:sz w:val="22"/>
          <w:szCs w:val="22"/>
        </w:rPr>
      </w:pPr>
    </w:p>
    <w:p w14:paraId="4E707C13" w14:textId="1E635626" w:rsidR="00DD14D2" w:rsidRPr="00876936" w:rsidRDefault="00DD14D2" w:rsidP="006A0998">
      <w:pPr>
        <w:ind w:firstLine="720"/>
        <w:jc w:val="both"/>
        <w:rPr>
          <w:sz w:val="22"/>
          <w:szCs w:val="22"/>
        </w:rPr>
      </w:pPr>
      <w:r w:rsidRPr="00876936">
        <w:rPr>
          <w:sz w:val="22"/>
        </w:rPr>
        <w:t>Os Estados membros serão convidados a fazer perguntas aos oradores sobre suas apresentações ou sobre os pontos principais abordados em suas intervenções, dentro de um diálogo interativo dirigido pela Presidência.</w:t>
      </w:r>
    </w:p>
    <w:p w14:paraId="63ECB197" w14:textId="77777777" w:rsidR="005D4ECD" w:rsidRPr="00876936" w:rsidRDefault="005D4ECD" w:rsidP="005D4ECD">
      <w:pPr>
        <w:jc w:val="both"/>
        <w:rPr>
          <w:sz w:val="22"/>
          <w:szCs w:val="22"/>
        </w:rPr>
      </w:pPr>
    </w:p>
    <w:p w14:paraId="64BE151C" w14:textId="45C5B986" w:rsidR="005C3C0B" w:rsidRPr="00876936" w:rsidRDefault="005C3C0B" w:rsidP="006A0998">
      <w:pPr>
        <w:ind w:firstLine="720"/>
        <w:jc w:val="both"/>
        <w:rPr>
          <w:sz w:val="22"/>
          <w:szCs w:val="22"/>
        </w:rPr>
      </w:pPr>
      <w:r w:rsidRPr="00876936">
        <w:rPr>
          <w:sz w:val="22"/>
        </w:rPr>
        <w:t xml:space="preserve">Após a sessão de perguntas e respostas, as delegações serão convidadas a compartilhar boas práticas, ofertas específicas de colaboração ou necessidades relacionadas com o tema. </w:t>
      </w:r>
    </w:p>
    <w:p w14:paraId="413C49C6" w14:textId="41606CD6" w:rsidR="004D3097" w:rsidRPr="00876936" w:rsidRDefault="0020125B" w:rsidP="006A0998">
      <w:pPr>
        <w:ind w:left="720"/>
        <w:jc w:val="both"/>
        <w:rPr>
          <w:rFonts w:eastAsia="Calibri"/>
          <w:sz w:val="22"/>
          <w:szCs w:val="22"/>
        </w:rPr>
      </w:pPr>
      <w:r w:rsidRPr="00876936">
        <w:rPr>
          <w:sz w:val="22"/>
        </w:rPr>
        <w:lastRenderedPageBreak/>
        <w:t>Apresentações de peritos (10 minutos)</w:t>
      </w:r>
    </w:p>
    <w:p w14:paraId="4CE232BD" w14:textId="487BEB63" w:rsidR="001301D2" w:rsidRDefault="001301D2" w:rsidP="003C1C49">
      <w:pPr>
        <w:jc w:val="both"/>
        <w:rPr>
          <w:sz w:val="22"/>
          <w:szCs w:val="22"/>
        </w:rPr>
      </w:pPr>
    </w:p>
    <w:p w14:paraId="550212A0" w14:textId="4B915FE9" w:rsidR="00F655C4" w:rsidRDefault="00F655C4" w:rsidP="003C1C49">
      <w:pPr>
        <w:jc w:val="both"/>
        <w:rPr>
          <w:sz w:val="22"/>
          <w:szCs w:val="22"/>
        </w:rPr>
      </w:pPr>
    </w:p>
    <w:p w14:paraId="6D85B7C1" w14:textId="77777777" w:rsidR="00F655C4" w:rsidRPr="00CE707F" w:rsidRDefault="00F655C4" w:rsidP="00F655C4">
      <w:pPr>
        <w:pStyle w:val="TableHeading"/>
        <w:tabs>
          <w:tab w:val="left" w:pos="720"/>
        </w:tabs>
        <w:snapToGrid w:val="0"/>
        <w:jc w:val="left"/>
        <w:rPr>
          <w:b w:val="0"/>
          <w:sz w:val="22"/>
          <w:szCs w:val="22"/>
        </w:rPr>
      </w:pPr>
    </w:p>
    <w:p w14:paraId="3DE7570E" w14:textId="77777777" w:rsidR="00F655C4" w:rsidRPr="00556F33" w:rsidRDefault="00F655C4" w:rsidP="00F655C4">
      <w:pPr>
        <w:numPr>
          <w:ilvl w:val="0"/>
          <w:numId w:val="24"/>
        </w:numPr>
        <w:shd w:val="clear" w:color="auto" w:fill="FFFFFF"/>
        <w:ind w:hanging="720"/>
        <w:jc w:val="both"/>
        <w:rPr>
          <w:color w:val="202124"/>
          <w:sz w:val="22"/>
          <w:szCs w:val="22"/>
        </w:rPr>
      </w:pPr>
      <w:r w:rsidRPr="00556F33">
        <w:rPr>
          <w:color w:val="000000"/>
          <w:sz w:val="22"/>
        </w:rPr>
        <w:t>Doutor Martín Rodriguez, Diretor Executivo</w:t>
      </w:r>
      <w:r>
        <w:rPr>
          <w:color w:val="000000"/>
          <w:sz w:val="22"/>
        </w:rPr>
        <w:t xml:space="preserve">, </w:t>
      </w:r>
      <w:r w:rsidRPr="00556F33">
        <w:rPr>
          <w:color w:val="202124"/>
          <w:sz w:val="22"/>
          <w:szCs w:val="22"/>
          <w:lang w:val="pt-PT"/>
        </w:rPr>
        <w:t xml:space="preserve">Programa Nacional de Pesquisa Científica e Estudos Avançados (PROCIENCIA), Conselho Nacional de Ciência, Tecnologia e Inovação Tecnológica (CONCYTEC), </w:t>
      </w:r>
      <w:r w:rsidRPr="00556F33">
        <w:rPr>
          <w:color w:val="000000"/>
          <w:sz w:val="22"/>
        </w:rPr>
        <w:t>Peru</w:t>
      </w:r>
    </w:p>
    <w:p w14:paraId="6F039C4F" w14:textId="77777777" w:rsidR="00F655C4" w:rsidRPr="00CE707F" w:rsidRDefault="00F655C4" w:rsidP="00F655C4">
      <w:pPr>
        <w:shd w:val="clear" w:color="auto" w:fill="FFFFFF"/>
        <w:ind w:left="1440" w:hanging="720"/>
        <w:jc w:val="both"/>
        <w:rPr>
          <w:color w:val="000000"/>
          <w:sz w:val="22"/>
          <w:szCs w:val="22"/>
        </w:rPr>
      </w:pPr>
    </w:p>
    <w:p w14:paraId="789075F0" w14:textId="77777777" w:rsidR="00F655C4" w:rsidRPr="00CE707F" w:rsidRDefault="00F655C4" w:rsidP="00F655C4">
      <w:pPr>
        <w:numPr>
          <w:ilvl w:val="0"/>
          <w:numId w:val="24"/>
        </w:numPr>
        <w:shd w:val="clear" w:color="auto" w:fill="FFFFFF"/>
        <w:ind w:hanging="720"/>
        <w:jc w:val="both"/>
        <w:rPr>
          <w:color w:val="000000"/>
          <w:sz w:val="22"/>
          <w:szCs w:val="22"/>
        </w:rPr>
      </w:pPr>
      <w:r w:rsidRPr="00CE707F">
        <w:rPr>
          <w:color w:val="000000"/>
          <w:sz w:val="22"/>
        </w:rPr>
        <w:t>Doutora Charah T. Watson, Diretora Executiva, Conselho de Pesquisa Científica, Jamaica</w:t>
      </w:r>
    </w:p>
    <w:p w14:paraId="5909601D" w14:textId="77777777" w:rsidR="00F655C4" w:rsidRPr="00CE707F" w:rsidRDefault="00F655C4" w:rsidP="00F655C4">
      <w:pPr>
        <w:shd w:val="clear" w:color="auto" w:fill="FFFFFF"/>
        <w:ind w:left="1440" w:hanging="720"/>
        <w:jc w:val="both"/>
        <w:rPr>
          <w:color w:val="000000"/>
          <w:sz w:val="22"/>
          <w:szCs w:val="22"/>
        </w:rPr>
      </w:pPr>
    </w:p>
    <w:p w14:paraId="57B90FFA" w14:textId="77777777" w:rsidR="00F655C4" w:rsidRPr="00556F33" w:rsidRDefault="00F655C4" w:rsidP="00F655C4">
      <w:pPr>
        <w:numPr>
          <w:ilvl w:val="0"/>
          <w:numId w:val="24"/>
        </w:numPr>
        <w:shd w:val="clear" w:color="auto" w:fill="FFFFFF"/>
        <w:ind w:hanging="720"/>
        <w:jc w:val="both"/>
        <w:rPr>
          <w:color w:val="000000"/>
          <w:sz w:val="22"/>
          <w:szCs w:val="22"/>
        </w:rPr>
      </w:pPr>
      <w:r w:rsidRPr="00CE707F">
        <w:t xml:space="preserve">Senhor </w:t>
      </w:r>
      <w:r w:rsidRPr="00CE707F">
        <w:rPr>
          <w:color w:val="000000"/>
          <w:sz w:val="22"/>
        </w:rPr>
        <w:t>James Chung, Vice-Presidente Associado para Pesquisa, Inovação e Empreendedorismo da Universidade George Washington, e pesquisador coprincipal para o elo da </w:t>
      </w:r>
      <w:hyperlink r:id="rId11" w:tgtFrame="_blank" w:history="1">
        <w:r w:rsidRPr="00CE707F">
          <w:rPr>
            <w:i/>
            <w:iCs/>
            <w:sz w:val="22"/>
          </w:rPr>
          <w:t>NSF Innovation Corps</w:t>
        </w:r>
      </w:hyperlink>
      <w:r w:rsidRPr="00CE707F">
        <w:rPr>
          <w:color w:val="000000"/>
          <w:sz w:val="22"/>
        </w:rPr>
        <w:t> em Washington, D.C.</w:t>
      </w:r>
    </w:p>
    <w:p w14:paraId="3DC22EB2" w14:textId="5D8645F1" w:rsidR="00F655C4" w:rsidRDefault="00F655C4" w:rsidP="003C1C49">
      <w:pPr>
        <w:jc w:val="both"/>
        <w:rPr>
          <w:sz w:val="22"/>
          <w:szCs w:val="22"/>
        </w:rPr>
      </w:pPr>
    </w:p>
    <w:p w14:paraId="412B4FC4" w14:textId="293843F6" w:rsidR="00723EE9" w:rsidRPr="00876936" w:rsidRDefault="00723EE9" w:rsidP="006A0998">
      <w:pPr>
        <w:numPr>
          <w:ilvl w:val="0"/>
          <w:numId w:val="18"/>
        </w:numPr>
        <w:ind w:left="0" w:firstLine="0"/>
        <w:rPr>
          <w:rFonts w:eastAsia="Calibri"/>
          <w:b/>
          <w:sz w:val="22"/>
          <w:szCs w:val="22"/>
        </w:rPr>
      </w:pPr>
      <w:r w:rsidRPr="00876936">
        <w:rPr>
          <w:b/>
          <w:sz w:val="22"/>
        </w:rPr>
        <w:t>Resultado da reunião</w:t>
      </w:r>
    </w:p>
    <w:p w14:paraId="359FE12E" w14:textId="77777777" w:rsidR="00723EE9" w:rsidRPr="00876936" w:rsidRDefault="00723EE9" w:rsidP="006A0998">
      <w:pPr>
        <w:jc w:val="both"/>
        <w:rPr>
          <w:rFonts w:eastAsia="Calibri"/>
          <w:b/>
          <w:sz w:val="22"/>
          <w:szCs w:val="22"/>
        </w:rPr>
      </w:pPr>
    </w:p>
    <w:p w14:paraId="518E666B" w14:textId="1E6D5489" w:rsidR="00723EE9" w:rsidRPr="00876936" w:rsidRDefault="00723EE9" w:rsidP="006A0998">
      <w:pPr>
        <w:ind w:firstLine="720"/>
        <w:jc w:val="both"/>
        <w:rPr>
          <w:rFonts w:eastAsia="Calibri"/>
          <w:sz w:val="22"/>
          <w:szCs w:val="22"/>
        </w:rPr>
      </w:pPr>
      <w:r w:rsidRPr="00876936">
        <w:rPr>
          <w:sz w:val="22"/>
        </w:rPr>
        <w:t>Espera-se que a reunião contribua para o seguinte:</w:t>
      </w:r>
    </w:p>
    <w:p w14:paraId="6350D220" w14:textId="77777777" w:rsidR="00BF3B28" w:rsidRPr="00876936" w:rsidRDefault="00BF3B28" w:rsidP="006A0998">
      <w:pPr>
        <w:ind w:firstLine="720"/>
        <w:jc w:val="both"/>
        <w:rPr>
          <w:rFonts w:eastAsia="Calibri"/>
          <w:sz w:val="22"/>
          <w:szCs w:val="22"/>
        </w:rPr>
      </w:pPr>
    </w:p>
    <w:p w14:paraId="058D026B" w14:textId="533D2F26" w:rsidR="00723EE9" w:rsidRPr="00876936" w:rsidRDefault="00723EE9" w:rsidP="00BF3B28">
      <w:pPr>
        <w:numPr>
          <w:ilvl w:val="0"/>
          <w:numId w:val="11"/>
        </w:numPr>
        <w:tabs>
          <w:tab w:val="left" w:pos="1440"/>
        </w:tabs>
        <w:ind w:left="1440" w:hanging="720"/>
        <w:jc w:val="both"/>
        <w:rPr>
          <w:rFonts w:eastAsia="Calibri"/>
          <w:sz w:val="22"/>
          <w:szCs w:val="22"/>
        </w:rPr>
      </w:pPr>
      <w:r w:rsidRPr="00876936">
        <w:rPr>
          <w:sz w:val="22"/>
        </w:rPr>
        <w:t>Fornecer informações sobre as principais tendências, desafios e oportunidades para diversificar e expandir o acesso a mecanismos para financiar a inovação nos Estados membros da OEA.</w:t>
      </w:r>
    </w:p>
    <w:p w14:paraId="68986623" w14:textId="440C24BA" w:rsidR="00194B58" w:rsidRPr="00876936" w:rsidRDefault="00194B58" w:rsidP="00BF3B28">
      <w:pPr>
        <w:numPr>
          <w:ilvl w:val="0"/>
          <w:numId w:val="11"/>
        </w:numPr>
        <w:tabs>
          <w:tab w:val="left" w:pos="1440"/>
        </w:tabs>
        <w:ind w:left="1440" w:hanging="720"/>
        <w:jc w:val="both"/>
        <w:rPr>
          <w:rFonts w:eastAsia="Calibri"/>
          <w:sz w:val="22"/>
          <w:szCs w:val="22"/>
        </w:rPr>
      </w:pPr>
      <w:r w:rsidRPr="00876936">
        <w:rPr>
          <w:sz w:val="22"/>
        </w:rPr>
        <w:t>Identificar prioridades e áreas de cooperação regional nas Américas para promover a inclusão e o acesso a oportunidades de financiamento para empreendedores e inovadores, dentre eles jovens, mulheres, indígenas e outras populações.</w:t>
      </w:r>
    </w:p>
    <w:p w14:paraId="21954D1D" w14:textId="4709F1E7" w:rsidR="000B6478" w:rsidRPr="00876936" w:rsidRDefault="003B0B19" w:rsidP="00BF3B28">
      <w:pPr>
        <w:numPr>
          <w:ilvl w:val="0"/>
          <w:numId w:val="11"/>
        </w:numPr>
        <w:tabs>
          <w:tab w:val="left" w:pos="1440"/>
        </w:tabs>
        <w:ind w:left="1440" w:hanging="720"/>
        <w:jc w:val="both"/>
        <w:rPr>
          <w:sz w:val="22"/>
          <w:szCs w:val="22"/>
        </w:rPr>
      </w:pPr>
      <w:r w:rsidRPr="00876936">
        <w:rPr>
          <w:sz w:val="22"/>
        </w:rPr>
        <w:t>Incentivar os Estados membros a que apresentem boas práticas com oportunidades de cooperação para o avanço de parcerias público-privadas e de mecanismos inovadores de financiamento da inovação nos Estados membros da OEA</w:t>
      </w:r>
      <w:r w:rsidR="00876936" w:rsidRPr="00876936">
        <w:rPr>
          <w:sz w:val="22"/>
        </w:rPr>
        <w:t>.</w:t>
      </w:r>
      <w:r w:rsidR="004B4BF2">
        <w:rPr>
          <w:noProof/>
          <w:sz w:val="22"/>
          <w:szCs w:val="22"/>
        </w:rPr>
        <mc:AlternateContent>
          <mc:Choice Requires="wps">
            <w:drawing>
              <wp:anchor distT="0" distB="0" distL="114300" distR="114300" simplePos="0" relativeHeight="251659264" behindDoc="0" locked="1" layoutInCell="1" allowOverlap="1" wp14:anchorId="63921697" wp14:editId="5726AA6A">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3F58C5" w14:textId="69FCB7B4" w:rsidR="004B4BF2" w:rsidRPr="004B4BF2" w:rsidRDefault="004B4BF2">
                            <w:pPr>
                              <w:rPr>
                                <w:sz w:val="18"/>
                              </w:rPr>
                            </w:pPr>
                            <w:r>
                              <w:rPr>
                                <w:sz w:val="18"/>
                              </w:rPr>
                              <w:fldChar w:fldCharType="begin"/>
                            </w:r>
                            <w:r>
                              <w:rPr>
                                <w:sz w:val="18"/>
                              </w:rPr>
                              <w:instrText xml:space="preserve"> FILENAME  \* MERGEFORMAT </w:instrText>
                            </w:r>
                            <w:r>
                              <w:rPr>
                                <w:sz w:val="18"/>
                              </w:rPr>
                              <w:fldChar w:fldCharType="separate"/>
                            </w:r>
                            <w:r>
                              <w:rPr>
                                <w:noProof/>
                                <w:sz w:val="18"/>
                              </w:rPr>
                              <w:t>CIDRP03432P01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921697"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7D3F58C5" w14:textId="69FCB7B4" w:rsidR="004B4BF2" w:rsidRPr="004B4BF2" w:rsidRDefault="004B4BF2">
                      <w:pPr>
                        <w:rPr>
                          <w:sz w:val="18"/>
                        </w:rPr>
                      </w:pPr>
                      <w:r>
                        <w:rPr>
                          <w:sz w:val="18"/>
                        </w:rPr>
                        <w:fldChar w:fldCharType="begin"/>
                      </w:r>
                      <w:r>
                        <w:rPr>
                          <w:sz w:val="18"/>
                        </w:rPr>
                        <w:instrText xml:space="preserve"> FILENAME  \* MERGEFORMAT </w:instrText>
                      </w:r>
                      <w:r>
                        <w:rPr>
                          <w:sz w:val="18"/>
                        </w:rPr>
                        <w:fldChar w:fldCharType="separate"/>
                      </w:r>
                      <w:r>
                        <w:rPr>
                          <w:noProof/>
                          <w:sz w:val="18"/>
                        </w:rPr>
                        <w:t>CIDRP03432P01</w:t>
                      </w:r>
                      <w:r>
                        <w:rPr>
                          <w:sz w:val="18"/>
                        </w:rPr>
                        <w:fldChar w:fldCharType="end"/>
                      </w:r>
                    </w:p>
                  </w:txbxContent>
                </v:textbox>
                <w10:wrap anchory="page"/>
                <w10:anchorlock/>
              </v:shape>
            </w:pict>
          </mc:Fallback>
        </mc:AlternateContent>
      </w:r>
    </w:p>
    <w:sectPr w:rsidR="000B6478" w:rsidRPr="00876936" w:rsidSect="00A870BA">
      <w:headerReference w:type="default" r:id="rId12"/>
      <w:headerReference w:type="first" r:id="rId13"/>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6ED7" w14:textId="77777777" w:rsidR="00197573" w:rsidRDefault="00197573">
      <w:r>
        <w:separator/>
      </w:r>
    </w:p>
  </w:endnote>
  <w:endnote w:type="continuationSeparator" w:id="0">
    <w:p w14:paraId="745AAFFD" w14:textId="77777777" w:rsidR="00197573" w:rsidRDefault="0019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otham Book">
    <w:altName w:val="Cambria"/>
    <w:panose1 w:val="00000000000000000000"/>
    <w:charset w:val="00"/>
    <w:family w:val="roman"/>
    <w:notTrueType/>
    <w:pitch w:val="default"/>
  </w:font>
  <w:font w:name="Garamond">
    <w:altName w:val="Cambria"/>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2871" w14:textId="77777777" w:rsidR="00197573" w:rsidRDefault="00197573">
      <w:r>
        <w:separator/>
      </w:r>
    </w:p>
  </w:footnote>
  <w:footnote w:type="continuationSeparator" w:id="0">
    <w:p w14:paraId="13B1DEC1" w14:textId="77777777" w:rsidR="00197573" w:rsidRDefault="00197573">
      <w:r>
        <w:continuationSeparator/>
      </w:r>
    </w:p>
  </w:footnote>
  <w:footnote w:id="1">
    <w:p w14:paraId="68053AB7" w14:textId="6F40C2AA" w:rsidR="00194645" w:rsidRPr="006A0998" w:rsidRDefault="00194645" w:rsidP="006A0998">
      <w:pPr>
        <w:shd w:val="clear" w:color="auto" w:fill="FFFFFF" w:themeFill="background1"/>
        <w:ind w:firstLine="360"/>
        <w:rPr>
          <w:i/>
          <w:iCs/>
          <w:color w:val="3B3B3B"/>
          <w:bdr w:val="none" w:sz="0" w:space="0" w:color="auto" w:frame="1"/>
          <w:shd w:val="clear" w:color="auto" w:fill="FAFAFA"/>
        </w:rPr>
      </w:pPr>
      <w:r>
        <w:rPr>
          <w:rStyle w:val="FootnoteReference"/>
          <w:vertAlign w:val="baseline"/>
        </w:rPr>
        <w:footnoteRef/>
      </w:r>
      <w:r>
        <w:t>.</w:t>
      </w:r>
      <w:r>
        <w:tab/>
      </w:r>
      <w:r>
        <w:rPr>
          <w:color w:val="3B3B3B"/>
        </w:rPr>
        <w:t xml:space="preserve">Índice Global de Inovação 2021, 14ª edição, </w:t>
      </w:r>
      <w:hyperlink r:id="rId1" w:history="1">
        <w:r>
          <w:rPr>
            <w:rStyle w:val="Hyperlink"/>
            <w:bdr w:val="none" w:sz="0" w:space="0" w:color="auto" w:frame="1"/>
          </w:rPr>
          <w:t>https://www.wipo.int/global_innovation_index/en/2021/</w:t>
        </w:r>
      </w:hyperlink>
      <w:r>
        <w:rPr>
          <w:rStyle w:val="Emphasis"/>
          <w:color w:val="3B3B3B"/>
          <w:bdr w:val="none" w:sz="0" w:space="0" w:color="auto" w:frame="1"/>
          <w:shd w:val="clear" w:color="auto" w:fill="FAFAFA"/>
        </w:rPr>
        <w:t xml:space="preserve"> </w:t>
      </w:r>
    </w:p>
  </w:footnote>
  <w:footnote w:id="2">
    <w:p w14:paraId="4CCC5BE9" w14:textId="0CA2757B" w:rsidR="00EE4B48" w:rsidRPr="006A0998" w:rsidRDefault="00EE4B48" w:rsidP="006A0998">
      <w:pPr>
        <w:pStyle w:val="FootnoteText"/>
        <w:shd w:val="clear" w:color="auto" w:fill="FFFFFF" w:themeFill="background1"/>
        <w:ind w:left="720" w:hanging="360"/>
      </w:pPr>
      <w:r>
        <w:rPr>
          <w:rStyle w:val="FootnoteReference"/>
          <w:vertAlign w:val="baseline"/>
        </w:rPr>
        <w:footnoteRef/>
      </w:r>
      <w:r>
        <w:t>.</w:t>
      </w:r>
      <w:r>
        <w:tab/>
        <w:t>Id.</w:t>
      </w:r>
    </w:p>
  </w:footnote>
  <w:footnote w:id="3">
    <w:p w14:paraId="02DB58C9" w14:textId="2278D5B1" w:rsidR="005B2929" w:rsidRPr="006A0998" w:rsidRDefault="005B2929" w:rsidP="006A0998">
      <w:pPr>
        <w:pStyle w:val="FootnoteText"/>
        <w:shd w:val="clear" w:color="auto" w:fill="FFFFFF" w:themeFill="background1"/>
        <w:ind w:left="720" w:hanging="360"/>
      </w:pPr>
      <w:r>
        <w:rPr>
          <w:rStyle w:val="FootnoteReference"/>
          <w:vertAlign w:val="baseline"/>
        </w:rPr>
        <w:footnoteRef/>
      </w:r>
      <w:r>
        <w:t>.</w:t>
      </w:r>
      <w:r>
        <w:tab/>
        <w:t xml:space="preserve">O IGI é um relatório publicado em conjunto pela Organização Mundial da Propriedade Intelectual (OMPI), a Universidade Cornell e o INSEAD; edição 2020 disponível em </w:t>
      </w:r>
      <w:hyperlink r:id="rId2" w:history="1">
        <w:r>
          <w:rPr>
            <w:rStyle w:val="Hyperlink"/>
            <w:bdr w:val="none" w:sz="0" w:space="0" w:color="auto" w:frame="1"/>
            <w:shd w:val="clear" w:color="auto" w:fill="FFFFFF" w:themeFill="background1"/>
          </w:rPr>
          <w:t>https://www.wipo.int/global_innovation_index/en/2020/</w:t>
        </w:r>
      </w:hyperlink>
    </w:p>
  </w:footnote>
  <w:footnote w:id="4">
    <w:p w14:paraId="3CC98920" w14:textId="4D0ABAA1" w:rsidR="00EE4B48" w:rsidRPr="006A0998" w:rsidRDefault="00EE4B48" w:rsidP="006A0998">
      <w:pPr>
        <w:pStyle w:val="FootnoteText"/>
        <w:shd w:val="clear" w:color="auto" w:fill="FFFFFF" w:themeFill="background1"/>
        <w:ind w:left="720" w:hanging="360"/>
      </w:pPr>
      <w:r>
        <w:rPr>
          <w:rStyle w:val="FootnoteReference"/>
          <w:vertAlign w:val="baseline"/>
        </w:rPr>
        <w:footnoteRef/>
      </w:r>
      <w:r>
        <w:t>.</w:t>
      </w:r>
      <w:r>
        <w:tab/>
      </w:r>
      <w:r>
        <w:rPr>
          <w:color w:val="3B3B3B"/>
          <w:shd w:val="clear" w:color="auto" w:fill="FFFFFF" w:themeFill="background1"/>
        </w:rPr>
        <w:t>Índice de Inovação Global 2021, 14ª Edição</w:t>
      </w:r>
    </w:p>
  </w:footnote>
  <w:footnote w:id="5">
    <w:p w14:paraId="1C8CCB18" w14:textId="2F32CDF1" w:rsidR="00E12BDF" w:rsidRPr="006A0998" w:rsidRDefault="00E12BDF" w:rsidP="006A0998">
      <w:pPr>
        <w:pStyle w:val="FootnoteText"/>
        <w:shd w:val="clear" w:color="auto" w:fill="FFFFFF" w:themeFill="background1"/>
        <w:ind w:left="720" w:hanging="360"/>
      </w:pPr>
      <w:r>
        <w:rPr>
          <w:rStyle w:val="FootnoteReference"/>
          <w:vertAlign w:val="baseline"/>
        </w:rPr>
        <w:footnoteRef/>
      </w:r>
      <w:r>
        <w:t>.</w:t>
      </w:r>
      <w:r>
        <w:tab/>
      </w:r>
      <w:r>
        <w:rPr>
          <w:i/>
          <w:iCs/>
        </w:rPr>
        <w:t>Startups</w:t>
      </w:r>
      <w:r>
        <w:t xml:space="preserve"> avaliadas em mais de US$ 1 bilhão de dólares </w:t>
      </w:r>
    </w:p>
  </w:footnote>
  <w:footnote w:id="6">
    <w:p w14:paraId="6058280A" w14:textId="10AAAA5D" w:rsidR="00E12BDF" w:rsidRPr="006A0998" w:rsidRDefault="00E12BDF" w:rsidP="006A0998">
      <w:pPr>
        <w:pStyle w:val="NormalWeb"/>
        <w:shd w:val="clear" w:color="auto" w:fill="FFFFFF" w:themeFill="background1"/>
        <w:spacing w:before="0" w:beforeAutospacing="0" w:after="0" w:afterAutospacing="0"/>
        <w:ind w:left="720" w:hanging="360"/>
        <w:rPr>
          <w:rFonts w:eastAsiaTheme="minorHAnsi"/>
          <w:sz w:val="20"/>
          <w:szCs w:val="20"/>
        </w:rPr>
      </w:pPr>
      <w:r>
        <w:rPr>
          <w:rStyle w:val="FootnoteReference"/>
          <w:sz w:val="20"/>
          <w:szCs w:val="20"/>
          <w:vertAlign w:val="baseline"/>
        </w:rPr>
        <w:footnoteRef/>
      </w:r>
      <w:r>
        <w:rPr>
          <w:sz w:val="20"/>
        </w:rPr>
        <w:t>.</w:t>
      </w:r>
      <w:r>
        <w:rPr>
          <w:sz w:val="20"/>
        </w:rPr>
        <w:tab/>
      </w:r>
      <w:r>
        <w:rPr>
          <w:i/>
          <w:iCs/>
          <w:color w:val="212121"/>
          <w:sz w:val="20"/>
          <w:shd w:val="clear" w:color="auto" w:fill="FFFFFF"/>
        </w:rPr>
        <w:t>Startup Continent</w:t>
      </w:r>
      <w:r>
        <w:rPr>
          <w:color w:val="212121"/>
          <w:sz w:val="20"/>
          <w:shd w:val="clear" w:color="auto" w:fill="FFFFFF"/>
        </w:rPr>
        <w:t xml:space="preserve">: As mais bem financiadas </w:t>
      </w:r>
      <w:r>
        <w:rPr>
          <w:i/>
          <w:iCs/>
          <w:color w:val="212121"/>
          <w:sz w:val="20"/>
          <w:shd w:val="clear" w:color="auto" w:fill="FFFFFF"/>
        </w:rPr>
        <w:t>startups</w:t>
      </w:r>
      <w:r>
        <w:rPr>
          <w:color w:val="212121"/>
          <w:sz w:val="20"/>
          <w:shd w:val="clear" w:color="auto" w:fill="FFFFFF"/>
        </w:rPr>
        <w:t xml:space="preserve"> de tecnologia da América Latina e do Caribe. </w:t>
      </w:r>
      <w:hyperlink r:id="rId3" w:history="1">
        <w:r>
          <w:rPr>
            <w:rStyle w:val="Hyperlink"/>
            <w:sz w:val="20"/>
          </w:rPr>
          <w:t>https://www.statista.com/statistics/1095155/number-of-unicorns-in-latin-america-by-industry/</w:t>
        </w:r>
      </w:hyperlink>
    </w:p>
  </w:footnote>
  <w:footnote w:id="7">
    <w:p w14:paraId="3104FD0C" w14:textId="63EDE66C" w:rsidR="00E12BDF" w:rsidRPr="006A0998" w:rsidRDefault="006A0998" w:rsidP="006A0998">
      <w:pPr>
        <w:pStyle w:val="FootnoteText"/>
        <w:shd w:val="clear" w:color="auto" w:fill="FFFFFF" w:themeFill="background1"/>
        <w:ind w:left="720" w:hanging="360"/>
      </w:pPr>
      <w:r>
        <w:t>7.</w:t>
      </w:r>
      <w:r>
        <w:tab/>
        <w:t>https://www.cbinsights.com/research/top-startups-latin-america-map/</w:t>
      </w:r>
    </w:p>
  </w:footnote>
  <w:footnote w:id="8">
    <w:p w14:paraId="1309A072" w14:textId="7E567B10" w:rsidR="002E3DDA" w:rsidRPr="006A0998" w:rsidRDefault="002E3DDA" w:rsidP="006A0998">
      <w:pPr>
        <w:pStyle w:val="FootnoteText"/>
        <w:shd w:val="clear" w:color="auto" w:fill="FFFFFF" w:themeFill="background1"/>
        <w:ind w:left="720" w:hanging="360"/>
      </w:pPr>
      <w:r>
        <w:rPr>
          <w:rStyle w:val="FootnoteReference"/>
          <w:vertAlign w:val="baseline"/>
        </w:rPr>
        <w:footnoteRef/>
      </w:r>
      <w:r>
        <w:t>.</w:t>
      </w:r>
      <w:r>
        <w:tab/>
      </w:r>
      <w:hyperlink r:id="rId4" w:history="1">
        <w:r>
          <w:rPr>
            <w:rStyle w:val="Hyperlink"/>
            <w:shd w:val="clear" w:color="auto" w:fill="FFFFFF"/>
          </w:rPr>
          <w:t>https://pitchbook.com/news/articles/the-vc-female-founders-dashboard</w:t>
        </w:r>
      </w:hyperlink>
      <w:r>
        <w:rPr>
          <w:rFonts w:ascii="Georgia" w:hAnsi="Georgia"/>
          <w:color w:val="000000"/>
          <w:shd w:val="clear" w:color="auto" w:fill="FFFFFF"/>
        </w:rPr>
        <w:t xml:space="preserve"> </w:t>
      </w:r>
      <w:r>
        <w:rPr>
          <w:rFonts w:ascii="Gotham Book" w:hAnsi="Gotham Book"/>
          <w:color w:val="000000"/>
        </w:rPr>
        <w:t> </w:t>
      </w:r>
    </w:p>
  </w:footnote>
  <w:footnote w:id="9">
    <w:p w14:paraId="566B5382" w14:textId="56BC0760" w:rsidR="002E3DDA" w:rsidRDefault="002E3DDA" w:rsidP="006A0998">
      <w:pPr>
        <w:pStyle w:val="FootnoteText"/>
        <w:shd w:val="clear" w:color="auto" w:fill="FFFFFF" w:themeFill="background1"/>
        <w:ind w:left="720" w:hanging="360"/>
      </w:pPr>
      <w:r>
        <w:rPr>
          <w:rStyle w:val="FootnoteReference"/>
          <w:vertAlign w:val="baseline"/>
        </w:rPr>
        <w:footnoteRef/>
      </w:r>
      <w:r>
        <w:t>.</w:t>
      </w:r>
      <w:r>
        <w:tab/>
      </w:r>
      <w:hyperlink r:id="rId5" w:history="1">
        <w:r>
          <w:rPr>
            <w:rStyle w:val="Hyperlink"/>
          </w:rPr>
          <w:t>https://fortune.com/2018/10/26/latinx-female-founders-women-venture-capital-funding/</w:t>
        </w:r>
      </w:hyperlink>
      <w:r>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650EFA">
      <w:rPr>
        <w:sz w:val="22"/>
      </w:rPr>
      <w:t>- 2 -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ORGANIZAÇÃO DOS ESTADOS AMERICANOS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Conselho Interamericano de Desenvolvimento Integral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ORGANIZAÇÃO DOS ESTADOS AMERICANOS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Conselho Interamericano de Desenvolvimento Integral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4"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7"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8"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3"/>
  </w:num>
  <w:num w:numId="4">
    <w:abstractNumId w:val="17"/>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9"/>
  </w:num>
  <w:num w:numId="11">
    <w:abstractNumId w:val="12"/>
  </w:num>
  <w:num w:numId="12">
    <w:abstractNumId w:val="19"/>
  </w:num>
  <w:num w:numId="13">
    <w:abstractNumId w:val="8"/>
  </w:num>
  <w:num w:numId="14">
    <w:abstractNumId w:val="14"/>
  </w:num>
  <w:num w:numId="15">
    <w:abstractNumId w:val="7"/>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
  </w:num>
  <w:num w:numId="21">
    <w:abstractNumId w:val="10"/>
  </w:num>
  <w:num w:numId="22">
    <w:abstractNumId w:val="4"/>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1300D"/>
    <w:rsid w:val="000205EC"/>
    <w:rsid w:val="0002644D"/>
    <w:rsid w:val="000427B5"/>
    <w:rsid w:val="0004458F"/>
    <w:rsid w:val="00050886"/>
    <w:rsid w:val="000533B5"/>
    <w:rsid w:val="00055019"/>
    <w:rsid w:val="00061861"/>
    <w:rsid w:val="00064A6B"/>
    <w:rsid w:val="00064DCC"/>
    <w:rsid w:val="000661F4"/>
    <w:rsid w:val="00070537"/>
    <w:rsid w:val="000716ED"/>
    <w:rsid w:val="000736AA"/>
    <w:rsid w:val="00073CCC"/>
    <w:rsid w:val="00074325"/>
    <w:rsid w:val="00074E66"/>
    <w:rsid w:val="000969F9"/>
    <w:rsid w:val="00097899"/>
    <w:rsid w:val="000A72E3"/>
    <w:rsid w:val="000B1FCF"/>
    <w:rsid w:val="000B43F5"/>
    <w:rsid w:val="000B6478"/>
    <w:rsid w:val="000C1C8E"/>
    <w:rsid w:val="000C3438"/>
    <w:rsid w:val="000C344F"/>
    <w:rsid w:val="000D4368"/>
    <w:rsid w:val="000D540D"/>
    <w:rsid w:val="000D6070"/>
    <w:rsid w:val="000E313E"/>
    <w:rsid w:val="000E439E"/>
    <w:rsid w:val="000E6C8E"/>
    <w:rsid w:val="000E6DEF"/>
    <w:rsid w:val="00100FE1"/>
    <w:rsid w:val="00103208"/>
    <w:rsid w:val="001069A4"/>
    <w:rsid w:val="00106D57"/>
    <w:rsid w:val="001170ED"/>
    <w:rsid w:val="0012371A"/>
    <w:rsid w:val="001259E2"/>
    <w:rsid w:val="0012611C"/>
    <w:rsid w:val="001301D2"/>
    <w:rsid w:val="0013037E"/>
    <w:rsid w:val="00133A15"/>
    <w:rsid w:val="001405C9"/>
    <w:rsid w:val="00142D34"/>
    <w:rsid w:val="00146FB1"/>
    <w:rsid w:val="00150AE4"/>
    <w:rsid w:val="00152D2E"/>
    <w:rsid w:val="00153DD8"/>
    <w:rsid w:val="0016660D"/>
    <w:rsid w:val="00166C73"/>
    <w:rsid w:val="001675EC"/>
    <w:rsid w:val="00171B89"/>
    <w:rsid w:val="00172D57"/>
    <w:rsid w:val="00180746"/>
    <w:rsid w:val="00183C2C"/>
    <w:rsid w:val="001842C2"/>
    <w:rsid w:val="00187D59"/>
    <w:rsid w:val="00194645"/>
    <w:rsid w:val="00194B58"/>
    <w:rsid w:val="00197573"/>
    <w:rsid w:val="001B0828"/>
    <w:rsid w:val="001B0AB0"/>
    <w:rsid w:val="001B193D"/>
    <w:rsid w:val="001C6DC5"/>
    <w:rsid w:val="001D0221"/>
    <w:rsid w:val="001D02E9"/>
    <w:rsid w:val="001D738C"/>
    <w:rsid w:val="001E3150"/>
    <w:rsid w:val="001E3C78"/>
    <w:rsid w:val="001F2739"/>
    <w:rsid w:val="0020125B"/>
    <w:rsid w:val="0020227F"/>
    <w:rsid w:val="002024FE"/>
    <w:rsid w:val="00203839"/>
    <w:rsid w:val="00203F80"/>
    <w:rsid w:val="0020460C"/>
    <w:rsid w:val="002050F0"/>
    <w:rsid w:val="002069D4"/>
    <w:rsid w:val="00222AFE"/>
    <w:rsid w:val="00224C3F"/>
    <w:rsid w:val="00225597"/>
    <w:rsid w:val="00233927"/>
    <w:rsid w:val="00234996"/>
    <w:rsid w:val="00235CB9"/>
    <w:rsid w:val="00256DD6"/>
    <w:rsid w:val="00264202"/>
    <w:rsid w:val="0026449A"/>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3C09"/>
    <w:rsid w:val="002C6B0D"/>
    <w:rsid w:val="002D412D"/>
    <w:rsid w:val="002E1F2D"/>
    <w:rsid w:val="002E2CC7"/>
    <w:rsid w:val="002E3DDA"/>
    <w:rsid w:val="002E609F"/>
    <w:rsid w:val="002F0A27"/>
    <w:rsid w:val="002F0AF9"/>
    <w:rsid w:val="002F25F2"/>
    <w:rsid w:val="002F5352"/>
    <w:rsid w:val="00305E93"/>
    <w:rsid w:val="0031130C"/>
    <w:rsid w:val="003116AC"/>
    <w:rsid w:val="0031291C"/>
    <w:rsid w:val="003143F1"/>
    <w:rsid w:val="003254F3"/>
    <w:rsid w:val="0032713A"/>
    <w:rsid w:val="003302CF"/>
    <w:rsid w:val="00335ABE"/>
    <w:rsid w:val="003366D5"/>
    <w:rsid w:val="00345C27"/>
    <w:rsid w:val="00345DCF"/>
    <w:rsid w:val="00350910"/>
    <w:rsid w:val="00351BC4"/>
    <w:rsid w:val="003529F3"/>
    <w:rsid w:val="00352BB7"/>
    <w:rsid w:val="00353D48"/>
    <w:rsid w:val="00353D7A"/>
    <w:rsid w:val="00354536"/>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1C49"/>
    <w:rsid w:val="003C332F"/>
    <w:rsid w:val="003C448A"/>
    <w:rsid w:val="003D0721"/>
    <w:rsid w:val="003D13AD"/>
    <w:rsid w:val="003D4305"/>
    <w:rsid w:val="003E687F"/>
    <w:rsid w:val="003F023D"/>
    <w:rsid w:val="003F4FA0"/>
    <w:rsid w:val="003F6FF7"/>
    <w:rsid w:val="004113BA"/>
    <w:rsid w:val="00413FE5"/>
    <w:rsid w:val="00414A9D"/>
    <w:rsid w:val="00421AA1"/>
    <w:rsid w:val="00423375"/>
    <w:rsid w:val="004279F5"/>
    <w:rsid w:val="00457B19"/>
    <w:rsid w:val="004600F6"/>
    <w:rsid w:val="00461F49"/>
    <w:rsid w:val="0046301C"/>
    <w:rsid w:val="00463A6B"/>
    <w:rsid w:val="0046512F"/>
    <w:rsid w:val="00467A8F"/>
    <w:rsid w:val="004712B6"/>
    <w:rsid w:val="004732D7"/>
    <w:rsid w:val="00476255"/>
    <w:rsid w:val="004774F0"/>
    <w:rsid w:val="00490731"/>
    <w:rsid w:val="00493B12"/>
    <w:rsid w:val="004943F6"/>
    <w:rsid w:val="00495215"/>
    <w:rsid w:val="00496643"/>
    <w:rsid w:val="00496BBC"/>
    <w:rsid w:val="00497068"/>
    <w:rsid w:val="004A1D26"/>
    <w:rsid w:val="004A6065"/>
    <w:rsid w:val="004A7C48"/>
    <w:rsid w:val="004B2B39"/>
    <w:rsid w:val="004B301B"/>
    <w:rsid w:val="004B3050"/>
    <w:rsid w:val="004B387B"/>
    <w:rsid w:val="004B4BF2"/>
    <w:rsid w:val="004B5C41"/>
    <w:rsid w:val="004B6550"/>
    <w:rsid w:val="004B6C1E"/>
    <w:rsid w:val="004C13FA"/>
    <w:rsid w:val="004D2279"/>
    <w:rsid w:val="004D3097"/>
    <w:rsid w:val="004D44C9"/>
    <w:rsid w:val="004F0AD2"/>
    <w:rsid w:val="004F0EF3"/>
    <w:rsid w:val="004F4571"/>
    <w:rsid w:val="004F6805"/>
    <w:rsid w:val="0050011F"/>
    <w:rsid w:val="00502854"/>
    <w:rsid w:val="0050667F"/>
    <w:rsid w:val="00510EDF"/>
    <w:rsid w:val="005112C3"/>
    <w:rsid w:val="00513B4E"/>
    <w:rsid w:val="00514EDB"/>
    <w:rsid w:val="0052023C"/>
    <w:rsid w:val="00527F6D"/>
    <w:rsid w:val="005336D0"/>
    <w:rsid w:val="0053678B"/>
    <w:rsid w:val="00540938"/>
    <w:rsid w:val="005462E3"/>
    <w:rsid w:val="0055186F"/>
    <w:rsid w:val="005533CC"/>
    <w:rsid w:val="00564C90"/>
    <w:rsid w:val="00564FA3"/>
    <w:rsid w:val="005679D8"/>
    <w:rsid w:val="00575576"/>
    <w:rsid w:val="00577517"/>
    <w:rsid w:val="0058420A"/>
    <w:rsid w:val="00594069"/>
    <w:rsid w:val="00597477"/>
    <w:rsid w:val="005A4A0F"/>
    <w:rsid w:val="005A5372"/>
    <w:rsid w:val="005A53C5"/>
    <w:rsid w:val="005B2929"/>
    <w:rsid w:val="005B5F61"/>
    <w:rsid w:val="005B7D03"/>
    <w:rsid w:val="005C20AF"/>
    <w:rsid w:val="005C3C0B"/>
    <w:rsid w:val="005D1365"/>
    <w:rsid w:val="005D1D57"/>
    <w:rsid w:val="005D44CE"/>
    <w:rsid w:val="005D4ECD"/>
    <w:rsid w:val="005D5589"/>
    <w:rsid w:val="005D74F2"/>
    <w:rsid w:val="005E085B"/>
    <w:rsid w:val="005F1964"/>
    <w:rsid w:val="005F29C1"/>
    <w:rsid w:val="005F78BB"/>
    <w:rsid w:val="005F7B63"/>
    <w:rsid w:val="00601668"/>
    <w:rsid w:val="00602399"/>
    <w:rsid w:val="00602980"/>
    <w:rsid w:val="006123C5"/>
    <w:rsid w:val="00612E0C"/>
    <w:rsid w:val="006174D9"/>
    <w:rsid w:val="00622F41"/>
    <w:rsid w:val="00631FB8"/>
    <w:rsid w:val="00634E7B"/>
    <w:rsid w:val="006374D0"/>
    <w:rsid w:val="00642E66"/>
    <w:rsid w:val="0064648A"/>
    <w:rsid w:val="00647CB9"/>
    <w:rsid w:val="00650EFA"/>
    <w:rsid w:val="00655B90"/>
    <w:rsid w:val="00656B5A"/>
    <w:rsid w:val="00661424"/>
    <w:rsid w:val="00663D49"/>
    <w:rsid w:val="00666B25"/>
    <w:rsid w:val="00670E8A"/>
    <w:rsid w:val="006711F3"/>
    <w:rsid w:val="006734B2"/>
    <w:rsid w:val="00675F54"/>
    <w:rsid w:val="00680EA5"/>
    <w:rsid w:val="006839FF"/>
    <w:rsid w:val="00685580"/>
    <w:rsid w:val="00686FEA"/>
    <w:rsid w:val="00691B9D"/>
    <w:rsid w:val="006A0998"/>
    <w:rsid w:val="006A1A6B"/>
    <w:rsid w:val="006A483E"/>
    <w:rsid w:val="006A545B"/>
    <w:rsid w:val="006A6025"/>
    <w:rsid w:val="006A67F9"/>
    <w:rsid w:val="006B1932"/>
    <w:rsid w:val="006B21AD"/>
    <w:rsid w:val="006B3BA2"/>
    <w:rsid w:val="006B4518"/>
    <w:rsid w:val="006B710A"/>
    <w:rsid w:val="006C48D7"/>
    <w:rsid w:val="006C6F0E"/>
    <w:rsid w:val="006C7485"/>
    <w:rsid w:val="006D11BB"/>
    <w:rsid w:val="006D1E13"/>
    <w:rsid w:val="006D5A66"/>
    <w:rsid w:val="006D7239"/>
    <w:rsid w:val="006F0712"/>
    <w:rsid w:val="006F1262"/>
    <w:rsid w:val="006F4488"/>
    <w:rsid w:val="007026A5"/>
    <w:rsid w:val="00710E40"/>
    <w:rsid w:val="007147F0"/>
    <w:rsid w:val="0071494C"/>
    <w:rsid w:val="00721843"/>
    <w:rsid w:val="00722693"/>
    <w:rsid w:val="00723DE2"/>
    <w:rsid w:val="00723EE9"/>
    <w:rsid w:val="0072562F"/>
    <w:rsid w:val="00730E0A"/>
    <w:rsid w:val="00731A03"/>
    <w:rsid w:val="007325A6"/>
    <w:rsid w:val="0073480E"/>
    <w:rsid w:val="00743DD7"/>
    <w:rsid w:val="007443E9"/>
    <w:rsid w:val="00756232"/>
    <w:rsid w:val="0076198A"/>
    <w:rsid w:val="007648E4"/>
    <w:rsid w:val="007703A2"/>
    <w:rsid w:val="00772F05"/>
    <w:rsid w:val="00781CB8"/>
    <w:rsid w:val="00781D3F"/>
    <w:rsid w:val="00783480"/>
    <w:rsid w:val="00787435"/>
    <w:rsid w:val="00791388"/>
    <w:rsid w:val="00791916"/>
    <w:rsid w:val="00793E9C"/>
    <w:rsid w:val="00794A66"/>
    <w:rsid w:val="00794BF4"/>
    <w:rsid w:val="00794E46"/>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6421"/>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3B46"/>
    <w:rsid w:val="008260C9"/>
    <w:rsid w:val="00827358"/>
    <w:rsid w:val="008365F4"/>
    <w:rsid w:val="00836740"/>
    <w:rsid w:val="00836CCC"/>
    <w:rsid w:val="0084046A"/>
    <w:rsid w:val="00860083"/>
    <w:rsid w:val="00860DE1"/>
    <w:rsid w:val="00865686"/>
    <w:rsid w:val="00865B5C"/>
    <w:rsid w:val="00876936"/>
    <w:rsid w:val="008814B8"/>
    <w:rsid w:val="008819DA"/>
    <w:rsid w:val="00887157"/>
    <w:rsid w:val="00887A65"/>
    <w:rsid w:val="0089063B"/>
    <w:rsid w:val="00890C34"/>
    <w:rsid w:val="008916E8"/>
    <w:rsid w:val="008917B9"/>
    <w:rsid w:val="00896014"/>
    <w:rsid w:val="008A2F14"/>
    <w:rsid w:val="008B4134"/>
    <w:rsid w:val="008B5AF8"/>
    <w:rsid w:val="008C254E"/>
    <w:rsid w:val="008D2C52"/>
    <w:rsid w:val="008D487B"/>
    <w:rsid w:val="008D57AD"/>
    <w:rsid w:val="008D6555"/>
    <w:rsid w:val="008E3561"/>
    <w:rsid w:val="008E4A93"/>
    <w:rsid w:val="008F747C"/>
    <w:rsid w:val="0090209F"/>
    <w:rsid w:val="00902338"/>
    <w:rsid w:val="009054CB"/>
    <w:rsid w:val="00910645"/>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4C5A"/>
    <w:rsid w:val="00986E8C"/>
    <w:rsid w:val="00994B4D"/>
    <w:rsid w:val="009979A7"/>
    <w:rsid w:val="009A194A"/>
    <w:rsid w:val="009B2AE9"/>
    <w:rsid w:val="009B2F59"/>
    <w:rsid w:val="009B307F"/>
    <w:rsid w:val="009B7761"/>
    <w:rsid w:val="009C0065"/>
    <w:rsid w:val="009C3EA4"/>
    <w:rsid w:val="009C5117"/>
    <w:rsid w:val="009C6F26"/>
    <w:rsid w:val="009C75F5"/>
    <w:rsid w:val="009C7AAB"/>
    <w:rsid w:val="009E628C"/>
    <w:rsid w:val="009F0791"/>
    <w:rsid w:val="009F0C3E"/>
    <w:rsid w:val="009F392F"/>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5508"/>
    <w:rsid w:val="00A67CD8"/>
    <w:rsid w:val="00A734B5"/>
    <w:rsid w:val="00A74B2B"/>
    <w:rsid w:val="00A840AC"/>
    <w:rsid w:val="00A851C2"/>
    <w:rsid w:val="00A86D6C"/>
    <w:rsid w:val="00A870BA"/>
    <w:rsid w:val="00A9203C"/>
    <w:rsid w:val="00A946F7"/>
    <w:rsid w:val="00A95E01"/>
    <w:rsid w:val="00A96D30"/>
    <w:rsid w:val="00A97B79"/>
    <w:rsid w:val="00AA2AE0"/>
    <w:rsid w:val="00AA7CBB"/>
    <w:rsid w:val="00AB18ED"/>
    <w:rsid w:val="00AB4DE4"/>
    <w:rsid w:val="00AB7175"/>
    <w:rsid w:val="00AB7642"/>
    <w:rsid w:val="00AB7A69"/>
    <w:rsid w:val="00AC29B0"/>
    <w:rsid w:val="00AC3A0C"/>
    <w:rsid w:val="00AC4232"/>
    <w:rsid w:val="00AC7FA2"/>
    <w:rsid w:val="00AD4B7D"/>
    <w:rsid w:val="00AD6394"/>
    <w:rsid w:val="00AE13AF"/>
    <w:rsid w:val="00AF06BC"/>
    <w:rsid w:val="00AF0C03"/>
    <w:rsid w:val="00B16016"/>
    <w:rsid w:val="00B234AF"/>
    <w:rsid w:val="00B27F1B"/>
    <w:rsid w:val="00B36279"/>
    <w:rsid w:val="00B37C1B"/>
    <w:rsid w:val="00B40DC8"/>
    <w:rsid w:val="00B43107"/>
    <w:rsid w:val="00B439EC"/>
    <w:rsid w:val="00B47109"/>
    <w:rsid w:val="00B50945"/>
    <w:rsid w:val="00B5122D"/>
    <w:rsid w:val="00B53242"/>
    <w:rsid w:val="00B5382C"/>
    <w:rsid w:val="00B5781C"/>
    <w:rsid w:val="00B624CF"/>
    <w:rsid w:val="00B63B4B"/>
    <w:rsid w:val="00B6694A"/>
    <w:rsid w:val="00B71785"/>
    <w:rsid w:val="00B8071C"/>
    <w:rsid w:val="00B847B7"/>
    <w:rsid w:val="00B90CD0"/>
    <w:rsid w:val="00B930C9"/>
    <w:rsid w:val="00B94C7D"/>
    <w:rsid w:val="00B97D8D"/>
    <w:rsid w:val="00BA0EED"/>
    <w:rsid w:val="00BA3604"/>
    <w:rsid w:val="00BB0341"/>
    <w:rsid w:val="00BB0755"/>
    <w:rsid w:val="00BB4A78"/>
    <w:rsid w:val="00BB7135"/>
    <w:rsid w:val="00BC3CED"/>
    <w:rsid w:val="00BC5445"/>
    <w:rsid w:val="00BC73C3"/>
    <w:rsid w:val="00BC78C5"/>
    <w:rsid w:val="00BC7B0E"/>
    <w:rsid w:val="00BD2433"/>
    <w:rsid w:val="00BD4B3F"/>
    <w:rsid w:val="00BD6CF4"/>
    <w:rsid w:val="00BE0DFE"/>
    <w:rsid w:val="00BE3015"/>
    <w:rsid w:val="00BE7857"/>
    <w:rsid w:val="00BF1293"/>
    <w:rsid w:val="00BF3B28"/>
    <w:rsid w:val="00C02DB7"/>
    <w:rsid w:val="00C02DEE"/>
    <w:rsid w:val="00C05556"/>
    <w:rsid w:val="00C11323"/>
    <w:rsid w:val="00C1307A"/>
    <w:rsid w:val="00C14A3E"/>
    <w:rsid w:val="00C223D4"/>
    <w:rsid w:val="00C41591"/>
    <w:rsid w:val="00C45F98"/>
    <w:rsid w:val="00C4655D"/>
    <w:rsid w:val="00C46BCF"/>
    <w:rsid w:val="00C51DDA"/>
    <w:rsid w:val="00C52216"/>
    <w:rsid w:val="00C53DB0"/>
    <w:rsid w:val="00C607E3"/>
    <w:rsid w:val="00C611B0"/>
    <w:rsid w:val="00C61825"/>
    <w:rsid w:val="00C6456D"/>
    <w:rsid w:val="00C7616A"/>
    <w:rsid w:val="00C81A83"/>
    <w:rsid w:val="00C83349"/>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57E47"/>
    <w:rsid w:val="00D643E9"/>
    <w:rsid w:val="00D64EA6"/>
    <w:rsid w:val="00D6769E"/>
    <w:rsid w:val="00D676CC"/>
    <w:rsid w:val="00D71ED9"/>
    <w:rsid w:val="00D80335"/>
    <w:rsid w:val="00D8755F"/>
    <w:rsid w:val="00DA67FE"/>
    <w:rsid w:val="00DB360D"/>
    <w:rsid w:val="00DB36EA"/>
    <w:rsid w:val="00DB3B6E"/>
    <w:rsid w:val="00DB5D3D"/>
    <w:rsid w:val="00DC24A9"/>
    <w:rsid w:val="00DC4BF4"/>
    <w:rsid w:val="00DC520A"/>
    <w:rsid w:val="00DD0139"/>
    <w:rsid w:val="00DD0DD6"/>
    <w:rsid w:val="00DD14D2"/>
    <w:rsid w:val="00DD2D47"/>
    <w:rsid w:val="00DD505E"/>
    <w:rsid w:val="00DE2DA4"/>
    <w:rsid w:val="00DF12CD"/>
    <w:rsid w:val="00E0149A"/>
    <w:rsid w:val="00E0378E"/>
    <w:rsid w:val="00E0439B"/>
    <w:rsid w:val="00E0528B"/>
    <w:rsid w:val="00E06590"/>
    <w:rsid w:val="00E072BE"/>
    <w:rsid w:val="00E12BDF"/>
    <w:rsid w:val="00E16177"/>
    <w:rsid w:val="00E209E8"/>
    <w:rsid w:val="00E23168"/>
    <w:rsid w:val="00E3284A"/>
    <w:rsid w:val="00E351A1"/>
    <w:rsid w:val="00E40079"/>
    <w:rsid w:val="00E423A7"/>
    <w:rsid w:val="00E50C47"/>
    <w:rsid w:val="00E51CC2"/>
    <w:rsid w:val="00E55047"/>
    <w:rsid w:val="00E55B8A"/>
    <w:rsid w:val="00E61585"/>
    <w:rsid w:val="00E62556"/>
    <w:rsid w:val="00E65892"/>
    <w:rsid w:val="00E768B6"/>
    <w:rsid w:val="00E83BE7"/>
    <w:rsid w:val="00E90F30"/>
    <w:rsid w:val="00E946CB"/>
    <w:rsid w:val="00EA008C"/>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4B48"/>
    <w:rsid w:val="00EE51B7"/>
    <w:rsid w:val="00EE7D67"/>
    <w:rsid w:val="00EF5709"/>
    <w:rsid w:val="00EF772D"/>
    <w:rsid w:val="00F013AE"/>
    <w:rsid w:val="00F0248D"/>
    <w:rsid w:val="00F0479A"/>
    <w:rsid w:val="00F103CE"/>
    <w:rsid w:val="00F213D6"/>
    <w:rsid w:val="00F256C7"/>
    <w:rsid w:val="00F31B9A"/>
    <w:rsid w:val="00F35272"/>
    <w:rsid w:val="00F35671"/>
    <w:rsid w:val="00F41616"/>
    <w:rsid w:val="00F4735E"/>
    <w:rsid w:val="00F5197F"/>
    <w:rsid w:val="00F524DB"/>
    <w:rsid w:val="00F530B2"/>
    <w:rsid w:val="00F53223"/>
    <w:rsid w:val="00F5469A"/>
    <w:rsid w:val="00F655C4"/>
    <w:rsid w:val="00F663E8"/>
    <w:rsid w:val="00F70A2C"/>
    <w:rsid w:val="00F760D5"/>
    <w:rsid w:val="00F76DC9"/>
    <w:rsid w:val="00F773E4"/>
    <w:rsid w:val="00F8041D"/>
    <w:rsid w:val="00F8105E"/>
    <w:rsid w:val="00F82046"/>
    <w:rsid w:val="00F82C91"/>
    <w:rsid w:val="00F87541"/>
    <w:rsid w:val="00F91F7C"/>
    <w:rsid w:val="00FA607C"/>
    <w:rsid w:val="00FA61C9"/>
    <w:rsid w:val="00FA6A04"/>
    <w:rsid w:val="00FA7D08"/>
    <w:rsid w:val="00FB0853"/>
    <w:rsid w:val="00FB33AD"/>
    <w:rsid w:val="00FB6445"/>
    <w:rsid w:val="00FC0500"/>
    <w:rsid w:val="00FC16EC"/>
    <w:rsid w:val="00FC73C7"/>
    <w:rsid w:val="00FD02D9"/>
    <w:rsid w:val="00FD4F65"/>
    <w:rsid w:val="00FE1847"/>
    <w:rsid w:val="00FE24CB"/>
    <w:rsid w:val="00FE356F"/>
    <w:rsid w:val="00FE404F"/>
    <w:rsid w:val="00FE7AA0"/>
    <w:rsid w:val="00FF2762"/>
    <w:rsid w:val="00FF4055"/>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pt-BR"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pt-BR"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pt-BR"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pt-BR"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pt-BR"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pt-BR" w:eastAsia="en-US"/>
    </w:rPr>
  </w:style>
  <w:style w:type="character" w:customStyle="1" w:styleId="style21">
    <w:name w:val="style21"/>
    <w:rsid w:val="00F869FB"/>
    <w:rPr>
      <w:sz w:val="24"/>
      <w:szCs w:val="24"/>
      <w:lang w:val="pt-BR"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pt-BR"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pt-BR"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paragraph" w:customStyle="1" w:styleId="TableHeading">
    <w:name w:val="Table Heading"/>
    <w:basedOn w:val="Normal"/>
    <w:rsid w:val="00F655C4"/>
    <w:pPr>
      <w:suppressLineNumbers/>
      <w:suppressAutoHyphens/>
      <w:jc w:val="center"/>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f.gov/news/special_reports/i-corps/nodes.j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tatista.com/statistics/1095155/number-of-unicorns-in-latin-america-by-industry/" TargetMode="External"/><Relationship Id="rId2" Type="http://schemas.openxmlformats.org/officeDocument/2006/relationships/hyperlink" Target="https://www.wipo.int/global_innovation_index/en/2020/" TargetMode="External"/><Relationship Id="rId1" Type="http://schemas.openxmlformats.org/officeDocument/2006/relationships/hyperlink" Target="https://www.wipo.int/global_innovation_index/en/2021/" TargetMode="External"/><Relationship Id="rId5" Type="http://schemas.openxmlformats.org/officeDocument/2006/relationships/hyperlink" Target="https://fortune.com/2018/10/26/latinx-female-founders-women-venture-capital-funding/" TargetMode="External"/><Relationship Id="rId4" Type="http://schemas.openxmlformats.org/officeDocument/2006/relationships/hyperlink" Target="https://pitchbook.com/news/articles/the-vc-female-founders-dashboard"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2021-12-08T21:59:00Z</dcterms:created>
  <dcterms:modified xsi:type="dcterms:W3CDTF">2021-12-08T21:59:00Z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