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EE43AF" w:rsidRPr="00AC59E6" w:rsidRDefault="00751848">
      <w:pPr>
        <w:pStyle w:val="P68B1DB1-Normal1"/>
        <w:tabs>
          <w:tab w:val="left" w:pos="7200"/>
        </w:tabs>
        <w:ind w:right="-1080"/>
      </w:pPr>
      <w:r w:rsidRPr="00AC59E6">
        <w:tab/>
        <w:t>OEA/Ser.W</w:t>
      </w:r>
    </w:p>
    <w:p w14:paraId="47887D17" w14:textId="5100E8AC" w:rsidR="00EE43AF" w:rsidRPr="00AC59E6" w:rsidRDefault="00751848">
      <w:pPr>
        <w:pStyle w:val="P68B1DB1-Normal1"/>
        <w:tabs>
          <w:tab w:val="left" w:pos="7200"/>
        </w:tabs>
        <w:ind w:right="-1080"/>
      </w:pPr>
      <w:r w:rsidRPr="00AC59E6">
        <w:tab/>
        <w:t>CIDI/INF.</w:t>
      </w:r>
      <w:r w:rsidR="0078401D">
        <w:t xml:space="preserve"> 486</w:t>
      </w:r>
      <w:r w:rsidRPr="00AC59E6">
        <w:t>/22</w:t>
      </w:r>
    </w:p>
    <w:p w14:paraId="5A33C6A7" w14:textId="76A29D83" w:rsidR="00EE43AF" w:rsidRPr="00AC59E6" w:rsidRDefault="00751848">
      <w:pPr>
        <w:pStyle w:val="P68B1DB1-Normal1"/>
        <w:tabs>
          <w:tab w:val="left" w:pos="7200"/>
        </w:tabs>
        <w:ind w:right="-1080"/>
      </w:pPr>
      <w:r w:rsidRPr="00AC59E6">
        <w:tab/>
      </w:r>
      <w:r w:rsidR="0078401D">
        <w:t xml:space="preserve">7 </w:t>
      </w:r>
      <w:r w:rsidRPr="00AC59E6">
        <w:t>fevereiro 2022</w:t>
      </w:r>
    </w:p>
    <w:p w14:paraId="0F58D2B5" w14:textId="24BEBB87" w:rsidR="00EE43AF" w:rsidRPr="00AC59E6" w:rsidRDefault="00751848">
      <w:pPr>
        <w:pStyle w:val="P68B1DB1-Normal1"/>
        <w:pBdr>
          <w:bottom w:val="single" w:sz="12" w:space="1" w:color="auto"/>
        </w:pBdr>
        <w:tabs>
          <w:tab w:val="left" w:pos="7200"/>
        </w:tabs>
        <w:ind w:right="-389"/>
      </w:pPr>
      <w:r w:rsidRPr="00AC59E6">
        <w:tab/>
        <w:t>Original: espanhol</w:t>
      </w:r>
    </w:p>
    <w:p w14:paraId="5D981BA8" w14:textId="77777777" w:rsidR="00EE43AF" w:rsidRPr="00AC59E6" w:rsidRDefault="00EE43AF">
      <w:pPr>
        <w:pBdr>
          <w:bottom w:val="single" w:sz="12" w:space="1" w:color="auto"/>
        </w:pBdr>
        <w:tabs>
          <w:tab w:val="left" w:pos="7200"/>
        </w:tabs>
        <w:ind w:right="-389"/>
        <w:rPr>
          <w:sz w:val="22"/>
        </w:rPr>
      </w:pPr>
    </w:p>
    <w:p w14:paraId="407B376A" w14:textId="77777777" w:rsidR="00EE43AF" w:rsidRPr="00AC59E6" w:rsidRDefault="00EE43AF" w:rsidP="000C5A3F">
      <w:pPr>
        <w:jc w:val="both"/>
        <w:rPr>
          <w:sz w:val="22"/>
        </w:rPr>
      </w:pPr>
    </w:p>
    <w:p w14:paraId="08CEFE2C" w14:textId="77777777" w:rsidR="00EE43AF" w:rsidRPr="00AC59E6" w:rsidRDefault="00EE43AF" w:rsidP="000C5A3F">
      <w:pPr>
        <w:jc w:val="both"/>
        <w:rPr>
          <w:sz w:val="22"/>
        </w:rPr>
      </w:pPr>
    </w:p>
    <w:p w14:paraId="175A517F" w14:textId="07F98B2B" w:rsidR="00EE43AF" w:rsidRPr="00AC59E6" w:rsidRDefault="00751848" w:rsidP="000C5A3F">
      <w:pPr>
        <w:pStyle w:val="P68B1DB1-Normal1"/>
        <w:jc w:val="center"/>
      </w:pPr>
      <w:r w:rsidRPr="00AC59E6">
        <w:t>NOTA CONCEITUAL</w:t>
      </w:r>
    </w:p>
    <w:p w14:paraId="0B5CB868" w14:textId="77777777" w:rsidR="00EE43AF" w:rsidRPr="00AC59E6" w:rsidRDefault="00EE43AF" w:rsidP="000C5A3F">
      <w:pPr>
        <w:jc w:val="both"/>
        <w:rPr>
          <w:rFonts w:eastAsia="Calibri"/>
          <w:sz w:val="22"/>
        </w:rPr>
      </w:pPr>
    </w:p>
    <w:p w14:paraId="215CDB98" w14:textId="438FF0AC" w:rsidR="00EE43AF" w:rsidRPr="00AC59E6" w:rsidRDefault="00751848" w:rsidP="000C5A3F">
      <w:pPr>
        <w:pStyle w:val="P68B1DB1-Normal2"/>
        <w:jc w:val="center"/>
        <w:rPr>
          <w:rFonts w:eastAsia="Calibri"/>
        </w:rPr>
      </w:pPr>
      <w:r w:rsidRPr="00AC59E6">
        <w:t>Reunião ordinária do</w:t>
      </w:r>
    </w:p>
    <w:p w14:paraId="02610FD8" w14:textId="1561936D" w:rsidR="00EE43AF" w:rsidRPr="00AC59E6" w:rsidRDefault="00751848" w:rsidP="000C5A3F">
      <w:pPr>
        <w:pStyle w:val="P68B1DB1-Normal2"/>
        <w:jc w:val="center"/>
        <w:rPr>
          <w:rFonts w:eastAsia="Calibri"/>
        </w:rPr>
      </w:pPr>
      <w:r w:rsidRPr="00AC59E6">
        <w:t>Conselho Interamericano de Desenvolvimento Integral (CIDI)</w:t>
      </w:r>
    </w:p>
    <w:p w14:paraId="60A978BB" w14:textId="64D38C8B" w:rsidR="00EE43AF" w:rsidRPr="00AC59E6" w:rsidRDefault="00751848" w:rsidP="000C5A3F">
      <w:pPr>
        <w:pStyle w:val="P68B1DB1-Normal1"/>
        <w:jc w:val="center"/>
        <w:rPr>
          <w:caps/>
        </w:rPr>
      </w:pPr>
      <w:r w:rsidRPr="00AC59E6">
        <w:rPr>
          <w:caps/>
        </w:rPr>
        <w:t>22 DE FEVEREIRO</w:t>
      </w:r>
      <w:r w:rsidRPr="00AC59E6">
        <w:t xml:space="preserve"> DE </w:t>
      </w:r>
      <w:r w:rsidRPr="00AC59E6">
        <w:rPr>
          <w:caps/>
        </w:rPr>
        <w:t>2022</w:t>
      </w:r>
    </w:p>
    <w:p w14:paraId="32410C52" w14:textId="77777777" w:rsidR="00EE43AF" w:rsidRPr="00AC59E6" w:rsidRDefault="00EE43AF" w:rsidP="000C5A3F">
      <w:pPr>
        <w:jc w:val="both"/>
        <w:rPr>
          <w:rFonts w:eastAsia="Calibri"/>
          <w:caps/>
          <w:sz w:val="22"/>
        </w:rPr>
      </w:pPr>
    </w:p>
    <w:p w14:paraId="288951F7" w14:textId="446FA915" w:rsidR="00EE43AF" w:rsidRPr="00AC59E6" w:rsidRDefault="00751848" w:rsidP="000C5A3F">
      <w:pPr>
        <w:pStyle w:val="P68B1DB1-Normal1"/>
        <w:jc w:val="center"/>
      </w:pPr>
      <w:r w:rsidRPr="00AC59E6">
        <w:t>(Elaborado pela Presidência do CIDI com o apoio do Departamento de Inclusão Social da Secretaria de Acesso a Direitos e Equidade)</w:t>
      </w:r>
    </w:p>
    <w:p w14:paraId="15CD43B6" w14:textId="07E0EEF3" w:rsidR="00EE43AF" w:rsidRPr="00AC59E6" w:rsidRDefault="00EE43AF" w:rsidP="000C5A3F">
      <w:pPr>
        <w:jc w:val="both"/>
        <w:rPr>
          <w:sz w:val="22"/>
        </w:rPr>
      </w:pPr>
    </w:p>
    <w:p w14:paraId="0B91DC60" w14:textId="77777777" w:rsidR="00EE43AF" w:rsidRPr="00AC59E6" w:rsidRDefault="00EE43AF" w:rsidP="000C5A3F">
      <w:pPr>
        <w:jc w:val="both"/>
        <w:rPr>
          <w:rFonts w:eastAsia="Calibri"/>
          <w:sz w:val="22"/>
        </w:rPr>
      </w:pPr>
    </w:p>
    <w:p w14:paraId="5DB5D674" w14:textId="1E554DB8" w:rsidR="00EE43AF" w:rsidRPr="00AC59E6" w:rsidRDefault="00751848" w:rsidP="000C5A3F">
      <w:pPr>
        <w:pStyle w:val="P68B1DB1-Normal1"/>
        <w:ind w:left="1080" w:hanging="1080"/>
        <w:contextualSpacing/>
        <w:jc w:val="both"/>
        <w:rPr>
          <w:b/>
        </w:rPr>
      </w:pPr>
      <w:r w:rsidRPr="00AC59E6">
        <w:t>TEMA:</w:t>
      </w:r>
      <w:r w:rsidRPr="00AC59E6">
        <w:rPr>
          <w:b/>
        </w:rPr>
        <w:tab/>
        <w:t>FORTALECIMENTO DAS REDES DE PROTEÇÃO SOCIAL PARA UMA RECUPERAÇÃO INCLUSIVA, RESILIENTE E SUSTENTÁVEL A PARTIR DE UMA ABORDAGEM DOS DIREITOS HUMANOS: Reconhecendo e abordando os impactos diferenciais das crises sobre as mulheres e grupos em situação de vulnerabilidade nas Américas</w:t>
      </w:r>
    </w:p>
    <w:p w14:paraId="2548068C" w14:textId="0A952443" w:rsidR="00EE43AF" w:rsidRPr="000C5A3F" w:rsidRDefault="00EE43AF" w:rsidP="000C5A3F">
      <w:pPr>
        <w:pStyle w:val="P68B1DB1-Normal3"/>
        <w:ind w:left="1080" w:hanging="1080"/>
        <w:contextualSpacing/>
        <w:jc w:val="both"/>
        <w:rPr>
          <w:b w:val="0"/>
          <w:bCs/>
        </w:rPr>
      </w:pPr>
    </w:p>
    <w:p w14:paraId="169CCA07" w14:textId="77777777" w:rsidR="000C5A3F" w:rsidRPr="000C5A3F" w:rsidRDefault="000C5A3F" w:rsidP="000C5A3F">
      <w:pPr>
        <w:pStyle w:val="P68B1DB1-Normal3"/>
        <w:ind w:left="1080" w:hanging="1080"/>
        <w:contextualSpacing/>
        <w:jc w:val="both"/>
        <w:rPr>
          <w:b w:val="0"/>
          <w:bCs/>
        </w:rPr>
      </w:pPr>
    </w:p>
    <w:p w14:paraId="1FE97DF8" w14:textId="40785AE3" w:rsidR="00EE43AF" w:rsidRPr="00AC59E6" w:rsidRDefault="00751848" w:rsidP="000C5A3F">
      <w:pPr>
        <w:pStyle w:val="P68B1DB1-Normal3"/>
        <w:numPr>
          <w:ilvl w:val="0"/>
          <w:numId w:val="10"/>
        </w:numPr>
        <w:ind w:left="0" w:firstLine="0"/>
        <w:rPr>
          <w:rFonts w:eastAsia="Calibri"/>
        </w:rPr>
      </w:pPr>
      <w:r w:rsidRPr="00AC59E6">
        <w:t>Antecedentes e Justificativa</w:t>
      </w:r>
    </w:p>
    <w:p w14:paraId="203A6EDD" w14:textId="77777777" w:rsidR="00EE43AF" w:rsidRPr="000C5A3F" w:rsidRDefault="00EE43AF" w:rsidP="000C5A3F">
      <w:pPr>
        <w:rPr>
          <w:rFonts w:eastAsia="Calibri"/>
          <w:bCs/>
          <w:sz w:val="22"/>
        </w:rPr>
      </w:pPr>
    </w:p>
    <w:p w14:paraId="235DD257" w14:textId="43AAD92A" w:rsidR="00EE43AF" w:rsidRPr="00AC59E6" w:rsidRDefault="00751848" w:rsidP="000C5A3F">
      <w:pPr>
        <w:pStyle w:val="P68B1DB1-Normal1"/>
        <w:ind w:firstLine="720"/>
        <w:jc w:val="both"/>
      </w:pPr>
      <w:r w:rsidRPr="00AC59E6">
        <w:t>A pandemia d</w:t>
      </w:r>
      <w:r w:rsidR="00D3478E" w:rsidRPr="00AC59E6">
        <w:t>e</w:t>
      </w:r>
      <w:r w:rsidRPr="00AC59E6">
        <w:t xml:space="preserve"> </w:t>
      </w:r>
      <w:r w:rsidR="00D3478E" w:rsidRPr="00AC59E6">
        <w:t>covid</w:t>
      </w:r>
      <w:r w:rsidRPr="00AC59E6">
        <w:t xml:space="preserve">-19 revelou e aprofundou as desigualdades estruturais, e ao mesmo tempo gerou novos problemas a nível global. Os últimos dois anos foram caracterizados por uma elevada incerteza associada a uma forte crise sanitária e econômica cujas graves consequências apresentam desafios inevitáveis para os Estados. </w:t>
      </w:r>
    </w:p>
    <w:p w14:paraId="3C83F5EC" w14:textId="77777777" w:rsidR="00EE43AF" w:rsidRPr="00AC59E6" w:rsidRDefault="00EE43AF" w:rsidP="000C5A3F">
      <w:pPr>
        <w:rPr>
          <w:sz w:val="22"/>
        </w:rPr>
      </w:pPr>
    </w:p>
    <w:p w14:paraId="7CEEF981" w14:textId="6BC55338" w:rsidR="00EE43AF" w:rsidRPr="00AC59E6" w:rsidRDefault="00751848" w:rsidP="000C5A3F">
      <w:pPr>
        <w:ind w:firstLine="708"/>
        <w:jc w:val="both"/>
        <w:rPr>
          <w:color w:val="000000" w:themeColor="text1"/>
          <w:sz w:val="22"/>
        </w:rPr>
      </w:pPr>
      <w:r w:rsidRPr="00AC59E6">
        <w:rPr>
          <w:color w:val="000000" w:themeColor="text1"/>
          <w:sz w:val="22"/>
        </w:rPr>
        <w:t>Pesquisadores da área alertaram que, como consequência da pandemia, foram colocados em risco importantes avanços que a região alcançou após décadas de combate à pobreza e fortalecimento dos sistemas de proteção social, entendidos como o conjunto de políticas para garantir direitos econômicos sociais e culturais básicos como saúde, educação, trabalho, alimentação adequada e seguridade social, entre outros</w:t>
      </w:r>
      <w:r w:rsidRPr="00AC59E6">
        <w:rPr>
          <w:rStyle w:val="FootnoteReference"/>
          <w:color w:val="000000" w:themeColor="text1"/>
          <w:sz w:val="22"/>
          <w:u w:val="single"/>
        </w:rPr>
        <w:footnoteReference w:id="1"/>
      </w:r>
      <w:r w:rsidRPr="00AC59E6">
        <w:rPr>
          <w:color w:val="000000" w:themeColor="text1"/>
          <w:sz w:val="22"/>
          <w:vertAlign w:val="superscript"/>
        </w:rPr>
        <w:t>/</w:t>
      </w:r>
      <w:r w:rsidRPr="00AC59E6">
        <w:rPr>
          <w:color w:val="000000" w:themeColor="text1"/>
          <w:sz w:val="22"/>
        </w:rPr>
        <w:t>. Ao mesmo tempo, o novo cenário socioeconômico compromete seriamente as possibilidades dos Estados se aproximarem do alcance das metas acordadas na Agenda 2030 para o Desenvolvimento Sustentável</w:t>
      </w:r>
      <w:r w:rsidRPr="00AC59E6">
        <w:rPr>
          <w:rStyle w:val="FootnoteReference"/>
          <w:color w:val="000000" w:themeColor="text1"/>
          <w:sz w:val="22"/>
          <w:u w:val="single"/>
        </w:rPr>
        <w:footnoteReference w:id="2"/>
      </w:r>
      <w:r w:rsidRPr="00AC59E6">
        <w:rPr>
          <w:color w:val="000000" w:themeColor="text1"/>
          <w:sz w:val="22"/>
          <w:vertAlign w:val="superscript"/>
        </w:rPr>
        <w:t>/</w:t>
      </w:r>
      <w:r w:rsidRPr="00AC59E6">
        <w:rPr>
          <w:color w:val="000000" w:themeColor="text1"/>
          <w:sz w:val="22"/>
        </w:rPr>
        <w:t>.</w:t>
      </w:r>
    </w:p>
    <w:p w14:paraId="76E27EF8" w14:textId="77777777" w:rsidR="00EE43AF" w:rsidRPr="00AC59E6" w:rsidRDefault="00EE43AF" w:rsidP="000C5A3F">
      <w:pPr>
        <w:rPr>
          <w:color w:val="000000" w:themeColor="text1"/>
          <w:sz w:val="22"/>
        </w:rPr>
      </w:pPr>
    </w:p>
    <w:p w14:paraId="76E6BDED" w14:textId="1CBE4E2C" w:rsidR="00EE43AF" w:rsidRPr="00AC59E6" w:rsidRDefault="00751848" w:rsidP="000C5A3F">
      <w:pPr>
        <w:pStyle w:val="P68B1DB1-Normal4"/>
        <w:ind w:firstLine="708"/>
        <w:jc w:val="both"/>
      </w:pPr>
      <w:r w:rsidRPr="00AC59E6">
        <w:lastRenderedPageBreak/>
        <w:t>A proteção social constitui um “mecanismo indispensável para prestar ajuda às pessoas em tempos de crise”</w:t>
      </w:r>
      <w:r w:rsidRPr="00AC59E6">
        <w:rPr>
          <w:szCs w:val="22"/>
          <w:u w:val="single"/>
          <w:vertAlign w:val="superscript"/>
        </w:rPr>
        <w:footnoteReference w:id="3"/>
      </w:r>
      <w:r w:rsidRPr="00AC59E6">
        <w:rPr>
          <w:szCs w:val="22"/>
          <w:u w:val="single"/>
          <w:vertAlign w:val="superscript"/>
        </w:rPr>
        <w:t>/</w:t>
      </w:r>
      <w:r w:rsidR="00E837FB" w:rsidRPr="00AC59E6">
        <w:t xml:space="preserve">. </w:t>
      </w:r>
      <w:r w:rsidRPr="00AC59E6">
        <w:t xml:space="preserve">Como aponta a Comissão Econômica para a América Latina e o Caribe (CEPAL), as respostas em termos de proteção social devem articular medidas de curto prazo necessárias para enfrentar as manifestações mais agudas da emergência (garantia universal de renda, acesso universal a testes, vacinas e assistência médica, serviços básicos e moradia, alimentação adequada e educação), com outras de médio e longo prazo (saúde universal, estratégias de inclusão trabalhista no período de recuperação), visando garantir o exercício dos direitos das pessoas por meio do fortalecimento do </w:t>
      </w:r>
      <w:r w:rsidR="00972B7C" w:rsidRPr="00AC59E6">
        <w:t>e</w:t>
      </w:r>
      <w:r w:rsidRPr="00AC59E6">
        <w:t>stado de bem-estar e da provisão universal de proteção social</w:t>
      </w:r>
      <w:r w:rsidRPr="00AC59E6">
        <w:rPr>
          <w:szCs w:val="22"/>
          <w:u w:val="single"/>
          <w:vertAlign w:val="superscript"/>
        </w:rPr>
        <w:footnoteReference w:id="4"/>
      </w:r>
      <w:r w:rsidRPr="001E6C82">
        <w:rPr>
          <w:szCs w:val="22"/>
          <w:vertAlign w:val="superscript"/>
        </w:rPr>
        <w:t>/</w:t>
      </w:r>
      <w:r w:rsidRPr="00AC59E6">
        <w:t>.</w:t>
      </w:r>
    </w:p>
    <w:p w14:paraId="74BCD194" w14:textId="77777777" w:rsidR="00EE43AF" w:rsidRPr="00AC59E6" w:rsidRDefault="00EE43AF" w:rsidP="000C5A3F">
      <w:pPr>
        <w:rPr>
          <w:color w:val="000000" w:themeColor="text1"/>
          <w:sz w:val="22"/>
        </w:rPr>
      </w:pPr>
    </w:p>
    <w:p w14:paraId="1D9BC58D" w14:textId="0279A1CA" w:rsidR="00EE43AF" w:rsidRPr="00AC59E6" w:rsidRDefault="00751848" w:rsidP="000C5A3F">
      <w:pPr>
        <w:ind w:firstLine="708"/>
        <w:jc w:val="both"/>
        <w:rPr>
          <w:color w:val="000000" w:themeColor="text1"/>
          <w:sz w:val="22"/>
        </w:rPr>
      </w:pPr>
      <w:r w:rsidRPr="00AC59E6">
        <w:rPr>
          <w:color w:val="000000" w:themeColor="text1"/>
          <w:sz w:val="22"/>
        </w:rPr>
        <w:t>Para lidar com a pandemia, os governos da região tiveram que reagir rapidamente e fizeram uso dos programas sociais existentes, ajustando-os para atender às necessidades dos grupos mais vulneráveis. A saber: programas de assistência social -expansão de transferências monetárias, bônus temporários específicos-; programas e iniciativas que visam mitigar a queda da renda dos trabalhadores informais; programas de alimentação; subsídios para serviços de habitação; redução e/ou flexibilização de horas trabalhadas e/ou teletrabalho; entre outros</w:t>
      </w:r>
      <w:r w:rsidRPr="00AC59E6">
        <w:rPr>
          <w:rStyle w:val="FootnoteReference"/>
          <w:color w:val="000000" w:themeColor="text1"/>
          <w:sz w:val="22"/>
          <w:u w:val="single"/>
        </w:rPr>
        <w:footnoteReference w:id="5"/>
      </w:r>
      <w:r w:rsidRPr="00AC59E6">
        <w:rPr>
          <w:color w:val="000000" w:themeColor="text1"/>
          <w:sz w:val="22"/>
          <w:vertAlign w:val="superscript"/>
        </w:rPr>
        <w:t>/</w:t>
      </w:r>
      <w:r w:rsidRPr="00AC59E6">
        <w:rPr>
          <w:color w:val="000000" w:themeColor="text1"/>
          <w:sz w:val="22"/>
        </w:rPr>
        <w:t>.</w:t>
      </w:r>
    </w:p>
    <w:p w14:paraId="1F43AE12" w14:textId="77777777" w:rsidR="00EE43AF" w:rsidRPr="00AC59E6" w:rsidRDefault="00EE43AF" w:rsidP="000C5A3F">
      <w:pPr>
        <w:rPr>
          <w:color w:val="000000" w:themeColor="text1"/>
          <w:sz w:val="22"/>
        </w:rPr>
      </w:pPr>
    </w:p>
    <w:p w14:paraId="11E3794E" w14:textId="3B53DEA2" w:rsidR="00EE43AF" w:rsidRPr="00AC59E6" w:rsidRDefault="00751848" w:rsidP="000C5A3F">
      <w:pPr>
        <w:pStyle w:val="P68B1DB1-Normal4"/>
        <w:ind w:firstLine="708"/>
        <w:jc w:val="both"/>
      </w:pPr>
      <w:r w:rsidRPr="00AC59E6">
        <w:t xml:space="preserve">Nesse sentido, considerar como a pandemia afeta determinados grupos ajudará a aumentar a eficácia dos esforços de contenção e minimizar possíveis impactos negativos. Esta reunião se propõe a abordar os avanços e desafios na implementação de redes e sistemas de proteção social que visem uma recuperação pós-COVID-19 inclusiva, resiliente e sustentável com foco diferencial em mulheres e grupos em situação de vulnerabilidade. </w:t>
      </w:r>
    </w:p>
    <w:p w14:paraId="55978A80" w14:textId="77777777" w:rsidR="00EE43AF" w:rsidRPr="00AC59E6" w:rsidRDefault="00EE43AF" w:rsidP="000C5A3F">
      <w:pPr>
        <w:rPr>
          <w:color w:val="000000" w:themeColor="text1"/>
          <w:sz w:val="22"/>
        </w:rPr>
      </w:pPr>
    </w:p>
    <w:p w14:paraId="19572451" w14:textId="5E2D0F11" w:rsidR="00EE43AF" w:rsidRPr="00AC59E6" w:rsidRDefault="00751848" w:rsidP="000C5A3F">
      <w:pPr>
        <w:ind w:firstLine="708"/>
        <w:jc w:val="both"/>
        <w:rPr>
          <w:color w:val="000000" w:themeColor="text1"/>
          <w:sz w:val="22"/>
        </w:rPr>
      </w:pPr>
      <w:r w:rsidRPr="00AC59E6">
        <w:rPr>
          <w:color w:val="000000" w:themeColor="text1"/>
          <w:sz w:val="22"/>
        </w:rPr>
        <w:t>A Comissão Interamericana de Mulheres (CIM-OEA) publicou vários artigos estabelecendo razões fundamentais para reconhecer os impactos diferenciais da pandemia na vida das mulheres</w:t>
      </w:r>
      <w:r w:rsidRPr="00AC59E6">
        <w:rPr>
          <w:rStyle w:val="FootnoteReference"/>
          <w:color w:val="000000" w:themeColor="text1"/>
          <w:sz w:val="22"/>
          <w:u w:val="single"/>
        </w:rPr>
        <w:footnoteReference w:id="6"/>
      </w:r>
      <w:r w:rsidRPr="00AC59E6">
        <w:rPr>
          <w:color w:val="000000" w:themeColor="text1"/>
          <w:sz w:val="22"/>
          <w:vertAlign w:val="superscript"/>
        </w:rPr>
        <w:t>/</w:t>
      </w:r>
      <w:r w:rsidRPr="00AC59E6">
        <w:rPr>
          <w:color w:val="000000" w:themeColor="text1"/>
          <w:sz w:val="22"/>
        </w:rPr>
        <w:t xml:space="preserve">. Isso </w:t>
      </w:r>
      <w:r w:rsidR="00972B7C" w:rsidRPr="00AC59E6">
        <w:rPr>
          <w:color w:val="000000" w:themeColor="text1"/>
          <w:sz w:val="22"/>
        </w:rPr>
        <w:t>frisa</w:t>
      </w:r>
      <w:r w:rsidRPr="00AC59E6">
        <w:rPr>
          <w:color w:val="000000" w:themeColor="text1"/>
          <w:sz w:val="22"/>
        </w:rPr>
        <w:t xml:space="preserve"> a importância da aplicação de políticas e programas deliberados para abordar as lacunas e desigualdades de gênero que comprometem o acesso a oportunidades e afetam negativamente a autonomia das mulheres para o livre exercício dos direitos humanos básicos. O mesmo acontece com os grupos vulneráveis, que muitas vezes são os mais afetados pelas crises e são os principais beneficiários das redes de proteção social. </w:t>
      </w:r>
    </w:p>
    <w:p w14:paraId="2ADDB603" w14:textId="7BB57293" w:rsidR="00EE43AF" w:rsidRPr="00AC59E6" w:rsidRDefault="00EE43AF" w:rsidP="000C5A3F">
      <w:pPr>
        <w:rPr>
          <w:color w:val="000000" w:themeColor="text1"/>
          <w:sz w:val="22"/>
        </w:rPr>
      </w:pPr>
    </w:p>
    <w:p w14:paraId="3CADFBCD" w14:textId="43227F9B" w:rsidR="00EE43AF" w:rsidRPr="00AC59E6" w:rsidRDefault="00751848" w:rsidP="000C5A3F">
      <w:pPr>
        <w:ind w:firstLine="708"/>
        <w:jc w:val="both"/>
        <w:rPr>
          <w:color w:val="000000" w:themeColor="text1"/>
          <w:sz w:val="22"/>
        </w:rPr>
      </w:pPr>
      <w:r w:rsidRPr="00AC59E6">
        <w:rPr>
          <w:color w:val="000000" w:themeColor="text1"/>
          <w:sz w:val="22"/>
        </w:rPr>
        <w:t xml:space="preserve">Os instrumentos de proteção social devem assumir um caráter multissetorial na assistência prestada, entendendo-se que o surto de COVID-19 terá repercussões sociais e econômicas de longo prazo diferentes para cada pessoa. Para enfrentar efetivamente os problemas encarados pelas mulheres da região, bem como por outros grupos em situação de vulnerabilidade, será essencial contar com uma proteção social que leve em conta os impactos diferenciados. Para tanto, os Estados são convidados a: </w:t>
      </w:r>
      <w:r w:rsidRPr="00AC59E6">
        <w:rPr>
          <w:sz w:val="22"/>
        </w:rPr>
        <w:t xml:space="preserve">projetar ou expandir programas de transferência de renda capazes de transformar as relações de gênero; </w:t>
      </w:r>
      <w:r w:rsidRPr="00AC59E6">
        <w:rPr>
          <w:color w:val="000000" w:themeColor="text1"/>
          <w:sz w:val="22"/>
        </w:rPr>
        <w:lastRenderedPageBreak/>
        <w:t>implementar serviços de apoio em espécie para abordar a saúde sexual e reprodutiva; assegurar que os programas de proteção social respondam aos riscos da violência baseada no gênero; promover e apoiar a implementação governamental e empresarial de medidas sensíveis ao gênero e favoráveis à família, entre outros</w:t>
      </w:r>
      <w:r w:rsidRPr="00AC59E6">
        <w:rPr>
          <w:rStyle w:val="FootnoteReference"/>
          <w:color w:val="000000" w:themeColor="text1"/>
          <w:sz w:val="22"/>
          <w:u w:val="single"/>
        </w:rPr>
        <w:footnoteReference w:id="7"/>
      </w:r>
      <w:r w:rsidRPr="00AC59E6">
        <w:rPr>
          <w:color w:val="000000" w:themeColor="text1"/>
          <w:sz w:val="22"/>
          <w:vertAlign w:val="superscript"/>
        </w:rPr>
        <w:t>/</w:t>
      </w:r>
      <w:r w:rsidRPr="00AC59E6">
        <w:rPr>
          <w:color w:val="000000" w:themeColor="text1"/>
          <w:sz w:val="22"/>
        </w:rPr>
        <w:t>.</w:t>
      </w:r>
    </w:p>
    <w:p w14:paraId="395A58B4" w14:textId="77777777" w:rsidR="00EE43AF" w:rsidRPr="00AC59E6" w:rsidRDefault="00EE43AF" w:rsidP="000C5A3F">
      <w:pPr>
        <w:rPr>
          <w:color w:val="000000" w:themeColor="text1"/>
          <w:sz w:val="22"/>
        </w:rPr>
      </w:pPr>
    </w:p>
    <w:p w14:paraId="7F730951" w14:textId="2885B15C" w:rsidR="00EE43AF" w:rsidRPr="00AC59E6" w:rsidRDefault="00751848" w:rsidP="000C5A3F">
      <w:pPr>
        <w:ind w:firstLine="708"/>
        <w:jc w:val="both"/>
        <w:rPr>
          <w:color w:val="000000" w:themeColor="text1"/>
          <w:sz w:val="22"/>
        </w:rPr>
      </w:pPr>
      <w:r w:rsidRPr="00AC59E6">
        <w:rPr>
          <w:color w:val="000000" w:themeColor="text1"/>
          <w:sz w:val="22"/>
        </w:rPr>
        <w:t>Nesse sentido, o desafio de governos e organismos internacionais em orientar políticas que busquem a equidade na mitigação e recuperação da crise pode representar uma oportunidade para que sejam adequadas e efetivas, na medida em que respondam às necessidades da população como um todo, reconhecendo os impactos diferenciais de acordo com gênero, identidade, nível socioeconômico, etnia, raça, entre outros</w:t>
      </w:r>
      <w:r w:rsidRPr="00AC59E6">
        <w:rPr>
          <w:rStyle w:val="FootnoteReference"/>
          <w:color w:val="000000" w:themeColor="text1"/>
          <w:sz w:val="22"/>
          <w:u w:val="single"/>
        </w:rPr>
        <w:footnoteReference w:id="8"/>
      </w:r>
      <w:r w:rsidRPr="00AC59E6">
        <w:rPr>
          <w:color w:val="000000" w:themeColor="text1"/>
          <w:sz w:val="22"/>
          <w:vertAlign w:val="superscript"/>
        </w:rPr>
        <w:t>/</w:t>
      </w:r>
      <w:r w:rsidRPr="00AC59E6">
        <w:rPr>
          <w:color w:val="000000" w:themeColor="text1"/>
          <w:sz w:val="22"/>
        </w:rPr>
        <w:t>.</w:t>
      </w:r>
    </w:p>
    <w:p w14:paraId="00EF82A1" w14:textId="27DEA4B7" w:rsidR="00EE43AF" w:rsidRPr="00AC59E6" w:rsidRDefault="00EE43AF" w:rsidP="000C5A3F">
      <w:pPr>
        <w:jc w:val="both"/>
        <w:rPr>
          <w:rFonts w:eastAsia="Calibri"/>
          <w:sz w:val="22"/>
        </w:rPr>
      </w:pPr>
    </w:p>
    <w:p w14:paraId="5E777802" w14:textId="6D23029E" w:rsidR="00EE43AF" w:rsidRPr="00AC59E6" w:rsidRDefault="00751848" w:rsidP="000C5A3F">
      <w:pPr>
        <w:ind w:firstLine="708"/>
        <w:jc w:val="both"/>
        <w:rPr>
          <w:color w:val="000000" w:themeColor="text1"/>
          <w:sz w:val="22"/>
        </w:rPr>
      </w:pPr>
      <w:r w:rsidRPr="00AC59E6">
        <w:rPr>
          <w:color w:val="000000" w:themeColor="text1"/>
          <w:sz w:val="22"/>
        </w:rPr>
        <w:t xml:space="preserve">A pandemia também representa uma oportunidade para os governos da região </w:t>
      </w:r>
      <w:r w:rsidR="0019600B" w:rsidRPr="00AC59E6">
        <w:rPr>
          <w:color w:val="000000" w:themeColor="text1"/>
          <w:sz w:val="22"/>
        </w:rPr>
        <w:t xml:space="preserve">de </w:t>
      </w:r>
      <w:r w:rsidRPr="00AC59E6">
        <w:rPr>
          <w:color w:val="000000" w:themeColor="text1"/>
          <w:sz w:val="22"/>
        </w:rPr>
        <w:t>explorar, revisar, redesenhar e ampliar</w:t>
      </w:r>
      <w:r w:rsidR="0019600B" w:rsidRPr="00AC59E6">
        <w:rPr>
          <w:color w:val="000000" w:themeColor="text1"/>
          <w:sz w:val="22"/>
        </w:rPr>
        <w:t xml:space="preserve"> </w:t>
      </w:r>
      <w:r w:rsidRPr="00AC59E6">
        <w:rPr>
          <w:color w:val="000000" w:themeColor="text1"/>
          <w:sz w:val="22"/>
        </w:rPr>
        <w:t>suas políticas de proteção social, ou mesmo inovar propondo novas respostas para construir e consolidar sistemas integrais que permitam a recuperação e melhor preparação de nossas sociedades para enfrentar futuras crises sanitárias, econômicas, ambientais</w:t>
      </w:r>
      <w:r w:rsidRPr="00AC59E6">
        <w:rPr>
          <w:rStyle w:val="FootnoteReference"/>
          <w:color w:val="000000" w:themeColor="text1"/>
          <w:sz w:val="22"/>
          <w:u w:val="single"/>
        </w:rPr>
        <w:footnoteReference w:id="9"/>
      </w:r>
      <w:r w:rsidRPr="00AC59E6">
        <w:rPr>
          <w:color w:val="000000" w:themeColor="text1"/>
          <w:sz w:val="22"/>
          <w:vertAlign w:val="superscript"/>
        </w:rPr>
        <w:t>/</w:t>
      </w:r>
      <w:r w:rsidRPr="00AC59E6">
        <w:rPr>
          <w:color w:val="000000" w:themeColor="text1"/>
          <w:sz w:val="22"/>
        </w:rPr>
        <w:t>.</w:t>
      </w:r>
    </w:p>
    <w:p w14:paraId="55571647" w14:textId="77777777" w:rsidR="00EE43AF" w:rsidRPr="00AC59E6" w:rsidRDefault="00EE43AF" w:rsidP="000C5A3F">
      <w:pPr>
        <w:jc w:val="both"/>
        <w:rPr>
          <w:rFonts w:eastAsia="Calibri"/>
          <w:sz w:val="22"/>
        </w:rPr>
      </w:pPr>
    </w:p>
    <w:p w14:paraId="59A074F4" w14:textId="48B4C24C" w:rsidR="00EE43AF" w:rsidRPr="00AC59E6" w:rsidRDefault="00751848" w:rsidP="000C5A3F">
      <w:pPr>
        <w:pStyle w:val="P68B1DB1-Normal3"/>
        <w:numPr>
          <w:ilvl w:val="0"/>
          <w:numId w:val="10"/>
        </w:numPr>
        <w:ind w:left="0" w:firstLine="0"/>
        <w:rPr>
          <w:rFonts w:eastAsia="Calibri"/>
        </w:rPr>
      </w:pPr>
      <w:r w:rsidRPr="00AC59E6">
        <w:t>Objetivo da reunião</w:t>
      </w:r>
    </w:p>
    <w:p w14:paraId="7514AFD0" w14:textId="35A9BF11" w:rsidR="00EE43AF" w:rsidRPr="000C5A3F" w:rsidRDefault="00EE43AF" w:rsidP="000C5A3F">
      <w:pPr>
        <w:rPr>
          <w:rFonts w:eastAsia="Calibri"/>
          <w:bCs/>
          <w:sz w:val="22"/>
        </w:rPr>
      </w:pPr>
    </w:p>
    <w:p w14:paraId="4FCA49A1" w14:textId="73284E0D" w:rsidR="00EE43AF" w:rsidRPr="00AC59E6" w:rsidRDefault="006F230E" w:rsidP="000C5A3F">
      <w:pPr>
        <w:pStyle w:val="P68B1DB1-NoSpacing5"/>
        <w:jc w:val="both"/>
        <w:rPr>
          <w:color w:val="000000" w:themeColor="text1"/>
          <w:lang w:val="pt-BR"/>
        </w:rPr>
      </w:pPr>
      <w:bookmarkStart w:id="0" w:name="_Hlk77271427"/>
      <w:r w:rsidRPr="00AC59E6">
        <w:rPr>
          <w:color w:val="000000" w:themeColor="text1"/>
          <w:lang w:val="pt-BR"/>
        </w:rPr>
        <w:tab/>
      </w:r>
      <w:r w:rsidR="00751848" w:rsidRPr="00AC59E6">
        <w:rPr>
          <w:color w:val="000000" w:themeColor="text1"/>
          <w:lang w:val="pt-BR"/>
        </w:rPr>
        <w:t xml:space="preserve">Esta reunião do CIDI oferecerá aos Estados membros a oportunidade de discutir prioridades acionáveis para avançar a colaboração regional para fortalecer a proteção social de forma abrangente e sustentável como estratégia fundamental para atender às necessidades sociais persistentes nas Américas, inclusive as emergentes como consequência da pandemia de </w:t>
      </w:r>
      <w:r w:rsidR="00D3478E" w:rsidRPr="00AC59E6">
        <w:rPr>
          <w:color w:val="000000" w:themeColor="text1"/>
          <w:lang w:val="pt-BR"/>
        </w:rPr>
        <w:t>covid</w:t>
      </w:r>
      <w:r w:rsidR="00751848" w:rsidRPr="00AC59E6">
        <w:rPr>
          <w:color w:val="000000" w:themeColor="text1"/>
          <w:lang w:val="pt-BR"/>
        </w:rPr>
        <w:t xml:space="preserve">-19. </w:t>
      </w:r>
    </w:p>
    <w:p w14:paraId="43171DA1" w14:textId="68D8717E" w:rsidR="00EE43AF" w:rsidRPr="00AC59E6" w:rsidRDefault="00EE43AF" w:rsidP="000C5A3F">
      <w:pPr>
        <w:pStyle w:val="NoSpacing"/>
        <w:jc w:val="both"/>
        <w:rPr>
          <w:rFonts w:ascii="Times New Roman" w:eastAsia="Times New Roman" w:hAnsi="Times New Roman"/>
          <w:color w:val="000000" w:themeColor="text1"/>
          <w:lang w:val="pt-BR"/>
        </w:rPr>
      </w:pPr>
    </w:p>
    <w:p w14:paraId="1F7E531A" w14:textId="2F6F8AE3" w:rsidR="00EE43AF" w:rsidRPr="00AC59E6" w:rsidRDefault="006F230E" w:rsidP="000C5A3F">
      <w:pPr>
        <w:pStyle w:val="P68B1DB1-Normal1"/>
        <w:jc w:val="both"/>
        <w:rPr>
          <w:color w:val="000000" w:themeColor="text1"/>
        </w:rPr>
      </w:pPr>
      <w:r w:rsidRPr="00AC59E6">
        <w:rPr>
          <w:color w:val="000000" w:themeColor="text1"/>
        </w:rPr>
        <w:tab/>
      </w:r>
      <w:r w:rsidR="00751848" w:rsidRPr="00AC59E6">
        <w:rPr>
          <w:color w:val="000000" w:themeColor="text1"/>
        </w:rPr>
        <w:t>A reunião examinará iniciativas que podem contemplar ações específicas para melhorar o uso das capacidades institucionais para responder a crises, apoiar a criação de políticas de proteção social cada vez mais eficazes e realizar programas e intervenções orientados para resultados, capazes de fortalecer redes de proteção social ativa, para garantir o bem-estar social, especialmente considerando a população mais vulnerável</w:t>
      </w:r>
      <w:r w:rsidR="00751848" w:rsidRPr="00AC59E6">
        <w:t>; mulheres, indígenas e afrodescendentes, pessoas com deficiência, idosos, entre outros.</w:t>
      </w:r>
    </w:p>
    <w:p w14:paraId="4C46D041" w14:textId="77777777" w:rsidR="00EE43AF" w:rsidRPr="00AC59E6" w:rsidRDefault="00EE43AF" w:rsidP="000C5A3F">
      <w:pPr>
        <w:jc w:val="both"/>
        <w:rPr>
          <w:color w:val="000000" w:themeColor="text1"/>
          <w:sz w:val="22"/>
        </w:rPr>
      </w:pPr>
    </w:p>
    <w:p w14:paraId="670E99C0" w14:textId="4DF8BE77" w:rsidR="00EE43AF" w:rsidRPr="00AC59E6" w:rsidRDefault="00751848" w:rsidP="000C5A3F">
      <w:pPr>
        <w:pStyle w:val="P68B1DB1-Normal4"/>
        <w:jc w:val="both"/>
      </w:pPr>
      <w:r w:rsidRPr="00AC59E6">
        <w:tab/>
        <w:t>As apresentações de autoridades governamentais, bem como de especialistas que participarão do encontro, terão como foco dar uma visão geral do papel que as redes de proteção social têm desempenhado na mitigação dos efeitos das crises, bem como possíveis estratégias de ação concertada para ampliar sua cobertura e sustentabilidade a partir de uma abordagem de direitos humanos e igualdade de gênero.</w:t>
      </w:r>
    </w:p>
    <w:p w14:paraId="2A1CA556" w14:textId="77777777" w:rsidR="00EE43AF" w:rsidRPr="00AC59E6" w:rsidRDefault="00EE43AF" w:rsidP="000C5A3F">
      <w:pPr>
        <w:jc w:val="both"/>
        <w:rPr>
          <w:color w:val="000000" w:themeColor="text1"/>
          <w:sz w:val="22"/>
        </w:rPr>
      </w:pPr>
    </w:p>
    <w:p w14:paraId="35315081" w14:textId="623AF3CA" w:rsidR="00EE43AF" w:rsidRPr="00AC59E6" w:rsidRDefault="00751848" w:rsidP="000C5A3F">
      <w:pPr>
        <w:pStyle w:val="P68B1DB1-Normal4"/>
        <w:ind w:firstLine="720"/>
        <w:contextualSpacing/>
        <w:jc w:val="both"/>
      </w:pPr>
      <w:r w:rsidRPr="00AC59E6">
        <w:t xml:space="preserve">Os Estados membros compartilharão boas práticas, inovações em políticas públicas, bem como iniciativas e instrumentos úteis para enfrentar a crise, destacando as lições aprendidas durante o </w:t>
      </w:r>
      <w:r w:rsidRPr="00AC59E6">
        <w:lastRenderedPageBreak/>
        <w:t>processo; identificar lacunas e necessidades nessas áreas; e compartilharão oportunidades de colaboração solidária para promover o desenvolvimento social em nível regional.</w:t>
      </w:r>
    </w:p>
    <w:bookmarkEnd w:id="0"/>
    <w:p w14:paraId="7DB76831" w14:textId="77777777" w:rsidR="00EE43AF" w:rsidRPr="00AC59E6" w:rsidRDefault="00EE43AF" w:rsidP="000C5A3F">
      <w:pPr>
        <w:jc w:val="both"/>
        <w:rPr>
          <w:sz w:val="22"/>
        </w:rPr>
      </w:pPr>
    </w:p>
    <w:p w14:paraId="42620451" w14:textId="1C5DFF05" w:rsidR="00EE43AF" w:rsidRPr="00AC59E6" w:rsidRDefault="00751848" w:rsidP="000C5A3F">
      <w:pPr>
        <w:pStyle w:val="P68B1DB1-Normal3"/>
        <w:ind w:left="720" w:hanging="720"/>
        <w:jc w:val="both"/>
      </w:pPr>
      <w:r w:rsidRPr="00AC59E6">
        <w:t>3.</w:t>
      </w:r>
      <w:r w:rsidRPr="00AC59E6">
        <w:tab/>
        <w:t>Relevância para a Secretaria</w:t>
      </w:r>
      <w:r w:rsidR="00D3478E" w:rsidRPr="00AC59E6">
        <w:t>-</w:t>
      </w:r>
      <w:r w:rsidRPr="00AC59E6">
        <w:t>Geral da OEA e seus mandatos</w:t>
      </w:r>
    </w:p>
    <w:p w14:paraId="10D49AA7" w14:textId="293E6F69" w:rsidR="00EE43AF" w:rsidRPr="00AC59E6" w:rsidRDefault="00EE43AF" w:rsidP="000C5A3F">
      <w:pPr>
        <w:jc w:val="both"/>
        <w:rPr>
          <w:sz w:val="22"/>
        </w:rPr>
      </w:pPr>
    </w:p>
    <w:p w14:paraId="71F2E1CB" w14:textId="5D0D1F95" w:rsidR="00EE43AF" w:rsidRPr="00AC59E6" w:rsidRDefault="004C4282" w:rsidP="000C5A3F">
      <w:pPr>
        <w:jc w:val="both"/>
        <w:rPr>
          <w:sz w:val="22"/>
        </w:rPr>
      </w:pPr>
      <w:r w:rsidRPr="00AC59E6">
        <w:rPr>
          <w:sz w:val="22"/>
        </w:rPr>
        <w:tab/>
      </w:r>
      <w:r w:rsidR="00751848" w:rsidRPr="00AC59E6">
        <w:rPr>
          <w:sz w:val="22"/>
        </w:rPr>
        <w:t>O tema proposto para esta reunião coincide com os temas tratados pelo Grupo de Trabalho 2 estabelecido no âmbito do processo ministerial de desenvolvimento social do CIDI</w:t>
      </w:r>
      <w:r w:rsidR="00751848" w:rsidRPr="00AC59E6">
        <w:rPr>
          <w:rStyle w:val="FootnoteReference"/>
          <w:sz w:val="22"/>
          <w:u w:val="single"/>
        </w:rPr>
        <w:footnoteReference w:id="10"/>
      </w:r>
      <w:r w:rsidR="00751848" w:rsidRPr="00AC59E6">
        <w:rPr>
          <w:sz w:val="22"/>
          <w:vertAlign w:val="superscript"/>
        </w:rPr>
        <w:t>/</w:t>
      </w:r>
      <w:r w:rsidR="00751848" w:rsidRPr="00AC59E6">
        <w:rPr>
          <w:sz w:val="22"/>
        </w:rPr>
        <w:t xml:space="preserve">: "Sistemas de proteção social que levem ao desenvolvimento social, por meio da redução da pobreza e da desigualdade, e ampliem a proteção social com uma abordagem integral", que atualmente coordena uma oficina virtual de capacitação e troca de experiências em torno de "Políticas e Inovações em Proteção Social para mitigar os efeitos da pandemia de </w:t>
      </w:r>
      <w:r w:rsidR="00D3478E" w:rsidRPr="00AC59E6">
        <w:rPr>
          <w:sz w:val="22"/>
        </w:rPr>
        <w:t>covid</w:t>
      </w:r>
      <w:r w:rsidR="00751848" w:rsidRPr="00AC59E6">
        <w:rPr>
          <w:sz w:val="22"/>
        </w:rPr>
        <w:t>-19".</w:t>
      </w:r>
    </w:p>
    <w:p w14:paraId="0836C072" w14:textId="77777777" w:rsidR="00EE43AF" w:rsidRPr="00AC59E6" w:rsidRDefault="00EE43AF" w:rsidP="000C5A3F">
      <w:pPr>
        <w:jc w:val="both"/>
        <w:rPr>
          <w:sz w:val="22"/>
        </w:rPr>
      </w:pPr>
    </w:p>
    <w:p w14:paraId="5CB58B58" w14:textId="32DBB907" w:rsidR="00EE43AF" w:rsidRPr="00AC59E6" w:rsidRDefault="00751848" w:rsidP="000C5A3F">
      <w:pPr>
        <w:pStyle w:val="P68B1DB1-Normal1"/>
        <w:jc w:val="both"/>
      </w:pPr>
      <w:r w:rsidRPr="00AC59E6">
        <w:tab/>
        <w:t xml:space="preserve">Por outro lado, uma das linhas estratégicas para o Desenvolvimento Integral estabelecidas no Plano Estratégico Integral 2016-2020 da OEA, aprovado pelos Estados membros em 31 de outubro de 2016, mediante resolução da Assembleia Geral </w:t>
      </w:r>
      <w:r w:rsidRPr="00AC59E6">
        <w:rPr>
          <w:color w:val="171717"/>
        </w:rPr>
        <w:t>AG/RES.</w:t>
      </w:r>
      <w:r w:rsidR="00F11E43">
        <w:rPr>
          <w:color w:val="171717"/>
        </w:rPr>
        <w:t xml:space="preserve"> </w:t>
      </w:r>
      <w:r w:rsidRPr="00AC59E6">
        <w:rPr>
          <w:color w:val="171717"/>
        </w:rPr>
        <w:t>1 (LI-E/16)</w:t>
      </w:r>
      <w:r w:rsidRPr="00AC59E6">
        <w:rPr>
          <w:b/>
          <w:color w:val="171717"/>
        </w:rPr>
        <w:t xml:space="preserve"> </w:t>
      </w:r>
      <w:r w:rsidR="00D74A2C" w:rsidRPr="00AC59E6">
        <w:rPr>
          <w:bCs/>
          <w:color w:val="171717"/>
        </w:rPr>
        <w:t>é de</w:t>
      </w:r>
      <w:r w:rsidR="00D74A2C" w:rsidRPr="00AC59E6">
        <w:rPr>
          <w:b/>
          <w:color w:val="171717"/>
        </w:rPr>
        <w:t xml:space="preserve"> </w:t>
      </w:r>
      <w:r w:rsidRPr="00AC59E6">
        <w:t>“Promover a inclusão social com equidade</w:t>
      </w:r>
      <w:r w:rsidR="003F087E" w:rsidRPr="00AC59E6">
        <w:t xml:space="preserve">, de modo a contribuir </w:t>
      </w:r>
      <w:r w:rsidRPr="00AC59E6">
        <w:t xml:space="preserve">para o desenvolvimento sustentável nas Américas”. Neste sentido, </w:t>
      </w:r>
      <w:r w:rsidR="00B500C9" w:rsidRPr="00AC59E6">
        <w:t xml:space="preserve">por meio </w:t>
      </w:r>
      <w:r w:rsidR="00646109" w:rsidRPr="00AC59E6">
        <w:t>desta reunião</w:t>
      </w:r>
      <w:r w:rsidRPr="00AC59E6">
        <w:t xml:space="preserve"> pretende-se contribuir para o cumprimento </w:t>
      </w:r>
      <w:r w:rsidRPr="00AC59E6">
        <w:rPr>
          <w:color w:val="171717"/>
        </w:rPr>
        <w:t xml:space="preserve">de um dos objetivos estratégicos estabelecidos no referido plano </w:t>
      </w:r>
      <w:r w:rsidRPr="00AC59E6">
        <w:t>(7.2): “Contribuir para o fortalecimento das capacidades dos Estados em termos de desenvolvimento inclusivo e equitativo”.</w:t>
      </w:r>
    </w:p>
    <w:p w14:paraId="3BAF93F9" w14:textId="77777777" w:rsidR="00EE43AF" w:rsidRPr="00AC59E6" w:rsidRDefault="00EE43AF" w:rsidP="000C5A3F">
      <w:pPr>
        <w:jc w:val="both"/>
        <w:rPr>
          <w:sz w:val="22"/>
        </w:rPr>
      </w:pPr>
    </w:p>
    <w:p w14:paraId="6018AA6F" w14:textId="31709442" w:rsidR="00EE43AF" w:rsidRPr="00AC59E6" w:rsidRDefault="00751848" w:rsidP="000C5A3F">
      <w:pPr>
        <w:ind w:firstLine="720"/>
        <w:jc w:val="both"/>
        <w:rPr>
          <w:color w:val="000000" w:themeColor="text1"/>
          <w:sz w:val="22"/>
        </w:rPr>
      </w:pPr>
      <w:r w:rsidRPr="00AC59E6">
        <w:rPr>
          <w:sz w:val="22"/>
        </w:rPr>
        <w:t xml:space="preserve">A resolução </w:t>
      </w:r>
      <w:r w:rsidRPr="00AC59E6">
        <w:rPr>
          <w:b/>
          <w:sz w:val="22"/>
        </w:rPr>
        <w:t>“Promovendo Iniciativas Hemisféricas em Matéria de Desenvolvimento Integral: Promoção da Resiliência”</w:t>
      </w:r>
      <w:r w:rsidRPr="00AC59E6">
        <w:rPr>
          <w:sz w:val="22"/>
        </w:rPr>
        <w:t xml:space="preserve"> </w:t>
      </w:r>
      <w:r w:rsidRPr="00AC59E6">
        <w:rPr>
          <w:color w:val="171717"/>
          <w:sz w:val="22"/>
        </w:rPr>
        <w:t>[</w:t>
      </w:r>
      <w:r w:rsidRPr="00AC59E6">
        <w:rPr>
          <w:sz w:val="22"/>
        </w:rPr>
        <w:t>AG/RES. 2967 (LI-O/21)</w:t>
      </w:r>
      <w:r w:rsidRPr="00AC59E6">
        <w:rPr>
          <w:color w:val="171717"/>
          <w:sz w:val="22"/>
        </w:rPr>
        <w:t>]</w:t>
      </w:r>
      <w:r w:rsidRPr="00AC59E6">
        <w:rPr>
          <w:sz w:val="22"/>
        </w:rPr>
        <w:t xml:space="preserve"> aprovada pela Assembleia Geral em seu </w:t>
      </w:r>
      <w:r w:rsidR="00143444" w:rsidRPr="00AC59E6">
        <w:rPr>
          <w:sz w:val="22"/>
        </w:rPr>
        <w:t>Q</w:t>
      </w:r>
      <w:r w:rsidRPr="00AC59E6">
        <w:rPr>
          <w:sz w:val="22"/>
        </w:rPr>
        <w:t>uinquagésimo</w:t>
      </w:r>
      <w:r w:rsidR="00B500C9" w:rsidRPr="00AC59E6">
        <w:rPr>
          <w:sz w:val="22"/>
        </w:rPr>
        <w:t xml:space="preserve"> </w:t>
      </w:r>
      <w:r w:rsidR="00143444" w:rsidRPr="00AC59E6">
        <w:rPr>
          <w:sz w:val="22"/>
        </w:rPr>
        <w:t>P</w:t>
      </w:r>
      <w:r w:rsidRPr="00AC59E6">
        <w:rPr>
          <w:sz w:val="22"/>
        </w:rPr>
        <w:t xml:space="preserve">rimeiro </w:t>
      </w:r>
      <w:r w:rsidR="00143444" w:rsidRPr="00AC59E6">
        <w:rPr>
          <w:sz w:val="22"/>
        </w:rPr>
        <w:t>P</w:t>
      </w:r>
      <w:r w:rsidRPr="00AC59E6">
        <w:rPr>
          <w:sz w:val="22"/>
        </w:rPr>
        <w:t xml:space="preserve">eríodo </w:t>
      </w:r>
      <w:r w:rsidR="00143444" w:rsidRPr="00AC59E6">
        <w:rPr>
          <w:sz w:val="22"/>
        </w:rPr>
        <w:t>O</w:t>
      </w:r>
      <w:r w:rsidRPr="00AC59E6">
        <w:rPr>
          <w:sz w:val="22"/>
        </w:rPr>
        <w:t xml:space="preserve">rdinário de </w:t>
      </w:r>
      <w:r w:rsidR="00143444" w:rsidRPr="00AC59E6">
        <w:rPr>
          <w:sz w:val="22"/>
        </w:rPr>
        <w:t>S</w:t>
      </w:r>
      <w:r w:rsidRPr="00AC59E6">
        <w:rPr>
          <w:sz w:val="22"/>
        </w:rPr>
        <w:t>essões, realizado de 10 a 12 de novembro de 2021, insta os Estados membros a “</w:t>
      </w:r>
      <w:r w:rsidR="00143444" w:rsidRPr="00AC59E6">
        <w:rPr>
          <w:sz w:val="22"/>
        </w:rPr>
        <w:t>(</w:t>
      </w:r>
      <w:r w:rsidRPr="00AC59E6">
        <w:rPr>
          <w:sz w:val="22"/>
        </w:rPr>
        <w:t>…</w:t>
      </w:r>
      <w:r w:rsidR="00143444" w:rsidRPr="00AC59E6">
        <w:rPr>
          <w:sz w:val="22"/>
        </w:rPr>
        <w:t xml:space="preserve">) </w:t>
      </w:r>
      <w:r w:rsidRPr="00AC59E6">
        <w:rPr>
          <w:color w:val="000000" w:themeColor="text1"/>
          <w:sz w:val="22"/>
        </w:rPr>
        <w:t xml:space="preserve">continuar </w:t>
      </w:r>
      <w:r w:rsidR="00143444" w:rsidRPr="00AC59E6">
        <w:rPr>
          <w:color w:val="000000" w:themeColor="text1"/>
          <w:sz w:val="22"/>
        </w:rPr>
        <w:t>fortalecendo os</w:t>
      </w:r>
      <w:r w:rsidRPr="00AC59E6">
        <w:rPr>
          <w:color w:val="000000" w:themeColor="text1"/>
          <w:sz w:val="22"/>
        </w:rPr>
        <w:t xml:space="preserve"> seus sistemas de proteção social para </w:t>
      </w:r>
      <w:r w:rsidR="00143444" w:rsidRPr="00AC59E6">
        <w:rPr>
          <w:color w:val="000000" w:themeColor="text1"/>
          <w:sz w:val="22"/>
        </w:rPr>
        <w:t xml:space="preserve">a </w:t>
      </w:r>
      <w:r w:rsidRPr="00AC59E6">
        <w:rPr>
          <w:color w:val="000000" w:themeColor="text1"/>
          <w:sz w:val="22"/>
        </w:rPr>
        <w:t xml:space="preserve">cobertura universal </w:t>
      </w:r>
      <w:r w:rsidR="00143444" w:rsidRPr="00AC59E6">
        <w:rPr>
          <w:color w:val="000000" w:themeColor="text1"/>
          <w:sz w:val="22"/>
        </w:rPr>
        <w:t xml:space="preserve">em linha </w:t>
      </w:r>
      <w:r w:rsidRPr="00AC59E6">
        <w:rPr>
          <w:color w:val="000000" w:themeColor="text1"/>
          <w:sz w:val="22"/>
        </w:rPr>
        <w:t xml:space="preserve">com os Objetivos da Agenda </w:t>
      </w:r>
      <w:r w:rsidR="00143444" w:rsidRPr="00AC59E6">
        <w:rPr>
          <w:color w:val="000000" w:themeColor="text1"/>
          <w:sz w:val="22"/>
        </w:rPr>
        <w:t xml:space="preserve">de </w:t>
      </w:r>
      <w:r w:rsidRPr="00AC59E6">
        <w:rPr>
          <w:color w:val="000000" w:themeColor="text1"/>
          <w:sz w:val="22"/>
        </w:rPr>
        <w:t xml:space="preserve">Desenvolvimento Sustentável </w:t>
      </w:r>
      <w:r w:rsidR="00143444" w:rsidRPr="00AC59E6">
        <w:rPr>
          <w:color w:val="000000" w:themeColor="text1"/>
          <w:sz w:val="22"/>
        </w:rPr>
        <w:t xml:space="preserve">2030 , </w:t>
      </w:r>
      <w:r w:rsidRPr="00AC59E6">
        <w:rPr>
          <w:color w:val="000000" w:themeColor="text1"/>
          <w:sz w:val="22"/>
        </w:rPr>
        <w:t xml:space="preserve">e </w:t>
      </w:r>
      <w:r w:rsidR="00143444" w:rsidRPr="00AC59E6">
        <w:rPr>
          <w:color w:val="000000" w:themeColor="text1"/>
          <w:sz w:val="22"/>
        </w:rPr>
        <w:t xml:space="preserve">a levar </w:t>
      </w:r>
      <w:r w:rsidRPr="00AC59E6">
        <w:rPr>
          <w:color w:val="000000" w:themeColor="text1"/>
          <w:sz w:val="22"/>
        </w:rPr>
        <w:t xml:space="preserve">em consideração as </w:t>
      </w:r>
      <w:r w:rsidRPr="00AC59E6">
        <w:rPr>
          <w:sz w:val="22"/>
        </w:rPr>
        <w:t>necessidades</w:t>
      </w:r>
      <w:r w:rsidRPr="00AC59E6">
        <w:rPr>
          <w:color w:val="000000" w:themeColor="text1"/>
          <w:sz w:val="22"/>
        </w:rPr>
        <w:t xml:space="preserve"> </w:t>
      </w:r>
      <w:r w:rsidR="00143444" w:rsidRPr="00AC59E6">
        <w:rPr>
          <w:color w:val="000000" w:themeColor="text1"/>
          <w:sz w:val="22"/>
        </w:rPr>
        <w:t xml:space="preserve">dos lares </w:t>
      </w:r>
      <w:r w:rsidRPr="00AC59E6">
        <w:rPr>
          <w:color w:val="000000" w:themeColor="text1"/>
          <w:sz w:val="22"/>
        </w:rPr>
        <w:t xml:space="preserve">de baixa renda e </w:t>
      </w:r>
      <w:r w:rsidR="00143444" w:rsidRPr="00AC59E6">
        <w:rPr>
          <w:color w:val="000000" w:themeColor="text1"/>
          <w:sz w:val="22"/>
        </w:rPr>
        <w:t xml:space="preserve">das </w:t>
      </w:r>
      <w:r w:rsidRPr="00AC59E6">
        <w:rPr>
          <w:color w:val="000000" w:themeColor="text1"/>
          <w:sz w:val="22"/>
        </w:rPr>
        <w:t xml:space="preserve">populações vulneráveis </w:t>
      </w:r>
      <w:r w:rsidR="00492C26" w:rsidRPr="00AC59E6">
        <w:rPr>
          <w:color w:val="000000" w:themeColor="text1"/>
          <w:sz w:val="22"/>
        </w:rPr>
        <w:t>mais afetados</w:t>
      </w:r>
      <w:r w:rsidRPr="00AC59E6">
        <w:rPr>
          <w:color w:val="000000" w:themeColor="text1"/>
          <w:sz w:val="22"/>
        </w:rPr>
        <w:t xml:space="preserve"> pela pandemia de </w:t>
      </w:r>
      <w:r w:rsidR="00492C26" w:rsidRPr="00AC59E6">
        <w:rPr>
          <w:color w:val="000000" w:themeColor="text1"/>
          <w:sz w:val="22"/>
        </w:rPr>
        <w:t>covid</w:t>
      </w:r>
      <w:r w:rsidRPr="00AC59E6">
        <w:rPr>
          <w:color w:val="000000" w:themeColor="text1"/>
          <w:sz w:val="22"/>
        </w:rPr>
        <w:t xml:space="preserve">-19. </w:t>
      </w:r>
      <w:r w:rsidR="00492C26" w:rsidRPr="00AC59E6">
        <w:rPr>
          <w:color w:val="000000" w:themeColor="text1"/>
          <w:sz w:val="22"/>
        </w:rPr>
        <w:t>Além disso</w:t>
      </w:r>
      <w:r w:rsidRPr="00AC59E6">
        <w:rPr>
          <w:color w:val="000000" w:themeColor="text1"/>
          <w:sz w:val="22"/>
        </w:rPr>
        <w:t xml:space="preserve">, </w:t>
      </w:r>
      <w:r w:rsidR="00492C26" w:rsidRPr="00AC59E6">
        <w:rPr>
          <w:color w:val="000000" w:themeColor="text1"/>
          <w:sz w:val="22"/>
        </w:rPr>
        <w:t xml:space="preserve">a dinamizar e atualizar os </w:t>
      </w:r>
      <w:r w:rsidRPr="00AC59E6">
        <w:rPr>
          <w:color w:val="000000" w:themeColor="text1"/>
          <w:sz w:val="22"/>
        </w:rPr>
        <w:t xml:space="preserve">seus bancos de dados de proteção social e </w:t>
      </w:r>
      <w:r w:rsidR="00492C26" w:rsidRPr="00AC59E6">
        <w:rPr>
          <w:color w:val="000000" w:themeColor="text1"/>
          <w:sz w:val="22"/>
        </w:rPr>
        <w:t xml:space="preserve">as suas </w:t>
      </w:r>
      <w:r w:rsidRPr="00AC59E6">
        <w:rPr>
          <w:color w:val="000000" w:themeColor="text1"/>
          <w:sz w:val="22"/>
        </w:rPr>
        <w:t xml:space="preserve">estatísticas </w:t>
      </w:r>
      <w:r w:rsidR="00492C26" w:rsidRPr="00AC59E6">
        <w:rPr>
          <w:color w:val="000000" w:themeColor="text1"/>
          <w:sz w:val="22"/>
        </w:rPr>
        <w:t xml:space="preserve">de medição </w:t>
      </w:r>
      <w:r w:rsidRPr="00AC59E6">
        <w:rPr>
          <w:color w:val="000000" w:themeColor="text1"/>
          <w:sz w:val="22"/>
        </w:rPr>
        <w:t>multidimensiona</w:t>
      </w:r>
      <w:r w:rsidR="00492C26" w:rsidRPr="00AC59E6">
        <w:rPr>
          <w:color w:val="000000" w:themeColor="text1"/>
          <w:sz w:val="22"/>
        </w:rPr>
        <w:t>l</w:t>
      </w:r>
      <w:r w:rsidRPr="00AC59E6">
        <w:rPr>
          <w:color w:val="000000" w:themeColor="text1"/>
          <w:sz w:val="22"/>
        </w:rPr>
        <w:t xml:space="preserve"> da pobreza, conforme </w:t>
      </w:r>
      <w:r w:rsidR="00492C26" w:rsidRPr="00AC59E6">
        <w:rPr>
          <w:color w:val="000000" w:themeColor="text1"/>
          <w:sz w:val="22"/>
        </w:rPr>
        <w:t>o caso</w:t>
      </w:r>
      <w:r w:rsidRPr="00AC59E6">
        <w:rPr>
          <w:color w:val="000000" w:themeColor="text1"/>
          <w:sz w:val="22"/>
        </w:rPr>
        <w:t xml:space="preserve">, para alcançar </w:t>
      </w:r>
      <w:r w:rsidR="00492C26" w:rsidRPr="00AC59E6">
        <w:rPr>
          <w:color w:val="000000" w:themeColor="text1"/>
          <w:sz w:val="22"/>
        </w:rPr>
        <w:t>um</w:t>
      </w:r>
      <w:r w:rsidRPr="00AC59E6">
        <w:rPr>
          <w:color w:val="000000" w:themeColor="text1"/>
          <w:sz w:val="22"/>
        </w:rPr>
        <w:t>a inclusão social de acordo com a nova realidade". Ao mesmo tempo, insta os Estados membros a participar ativamente nos Grupos de Trabalho e na implementação</w:t>
      </w:r>
      <w:r w:rsidRPr="00AC59E6">
        <w:rPr>
          <w:b/>
          <w:color w:val="000000" w:themeColor="text1"/>
          <w:sz w:val="22"/>
        </w:rPr>
        <w:t xml:space="preserve">  </w:t>
      </w:r>
      <w:r w:rsidRPr="00AC59E6">
        <w:rPr>
          <w:color w:val="000000" w:themeColor="text1"/>
          <w:sz w:val="22"/>
        </w:rPr>
        <w:t xml:space="preserve">das atividades organizadas pela Secretaria de Acesso a Direitos e Equidade para a implementação do "Plano de Ação da Guatemala 2019" </w:t>
      </w:r>
      <w:r w:rsidRPr="00AC59E6">
        <w:rPr>
          <w:color w:val="1F3864" w:themeColor="accent1" w:themeShade="80"/>
          <w:sz w:val="22"/>
        </w:rPr>
        <w:t>(</w:t>
      </w:r>
      <w:hyperlink r:id="rId11">
        <w:r w:rsidRPr="00AC59E6">
          <w:rPr>
            <w:color w:val="1F3864" w:themeColor="accent1" w:themeShade="80"/>
            <w:sz w:val="22"/>
            <w:u w:val="single"/>
          </w:rPr>
          <w:t>CIDI/REMDES/doc.6/19 rev.3</w:t>
        </w:r>
      </w:hyperlink>
      <w:r w:rsidRPr="00AC59E6">
        <w:rPr>
          <w:color w:val="000000" w:themeColor="text1"/>
          <w:sz w:val="22"/>
        </w:rPr>
        <w:t>).</w:t>
      </w:r>
    </w:p>
    <w:p w14:paraId="09FA7822" w14:textId="77777777" w:rsidR="000C5A3F" w:rsidRDefault="000C5A3F" w:rsidP="000C5A3F">
      <w:pPr>
        <w:pStyle w:val="P68B1DB1-Normal1"/>
        <w:jc w:val="both"/>
      </w:pPr>
    </w:p>
    <w:p w14:paraId="63ECB197" w14:textId="332AD813" w:rsidR="00EE43AF" w:rsidRPr="00AC59E6" w:rsidRDefault="00751848" w:rsidP="000C5A3F">
      <w:pPr>
        <w:pStyle w:val="P68B1DB1-ListParagraph06"/>
        <w:numPr>
          <w:ilvl w:val="0"/>
          <w:numId w:val="18"/>
        </w:numPr>
        <w:ind w:left="720" w:hanging="720"/>
      </w:pPr>
      <w:r w:rsidRPr="00AC59E6">
        <w:t>Estrutura da reunião</w:t>
      </w:r>
    </w:p>
    <w:p w14:paraId="04981E72" w14:textId="77777777" w:rsidR="00EE43AF" w:rsidRPr="00AC59E6" w:rsidRDefault="00EE43AF" w:rsidP="000C5A3F">
      <w:pPr>
        <w:jc w:val="both"/>
        <w:rPr>
          <w:sz w:val="22"/>
        </w:rPr>
      </w:pPr>
    </w:p>
    <w:p w14:paraId="4057FA1F" w14:textId="4B6AC76B" w:rsidR="00EE43AF" w:rsidRPr="00AC59E6" w:rsidRDefault="00751848" w:rsidP="000C5A3F">
      <w:pPr>
        <w:pStyle w:val="P68B1DB1-Normal1"/>
        <w:ind w:firstLine="720"/>
        <w:jc w:val="both"/>
      </w:pPr>
      <w:r w:rsidRPr="00AC59E6">
        <w:t>Para o desenvolvimento da reunião, diversos palestrantes serão convocados para abordar os principais desafios e oportunidades que envolvem o aproveitamento e fortalecimento das redes de proteção social nas Américas, bem como o intercâmbio sobre a formulação e implementação de respostas mais inclusivas e acessíveis com uma abordagem de direitos humanos e equidade de gênero. Os Estados membros terão a oportunidade de participar de um diálogo interativo liderado pela Presidência do CIDI.</w:t>
      </w:r>
    </w:p>
    <w:p w14:paraId="12D57B6B" w14:textId="77777777" w:rsidR="00EE43AF" w:rsidRPr="00AC59E6" w:rsidRDefault="00EE43AF" w:rsidP="000C5A3F">
      <w:pPr>
        <w:jc w:val="both"/>
        <w:rPr>
          <w:sz w:val="22"/>
        </w:rPr>
      </w:pPr>
    </w:p>
    <w:p w14:paraId="3A6EB256" w14:textId="61BCAE45" w:rsidR="00EE43AF" w:rsidRPr="00AC59E6" w:rsidRDefault="00751848" w:rsidP="000C5A3F">
      <w:pPr>
        <w:pStyle w:val="P68B1DB1-Normal1"/>
        <w:ind w:left="720"/>
        <w:jc w:val="both"/>
      </w:pPr>
      <w:r w:rsidRPr="00AC59E6">
        <w:rPr>
          <w:b/>
        </w:rPr>
        <w:lastRenderedPageBreak/>
        <w:t>PRIMEIRA PARTE:</w:t>
      </w:r>
      <w:r w:rsidRPr="00AC59E6">
        <w:t xml:space="preserve"> Apresentação das altas autoridades sobre desenvolvimento social com um tempo máximo de 7 minutos. </w:t>
      </w:r>
    </w:p>
    <w:p w14:paraId="7380CE19" w14:textId="77777777" w:rsidR="00EE43AF" w:rsidRPr="00AC59E6" w:rsidRDefault="00EE43AF" w:rsidP="000C5A3F">
      <w:pPr>
        <w:jc w:val="both"/>
        <w:rPr>
          <w:sz w:val="22"/>
        </w:rPr>
      </w:pPr>
    </w:p>
    <w:p w14:paraId="646E1769" w14:textId="7D73F031" w:rsidR="00EE43AF" w:rsidRPr="00AC59E6" w:rsidRDefault="00751848" w:rsidP="000C5A3F">
      <w:pPr>
        <w:pStyle w:val="P68B1DB1-ListParagraph07"/>
        <w:numPr>
          <w:ilvl w:val="0"/>
          <w:numId w:val="33"/>
        </w:numPr>
        <w:ind w:left="1440" w:hanging="720"/>
        <w:contextualSpacing/>
      </w:pPr>
      <w:r w:rsidRPr="00AC59E6">
        <w:t>Panamá - Ministério de Desenvolvimento Social - Presidência Pro Tempore do Conselho da Integração Social Centro-americana (CIS).</w:t>
      </w:r>
    </w:p>
    <w:p w14:paraId="31FEE242" w14:textId="63D27EB6" w:rsidR="00EE43AF" w:rsidRPr="00AC59E6" w:rsidRDefault="00751848" w:rsidP="000C5A3F">
      <w:pPr>
        <w:pStyle w:val="P68B1DB1-ListParagraph07"/>
        <w:numPr>
          <w:ilvl w:val="0"/>
          <w:numId w:val="33"/>
        </w:numPr>
        <w:ind w:left="1440" w:hanging="720"/>
        <w:contextualSpacing/>
      </w:pPr>
      <w:r w:rsidRPr="00AC59E6">
        <w:t>Barbados - Ministério para o Empoderamento Popular e Assuntos dos Idosos.</w:t>
      </w:r>
    </w:p>
    <w:p w14:paraId="2D2D496A" w14:textId="3830A817" w:rsidR="00EE43AF" w:rsidRPr="00AC59E6" w:rsidRDefault="00751848" w:rsidP="000C5A3F">
      <w:pPr>
        <w:pStyle w:val="P68B1DB1-ListParagraph07"/>
        <w:numPr>
          <w:ilvl w:val="0"/>
          <w:numId w:val="33"/>
        </w:numPr>
        <w:ind w:left="1440" w:hanging="720"/>
        <w:contextualSpacing/>
      </w:pPr>
      <w:r w:rsidRPr="00AC59E6">
        <w:t>Uruguai - Ministério de Desenvolvimento Social.</w:t>
      </w:r>
    </w:p>
    <w:p w14:paraId="2791A173" w14:textId="77777777" w:rsidR="00EE43AF" w:rsidRPr="00AC59E6" w:rsidRDefault="00EE43AF" w:rsidP="000C5A3F">
      <w:pPr>
        <w:jc w:val="both"/>
        <w:rPr>
          <w:sz w:val="22"/>
        </w:rPr>
      </w:pPr>
    </w:p>
    <w:p w14:paraId="1E2336DD" w14:textId="43AAB5F6" w:rsidR="00EE43AF" w:rsidRPr="00AC59E6" w:rsidRDefault="00751848" w:rsidP="000C5A3F">
      <w:pPr>
        <w:pStyle w:val="P68B1DB1-Normal1"/>
        <w:ind w:firstLine="720"/>
        <w:jc w:val="both"/>
      </w:pPr>
      <w:r w:rsidRPr="00AC59E6">
        <w:t>Perguntas orientadoras para as apresentações das altas autoridades:</w:t>
      </w:r>
    </w:p>
    <w:p w14:paraId="47FC862A" w14:textId="77777777" w:rsidR="00EE43AF" w:rsidRPr="00AC59E6" w:rsidRDefault="00EE43AF" w:rsidP="00F11E43">
      <w:pPr>
        <w:jc w:val="both"/>
        <w:rPr>
          <w:sz w:val="22"/>
        </w:rPr>
      </w:pPr>
    </w:p>
    <w:p w14:paraId="3DB3D6D8" w14:textId="3D66CF20" w:rsidR="00EE43AF" w:rsidRPr="00AC59E6" w:rsidRDefault="00751848" w:rsidP="000C5A3F">
      <w:pPr>
        <w:pStyle w:val="P68B1DB1-ListParagraph07"/>
        <w:numPr>
          <w:ilvl w:val="0"/>
          <w:numId w:val="29"/>
        </w:numPr>
        <w:ind w:hanging="720"/>
        <w:jc w:val="both"/>
      </w:pPr>
      <w:r w:rsidRPr="00AC59E6">
        <w:t>Quais são os principais desafios que seu país enfrenta para preencher lacunas de proteção social?</w:t>
      </w:r>
    </w:p>
    <w:p w14:paraId="11466F0A" w14:textId="4554CB29" w:rsidR="00EE43AF" w:rsidRPr="00AC59E6" w:rsidRDefault="00751848" w:rsidP="000C5A3F">
      <w:pPr>
        <w:pStyle w:val="P68B1DB1-ListParagraph07"/>
        <w:numPr>
          <w:ilvl w:val="0"/>
          <w:numId w:val="29"/>
        </w:numPr>
        <w:ind w:hanging="720"/>
        <w:jc w:val="both"/>
      </w:pPr>
      <w:r w:rsidRPr="00AC59E6">
        <w:t>Que oportunidades de colaboração ou apoio técnico seu país poderia oferecer para a cooperação regional nesta área?</w:t>
      </w:r>
    </w:p>
    <w:p w14:paraId="285FFA48" w14:textId="77777777" w:rsidR="00EE43AF" w:rsidRPr="00AC59E6" w:rsidRDefault="00EE43AF" w:rsidP="000C5A3F">
      <w:pPr>
        <w:jc w:val="both"/>
        <w:rPr>
          <w:sz w:val="22"/>
          <w:highlight w:val="yellow"/>
        </w:rPr>
      </w:pPr>
    </w:p>
    <w:p w14:paraId="56E69B8E" w14:textId="0C1D63A1" w:rsidR="00EE43AF" w:rsidRPr="00AC59E6" w:rsidRDefault="00751848" w:rsidP="000C5A3F">
      <w:pPr>
        <w:pStyle w:val="P68B1DB1-Normal1"/>
        <w:ind w:left="720"/>
        <w:jc w:val="both"/>
      </w:pPr>
      <w:r w:rsidRPr="00AC59E6">
        <w:rPr>
          <w:b/>
        </w:rPr>
        <w:t xml:space="preserve">SEGUNDA PARTE: </w:t>
      </w:r>
      <w:r w:rsidRPr="00AC59E6">
        <w:t xml:space="preserve">Painel Técnico em que os participantes terão um máximo de 5 minutos inicialmente para apresentar as suas ideias e depois 2 minutos para responder às questões formuladas pela moderadora. </w:t>
      </w:r>
    </w:p>
    <w:p w14:paraId="2812F555" w14:textId="77777777" w:rsidR="00EE43AF" w:rsidRPr="00AC59E6" w:rsidRDefault="00EE43AF" w:rsidP="000C5A3F">
      <w:pPr>
        <w:jc w:val="both"/>
        <w:rPr>
          <w:sz w:val="22"/>
        </w:rPr>
      </w:pPr>
    </w:p>
    <w:p w14:paraId="6D1CC58E" w14:textId="67EA718C" w:rsidR="00EE43AF" w:rsidRPr="00AC59E6" w:rsidRDefault="00751848" w:rsidP="000C5A3F">
      <w:pPr>
        <w:pStyle w:val="P68B1DB1-Normal1"/>
        <w:ind w:left="720"/>
        <w:jc w:val="both"/>
      </w:pPr>
      <w:r w:rsidRPr="00AC59E6">
        <w:t>Uma vez concluído o espaço para perguntas e respostas dos palestrantes convidados, as delegações serão convidadas a compartilhar boas práticas, necessidades, desafios latentes e oportunidades e/ou demandas específicas de colaboração hemisférica em relação ao tema.</w:t>
      </w:r>
    </w:p>
    <w:p w14:paraId="6CEF3614" w14:textId="77777777" w:rsidR="00EE43AF" w:rsidRPr="00AC59E6" w:rsidRDefault="00EE43AF" w:rsidP="000C5A3F">
      <w:pPr>
        <w:jc w:val="both"/>
        <w:rPr>
          <w:sz w:val="22"/>
        </w:rPr>
      </w:pPr>
    </w:p>
    <w:p w14:paraId="02E1A72E" w14:textId="0E822DF3" w:rsidR="00EE43AF" w:rsidRPr="00AC59E6" w:rsidRDefault="00751848" w:rsidP="000C5A3F">
      <w:pPr>
        <w:pStyle w:val="P68B1DB1-Normal1"/>
        <w:ind w:left="720"/>
        <w:jc w:val="both"/>
      </w:pPr>
      <w:r w:rsidRPr="00AC59E6">
        <w:rPr>
          <w:b/>
        </w:rPr>
        <w:t>MODERADORA:</w:t>
      </w:r>
      <w:r w:rsidRPr="00AC59E6">
        <w:t xml:space="preserve"> Senhora Maricarmen Plata, Secretária de Acesso a Direitos e Equidade da OEA.</w:t>
      </w:r>
    </w:p>
    <w:p w14:paraId="2F4E4581" w14:textId="77777777" w:rsidR="00EE43AF" w:rsidRPr="00AC59E6" w:rsidRDefault="00EE43AF" w:rsidP="000C5A3F">
      <w:pPr>
        <w:jc w:val="both"/>
        <w:rPr>
          <w:sz w:val="22"/>
        </w:rPr>
      </w:pPr>
    </w:p>
    <w:p w14:paraId="6AC4071F" w14:textId="0B53F798" w:rsidR="00EE43AF" w:rsidRPr="00AC59E6" w:rsidRDefault="00751848" w:rsidP="000C5A3F">
      <w:pPr>
        <w:pStyle w:val="P68B1DB1-Normal3"/>
        <w:ind w:left="720"/>
        <w:jc w:val="both"/>
        <w:rPr>
          <w:rFonts w:eastAsia="Calibri"/>
        </w:rPr>
      </w:pPr>
      <w:r w:rsidRPr="00AC59E6">
        <w:t>Palestrantes convidados:</w:t>
      </w:r>
    </w:p>
    <w:p w14:paraId="5F0DD4D6" w14:textId="77777777" w:rsidR="00EE43AF" w:rsidRPr="00AC59E6" w:rsidRDefault="00EE43AF" w:rsidP="000C5A3F">
      <w:pPr>
        <w:jc w:val="both"/>
        <w:rPr>
          <w:rFonts w:eastAsia="Calibri"/>
          <w:sz w:val="22"/>
        </w:rPr>
      </w:pPr>
    </w:p>
    <w:p w14:paraId="37ECF72F" w14:textId="1478623E" w:rsidR="00EE43AF" w:rsidRPr="00AC59E6" w:rsidRDefault="00751848" w:rsidP="000C5A3F">
      <w:pPr>
        <w:pStyle w:val="P68B1DB1-ListParagraph07"/>
        <w:numPr>
          <w:ilvl w:val="0"/>
          <w:numId w:val="33"/>
        </w:numPr>
        <w:ind w:left="1440" w:hanging="720"/>
        <w:contextualSpacing/>
        <w:jc w:val="both"/>
        <w:rPr>
          <w:color w:val="202124"/>
          <w:szCs w:val="22"/>
        </w:rPr>
      </w:pPr>
      <w:r w:rsidRPr="00AC59E6">
        <w:rPr>
          <w:color w:val="202124"/>
          <w:szCs w:val="22"/>
        </w:rPr>
        <w:t xml:space="preserve">México - Secretaria do Bem-Estar e </w:t>
      </w:r>
      <w:r w:rsidRPr="00AC59E6">
        <w:rPr>
          <w:szCs w:val="22"/>
        </w:rPr>
        <w:t xml:space="preserve">Presidência do Grupo de Trabalho 1 </w:t>
      </w:r>
      <w:r w:rsidRPr="00AC59E6">
        <w:rPr>
          <w:color w:val="202124"/>
          <w:szCs w:val="22"/>
        </w:rPr>
        <w:t>para a implementação do Plano de Ação da Guatemala na Comissão Interamericana de Desenvolvimento Social (CIDES)</w:t>
      </w:r>
      <w:r w:rsidRPr="00AC59E6">
        <w:rPr>
          <w:szCs w:val="22"/>
        </w:rPr>
        <w:t>.</w:t>
      </w:r>
    </w:p>
    <w:p w14:paraId="6ADEAEE0" w14:textId="538990F5" w:rsidR="00EE43AF" w:rsidRPr="00AC59E6" w:rsidRDefault="00751848" w:rsidP="000C5A3F">
      <w:pPr>
        <w:pStyle w:val="ListParagraph0"/>
        <w:numPr>
          <w:ilvl w:val="0"/>
          <w:numId w:val="33"/>
        </w:numPr>
        <w:ind w:left="1440" w:hanging="720"/>
        <w:jc w:val="both"/>
        <w:rPr>
          <w:sz w:val="22"/>
          <w:szCs w:val="22"/>
        </w:rPr>
      </w:pPr>
      <w:r w:rsidRPr="00AC59E6">
        <w:rPr>
          <w:color w:val="202124"/>
          <w:sz w:val="22"/>
          <w:szCs w:val="22"/>
        </w:rPr>
        <w:t xml:space="preserve">República Dominicana - </w:t>
      </w:r>
      <w:r w:rsidRPr="00AC59E6">
        <w:rPr>
          <w:sz w:val="22"/>
          <w:szCs w:val="22"/>
        </w:rPr>
        <w:t xml:space="preserve">Gabinete de Coordenação de Políticas Sociais - Presidência do Grupo de Trabalho 2 da CIDES e sede da </w:t>
      </w:r>
      <w:r w:rsidRPr="00AC59E6">
        <w:rPr>
          <w:color w:val="000000" w:themeColor="text1"/>
          <w:sz w:val="22"/>
          <w:szCs w:val="22"/>
        </w:rPr>
        <w:t xml:space="preserve">V Reunião de Ministros e Altas Autoridades de Desenvolvimento Social </w:t>
      </w:r>
      <w:r w:rsidRPr="00AC59E6">
        <w:rPr>
          <w:sz w:val="22"/>
          <w:szCs w:val="22"/>
        </w:rPr>
        <w:t>(V REMDES) a ser realizada em 2022.</w:t>
      </w:r>
    </w:p>
    <w:p w14:paraId="740F702B" w14:textId="7E08EC37" w:rsidR="00EE43AF" w:rsidRPr="00AC59E6" w:rsidRDefault="00751848" w:rsidP="000C5A3F">
      <w:pPr>
        <w:pStyle w:val="P68B1DB1-ListParagraph07"/>
        <w:numPr>
          <w:ilvl w:val="0"/>
          <w:numId w:val="34"/>
        </w:numPr>
        <w:ind w:left="1440" w:hanging="720"/>
        <w:jc w:val="both"/>
        <w:rPr>
          <w:szCs w:val="22"/>
        </w:rPr>
      </w:pPr>
      <w:r w:rsidRPr="00AC59E6">
        <w:rPr>
          <w:szCs w:val="22"/>
        </w:rPr>
        <w:t xml:space="preserve">Representante da CEPAL. </w:t>
      </w:r>
    </w:p>
    <w:p w14:paraId="76CCB35E" w14:textId="77777777" w:rsidR="000C5A3F" w:rsidRPr="000C5A3F" w:rsidRDefault="000C5A3F" w:rsidP="000C5A3F">
      <w:pPr>
        <w:pStyle w:val="P68B1DB1-Normal3"/>
        <w:jc w:val="both"/>
        <w:rPr>
          <w:b w:val="0"/>
          <w:bCs/>
        </w:rPr>
      </w:pPr>
    </w:p>
    <w:p w14:paraId="48443AEF" w14:textId="750E8B71" w:rsidR="00EE43AF" w:rsidRPr="00AC59E6" w:rsidRDefault="00751848" w:rsidP="000C5A3F">
      <w:pPr>
        <w:pStyle w:val="P68B1DB1-Normal1"/>
        <w:ind w:firstLine="720"/>
        <w:jc w:val="both"/>
      </w:pPr>
      <w:r w:rsidRPr="00AC59E6">
        <w:t>Perguntas orientadoras para as apresentações:</w:t>
      </w:r>
    </w:p>
    <w:p w14:paraId="7C95B983" w14:textId="77777777" w:rsidR="00EE43AF" w:rsidRPr="005458C5" w:rsidRDefault="00EE43AF" w:rsidP="005458C5">
      <w:pPr>
        <w:pStyle w:val="P68B1DB1-Normal3"/>
        <w:jc w:val="both"/>
        <w:rPr>
          <w:b w:val="0"/>
          <w:bCs/>
        </w:rPr>
      </w:pPr>
    </w:p>
    <w:p w14:paraId="36EA14F7" w14:textId="15159190" w:rsidR="00EE43AF" w:rsidRPr="00AC59E6" w:rsidRDefault="00751848" w:rsidP="000C5A3F">
      <w:pPr>
        <w:pStyle w:val="P68B1DB1-ListParagraph07"/>
        <w:numPr>
          <w:ilvl w:val="0"/>
          <w:numId w:val="45"/>
        </w:numPr>
        <w:ind w:hanging="720"/>
        <w:jc w:val="both"/>
      </w:pPr>
      <w:r w:rsidRPr="00AC59E6">
        <w:t xml:space="preserve">Quais são os desafios mais importantes e as áreas prioritárias de ação na fase pós-pandemia? </w:t>
      </w:r>
    </w:p>
    <w:p w14:paraId="2E179268" w14:textId="5632D27D" w:rsidR="00EE43AF" w:rsidRPr="00AC59E6" w:rsidRDefault="00751848" w:rsidP="000C5A3F">
      <w:pPr>
        <w:pStyle w:val="P68B1DB1-ListParagraph07"/>
        <w:numPr>
          <w:ilvl w:val="0"/>
          <w:numId w:val="45"/>
        </w:numPr>
        <w:ind w:hanging="720"/>
        <w:jc w:val="both"/>
      </w:pPr>
      <w:r w:rsidRPr="00AC59E6">
        <w:t xml:space="preserve">CEPAL: Do ponto de vista regional, qual foi o papel das redes de proteção social na mitigação dos efeitos da crise gerada pela COVID-19? </w:t>
      </w:r>
    </w:p>
    <w:p w14:paraId="595865FD" w14:textId="4D4AA7A5" w:rsidR="00EE43AF" w:rsidRPr="00AC59E6" w:rsidRDefault="00751848" w:rsidP="000C5A3F">
      <w:pPr>
        <w:pStyle w:val="P68B1DB1-ListParagraph07"/>
        <w:numPr>
          <w:ilvl w:val="0"/>
          <w:numId w:val="45"/>
        </w:numPr>
        <w:ind w:hanging="720"/>
        <w:jc w:val="both"/>
      </w:pPr>
      <w:r w:rsidRPr="00AC59E6">
        <w:t>México e República Dominicana: Como a OEA poderia contribuir para o fortalecimento da proteção social nas Américas?</w:t>
      </w:r>
    </w:p>
    <w:p w14:paraId="6C8C0178" w14:textId="1E0ECE80" w:rsidR="00EE43AF" w:rsidRPr="00AC59E6" w:rsidRDefault="00EE43AF" w:rsidP="000C5A3F">
      <w:pPr>
        <w:pStyle w:val="ListParagraph0"/>
        <w:ind w:left="0"/>
        <w:jc w:val="both"/>
        <w:rPr>
          <w:sz w:val="22"/>
        </w:rPr>
      </w:pPr>
    </w:p>
    <w:p w14:paraId="412B4FC4" w14:textId="1A5BE51A" w:rsidR="00EE43AF" w:rsidRPr="00AC59E6" w:rsidRDefault="00751848" w:rsidP="000C5A3F">
      <w:pPr>
        <w:pStyle w:val="P68B1DB1-Normal3"/>
        <w:keepNext/>
        <w:numPr>
          <w:ilvl w:val="0"/>
          <w:numId w:val="18"/>
        </w:numPr>
        <w:ind w:left="0" w:firstLine="0"/>
        <w:rPr>
          <w:rFonts w:eastAsia="Calibri"/>
        </w:rPr>
      </w:pPr>
      <w:r w:rsidRPr="00AC59E6">
        <w:lastRenderedPageBreak/>
        <w:t>Resultados da reunião</w:t>
      </w:r>
    </w:p>
    <w:p w14:paraId="359FE12E" w14:textId="77777777" w:rsidR="00EE43AF" w:rsidRPr="005458C5" w:rsidRDefault="00EE43AF" w:rsidP="000C5A3F">
      <w:pPr>
        <w:keepNext/>
        <w:jc w:val="both"/>
        <w:rPr>
          <w:rFonts w:eastAsia="Calibri"/>
          <w:bCs/>
          <w:sz w:val="22"/>
        </w:rPr>
      </w:pPr>
    </w:p>
    <w:p w14:paraId="518E666B" w14:textId="580EE806" w:rsidR="00EE43AF" w:rsidRPr="00AC59E6" w:rsidRDefault="00751848" w:rsidP="000C5A3F">
      <w:pPr>
        <w:pStyle w:val="P68B1DB1-Normal1"/>
        <w:keepNext/>
        <w:ind w:firstLine="720"/>
        <w:jc w:val="both"/>
        <w:rPr>
          <w:rFonts w:eastAsia="Calibri"/>
        </w:rPr>
      </w:pPr>
      <w:r w:rsidRPr="00AC59E6">
        <w:t>Espera-se que a sessão contribua para:</w:t>
      </w:r>
    </w:p>
    <w:p w14:paraId="6350D220" w14:textId="77777777" w:rsidR="00EE43AF" w:rsidRPr="00AC59E6" w:rsidRDefault="00EE43AF" w:rsidP="000C5A3F">
      <w:pPr>
        <w:jc w:val="both"/>
        <w:rPr>
          <w:rFonts w:eastAsia="Calibri"/>
          <w:sz w:val="22"/>
        </w:rPr>
      </w:pPr>
    </w:p>
    <w:p w14:paraId="058D026B" w14:textId="1E57FC32" w:rsidR="00EE43AF" w:rsidRPr="00AC59E6" w:rsidRDefault="00751848" w:rsidP="000C5A3F">
      <w:pPr>
        <w:pStyle w:val="P68B1DB1-Normal1"/>
        <w:numPr>
          <w:ilvl w:val="0"/>
          <w:numId w:val="11"/>
        </w:numPr>
        <w:ind w:left="1440" w:hanging="720"/>
        <w:jc w:val="both"/>
        <w:rPr>
          <w:rFonts w:eastAsia="Calibri"/>
        </w:rPr>
      </w:pPr>
      <w:r w:rsidRPr="00AC59E6">
        <w:t xml:space="preserve">Fornecer informações sobre as principais tendências, desafios e oportunidades específicas para que os Estados membros da OEA ampliem e melhorem seus esforços para criar a proteção social universal capaz de oferecer respostas rápidas e oportunas a crises e desastres. </w:t>
      </w:r>
    </w:p>
    <w:p w14:paraId="54710CD3" w14:textId="498743C6" w:rsidR="00EE43AF" w:rsidRPr="00AC59E6" w:rsidRDefault="00751848" w:rsidP="000C5A3F">
      <w:pPr>
        <w:pStyle w:val="P68B1DB1-Normal1"/>
        <w:numPr>
          <w:ilvl w:val="0"/>
          <w:numId w:val="11"/>
        </w:numPr>
        <w:ind w:left="1440" w:hanging="720"/>
        <w:jc w:val="both"/>
      </w:pPr>
      <w:r w:rsidRPr="00AC59E6">
        <w:t>Identificar prioridades de ação e possibilidades de cooperação solidária para fortalecer as redes de proteção a fim de promover o desenvolvimento e a inclusão social em nível regional.</w:t>
      </w:r>
    </w:p>
    <w:p w14:paraId="3E661F33" w14:textId="2DC08FD5" w:rsidR="00EE43AF" w:rsidRPr="00AC59E6" w:rsidRDefault="00751848" w:rsidP="000C5A3F">
      <w:pPr>
        <w:pStyle w:val="P68B1DB1-Normal1"/>
        <w:numPr>
          <w:ilvl w:val="0"/>
          <w:numId w:val="11"/>
        </w:numPr>
        <w:ind w:left="1440" w:hanging="720"/>
        <w:jc w:val="both"/>
        <w:rPr>
          <w:rFonts w:eastAsia="Calibri"/>
        </w:rPr>
      </w:pPr>
      <w:r w:rsidRPr="00AC59E6">
        <w:t xml:space="preserve">Incentivar os Estados membros a compartilhar boas práticas, políticas e programas com resultados positivos que abordem as lacunas no acesso, alcance e sustentabilidade dos sistemas de proteção social nas Américas, especialmente atendendo às pessoas mais vulneráveis. </w:t>
      </w:r>
    </w:p>
    <w:p w14:paraId="4F5AB25F" w14:textId="117BB11D" w:rsidR="00EE43AF" w:rsidRPr="00AC59E6" w:rsidRDefault="00751848" w:rsidP="000C5A3F">
      <w:pPr>
        <w:pStyle w:val="P68B1DB1-Normal8"/>
        <w:numPr>
          <w:ilvl w:val="0"/>
          <w:numId w:val="11"/>
        </w:numPr>
        <w:ind w:left="1440" w:hanging="720"/>
        <w:jc w:val="both"/>
      </w:pPr>
      <w:r w:rsidRPr="00AC59E6">
        <w:t xml:space="preserve">Conscientizar os Estados </w:t>
      </w:r>
      <w:r w:rsidR="00547791" w:rsidRPr="00AC59E6">
        <w:t>m</w:t>
      </w:r>
      <w:r w:rsidRPr="00AC59E6">
        <w:t xml:space="preserve">embros sobre o impacto diferencial das situações de crise </w:t>
      </w:r>
      <w:r w:rsidR="00547791" w:rsidRPr="00AC59E6">
        <w:t>sanitária</w:t>
      </w:r>
      <w:r w:rsidRPr="00AC59E6">
        <w:t xml:space="preserve"> e socioeconômica</w:t>
      </w:r>
      <w:r w:rsidR="00547791" w:rsidRPr="00AC59E6">
        <w:t xml:space="preserve"> </w:t>
      </w:r>
      <w:r w:rsidRPr="00AC59E6">
        <w:t xml:space="preserve">sobre as mulheres e promover os direitos humanos por meio da igualdade de gênero nas medidas de proteção adotadas pelos governos. </w:t>
      </w:r>
    </w:p>
    <w:p w14:paraId="21954D1D" w14:textId="76A66FCF" w:rsidR="00EE43AF" w:rsidRPr="00AC59E6" w:rsidRDefault="00822519" w:rsidP="000C5A3F">
      <w:pPr>
        <w:pStyle w:val="P68B1DB1-Normal1"/>
        <w:jc w:val="both"/>
      </w:pPr>
      <w:r>
        <w:rPr>
          <w:noProof/>
        </w:rPr>
        <mc:AlternateContent>
          <mc:Choice Requires="wps">
            <w:drawing>
              <wp:anchor distT="0" distB="0" distL="114300" distR="114300" simplePos="0" relativeHeight="251659264" behindDoc="0" locked="1" layoutInCell="1" allowOverlap="1" wp14:anchorId="6A1C6271" wp14:editId="32480488">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E6F770" w14:textId="6411CE8C" w:rsidR="00822519" w:rsidRPr="00822519" w:rsidRDefault="00822519">
                            <w:pPr>
                              <w:rPr>
                                <w:sz w:val="18"/>
                              </w:rPr>
                            </w:pPr>
                            <w:r>
                              <w:rPr>
                                <w:sz w:val="18"/>
                              </w:rPr>
                              <w:fldChar w:fldCharType="begin"/>
                            </w:r>
                            <w:r>
                              <w:rPr>
                                <w:sz w:val="18"/>
                              </w:rPr>
                              <w:instrText xml:space="preserve"> FILENAME  \* MERGEFORMAT </w:instrText>
                            </w:r>
                            <w:r>
                              <w:rPr>
                                <w:sz w:val="18"/>
                              </w:rPr>
                              <w:fldChar w:fldCharType="separate"/>
                            </w:r>
                            <w:r>
                              <w:rPr>
                                <w:noProof/>
                                <w:sz w:val="18"/>
                              </w:rPr>
                              <w:t>CIDRP03454P01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1C6271"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CE6F770" w14:textId="6411CE8C" w:rsidR="00822519" w:rsidRPr="00822519" w:rsidRDefault="00822519">
                      <w:pPr>
                        <w:rPr>
                          <w:sz w:val="18"/>
                        </w:rPr>
                      </w:pPr>
                      <w:r>
                        <w:rPr>
                          <w:sz w:val="18"/>
                        </w:rPr>
                        <w:fldChar w:fldCharType="begin"/>
                      </w:r>
                      <w:r>
                        <w:rPr>
                          <w:sz w:val="18"/>
                        </w:rPr>
                        <w:instrText xml:space="preserve"> FILENAME  \* MERGEFORMAT </w:instrText>
                      </w:r>
                      <w:r>
                        <w:rPr>
                          <w:sz w:val="18"/>
                        </w:rPr>
                        <w:fldChar w:fldCharType="separate"/>
                      </w:r>
                      <w:r>
                        <w:rPr>
                          <w:noProof/>
                          <w:sz w:val="18"/>
                        </w:rPr>
                        <w:t>CIDRP03454P01</w:t>
                      </w:r>
                      <w:r>
                        <w:rPr>
                          <w:sz w:val="18"/>
                        </w:rPr>
                        <w:fldChar w:fldCharType="end"/>
                      </w:r>
                    </w:p>
                  </w:txbxContent>
                </v:textbox>
                <w10:wrap anchory="page"/>
                <w10:anchorlock/>
              </v:shape>
            </w:pict>
          </mc:Fallback>
        </mc:AlternateContent>
      </w:r>
    </w:p>
    <w:sectPr w:rsidR="00EE43AF" w:rsidRPr="00AC59E6" w:rsidSect="000C5A3F">
      <w:headerReference w:type="default" r:id="rId12"/>
      <w:headerReference w:type="first" r:id="rId13"/>
      <w:type w:val="continuous"/>
      <w:pgSz w:w="12240" w:h="15840" w:code="1"/>
      <w:pgMar w:top="2160" w:right="1570"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33F5" w14:textId="77777777" w:rsidR="00751848" w:rsidRDefault="00751848">
      <w:r>
        <w:separator/>
      </w:r>
    </w:p>
  </w:endnote>
  <w:endnote w:type="continuationSeparator" w:id="0">
    <w:p w14:paraId="2E54B6C4" w14:textId="77777777" w:rsidR="00751848" w:rsidRDefault="0075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9631" w14:textId="77777777" w:rsidR="00751848" w:rsidRDefault="00751848">
      <w:r>
        <w:separator/>
      </w:r>
    </w:p>
  </w:footnote>
  <w:footnote w:type="continuationSeparator" w:id="0">
    <w:p w14:paraId="300BC791" w14:textId="77777777" w:rsidR="00751848" w:rsidRDefault="00751848">
      <w:r>
        <w:continuationSeparator/>
      </w:r>
    </w:p>
  </w:footnote>
  <w:footnote w:id="1">
    <w:p w14:paraId="2CAF401B" w14:textId="2A201874" w:rsidR="00EE43AF" w:rsidRPr="00972B7C" w:rsidRDefault="00751848">
      <w:pPr>
        <w:ind w:left="720" w:hanging="360"/>
      </w:pPr>
      <w:r w:rsidRPr="00972B7C">
        <w:footnoteRef/>
      </w:r>
      <w:r w:rsidRPr="00972B7C">
        <w:t>.</w:t>
      </w:r>
      <w:r w:rsidRPr="00972B7C">
        <w:tab/>
        <w:t xml:space="preserve">CEPAL (2020), comunicado à imprensa, Disponível em: </w:t>
      </w:r>
      <w:hyperlink r:id="rId1">
        <w:r w:rsidR="00972B7C" w:rsidRPr="00972B7C">
          <w:rPr>
            <w:rStyle w:val="Hyperlink"/>
          </w:rPr>
          <w:t>https://www.cepal.org/es/temas/proteccion-social</w:t>
        </w:r>
      </w:hyperlink>
    </w:p>
  </w:footnote>
  <w:footnote w:id="2">
    <w:p w14:paraId="3DE4C31A" w14:textId="76E9A481" w:rsidR="00EE43AF" w:rsidRPr="00972B7C" w:rsidRDefault="00751848">
      <w:pPr>
        <w:ind w:left="720" w:hanging="360"/>
        <w:jc w:val="both"/>
      </w:pPr>
      <w:r w:rsidRPr="00972B7C">
        <w:footnoteRef/>
      </w:r>
      <w:r w:rsidRPr="000C5A3F">
        <w:rPr>
          <w:lang w:val="es-ES"/>
        </w:rPr>
        <w:t>.</w:t>
      </w:r>
      <w:r w:rsidRPr="000C5A3F">
        <w:rPr>
          <w:lang w:val="es-ES"/>
        </w:rPr>
        <w:tab/>
        <w:t xml:space="preserve">CEPAL (2020) </w:t>
      </w:r>
      <w:hyperlink r:id="rId2">
        <w:r w:rsidRPr="000C5A3F">
          <w:rPr>
            <w:rStyle w:val="Hyperlink"/>
            <w:lang w:val="es-ES"/>
          </w:rPr>
          <w:t>Relatório Especial COVID-19 No. 3</w:t>
        </w:r>
        <w:r w:rsidRPr="000C5A3F">
          <w:rPr>
            <w:lang w:val="es-ES"/>
          </w:rPr>
          <w:t xml:space="preserve"> </w:t>
        </w:r>
      </w:hyperlink>
      <w:r w:rsidRPr="000C5A3F">
        <w:rPr>
          <w:lang w:val="es-ES"/>
        </w:rPr>
        <w:t>“</w:t>
      </w:r>
      <w:r w:rsidRPr="000C5A3F">
        <w:rPr>
          <w:i/>
          <w:iCs/>
          <w:lang w:val="es-ES"/>
        </w:rPr>
        <w:t>El desafío social en tiempos del COVID-19</w:t>
      </w:r>
      <w:r w:rsidRPr="000C5A3F">
        <w:rPr>
          <w:lang w:val="es-ES"/>
        </w:rPr>
        <w:t xml:space="preserve">.” </w:t>
      </w:r>
      <w:r w:rsidR="00822519">
        <w:fldChar w:fldCharType="begin"/>
      </w:r>
      <w:r w:rsidR="00822519" w:rsidRPr="00822519">
        <w:rPr>
          <w:lang w:val="es-US"/>
        </w:rPr>
        <w:instrText xml:space="preserve"> HYPERLINK "https://repositorio.cepal.org/bitstream/handle/11362/45527/5/S2000325_es.pdf" </w:instrText>
      </w:r>
      <w:r w:rsidR="00822519">
        <w:fldChar w:fldCharType="separate"/>
      </w:r>
      <w:r w:rsidRPr="00972B7C">
        <w:rPr>
          <w:rStyle w:val="Hyperlink"/>
        </w:rPr>
        <w:t>https://repositorio.cepal.org/bitstream/handle/11362/45527/5/S2000325_es.pdf</w:t>
      </w:r>
      <w:r w:rsidR="00822519">
        <w:rPr>
          <w:rStyle w:val="Hyperlink"/>
        </w:rPr>
        <w:fldChar w:fldCharType="end"/>
      </w:r>
      <w:r w:rsidRPr="00972B7C">
        <w:rPr>
          <w:rStyle w:val="Hyperlink"/>
        </w:rPr>
        <w:t xml:space="preserve"> </w:t>
      </w:r>
    </w:p>
    <w:p w14:paraId="37647F77" w14:textId="10D94219" w:rsidR="00EE43AF" w:rsidRDefault="00751848" w:rsidP="000C5A3F">
      <w:pPr>
        <w:ind w:left="720"/>
        <w:jc w:val="both"/>
      </w:pPr>
      <w:r w:rsidRPr="00972B7C">
        <w:t xml:space="preserve">Os sistemas de proteção social ocupam um lugar de destaque nos </w:t>
      </w:r>
      <w:hyperlink r:id="rId3">
        <w:r w:rsidRPr="00972B7C">
          <w:rPr>
            <w:rStyle w:val="Hyperlink"/>
          </w:rPr>
          <w:t>Objetivos de Desenvolvimento Sustentável das Nações Unidas (ODS)</w:t>
        </w:r>
      </w:hyperlink>
      <w:r w:rsidRPr="00972B7C">
        <w:rPr>
          <w:rStyle w:val="Hyperlink"/>
        </w:rPr>
        <w:t>.</w:t>
      </w:r>
      <w:r w:rsidR="00F007E1" w:rsidRPr="00972B7C">
        <w:rPr>
          <w:rStyle w:val="Hyperlink"/>
          <w:u w:val="none"/>
        </w:rPr>
        <w:t xml:space="preserve"> </w:t>
      </w:r>
      <w:r w:rsidRPr="00972B7C">
        <w:t>(i) O objetivo 1.3 exige a implementação “em nível nacional, [de] medidas e sistemas de proteção social apropriados, para todos, incluindo pisos, e até 2030 atingir a cobertura substancial dos pobres e vulneráveis.</w:t>
      </w:r>
    </w:p>
  </w:footnote>
  <w:footnote w:id="3">
    <w:p w14:paraId="41ECAE16" w14:textId="69ADC09F" w:rsidR="00EE43AF" w:rsidRDefault="00751848">
      <w:pPr>
        <w:ind w:left="720" w:hanging="360"/>
        <w:jc w:val="both"/>
      </w:pPr>
      <w:r w:rsidRPr="00E837FB">
        <w:footnoteRef/>
      </w:r>
      <w:r w:rsidRPr="000C5A3F">
        <w:rPr>
          <w:lang w:val="es-ES"/>
        </w:rPr>
        <w:t>.</w:t>
      </w:r>
      <w:r w:rsidRPr="000C5A3F">
        <w:rPr>
          <w:lang w:val="es-ES"/>
        </w:rPr>
        <w:tab/>
      </w:r>
      <w:r w:rsidRPr="0078401D">
        <w:rPr>
          <w:lang w:val="es-US"/>
        </w:rPr>
        <w:t>Organização Internacional do Trabalho</w:t>
      </w:r>
      <w:r w:rsidRPr="000C5A3F">
        <w:rPr>
          <w:lang w:val="es-ES"/>
        </w:rPr>
        <w:t xml:space="preserve"> (2020) “</w:t>
      </w:r>
      <w:r w:rsidR="00972B7C" w:rsidRPr="00972B7C">
        <w:rPr>
          <w:i/>
          <w:iCs/>
          <w:lang w:val="es-UY"/>
        </w:rPr>
        <w:t>Hay que subsanar los déficits de protección social en los países en desarrollo para atajar crisis futuras</w:t>
      </w:r>
      <w:r w:rsidRPr="000C5A3F">
        <w:rPr>
          <w:lang w:val="es-ES"/>
        </w:rPr>
        <w:t xml:space="preserve">”. </w:t>
      </w:r>
      <w:r>
        <w:t xml:space="preserve">Disponível em: </w:t>
      </w:r>
      <w:hyperlink r:id="rId4">
        <w:r>
          <w:rPr>
            <w:rStyle w:val="Hyperlink"/>
          </w:rPr>
          <w:t>http://www.ilo.org/global/about-the-ilo/newsroom/news/WCMS_744713/lang--es/index.htm</w:t>
        </w:r>
      </w:hyperlink>
      <w:r>
        <w:t xml:space="preserve"> </w:t>
      </w:r>
    </w:p>
  </w:footnote>
  <w:footnote w:id="4">
    <w:p w14:paraId="0B029A33" w14:textId="77777777" w:rsidR="001E6C82" w:rsidRDefault="00751848">
      <w:pPr>
        <w:ind w:left="720" w:hanging="360"/>
        <w:jc w:val="both"/>
      </w:pPr>
      <w:r w:rsidRPr="00E837FB">
        <w:footnoteRef/>
      </w:r>
      <w:r w:rsidRPr="000C5A3F">
        <w:rPr>
          <w:lang w:val="es-ES"/>
        </w:rPr>
        <w:t>.</w:t>
      </w:r>
      <w:r w:rsidRPr="000C5A3F">
        <w:rPr>
          <w:lang w:val="es-ES"/>
        </w:rPr>
        <w:tab/>
        <w:t>CEPAL (2020) “</w:t>
      </w:r>
      <w:r w:rsidRPr="000C5A3F">
        <w:rPr>
          <w:i/>
          <w:iCs/>
          <w:lang w:val="es-ES"/>
        </w:rPr>
        <w:t>El desafío social en tiempos del COVID-19</w:t>
      </w:r>
      <w:r w:rsidRPr="000C5A3F">
        <w:rPr>
          <w:lang w:val="es-ES"/>
        </w:rPr>
        <w:t xml:space="preserve">”. </w:t>
      </w:r>
      <w:r>
        <w:t xml:space="preserve">Disponível em: </w:t>
      </w:r>
    </w:p>
    <w:p w14:paraId="291771EE" w14:textId="2B7634B8" w:rsidR="00EE43AF" w:rsidRDefault="00822519" w:rsidP="001E6C82">
      <w:pPr>
        <w:ind w:left="720"/>
        <w:jc w:val="both"/>
      </w:pPr>
      <w:hyperlink r:id="rId5" w:history="1">
        <w:r w:rsidR="001E6C82" w:rsidRPr="008631D7">
          <w:rPr>
            <w:rStyle w:val="Hyperlink"/>
          </w:rPr>
          <w:t>https://www.cepal.org/es/publicaciones/45527-desafio-social-tiempos-covid-19</w:t>
        </w:r>
      </w:hyperlink>
      <w:r w:rsidR="00751848">
        <w:rPr>
          <w:rStyle w:val="Hyperlink"/>
        </w:rPr>
        <w:t xml:space="preserve"> </w:t>
      </w:r>
    </w:p>
  </w:footnote>
  <w:footnote w:id="5">
    <w:p w14:paraId="59BDFB69" w14:textId="77777777" w:rsidR="00EE43AF" w:rsidRPr="000C5A3F" w:rsidRDefault="00751848">
      <w:pPr>
        <w:pStyle w:val="FootnoteText"/>
        <w:ind w:left="720" w:hanging="360"/>
        <w:jc w:val="both"/>
        <w:rPr>
          <w:color w:val="000000" w:themeColor="text1"/>
          <w:lang w:val="es-ES"/>
        </w:rPr>
      </w:pPr>
      <w:r w:rsidRPr="00E837FB">
        <w:footnoteRef/>
      </w:r>
      <w:r w:rsidRPr="000C5A3F">
        <w:rPr>
          <w:lang w:val="es-ES"/>
        </w:rPr>
        <w:t>.</w:t>
      </w:r>
      <w:r w:rsidRPr="000C5A3F">
        <w:rPr>
          <w:lang w:val="es-ES"/>
        </w:rPr>
        <w:tab/>
        <w:t xml:space="preserve">CEPAL (2021) </w:t>
      </w:r>
      <w:r w:rsidRPr="000C5A3F">
        <w:rPr>
          <w:color w:val="202124"/>
          <w:lang w:val="es-ES"/>
        </w:rPr>
        <w:t>“</w:t>
      </w:r>
      <w:r w:rsidRPr="000C5A3F">
        <w:rPr>
          <w:i/>
          <w:iCs/>
          <w:color w:val="000000" w:themeColor="text1"/>
          <w:lang w:val="es-ES"/>
        </w:rPr>
        <w:t>Herramientas de protección social para enfrentar los efectos de la pandemia de COVID-19 en la experiencia de América Latina</w:t>
      </w:r>
      <w:r w:rsidRPr="000C5A3F">
        <w:rPr>
          <w:color w:val="000000" w:themeColor="text1"/>
          <w:lang w:val="es-ES"/>
        </w:rPr>
        <w:t>”</w:t>
      </w:r>
    </w:p>
    <w:p w14:paraId="0EAE9CF3" w14:textId="6862C62E" w:rsidR="00EE43AF" w:rsidRPr="000C5A3F" w:rsidRDefault="0078401D">
      <w:pPr>
        <w:pStyle w:val="FootnoteText"/>
        <w:ind w:left="720"/>
        <w:jc w:val="both"/>
        <w:rPr>
          <w:lang w:val="es-ES"/>
        </w:rPr>
      </w:pPr>
      <w:hyperlink r:id="rId6" w:history="1">
        <w:r w:rsidR="00751848" w:rsidRPr="000C5A3F">
          <w:rPr>
            <w:rStyle w:val="Hyperlink"/>
            <w:lang w:val="es-ES"/>
          </w:rPr>
          <w:t>https://www.google.com/url?sa=t&amp;rct=j&amp;q=&amp;esrc=s&amp;source=web&amp;cd=&amp;cad=rja&amp;uact=8&amp;ved=2ahUKEwjUyJDTr631AhVgrJUCHQPHAZEQFnoECAkQAQ&amp;url=https%3A%2F%2Frepositorio.cepal.org%2Fbitstream%2Fhandle%2F11362%2F47412%2F1%2FS2100613_es.pdf&amp;usg=AOvVaw1ymCsbi3pF-jdKuVgDRZt7</w:t>
        </w:r>
      </w:hyperlink>
    </w:p>
  </w:footnote>
  <w:footnote w:id="6">
    <w:p w14:paraId="0CBE221C" w14:textId="4E360237" w:rsidR="00EE43AF" w:rsidRPr="000C5A3F" w:rsidRDefault="00751848" w:rsidP="000C5A3F">
      <w:pPr>
        <w:pStyle w:val="FootnoteText"/>
        <w:ind w:left="720" w:hanging="360"/>
        <w:jc w:val="both"/>
        <w:rPr>
          <w:lang w:val="es-ES"/>
        </w:rPr>
      </w:pPr>
      <w:r w:rsidRPr="00E837FB">
        <w:footnoteRef/>
      </w:r>
      <w:r w:rsidRPr="000C5A3F">
        <w:rPr>
          <w:lang w:val="es-ES"/>
        </w:rPr>
        <w:t>.</w:t>
      </w:r>
      <w:r w:rsidRPr="000C5A3F">
        <w:rPr>
          <w:lang w:val="es-ES"/>
        </w:rPr>
        <w:tab/>
      </w:r>
      <w:r w:rsidRPr="0078401D">
        <w:rPr>
          <w:lang w:val="es-US"/>
        </w:rPr>
        <w:t xml:space="preserve">Série de publicações </w:t>
      </w:r>
      <w:r w:rsidRPr="000C5A3F">
        <w:rPr>
          <w:lang w:val="es-ES"/>
        </w:rPr>
        <w:t>“</w:t>
      </w:r>
      <w:r w:rsidRPr="000C5A3F">
        <w:rPr>
          <w:i/>
          <w:iCs/>
          <w:lang w:val="es-ES"/>
        </w:rPr>
        <w:t>COVID-19 en la vida de las mujeres</w:t>
      </w:r>
      <w:r w:rsidRPr="000C5A3F">
        <w:rPr>
          <w:lang w:val="es-ES"/>
        </w:rPr>
        <w:t xml:space="preserve">” CIM-OEA (2020-2021) </w:t>
      </w:r>
      <w:r w:rsidR="00822519">
        <w:fldChar w:fldCharType="begin"/>
      </w:r>
      <w:r w:rsidR="00822519" w:rsidRPr="00822519">
        <w:rPr>
          <w:lang w:val="es-US"/>
        </w:rPr>
        <w:instrText xml:space="preserve"> HYPERLINK "https://www.oas.org/es/cim/COVID-19.asp" </w:instrText>
      </w:r>
      <w:r w:rsidR="00822519">
        <w:fldChar w:fldCharType="separate"/>
      </w:r>
      <w:r w:rsidRPr="000C5A3F">
        <w:rPr>
          <w:rStyle w:val="Hyperlink"/>
          <w:lang w:val="es-ES"/>
        </w:rPr>
        <w:t>https://www.oas.org/es/cim/COVID-19.asp</w:t>
      </w:r>
      <w:r w:rsidR="00822519">
        <w:rPr>
          <w:rStyle w:val="Hyperlink"/>
          <w:lang w:val="es-ES"/>
        </w:rPr>
        <w:fldChar w:fldCharType="end"/>
      </w:r>
    </w:p>
  </w:footnote>
  <w:footnote w:id="7">
    <w:p w14:paraId="37267A44" w14:textId="4D6AF8B5" w:rsidR="00972B7C" w:rsidRPr="000C5A3F" w:rsidRDefault="00751848" w:rsidP="00972B7C">
      <w:pPr>
        <w:pStyle w:val="FootnoteText"/>
        <w:ind w:left="720" w:hanging="360"/>
        <w:jc w:val="both"/>
        <w:rPr>
          <w:lang w:val="es-ES"/>
        </w:rPr>
      </w:pPr>
      <w:r w:rsidRPr="00E837FB">
        <w:footnoteRef/>
      </w:r>
      <w:r w:rsidRPr="000C5A3F">
        <w:rPr>
          <w:lang w:val="es-ES"/>
        </w:rPr>
        <w:t>.</w:t>
      </w:r>
      <w:r w:rsidRPr="000C5A3F">
        <w:rPr>
          <w:lang w:val="es-ES"/>
        </w:rPr>
        <w:tab/>
        <w:t>UNICEF (2020) “</w:t>
      </w:r>
      <w:r w:rsidRPr="000C5A3F">
        <w:rPr>
          <w:i/>
          <w:iCs/>
          <w:lang w:val="es-ES"/>
        </w:rPr>
        <w:t>La protección social con perspectiva de género durante la COVID-19: Nota técnica</w:t>
      </w:r>
      <w:r w:rsidRPr="000C5A3F">
        <w:rPr>
          <w:lang w:val="es-ES"/>
        </w:rPr>
        <w:t xml:space="preserve">” </w:t>
      </w:r>
      <w:hyperlink r:id="rId7" w:history="1">
        <w:r w:rsidR="00972B7C" w:rsidRPr="000C5A3F">
          <w:rPr>
            <w:rStyle w:val="Hyperlink"/>
            <w:lang w:val="es-ES"/>
          </w:rPr>
          <w:t>https://www.unicef.org/media/68641/file/Gender-responsive-social-protection-during-covid-19-SP.pdf</w:t>
        </w:r>
      </w:hyperlink>
    </w:p>
  </w:footnote>
  <w:footnote w:id="8">
    <w:p w14:paraId="6EFA75EC" w14:textId="4A1D3FCA" w:rsidR="00EE43AF" w:rsidRPr="000C5A3F" w:rsidRDefault="00751848">
      <w:pPr>
        <w:pStyle w:val="NormalWeb"/>
        <w:spacing w:before="0" w:beforeAutospacing="0" w:after="0" w:afterAutospacing="0"/>
        <w:ind w:left="720" w:hanging="360"/>
        <w:contextualSpacing/>
        <w:jc w:val="both"/>
        <w:rPr>
          <w:color w:val="000000" w:themeColor="text1"/>
          <w:sz w:val="20"/>
          <w:lang w:val="es-ES"/>
        </w:rPr>
      </w:pPr>
      <w:r w:rsidRPr="00E837FB">
        <w:rPr>
          <w:sz w:val="20"/>
        </w:rPr>
        <w:footnoteRef/>
      </w:r>
      <w:r w:rsidRPr="000C5A3F">
        <w:rPr>
          <w:sz w:val="20"/>
          <w:lang w:val="es-ES"/>
        </w:rPr>
        <w:t>.</w:t>
      </w:r>
      <w:r w:rsidRPr="000C5A3F">
        <w:rPr>
          <w:color w:val="000000" w:themeColor="text1"/>
          <w:sz w:val="20"/>
          <w:lang w:val="es-ES"/>
        </w:rPr>
        <w:tab/>
        <w:t>SARE-OEA (2020) “</w:t>
      </w:r>
      <w:r w:rsidRPr="000C5A3F">
        <w:rPr>
          <w:i/>
          <w:iCs/>
          <w:color w:val="000000" w:themeColor="text1"/>
          <w:sz w:val="20"/>
          <w:lang w:val="es-ES"/>
        </w:rPr>
        <w:t>Guía práctica de respuestas inclusivas y con enfoque de derechos ante el COVID-19 en las Américas</w:t>
      </w:r>
      <w:r w:rsidRPr="000C5A3F">
        <w:rPr>
          <w:color w:val="000000" w:themeColor="text1"/>
          <w:sz w:val="20"/>
          <w:lang w:val="es-ES"/>
        </w:rPr>
        <w:t>”, onde Alejandra lidera o 1º capítulo: “</w:t>
      </w:r>
      <w:r w:rsidRPr="000C5A3F">
        <w:rPr>
          <w:i/>
          <w:iCs/>
          <w:color w:val="000000" w:themeColor="text1"/>
          <w:sz w:val="20"/>
          <w:lang w:val="es-ES"/>
        </w:rPr>
        <w:t>Mujeres, igualdad de género y COVID-19</w:t>
      </w:r>
      <w:r w:rsidRPr="000C5A3F">
        <w:rPr>
          <w:color w:val="000000" w:themeColor="text1"/>
          <w:sz w:val="20"/>
          <w:lang w:val="es-ES"/>
        </w:rPr>
        <w:t>”</w:t>
      </w:r>
    </w:p>
    <w:p w14:paraId="77259A1B" w14:textId="68F5F12A" w:rsidR="00EE43AF" w:rsidRPr="000C5A3F" w:rsidRDefault="0078401D">
      <w:pPr>
        <w:pStyle w:val="CommentText"/>
        <w:spacing w:after="0"/>
        <w:ind w:left="720"/>
        <w:contextualSpacing/>
        <w:jc w:val="both"/>
        <w:rPr>
          <w:rFonts w:ascii="Times New Roman" w:hAnsi="Times New Roman"/>
          <w:color w:val="000000" w:themeColor="text1"/>
          <w:lang w:val="es-ES"/>
        </w:rPr>
      </w:pPr>
      <w:hyperlink r:id="rId8" w:history="1">
        <w:r w:rsidR="00751848" w:rsidRPr="000C5A3F">
          <w:rPr>
            <w:rStyle w:val="Hyperlink"/>
            <w:lang w:val="es-ES"/>
          </w:rPr>
          <w:t>https://www.oas.org/es/sadye/publicaciones/GUIA_SPA.pdf</w:t>
        </w:r>
      </w:hyperlink>
    </w:p>
  </w:footnote>
  <w:footnote w:id="9">
    <w:p w14:paraId="6372115D" w14:textId="77777777" w:rsidR="00EE43AF" w:rsidRPr="000C5A3F" w:rsidRDefault="00751848">
      <w:pPr>
        <w:pStyle w:val="FootnoteText"/>
        <w:ind w:left="720" w:hanging="360"/>
        <w:jc w:val="both"/>
        <w:rPr>
          <w:lang w:val="es-ES"/>
        </w:rPr>
      </w:pPr>
      <w:r w:rsidRPr="00E837FB">
        <w:rPr>
          <w:color w:val="000000" w:themeColor="text1"/>
        </w:rPr>
        <w:footnoteRef/>
      </w:r>
      <w:r w:rsidRPr="000C5A3F">
        <w:rPr>
          <w:color w:val="000000" w:themeColor="text1"/>
          <w:lang w:val="es-ES"/>
        </w:rPr>
        <w:t>.</w:t>
      </w:r>
      <w:r w:rsidRPr="000C5A3F">
        <w:rPr>
          <w:lang w:val="es-ES"/>
        </w:rPr>
        <w:tab/>
      </w:r>
      <w:r w:rsidRPr="000C5A3F">
        <w:rPr>
          <w:color w:val="000000" w:themeColor="text1"/>
          <w:lang w:val="es-ES"/>
        </w:rPr>
        <w:t>Nora Lustig e Mariano Tommasi, CEPAL (2020) “</w:t>
      </w:r>
      <w:r w:rsidRPr="000C5A3F">
        <w:rPr>
          <w:i/>
          <w:iCs/>
          <w:color w:val="000000" w:themeColor="text1"/>
          <w:lang w:val="es-ES"/>
        </w:rPr>
        <w:t>El Covid-19 y la protección social de los grupos pobres y vulnerables en América Latina: un marco conceptual</w:t>
      </w:r>
      <w:r w:rsidRPr="000C5A3F">
        <w:rPr>
          <w:color w:val="000000" w:themeColor="text1"/>
          <w:lang w:val="es-ES"/>
        </w:rPr>
        <w:t>”</w:t>
      </w:r>
      <w:r w:rsidRPr="000C5A3F">
        <w:rPr>
          <w:lang w:val="es-ES"/>
        </w:rPr>
        <w:t xml:space="preserve"> </w:t>
      </w:r>
    </w:p>
    <w:p w14:paraId="5E764616" w14:textId="49D7BED1" w:rsidR="00EE43AF" w:rsidRPr="000C5A3F" w:rsidRDefault="0078401D" w:rsidP="000C5A3F">
      <w:pPr>
        <w:pStyle w:val="FootnoteText"/>
        <w:ind w:left="720"/>
        <w:jc w:val="both"/>
        <w:rPr>
          <w:color w:val="000000" w:themeColor="text1"/>
          <w:lang w:val="es-ES"/>
        </w:rPr>
      </w:pPr>
      <w:hyperlink r:id="rId9" w:history="1">
        <w:r w:rsidR="00751848" w:rsidRPr="000C5A3F">
          <w:rPr>
            <w:rStyle w:val="Hyperlink"/>
            <w:lang w:val="es-ES"/>
          </w:rPr>
          <w:t>https://www.cepal.org/es/publicaciones/46836-covid-19-la-proteccion-social-grupos-pobres-vulnerables-america-latina-un-marco</w:t>
        </w:r>
      </w:hyperlink>
    </w:p>
  </w:footnote>
  <w:footnote w:id="10">
    <w:p w14:paraId="69B22BDE" w14:textId="77777777" w:rsidR="000C5A3F" w:rsidRDefault="00751848" w:rsidP="000C5A3F">
      <w:pPr>
        <w:pStyle w:val="FootnoteText"/>
        <w:ind w:left="720" w:hanging="360"/>
        <w:jc w:val="both"/>
      </w:pPr>
      <w:r w:rsidRPr="00E837FB">
        <w:footnoteRef/>
      </w:r>
      <w:r>
        <w:t>.</w:t>
      </w:r>
      <w:r>
        <w:tab/>
      </w:r>
      <w:r w:rsidRPr="00B500C9">
        <w:rPr>
          <w:color w:val="000000" w:themeColor="text1"/>
        </w:rPr>
        <w:t xml:space="preserve">Criado em 2019 para a implementação do "Plano de Ação da Guatemala" emanado da </w:t>
      </w:r>
      <w:r w:rsidR="00492C26" w:rsidRPr="00B500C9">
        <w:rPr>
          <w:color w:val="000000" w:themeColor="text1"/>
        </w:rPr>
        <w:t xml:space="preserve">Quarta </w:t>
      </w:r>
      <w:r w:rsidRPr="00B500C9">
        <w:rPr>
          <w:color w:val="000000" w:themeColor="text1"/>
        </w:rPr>
        <w:t>Reunião de Ministros e Altas Autoridades de Desenvolvimento Social (REMDES), março de 2019, Cidade da Guatemala,</w:t>
      </w:r>
      <w:r w:rsidR="006326BB" w:rsidRPr="007A5361">
        <w:rPr>
          <w:color w:val="000000" w:themeColor="text1"/>
        </w:rPr>
        <w:t xml:space="preserve"> G</w:t>
      </w:r>
      <w:r w:rsidRPr="007A5361">
        <w:rPr>
          <w:color w:val="000000" w:themeColor="text1"/>
        </w:rPr>
        <w:t>uatemala.</w:t>
      </w:r>
      <w:r>
        <w:t xml:space="preserve"> </w:t>
      </w:r>
    </w:p>
    <w:p w14:paraId="1238A8FF" w14:textId="521F9F7C" w:rsidR="00EE43AF" w:rsidRDefault="00822519" w:rsidP="000C5A3F">
      <w:pPr>
        <w:pStyle w:val="FootnoteText"/>
        <w:ind w:left="720"/>
        <w:jc w:val="both"/>
      </w:pPr>
      <w:hyperlink r:id="rId10" w:history="1">
        <w:r w:rsidR="000C5A3F" w:rsidRPr="008631D7">
          <w:rPr>
            <w:rStyle w:val="Hyperlink"/>
          </w:rPr>
          <w:t>https://scm.oas.org/IDMS/Redirectpage.aspx?class=XLVIII.4%20CIDI/REMDES/doc&amp;classNum=6&amp;lang=p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EE43AF" w:rsidRDefault="00751848">
    <w:pPr>
      <w:pStyle w:val="P68B1DB1-Header10"/>
      <w:jc w:val="center"/>
    </w:pPr>
    <w:r>
      <w:fldChar w:fldCharType="begin"/>
    </w:r>
    <w:r>
      <w:instrText xml:space="preserve"> PAGE   \* MERGEFORMAT </w:instrText>
    </w:r>
    <w:r>
      <w:fldChar w:fldCharType="separate"/>
    </w:r>
    <w:r>
      <w:t>- 6 -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EE43AF" w:rsidRDefault="00751848">
    <w:pPr>
      <w:pStyle w:val="Header"/>
    </w:pPr>
    <w:r>
      <w:rPr>
        <w:noProof/>
      </w:rPr>
      <mc:AlternateContent>
        <mc:Choice Requires="wps">
          <w:drawing>
            <wp:anchor distT="0" distB="0" distL="114300" distR="114300" simplePos="0" relativeHeight="251658752" behindDoc="0" locked="0" layoutInCell="1" allowOverlap="1" wp14:anchorId="580D35AC" wp14:editId="6547F9CB">
              <wp:simplePos x="0" y="0"/>
              <wp:positionH relativeFrom="column">
                <wp:posOffset>440690</wp:posOffset>
              </wp:positionH>
              <wp:positionV relativeFrom="paragraph">
                <wp:posOffset>-358527</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EE43AF" w:rsidRDefault="00751848">
                          <w:pPr>
                            <w:pStyle w:val="P68B1DB1-Header11"/>
                            <w:tabs>
                              <w:tab w:val="left" w:pos="900"/>
                            </w:tabs>
                            <w:spacing w:line="0" w:lineRule="atLeast"/>
                            <w:jc w:val="center"/>
                            <w:rPr>
                              <w:rFonts w:ascii="Garamond" w:hAnsi="Garamond"/>
                            </w:rPr>
                          </w:pPr>
                          <w:r>
                            <w:t xml:space="preserve">ORGANIZAÇÃO DOS ESTADOS AMERICANOS </w:t>
                          </w:r>
                        </w:p>
                        <w:p w14:paraId="2CA4038B" w14:textId="77777777" w:rsidR="00EE43AF" w:rsidRDefault="00751848">
                          <w:pPr>
                            <w:pStyle w:val="P68B1DB1-Header12"/>
                            <w:tabs>
                              <w:tab w:val="left" w:pos="900"/>
                            </w:tabs>
                            <w:spacing w:line="0" w:lineRule="atLeast"/>
                            <w:jc w:val="center"/>
                            <w:rPr>
                              <w:rFonts w:ascii="Garamond" w:hAnsi="Garamond"/>
                            </w:rPr>
                          </w:pPr>
                          <w:r>
                            <w:t xml:space="preserve">Conselho Interamericano de Desenvolvimento Integral </w:t>
                          </w:r>
                        </w:p>
                        <w:p w14:paraId="2B28C509" w14:textId="77777777" w:rsidR="00EE43AF" w:rsidRDefault="00751848">
                          <w:pPr>
                            <w:pStyle w:val="P68B1DB1-Header12"/>
                            <w:tabs>
                              <w:tab w:val="left" w:pos="900"/>
                            </w:tabs>
                            <w:spacing w:line="0" w:lineRule="atLeast"/>
                            <w:jc w:val="center"/>
                          </w:pPr>
                          <w: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28.2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" stroked="f">
              <v:textbox>
                <w:txbxContent>
                  <w:p w14:paraId="44131F49" w14:textId="77777777" w:rsidR="00EE43AF" w:rsidRDefault="00751848">
                    <w:pPr>
                      <w:pStyle w:val="P68B1DB1-Header11"/>
                      <w:tabs>
                        <w:tab w:val="left" w:pos="900"/>
                      </w:tabs>
                      <w:spacing w:line="0" w:lineRule="atLeast"/>
                      <w:jc w:val="center"/>
                      <w:rPr>
                        <w:rFonts w:ascii="Garamond" w:hAnsi="Garamond"/>
                      </w:rPr>
                    </w:pPr>
                    <w:r>
                      <w:t xml:space="preserve">ORGANIZAÇÃO DOS ESTADOS AMERICANOS </w:t>
                    </w:r>
                  </w:p>
                  <w:p w14:paraId="2CA4038B" w14:textId="77777777" w:rsidR="00EE43AF" w:rsidRDefault="00751848">
                    <w:pPr>
                      <w:pStyle w:val="P68B1DB1-Header12"/>
                      <w:tabs>
                        <w:tab w:val="left" w:pos="900"/>
                      </w:tabs>
                      <w:spacing w:line="0" w:lineRule="atLeast"/>
                      <w:jc w:val="center"/>
                      <w:rPr>
                        <w:rFonts w:ascii="Garamond" w:hAnsi="Garamond"/>
                      </w:rPr>
                    </w:pPr>
                    <w:r>
                      <w:t xml:space="preserve">Conselho Interamericano de Desenvolvimento Integral </w:t>
                    </w:r>
                  </w:p>
                  <w:p w14:paraId="2B28C509" w14:textId="77777777" w:rsidR="00EE43AF" w:rsidRDefault="00751848">
                    <w:pPr>
                      <w:pStyle w:val="P68B1DB1-Header12"/>
                      <w:tabs>
                        <w:tab w:val="left" w:pos="900"/>
                      </w:tabs>
                      <w:spacing w:line="0" w:lineRule="atLeast"/>
                      <w:jc w:val="center"/>
                    </w:pPr>
                    <w: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EE43AF" w:rsidRDefault="00751848">
                          <w:pPr>
                            <w:pStyle w:val="P68B1DB1-Normal13"/>
                            <w:ind w:right="-130"/>
                          </w:pPr>
                          <w:r>
                            <w:rPr>
                              <w:noProof/>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EE43AF" w:rsidRDefault="00751848">
                    <w:pPr>
                      <w:pStyle w:val="P68B1DB1-Normal13"/>
                      <w:ind w:right="-130"/>
                    </w:pPr>
                    <w:r>
                      <w:rPr>
                        <w:noProof/>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EE43AF" w:rsidRDefault="00EE4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5"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39"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0"/>
  </w:num>
  <w:num w:numId="3">
    <w:abstractNumId w:val="4"/>
  </w:num>
  <w:num w:numId="4">
    <w:abstractNumId w:val="38"/>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
  </w:num>
  <w:num w:numId="10">
    <w:abstractNumId w:val="19"/>
  </w:num>
  <w:num w:numId="11">
    <w:abstractNumId w:val="24"/>
  </w:num>
  <w:num w:numId="12">
    <w:abstractNumId w:val="40"/>
  </w:num>
  <w:num w:numId="13">
    <w:abstractNumId w:val="18"/>
  </w:num>
  <w:num w:numId="14">
    <w:abstractNumId w:val="32"/>
  </w:num>
  <w:num w:numId="15">
    <w:abstractNumId w:val="17"/>
  </w:num>
  <w:num w:numId="16">
    <w:abstractNumId w:val="3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0"/>
  </w:num>
  <w:num w:numId="20">
    <w:abstractNumId w:val="3"/>
  </w:num>
  <w:num w:numId="21">
    <w:abstractNumId w:val="21"/>
  </w:num>
  <w:num w:numId="22">
    <w:abstractNumId w:val="5"/>
  </w:num>
  <w:num w:numId="23">
    <w:abstractNumId w:val="0"/>
  </w:num>
  <w:num w:numId="24">
    <w:abstractNumId w:val="37"/>
  </w:num>
  <w:num w:numId="25">
    <w:abstractNumId w:val="39"/>
  </w:num>
  <w:num w:numId="26">
    <w:abstractNumId w:val="29"/>
  </w:num>
  <w:num w:numId="27">
    <w:abstractNumId w:val="9"/>
  </w:num>
  <w:num w:numId="28">
    <w:abstractNumId w:val="36"/>
  </w:num>
  <w:num w:numId="29">
    <w:abstractNumId w:val="35"/>
  </w:num>
  <w:num w:numId="30">
    <w:abstractNumId w:val="13"/>
  </w:num>
  <w:num w:numId="31">
    <w:abstractNumId w:val="14"/>
  </w:num>
  <w:num w:numId="32">
    <w:abstractNumId w:val="31"/>
  </w:num>
  <w:num w:numId="33">
    <w:abstractNumId w:val="8"/>
  </w:num>
  <w:num w:numId="34">
    <w:abstractNumId w:val="22"/>
  </w:num>
  <w:num w:numId="35">
    <w:abstractNumId w:val="20"/>
  </w:num>
  <w:num w:numId="36">
    <w:abstractNumId w:val="11"/>
  </w:num>
  <w:num w:numId="37">
    <w:abstractNumId w:val="25"/>
  </w:num>
  <w:num w:numId="38">
    <w:abstractNumId w:val="7"/>
  </w:num>
  <w:num w:numId="39">
    <w:abstractNumId w:val="26"/>
  </w:num>
  <w:num w:numId="40">
    <w:abstractNumId w:val="6"/>
  </w:num>
  <w:num w:numId="41">
    <w:abstractNumId w:val="28"/>
  </w:num>
  <w:num w:numId="42">
    <w:abstractNumId w:val="15"/>
  </w:num>
  <w:num w:numId="43">
    <w:abstractNumId w:val="27"/>
  </w:num>
  <w:num w:numId="44">
    <w:abstractNumId w:val="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29F"/>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5A3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344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00B"/>
    <w:rsid w:val="0019668A"/>
    <w:rsid w:val="001B0828"/>
    <w:rsid w:val="001B0AB0"/>
    <w:rsid w:val="001B193D"/>
    <w:rsid w:val="001B4D32"/>
    <w:rsid w:val="001C6DC5"/>
    <w:rsid w:val="001D0221"/>
    <w:rsid w:val="001D02E9"/>
    <w:rsid w:val="001D738C"/>
    <w:rsid w:val="001E0458"/>
    <w:rsid w:val="001E3150"/>
    <w:rsid w:val="001E3C78"/>
    <w:rsid w:val="001E6C82"/>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1B"/>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D0721"/>
    <w:rsid w:val="003D13AD"/>
    <w:rsid w:val="003D2362"/>
    <w:rsid w:val="003D4305"/>
    <w:rsid w:val="003D59E5"/>
    <w:rsid w:val="003D6278"/>
    <w:rsid w:val="003D7152"/>
    <w:rsid w:val="003E687F"/>
    <w:rsid w:val="003F023D"/>
    <w:rsid w:val="003F087E"/>
    <w:rsid w:val="003F4FA0"/>
    <w:rsid w:val="003F6FF7"/>
    <w:rsid w:val="00402DD8"/>
    <w:rsid w:val="00405557"/>
    <w:rsid w:val="004064B3"/>
    <w:rsid w:val="004113BA"/>
    <w:rsid w:val="00413FE5"/>
    <w:rsid w:val="00414A9D"/>
    <w:rsid w:val="00421AA1"/>
    <w:rsid w:val="0042337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2C26"/>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282"/>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61E1"/>
    <w:rsid w:val="0050667F"/>
    <w:rsid w:val="005076B4"/>
    <w:rsid w:val="00510EDF"/>
    <w:rsid w:val="005112C3"/>
    <w:rsid w:val="00513B4E"/>
    <w:rsid w:val="00514EDB"/>
    <w:rsid w:val="00515B70"/>
    <w:rsid w:val="00517A3F"/>
    <w:rsid w:val="0052023C"/>
    <w:rsid w:val="0052430D"/>
    <w:rsid w:val="005252F1"/>
    <w:rsid w:val="00527F6D"/>
    <w:rsid w:val="005336D0"/>
    <w:rsid w:val="0053678B"/>
    <w:rsid w:val="00540938"/>
    <w:rsid w:val="005421E0"/>
    <w:rsid w:val="005458C5"/>
    <w:rsid w:val="005462E3"/>
    <w:rsid w:val="00547791"/>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5372"/>
    <w:rsid w:val="005A53C5"/>
    <w:rsid w:val="005A599A"/>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26BB"/>
    <w:rsid w:val="00634271"/>
    <w:rsid w:val="00634E7B"/>
    <w:rsid w:val="00635145"/>
    <w:rsid w:val="0063562A"/>
    <w:rsid w:val="00636F9C"/>
    <w:rsid w:val="006374D0"/>
    <w:rsid w:val="00642E66"/>
    <w:rsid w:val="00646109"/>
    <w:rsid w:val="0064648A"/>
    <w:rsid w:val="00647CB9"/>
    <w:rsid w:val="00650EFA"/>
    <w:rsid w:val="00655B90"/>
    <w:rsid w:val="00656B5A"/>
    <w:rsid w:val="00661424"/>
    <w:rsid w:val="00663D49"/>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230E"/>
    <w:rsid w:val="006F4488"/>
    <w:rsid w:val="006F6D5F"/>
    <w:rsid w:val="007026A5"/>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1848"/>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401D"/>
    <w:rsid w:val="00787435"/>
    <w:rsid w:val="00790B06"/>
    <w:rsid w:val="00791388"/>
    <w:rsid w:val="00791916"/>
    <w:rsid w:val="00792398"/>
    <w:rsid w:val="00794A66"/>
    <w:rsid w:val="00794BF4"/>
    <w:rsid w:val="00794E46"/>
    <w:rsid w:val="00796149"/>
    <w:rsid w:val="007A307C"/>
    <w:rsid w:val="007A5361"/>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0614B"/>
    <w:rsid w:val="00812E45"/>
    <w:rsid w:val="00815A1F"/>
    <w:rsid w:val="00820F66"/>
    <w:rsid w:val="00821E7C"/>
    <w:rsid w:val="00822519"/>
    <w:rsid w:val="0082268A"/>
    <w:rsid w:val="008260C9"/>
    <w:rsid w:val="00827358"/>
    <w:rsid w:val="008365F4"/>
    <w:rsid w:val="00836740"/>
    <w:rsid w:val="00836CCC"/>
    <w:rsid w:val="0084046A"/>
    <w:rsid w:val="0085184E"/>
    <w:rsid w:val="00852DA4"/>
    <w:rsid w:val="00856DC9"/>
    <w:rsid w:val="00860083"/>
    <w:rsid w:val="00860DE1"/>
    <w:rsid w:val="00862858"/>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708DF"/>
    <w:rsid w:val="0097131C"/>
    <w:rsid w:val="00972B7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59E6"/>
    <w:rsid w:val="00AC641C"/>
    <w:rsid w:val="00AC7FA2"/>
    <w:rsid w:val="00AD33C4"/>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7F1B"/>
    <w:rsid w:val="00B33F4A"/>
    <w:rsid w:val="00B34C06"/>
    <w:rsid w:val="00B37C1B"/>
    <w:rsid w:val="00B37D65"/>
    <w:rsid w:val="00B40DC8"/>
    <w:rsid w:val="00B430CF"/>
    <w:rsid w:val="00B43107"/>
    <w:rsid w:val="00B43169"/>
    <w:rsid w:val="00B439EC"/>
    <w:rsid w:val="00B47109"/>
    <w:rsid w:val="00B500C9"/>
    <w:rsid w:val="00B50945"/>
    <w:rsid w:val="00B5122D"/>
    <w:rsid w:val="00B53242"/>
    <w:rsid w:val="00B5382C"/>
    <w:rsid w:val="00B5781C"/>
    <w:rsid w:val="00B624CF"/>
    <w:rsid w:val="00B63B4B"/>
    <w:rsid w:val="00B6694A"/>
    <w:rsid w:val="00B71785"/>
    <w:rsid w:val="00B739D0"/>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5A66"/>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A7D20"/>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F4554"/>
    <w:rsid w:val="00CF4D95"/>
    <w:rsid w:val="00CF5033"/>
    <w:rsid w:val="00CF629A"/>
    <w:rsid w:val="00CF6933"/>
    <w:rsid w:val="00CF6FDB"/>
    <w:rsid w:val="00D0030D"/>
    <w:rsid w:val="00D07BD9"/>
    <w:rsid w:val="00D108CD"/>
    <w:rsid w:val="00D12A50"/>
    <w:rsid w:val="00D173F8"/>
    <w:rsid w:val="00D179B6"/>
    <w:rsid w:val="00D22FE3"/>
    <w:rsid w:val="00D307BF"/>
    <w:rsid w:val="00D3132C"/>
    <w:rsid w:val="00D31989"/>
    <w:rsid w:val="00D324C0"/>
    <w:rsid w:val="00D32A6A"/>
    <w:rsid w:val="00D3478E"/>
    <w:rsid w:val="00D41048"/>
    <w:rsid w:val="00D41A87"/>
    <w:rsid w:val="00D52F3D"/>
    <w:rsid w:val="00D57730"/>
    <w:rsid w:val="00D57E47"/>
    <w:rsid w:val="00D602AD"/>
    <w:rsid w:val="00D610E3"/>
    <w:rsid w:val="00D643E9"/>
    <w:rsid w:val="00D64EA6"/>
    <w:rsid w:val="00D6769E"/>
    <w:rsid w:val="00D676CC"/>
    <w:rsid w:val="00D71ED9"/>
    <w:rsid w:val="00D74A2C"/>
    <w:rsid w:val="00D752E0"/>
    <w:rsid w:val="00D80335"/>
    <w:rsid w:val="00D8755F"/>
    <w:rsid w:val="00D93A61"/>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23A7"/>
    <w:rsid w:val="00E50C47"/>
    <w:rsid w:val="00E51CC2"/>
    <w:rsid w:val="00E55047"/>
    <w:rsid w:val="00E55B8A"/>
    <w:rsid w:val="00E61585"/>
    <w:rsid w:val="00E62556"/>
    <w:rsid w:val="00E65762"/>
    <w:rsid w:val="00E65892"/>
    <w:rsid w:val="00E7224F"/>
    <w:rsid w:val="00E75DF0"/>
    <w:rsid w:val="00E768B6"/>
    <w:rsid w:val="00E81A17"/>
    <w:rsid w:val="00E837FB"/>
    <w:rsid w:val="00E83BE7"/>
    <w:rsid w:val="00E90F30"/>
    <w:rsid w:val="00E946CB"/>
    <w:rsid w:val="00EA008C"/>
    <w:rsid w:val="00EA01A8"/>
    <w:rsid w:val="00EA7DE7"/>
    <w:rsid w:val="00EB09BC"/>
    <w:rsid w:val="00EB69E3"/>
    <w:rsid w:val="00EB7237"/>
    <w:rsid w:val="00EB7C4A"/>
    <w:rsid w:val="00EC00D8"/>
    <w:rsid w:val="00EC35C0"/>
    <w:rsid w:val="00EC4BFD"/>
    <w:rsid w:val="00EC5E91"/>
    <w:rsid w:val="00EC7711"/>
    <w:rsid w:val="00ED1607"/>
    <w:rsid w:val="00ED2AF4"/>
    <w:rsid w:val="00ED2B07"/>
    <w:rsid w:val="00ED2DE0"/>
    <w:rsid w:val="00ED43A1"/>
    <w:rsid w:val="00ED5D59"/>
    <w:rsid w:val="00ED7C6A"/>
    <w:rsid w:val="00EE1EC8"/>
    <w:rsid w:val="00EE29AE"/>
    <w:rsid w:val="00EE43AF"/>
    <w:rsid w:val="00EE4B48"/>
    <w:rsid w:val="00EE5066"/>
    <w:rsid w:val="00EE51B7"/>
    <w:rsid w:val="00EE7D67"/>
    <w:rsid w:val="00EF382D"/>
    <w:rsid w:val="00EF4600"/>
    <w:rsid w:val="00EF494E"/>
    <w:rsid w:val="00EF5709"/>
    <w:rsid w:val="00EF6DE2"/>
    <w:rsid w:val="00EF76D9"/>
    <w:rsid w:val="00EF772D"/>
    <w:rsid w:val="00F007E1"/>
    <w:rsid w:val="00F013AE"/>
    <w:rsid w:val="00F0248D"/>
    <w:rsid w:val="00F040F8"/>
    <w:rsid w:val="00F0479A"/>
    <w:rsid w:val="00F068C1"/>
    <w:rsid w:val="00F06E39"/>
    <w:rsid w:val="00F103CE"/>
    <w:rsid w:val="00F11E43"/>
    <w:rsid w:val="00F12D31"/>
    <w:rsid w:val="00F213D6"/>
    <w:rsid w:val="00F256C7"/>
    <w:rsid w:val="00F31B9A"/>
    <w:rsid w:val="00F35272"/>
    <w:rsid w:val="00F35671"/>
    <w:rsid w:val="00F41616"/>
    <w:rsid w:val="00F416F7"/>
    <w:rsid w:val="00F41F0F"/>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7541"/>
    <w:rsid w:val="00F91F7C"/>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642"/>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pt-BR"/>
    </w:rPr>
  </w:style>
  <w:style w:type="paragraph" w:styleId="Heading1">
    <w:name w:val="heading 1"/>
    <w:basedOn w:val="Normal"/>
    <w:next w:val="Normal"/>
    <w:link w:val="Heading1Char"/>
    <w:qFormat/>
    <w:pPr>
      <w:keepNext/>
      <w:outlineLvl w:val="0"/>
    </w:pPr>
    <w:rPr>
      <w:rFonts w:ascii="Arial" w:hAnsi="Arial"/>
      <w:b/>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rPr>
  </w:style>
  <w:style w:type="paragraph" w:styleId="BalloonText">
    <w:name w:val="Balloon Text"/>
    <w:basedOn w:val="Normal"/>
    <w:semiHidden/>
    <w:rsid w:val="0005588A"/>
    <w:rPr>
      <w:rFonts w:ascii="Tahoma" w:hAnsi="Tahoma" w:cs="Tahoma"/>
      <w:sz w:val="16"/>
    </w:rPr>
  </w:style>
  <w:style w:type="character" w:styleId="Hyperlink">
    <w:name w:val="Hyperlink"/>
    <w:rsid w:val="00B348D0"/>
    <w:rPr>
      <w:rFonts w:ascii="Times New Roman" w:hAnsi="Times New Roman" w:cs="Times New Roman" w:hint="default"/>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rPr>
  </w:style>
  <w:style w:type="character" w:styleId="Strong">
    <w:name w:val="Strong"/>
    <w:uiPriority w:val="22"/>
    <w:qFormat/>
    <w:rsid w:val="00876986"/>
    <w:rPr>
      <w:b/>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rPr>
  </w:style>
  <w:style w:type="character" w:styleId="Emphasis">
    <w:name w:val="Emphasis"/>
    <w:uiPriority w:val="20"/>
    <w:qFormat/>
    <w:rsid w:val="00400C8D"/>
    <w:rPr>
      <w:i/>
    </w:rPr>
  </w:style>
  <w:style w:type="paragraph" w:styleId="ListParagraph0">
    <w:name w:val="List Paragraph"/>
    <w:basedOn w:val="Normal"/>
    <w:link w:val="ListParagraphChar"/>
    <w:qFormat/>
    <w:rsid w:val="005A23D1"/>
    <w:pPr>
      <w:ind w:left="720"/>
    </w:pPr>
    <w:rPr>
      <w:rFonts w:eastAsia="Calibri"/>
      <w:sz w:val="24"/>
    </w:rPr>
  </w:style>
  <w:style w:type="character" w:customStyle="1" w:styleId="user">
    <w:name w:val="user"/>
    <w:semiHidden/>
    <w:rsid w:val="00FB1180"/>
    <w:rPr>
      <w:rFonts w:ascii="Calibri" w:hAnsi="Calibri"/>
      <w:b w:val="0"/>
      <w:i w:val="0"/>
      <w:strike w:val="0"/>
      <w:color w:val="0000FF"/>
      <w:sz w:val="24"/>
      <w:u w:val="none"/>
    </w:rPr>
  </w:style>
  <w:style w:type="character" w:customStyle="1" w:styleId="style21">
    <w:name w:val="style21"/>
    <w:rsid w:val="00F869FB"/>
    <w:rPr>
      <w:sz w:val="24"/>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rPr>
  </w:style>
  <w:style w:type="paragraph" w:customStyle="1" w:styleId="Style1">
    <w:name w:val="Style 1"/>
    <w:basedOn w:val="Normal"/>
    <w:uiPriority w:val="99"/>
    <w:rsid w:val="002A6D9C"/>
    <w:pPr>
      <w:widowControl w:val="0"/>
      <w:autoSpaceDE w:val="0"/>
      <w:autoSpaceDN w:val="0"/>
      <w:adjustRightInd w:val="0"/>
    </w:pPr>
    <w:rPr>
      <w:sz w:val="24"/>
    </w:rPr>
  </w:style>
  <w:style w:type="character" w:customStyle="1" w:styleId="HeaderChar">
    <w:name w:val="Header Char"/>
    <w:aliases w:val="encabezado Char"/>
    <w:link w:val="Header"/>
    <w:uiPriority w:val="99"/>
    <w:rsid w:val="0021348D"/>
  </w:style>
  <w:style w:type="paragraph" w:styleId="NoSpacing">
    <w:name w:val="No Spacing"/>
    <w:uiPriority w:val="1"/>
    <w:qFormat/>
    <w:rsid w:val="00F916EE"/>
    <w:rPr>
      <w:rFonts w:ascii="Calibri" w:eastAsia="Calibri" w:hAnsi="Calibri"/>
      <w:sz w:val="22"/>
    </w:rPr>
  </w:style>
  <w:style w:type="paragraph" w:styleId="NormalWeb">
    <w:name w:val="Normal (Web)"/>
    <w:basedOn w:val="Normal"/>
    <w:uiPriority w:val="99"/>
    <w:unhideWhenUsed/>
    <w:rsid w:val="00602980"/>
    <w:pPr>
      <w:spacing w:before="100" w:beforeAutospacing="1" w:after="100" w:afterAutospacing="1"/>
    </w:pPr>
    <w:rPr>
      <w:sz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i/>
      <w:sz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rPr>
  </w:style>
  <w:style w:type="character" w:customStyle="1" w:styleId="CommentSubjectChar">
    <w:name w:val="Comment Subject Char"/>
    <w:basedOn w:val="CommentTextChar"/>
    <w:link w:val="CommentSubject"/>
    <w:rsid w:val="00631FB8"/>
    <w:rPr>
      <w:rFonts w:ascii="Calibri" w:eastAsia="Calibri" w:hAnsi="Calibri"/>
      <w:b/>
    </w:rPr>
  </w:style>
  <w:style w:type="character" w:customStyle="1" w:styleId="Heading1Char">
    <w:name w:val="Heading 1 Char"/>
    <w:basedOn w:val="DefaultParagraphFont"/>
    <w:link w:val="Heading1"/>
    <w:rsid w:val="00B40DC8"/>
    <w:rPr>
      <w:rFonts w:ascii="Arial" w:hAnsi="Arial"/>
      <w:b/>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rPr>
  </w:style>
  <w:style w:type="character" w:customStyle="1" w:styleId="ListParagraphChar">
    <w:name w:val="List Paragraph Char"/>
    <w:basedOn w:val="DefaultParagraphFont"/>
    <w:link w:val="ListParagraph0"/>
    <w:qFormat/>
    <w:locked/>
    <w:rsid w:val="00B11CDC"/>
    <w:rPr>
      <w:rFonts w:eastAsia="Calibri"/>
      <w:sz w:val="24"/>
    </w:rPr>
  </w:style>
  <w:style w:type="paragraph" w:customStyle="1" w:styleId="first">
    <w:name w:val="first"/>
    <w:basedOn w:val="Normal"/>
    <w:rsid w:val="00FA771B"/>
    <w:pPr>
      <w:spacing w:before="100" w:beforeAutospacing="1" w:after="100" w:afterAutospacing="1"/>
    </w:pPr>
    <w:rPr>
      <w:sz w:val="24"/>
    </w:rPr>
  </w:style>
  <w:style w:type="paragraph" w:customStyle="1" w:styleId="odd">
    <w:name w:val="odd"/>
    <w:basedOn w:val="Normal"/>
    <w:rsid w:val="00FA771B"/>
    <w:pPr>
      <w:spacing w:before="100" w:beforeAutospacing="1" w:after="100" w:afterAutospacing="1"/>
    </w:pPr>
    <w:rPr>
      <w:sz w:val="24"/>
    </w:rPr>
  </w:style>
  <w:style w:type="paragraph" w:customStyle="1" w:styleId="even">
    <w:name w:val="even"/>
    <w:basedOn w:val="Normal"/>
    <w:rsid w:val="00FA771B"/>
    <w:pPr>
      <w:spacing w:before="100" w:beforeAutospacing="1" w:after="100" w:afterAutospacing="1"/>
    </w:pPr>
    <w:rPr>
      <w:sz w:val="24"/>
    </w:rPr>
  </w:style>
  <w:style w:type="paragraph" w:customStyle="1" w:styleId="last">
    <w:name w:val="last"/>
    <w:basedOn w:val="Normal"/>
    <w:rsid w:val="00FA771B"/>
    <w:pPr>
      <w:spacing w:before="100" w:beforeAutospacing="1" w:after="100" w:afterAutospacing="1"/>
    </w:pPr>
    <w:rPr>
      <w:sz w:val="24"/>
    </w:rPr>
  </w:style>
  <w:style w:type="character" w:styleId="UnresolvedMention">
    <w:name w:val="Unresolved Mention"/>
    <w:basedOn w:val="DefaultParagraphFont"/>
    <w:uiPriority w:val="99"/>
    <w:semiHidden/>
    <w:unhideWhenUsed/>
    <w:rsid w:val="000F3A74"/>
    <w:rPr>
      <w:color w:val="605E5C"/>
      <w:shd w:val="clear" w:color="auto" w:fill="E1DFDD"/>
    </w:rPr>
  </w:style>
  <w:style w:type="paragraph" w:customStyle="1" w:styleId="P68B1DB1-Normal1">
    <w:name w:val="P68B1DB1-Normal1"/>
    <w:basedOn w:val="Normal"/>
    <w:rPr>
      <w:sz w:val="22"/>
    </w:rPr>
  </w:style>
  <w:style w:type="paragraph" w:customStyle="1" w:styleId="P68B1DB1-Normal2">
    <w:name w:val="P68B1DB1-Normal2"/>
    <w:basedOn w:val="Normal"/>
    <w:rPr>
      <w:caps/>
      <w:sz w:val="22"/>
    </w:rPr>
  </w:style>
  <w:style w:type="paragraph" w:customStyle="1" w:styleId="P68B1DB1-Normal3">
    <w:name w:val="P68B1DB1-Normal3"/>
    <w:basedOn w:val="Normal"/>
    <w:rPr>
      <w:b/>
      <w:sz w:val="22"/>
    </w:rPr>
  </w:style>
  <w:style w:type="paragraph" w:customStyle="1" w:styleId="P68B1DB1-Normal4">
    <w:name w:val="P68B1DB1-Normal4"/>
    <w:basedOn w:val="Normal"/>
    <w:rPr>
      <w:color w:val="000000" w:themeColor="text1"/>
      <w:sz w:val="22"/>
    </w:rPr>
  </w:style>
  <w:style w:type="paragraph" w:customStyle="1" w:styleId="P68B1DB1-NoSpacing5">
    <w:name w:val="P68B1DB1-NoSpacing5"/>
    <w:basedOn w:val="NoSpacing"/>
    <w:rPr>
      <w:rFonts w:ascii="Times New Roman" w:eastAsia="Times New Roman" w:hAnsi="Times New Roman"/>
    </w:rPr>
  </w:style>
  <w:style w:type="paragraph" w:customStyle="1" w:styleId="P68B1DB1-ListParagraph06">
    <w:name w:val="P68B1DB1-ListParagraph06"/>
    <w:basedOn w:val="ListParagraph0"/>
    <w:rPr>
      <w:b/>
      <w:sz w:val="22"/>
    </w:rPr>
  </w:style>
  <w:style w:type="paragraph" w:customStyle="1" w:styleId="P68B1DB1-ListParagraph07">
    <w:name w:val="P68B1DB1-ListParagraph07"/>
    <w:basedOn w:val="ListParagraph0"/>
    <w:rPr>
      <w:sz w:val="22"/>
    </w:rPr>
  </w:style>
  <w:style w:type="paragraph" w:customStyle="1" w:styleId="P68B1DB1-Normal8">
    <w:name w:val="P68B1DB1-Normal8"/>
    <w:basedOn w:val="Normal"/>
    <w:rPr>
      <w:rFonts w:eastAsia="Calibri"/>
      <w:sz w:val="22"/>
    </w:rPr>
  </w:style>
  <w:style w:type="paragraph" w:customStyle="1" w:styleId="P68B1DB1-Normal9">
    <w:name w:val="P68B1DB1-Normal9"/>
    <w:basedOn w:val="Normal"/>
    <w:rPr>
      <w:sz w:val="18"/>
    </w:rPr>
  </w:style>
  <w:style w:type="paragraph" w:customStyle="1" w:styleId="P68B1DB1-Header10">
    <w:name w:val="P68B1DB1-Header10"/>
    <w:basedOn w:val="Header"/>
    <w:rPr>
      <w:sz w:val="22"/>
    </w:rPr>
  </w:style>
  <w:style w:type="paragraph" w:customStyle="1" w:styleId="P68B1DB1-Header11">
    <w:name w:val="P68B1DB1-Header11"/>
    <w:basedOn w:val="Header"/>
    <w:rPr>
      <w:b/>
      <w:sz w:val="28"/>
    </w:rPr>
  </w:style>
  <w:style w:type="paragraph" w:customStyle="1" w:styleId="P68B1DB1-Header12">
    <w:name w:val="P68B1DB1-Header12"/>
    <w:basedOn w:val="Header"/>
    <w:rPr>
      <w:b/>
    </w:rPr>
  </w:style>
  <w:style w:type="paragraph" w:customStyle="1" w:styleId="P68B1DB1-Normal13">
    <w:name w:val="P68B1DB1-Normal13"/>
    <w:basedOn w:val="Normal"/>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XLVIII.4%20CIDI/REMDES/doc&amp;classNum=6&amp;lang=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sadye/publicaciones/GUIA_SPA.pdf" TargetMode="External"/><Relationship Id="rId3" Type="http://schemas.openxmlformats.org/officeDocument/2006/relationships/hyperlink" Target="https://sustainabledevelopment.un.org/" TargetMode="External"/><Relationship Id="rId7" Type="http://schemas.openxmlformats.org/officeDocument/2006/relationships/hyperlink" Target="https://www.unicef.org/media/68641/file/Gender-responsive-social-protection-during-covid-19-SP.pdf" TargetMode="External"/><Relationship Id="rId2" Type="http://schemas.openxmlformats.org/officeDocument/2006/relationships/hyperlink" Target="https://repositorio.cepal.org/bitstream/handle/11362/45527/5/S2000325_es.pdf" TargetMode="External"/><Relationship Id="rId1" Type="http://schemas.openxmlformats.org/officeDocument/2006/relationships/hyperlink" Target="https://www.cepal.org/es/temas/proteccion-social" TargetMode="External"/><Relationship Id="rId6" Type="http://schemas.openxmlformats.org/officeDocument/2006/relationships/hyperlink" Target="https://www.google.com/url?sa=t&amp;rct=j&amp;q=&amp;esrc=s&amp;source=web&amp;cd=&amp;cad=rja&amp;uact=8&amp;ved=2ahUKEwjUyJDTr631AhVgrJUCHQPHAZEQFnoECAkQAQ&amp;url=https%3A%2F%2Frepositorio.cepal.org%2Fbitstream%2Fhandle%2F11362%2F47412%2F1%2FS2100613_es.pdf&amp;usg=AOvVaw1ymCsbi3pF-jdKuVgDRZt7" TargetMode="External"/><Relationship Id="rId5" Type="http://schemas.openxmlformats.org/officeDocument/2006/relationships/hyperlink" Target="https://www.cepal.org/es/publicaciones/45527-desafio-social-tiempos-covid-19" TargetMode="External"/><Relationship Id="rId10" Type="http://schemas.openxmlformats.org/officeDocument/2006/relationships/hyperlink" Target="https://scm.oas.org/IDMS/Redirectpage.aspx?class=XLVIII.4%20CIDI/REMDES/doc&amp;classNum=6&amp;lang=p" TargetMode="External"/><Relationship Id="rId4" Type="http://schemas.openxmlformats.org/officeDocument/2006/relationships/hyperlink" Target="http://www.ilo.org/global/about-the-ilo/newsroom/news/WCMS_744713/lang--es/index.htm" TargetMode="External"/><Relationship Id="rId9" Type="http://schemas.openxmlformats.org/officeDocument/2006/relationships/hyperlink" Target="https://www.cepal.org/es/publicaciones/46836-covid-19-la-proteccion-social-grupos-pobres-vulnerables-america-latina-un-mar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11353</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2022-02-16T19:29:00Z</dcterms:created>
  <dcterms:modified xsi:type="dcterms:W3CDTF">2022-02-16T19:30:00Z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