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EBA5D3" w14:textId="77777777" w:rsidR="004043A2" w:rsidRPr="00D153AB" w:rsidRDefault="004043A2" w:rsidP="00B450B7">
      <w:pPr>
        <w:tabs>
          <w:tab w:val="left" w:pos="7200"/>
        </w:tabs>
        <w:ind w:right="-1080"/>
        <w:rPr>
          <w:sz w:val="22"/>
          <w:szCs w:val="22"/>
          <w:lang w:val="pt-BR"/>
        </w:rPr>
      </w:pPr>
      <w:r w:rsidRPr="00D153AB">
        <w:rPr>
          <w:sz w:val="22"/>
          <w:szCs w:val="22"/>
          <w:lang w:val="fr-FR"/>
        </w:rPr>
        <w:tab/>
      </w:r>
      <w:r w:rsidRPr="00D153AB">
        <w:rPr>
          <w:sz w:val="22"/>
          <w:szCs w:val="22"/>
          <w:lang w:val="pt-BR"/>
        </w:rPr>
        <w:t>OEA/Ser.W</w:t>
      </w:r>
    </w:p>
    <w:p w14:paraId="08456320" w14:textId="5A5A474B" w:rsidR="004043A2" w:rsidRPr="00D153AB" w:rsidRDefault="004043A2" w:rsidP="00B450B7">
      <w:pPr>
        <w:tabs>
          <w:tab w:val="left" w:pos="7200"/>
        </w:tabs>
        <w:ind w:right="-1080"/>
        <w:rPr>
          <w:sz w:val="22"/>
          <w:szCs w:val="22"/>
          <w:lang w:val="pt-BR"/>
        </w:rPr>
      </w:pPr>
      <w:r w:rsidRPr="00D153AB">
        <w:rPr>
          <w:sz w:val="22"/>
          <w:szCs w:val="22"/>
          <w:lang w:val="pt-BR"/>
        </w:rPr>
        <w:tab/>
        <w:t>CIDI/INF.</w:t>
      </w:r>
      <w:r w:rsidR="00D10B32">
        <w:rPr>
          <w:sz w:val="22"/>
          <w:szCs w:val="22"/>
          <w:lang w:val="pt-BR"/>
        </w:rPr>
        <w:t xml:space="preserve"> 490</w:t>
      </w:r>
      <w:r w:rsidRPr="00D153AB">
        <w:rPr>
          <w:sz w:val="22"/>
          <w:szCs w:val="22"/>
          <w:lang w:val="pt-BR"/>
        </w:rPr>
        <w:t>/22</w:t>
      </w:r>
    </w:p>
    <w:p w14:paraId="68F88370" w14:textId="5E5F0786" w:rsidR="004043A2" w:rsidRPr="00D153AB" w:rsidRDefault="004043A2" w:rsidP="00B450B7">
      <w:pPr>
        <w:tabs>
          <w:tab w:val="left" w:pos="7200"/>
        </w:tabs>
        <w:ind w:right="-1080"/>
        <w:rPr>
          <w:sz w:val="22"/>
          <w:szCs w:val="22"/>
          <w:lang w:val="fr-FR"/>
        </w:rPr>
      </w:pPr>
      <w:r w:rsidRPr="00D153AB">
        <w:rPr>
          <w:sz w:val="22"/>
          <w:szCs w:val="22"/>
          <w:lang w:val="pt-BR"/>
        </w:rPr>
        <w:tab/>
      </w:r>
      <w:r w:rsidR="00D10B32" w:rsidRPr="00426C00">
        <w:rPr>
          <w:sz w:val="22"/>
          <w:szCs w:val="22"/>
        </w:rPr>
        <w:t>15</w:t>
      </w:r>
      <w:r w:rsidRPr="00D153AB">
        <w:rPr>
          <w:sz w:val="22"/>
          <w:szCs w:val="22"/>
          <w:lang w:val="fr-FR"/>
        </w:rPr>
        <w:t xml:space="preserve"> mars 2022</w:t>
      </w:r>
    </w:p>
    <w:p w14:paraId="20D73E19" w14:textId="70036C0B" w:rsidR="004043A2" w:rsidRPr="00D153AB" w:rsidRDefault="004043A2" w:rsidP="00B450B7">
      <w:pPr>
        <w:pBdr>
          <w:bottom w:val="single" w:sz="12" w:space="1" w:color="auto"/>
        </w:pBdr>
        <w:tabs>
          <w:tab w:val="left" w:pos="7200"/>
        </w:tabs>
        <w:ind w:right="-389"/>
        <w:rPr>
          <w:sz w:val="22"/>
          <w:szCs w:val="22"/>
          <w:lang w:val="fr-FR"/>
        </w:rPr>
      </w:pPr>
      <w:r w:rsidRPr="00D153AB">
        <w:rPr>
          <w:sz w:val="22"/>
          <w:szCs w:val="22"/>
          <w:lang w:val="fr-FR"/>
        </w:rPr>
        <w:tab/>
        <w:t>Original: anglais</w:t>
      </w:r>
    </w:p>
    <w:p w14:paraId="7C7619D3" w14:textId="77777777" w:rsidR="004043A2" w:rsidRPr="00D153AB" w:rsidRDefault="004043A2" w:rsidP="00D153AB">
      <w:pPr>
        <w:pBdr>
          <w:bottom w:val="single" w:sz="12" w:space="1" w:color="auto"/>
        </w:pBdr>
        <w:tabs>
          <w:tab w:val="left" w:pos="7200"/>
        </w:tabs>
        <w:ind w:right="-389"/>
        <w:rPr>
          <w:sz w:val="22"/>
          <w:szCs w:val="22"/>
          <w:lang w:val="fr-FR"/>
        </w:rPr>
      </w:pPr>
    </w:p>
    <w:p w14:paraId="59C99E33" w14:textId="77777777" w:rsidR="004043A2" w:rsidRPr="00D153AB" w:rsidRDefault="004043A2" w:rsidP="00D153AB">
      <w:pPr>
        <w:ind w:right="-1080"/>
        <w:rPr>
          <w:sz w:val="22"/>
          <w:szCs w:val="22"/>
          <w:lang w:val="fr-FR"/>
        </w:rPr>
      </w:pPr>
    </w:p>
    <w:p w14:paraId="26C6EFC2" w14:textId="77777777" w:rsidR="004043A2" w:rsidRPr="00D153AB" w:rsidRDefault="004043A2" w:rsidP="00D153AB">
      <w:pPr>
        <w:jc w:val="both"/>
        <w:outlineLvl w:val="0"/>
        <w:rPr>
          <w:sz w:val="22"/>
          <w:szCs w:val="22"/>
          <w:lang w:val="fr-FR"/>
        </w:rPr>
      </w:pPr>
    </w:p>
    <w:p w14:paraId="38E8A82A" w14:textId="3C6FBE9F" w:rsidR="004043A2" w:rsidRPr="00D153AB" w:rsidRDefault="004043A2" w:rsidP="00D153AB">
      <w:pPr>
        <w:jc w:val="center"/>
        <w:rPr>
          <w:rFonts w:eastAsia="Calibri"/>
          <w:sz w:val="22"/>
          <w:szCs w:val="22"/>
          <w:lang w:val="fr-FR"/>
        </w:rPr>
      </w:pPr>
      <w:r w:rsidRPr="00D153AB">
        <w:rPr>
          <w:sz w:val="22"/>
          <w:szCs w:val="22"/>
          <w:lang w:val="fr-FR"/>
        </w:rPr>
        <w:t>DOCUMENT DE RÉFLEXION</w:t>
      </w:r>
    </w:p>
    <w:p w14:paraId="5088200F" w14:textId="77777777" w:rsidR="004043A2" w:rsidRPr="00D153AB" w:rsidRDefault="004043A2" w:rsidP="00D153AB">
      <w:pPr>
        <w:rPr>
          <w:rFonts w:eastAsia="Calibri"/>
          <w:sz w:val="22"/>
          <w:szCs w:val="22"/>
          <w:lang w:val="fr-FR"/>
        </w:rPr>
      </w:pPr>
    </w:p>
    <w:p w14:paraId="48D67187" w14:textId="516A51FD" w:rsidR="004043A2" w:rsidRPr="00D153AB" w:rsidRDefault="004043A2" w:rsidP="00D153AB">
      <w:pPr>
        <w:jc w:val="center"/>
        <w:rPr>
          <w:rFonts w:eastAsia="Calibri"/>
          <w:caps/>
          <w:sz w:val="22"/>
          <w:szCs w:val="22"/>
          <w:lang w:val="fr-FR"/>
        </w:rPr>
      </w:pPr>
      <w:r w:rsidRPr="00D153AB">
        <w:rPr>
          <w:caps/>
          <w:sz w:val="22"/>
          <w:szCs w:val="22"/>
          <w:lang w:val="fr-FR"/>
        </w:rPr>
        <w:t xml:space="preserve">RÉUNION ORDINAIRE DU CONSEIL INTERAMÉRICAIN </w:t>
      </w:r>
      <w:r w:rsidR="009C51C2">
        <w:rPr>
          <w:caps/>
          <w:sz w:val="22"/>
          <w:szCs w:val="22"/>
          <w:lang w:val="fr-FR"/>
        </w:rPr>
        <w:br/>
      </w:r>
      <w:r w:rsidRPr="00D153AB">
        <w:rPr>
          <w:caps/>
          <w:sz w:val="22"/>
          <w:szCs w:val="22"/>
          <w:lang w:val="fr-FR"/>
        </w:rPr>
        <w:t xml:space="preserve">POUR LE DÉVELOPPEMENT INTÉGRÉ (CIDI) </w:t>
      </w:r>
    </w:p>
    <w:p w14:paraId="65CE21CE" w14:textId="65AB5753" w:rsidR="004043A2" w:rsidRPr="00D153AB" w:rsidRDefault="004043A2" w:rsidP="00D153AB">
      <w:pPr>
        <w:jc w:val="center"/>
        <w:rPr>
          <w:rFonts w:eastAsia="Calibri"/>
          <w:caps/>
          <w:sz w:val="22"/>
          <w:szCs w:val="22"/>
          <w:lang w:val="fr-FR"/>
        </w:rPr>
      </w:pPr>
      <w:r w:rsidRPr="00D153AB">
        <w:rPr>
          <w:caps/>
          <w:sz w:val="22"/>
          <w:szCs w:val="22"/>
          <w:lang w:val="fr-FR"/>
        </w:rPr>
        <w:t>22 MARS 2022</w:t>
      </w:r>
    </w:p>
    <w:p w14:paraId="2FF3CCE7" w14:textId="77777777" w:rsidR="004043A2" w:rsidRPr="00D153AB" w:rsidRDefault="004043A2" w:rsidP="00D153AB">
      <w:pPr>
        <w:rPr>
          <w:rFonts w:eastAsia="Calibri"/>
          <w:caps/>
          <w:sz w:val="22"/>
          <w:szCs w:val="22"/>
          <w:lang w:val="fr-FR"/>
        </w:rPr>
      </w:pPr>
    </w:p>
    <w:p w14:paraId="3708976E" w14:textId="77777777" w:rsidR="004043A2" w:rsidRPr="00D153AB" w:rsidRDefault="004043A2" w:rsidP="00D153AB">
      <w:pPr>
        <w:rPr>
          <w:rFonts w:eastAsia="Calibri"/>
          <w:sz w:val="22"/>
          <w:szCs w:val="22"/>
          <w:lang w:val="fr-FR"/>
        </w:rPr>
      </w:pPr>
    </w:p>
    <w:p w14:paraId="3CD51A0C" w14:textId="71FD3ECB" w:rsidR="008B42C1" w:rsidRPr="00D153AB" w:rsidRDefault="008B42C1" w:rsidP="00D153AB">
      <w:pPr>
        <w:suppressAutoHyphens/>
        <w:ind w:left="1080" w:hanging="1080"/>
        <w:jc w:val="both"/>
        <w:rPr>
          <w:caps/>
          <w:sz w:val="22"/>
          <w:szCs w:val="22"/>
          <w:lang w:val="fr-FR"/>
        </w:rPr>
      </w:pPr>
      <w:r w:rsidRPr="00D153AB">
        <w:rPr>
          <w:b/>
          <w:caps/>
          <w:color w:val="000000"/>
          <w:sz w:val="22"/>
          <w:szCs w:val="22"/>
          <w:lang w:val="fr-FR"/>
        </w:rPr>
        <w:t>Thème :</w:t>
      </w:r>
      <w:r w:rsidRPr="00D153AB">
        <w:rPr>
          <w:b/>
          <w:caps/>
          <w:color w:val="000000"/>
          <w:sz w:val="22"/>
          <w:szCs w:val="22"/>
          <w:lang w:val="fr-FR"/>
        </w:rPr>
        <w:tab/>
        <w:t>Le changement climatique et le cycle hydrologique : Intégrer l'adaptation au changement climatique et l'atténuation de ses effets dans la gestion des ressources en eau</w:t>
      </w:r>
    </w:p>
    <w:p w14:paraId="56550AB6" w14:textId="77777777" w:rsidR="008B42C1" w:rsidRPr="00D153AB" w:rsidRDefault="008B42C1" w:rsidP="00D153AB">
      <w:pPr>
        <w:jc w:val="both"/>
        <w:rPr>
          <w:caps/>
          <w:sz w:val="22"/>
          <w:szCs w:val="22"/>
          <w:highlight w:val="yellow"/>
          <w:lang w:val="fr-FR"/>
        </w:rPr>
      </w:pPr>
    </w:p>
    <w:p w14:paraId="1F490854" w14:textId="77777777" w:rsidR="004043A2" w:rsidRPr="00D153AB" w:rsidRDefault="004043A2" w:rsidP="00D153AB">
      <w:pPr>
        <w:jc w:val="both"/>
        <w:rPr>
          <w:caps/>
          <w:sz w:val="22"/>
          <w:szCs w:val="22"/>
          <w:highlight w:val="yellow"/>
          <w:lang w:val="fr-FR"/>
        </w:rPr>
      </w:pPr>
    </w:p>
    <w:p w14:paraId="4FD13729" w14:textId="73D15D3E" w:rsidR="004043A2" w:rsidRPr="00D153AB" w:rsidRDefault="004043A2" w:rsidP="00D153AB">
      <w:pPr>
        <w:numPr>
          <w:ilvl w:val="0"/>
          <w:numId w:val="1"/>
        </w:numPr>
        <w:ind w:left="0" w:firstLine="0"/>
        <w:rPr>
          <w:b/>
          <w:sz w:val="22"/>
          <w:szCs w:val="22"/>
          <w:lang w:val="fr-FR"/>
        </w:rPr>
      </w:pPr>
      <w:r w:rsidRPr="00D153AB">
        <w:rPr>
          <w:b/>
          <w:sz w:val="22"/>
          <w:szCs w:val="22"/>
          <w:lang w:val="fr-FR"/>
        </w:rPr>
        <w:t xml:space="preserve">Contexte et justification </w:t>
      </w:r>
    </w:p>
    <w:p w14:paraId="283E0606" w14:textId="2544462B" w:rsidR="004043A2" w:rsidRPr="00D153AB" w:rsidRDefault="004043A2" w:rsidP="00D153AB">
      <w:pPr>
        <w:rPr>
          <w:caps/>
          <w:sz w:val="22"/>
          <w:szCs w:val="22"/>
          <w:highlight w:val="yellow"/>
          <w:lang w:val="fr-FR"/>
        </w:rPr>
      </w:pPr>
    </w:p>
    <w:p w14:paraId="315106BD" w14:textId="13A06102" w:rsidR="00C27A85" w:rsidRPr="00D153AB" w:rsidRDefault="00C27A85" w:rsidP="00D153AB">
      <w:pPr>
        <w:ind w:firstLine="720"/>
        <w:jc w:val="both"/>
        <w:rPr>
          <w:rFonts w:eastAsia="MS Mincho"/>
          <w:sz w:val="22"/>
          <w:szCs w:val="22"/>
          <w:lang w:val="fr-FR"/>
        </w:rPr>
      </w:pPr>
      <w:r w:rsidRPr="00D153AB">
        <w:rPr>
          <w:sz w:val="22"/>
          <w:szCs w:val="22"/>
          <w:lang w:val="fr-FR"/>
        </w:rPr>
        <w:t>La variabilité du cycle hydrologique s'accroît en raison du changement climatique, entraînant des phénomènes météorologiques violents qui mettent à mal la capacité des populations à faire face à des catastrophes telles que les sécheresses ou les inondations, réduisant la prévisibilité de la disponibilité des ressources en eau, diminuant la qualité de l'eau et menaçant le développement durable, la biodiversité et la jouissance des droits de la personne à l'eau potable et à l'assainissement dans le monde entier.</w:t>
      </w:r>
    </w:p>
    <w:p w14:paraId="5D6706CD" w14:textId="77777777" w:rsidR="008D3251" w:rsidRPr="00D153AB" w:rsidRDefault="008D3251" w:rsidP="00D153AB">
      <w:pPr>
        <w:jc w:val="both"/>
        <w:rPr>
          <w:rFonts w:eastAsia="MS Mincho"/>
          <w:sz w:val="22"/>
          <w:szCs w:val="22"/>
          <w:lang w:val="fr-FR"/>
        </w:rPr>
      </w:pPr>
    </w:p>
    <w:p w14:paraId="23AFE610" w14:textId="78E2377B" w:rsidR="00C27A85" w:rsidRPr="00D153AB" w:rsidRDefault="00C27A85" w:rsidP="00D153AB">
      <w:pPr>
        <w:ind w:firstLine="720"/>
        <w:jc w:val="both"/>
        <w:rPr>
          <w:sz w:val="22"/>
          <w:szCs w:val="22"/>
          <w:lang w:val="fr-FR"/>
        </w:rPr>
      </w:pPr>
      <w:r w:rsidRPr="00D153AB">
        <w:rPr>
          <w:sz w:val="22"/>
          <w:szCs w:val="22"/>
          <w:lang w:val="fr-FR"/>
        </w:rPr>
        <w:t>L'augmentation de la demande mondiale en eau a contribué à la dégradation des principaux puits de carbone dépendant de l'eau, tels que les tourbières, qui ne couvrent qu'environ 3 % de la surface terrestre mais stockent au moins deux fois plus de carbone que toutes les forêts de la planète. En outre, certaines mesures d'atténuation des effets du changement climatique, telles que la promotion de l'utilisation des biocarburants, peuvent aggraver la pénurie d'eau. La demande croissante d'eau pour l'énergie, l'agriculture, l'industrie et la consommation humaine fait qu'il est de plus en plus difficile de faire des compromis sur cette ressource précieuse et limitée, en particulier dans les régions du monde déjà confrontées au stress hydrique. L'eau est donc à la fois un facteur et une contrainte pour la capacité de l'humanité à atténuer le changement climatique et à s'y adapter.</w:t>
      </w:r>
    </w:p>
    <w:p w14:paraId="5E766B97" w14:textId="77777777" w:rsidR="00565CB6" w:rsidRPr="00D153AB" w:rsidRDefault="00565CB6" w:rsidP="00D153AB">
      <w:pPr>
        <w:jc w:val="both"/>
        <w:rPr>
          <w:sz w:val="22"/>
          <w:szCs w:val="22"/>
          <w:lang w:val="fr-FR"/>
        </w:rPr>
      </w:pPr>
    </w:p>
    <w:p w14:paraId="44442046" w14:textId="50E82B18" w:rsidR="00C27A85" w:rsidRPr="00D153AB" w:rsidRDefault="00C27A85" w:rsidP="00D153AB">
      <w:pPr>
        <w:ind w:firstLine="720"/>
        <w:jc w:val="both"/>
        <w:rPr>
          <w:rFonts w:eastAsia="MS Mincho"/>
          <w:i/>
          <w:sz w:val="22"/>
          <w:szCs w:val="22"/>
          <w:lang w:val="fr-FR"/>
        </w:rPr>
      </w:pPr>
      <w:r w:rsidRPr="00D153AB">
        <w:rPr>
          <w:sz w:val="22"/>
          <w:szCs w:val="22"/>
          <w:lang w:val="fr-FR"/>
        </w:rPr>
        <w:t xml:space="preserve">La gestion du climat et des ressources en eau d'une manière plus intégrée et durable présente d'importants bénéfices connexes. Une approche intégrée du changement climatique et de la gestion des ressources hydriques doit être adoptée dans l'élaboration et la planification des politiques climatiques aux niveaux national et régional. On estime que les bassins transfrontaliers contiennent 60 % de l'eau douce de la Terre, qu'ils abritent plus de 40 % de la population mondiale et que 90 % des polluants générés dans les pays sont transportés vers la mer via les rivières. Par conséquent, la coopération transfrontalière sur les questions d'atténuation et d'adaptation est essentielle pour éviter les conséquences négatives potentielles des mesures unilatérales. L'augmentation du stress hydrique et la satisfaction de la demande future nécessiteront la prise de décisions judicieuses concernant la </w:t>
      </w:r>
      <w:r w:rsidRPr="00D153AB">
        <w:rPr>
          <w:sz w:val="22"/>
          <w:szCs w:val="22"/>
          <w:lang w:val="fr-FR"/>
        </w:rPr>
        <w:lastRenderedPageBreak/>
        <w:t>répartition des ressources en eau entre les différentes utilisations potentielles de l'eau, y compris les activités d'atténuation et d'adaptation au changement climatique.</w:t>
      </w:r>
    </w:p>
    <w:p w14:paraId="5EF4AD91" w14:textId="77777777" w:rsidR="004043A2" w:rsidRPr="00D153AB" w:rsidRDefault="004043A2" w:rsidP="00D153AB">
      <w:pPr>
        <w:jc w:val="both"/>
        <w:rPr>
          <w:rFonts w:eastAsia="MS Mincho"/>
          <w:sz w:val="22"/>
          <w:szCs w:val="22"/>
          <w:lang w:val="fr-FR"/>
        </w:rPr>
      </w:pPr>
    </w:p>
    <w:p w14:paraId="4D537F7D" w14:textId="1E4B6BEE" w:rsidR="004043A2" w:rsidRPr="00D153AB" w:rsidRDefault="004043A2" w:rsidP="00D153AB">
      <w:pPr>
        <w:pStyle w:val="ListParagraph"/>
        <w:numPr>
          <w:ilvl w:val="0"/>
          <w:numId w:val="1"/>
        </w:numPr>
        <w:ind w:left="720" w:hanging="720"/>
        <w:jc w:val="both"/>
        <w:rPr>
          <w:b/>
          <w:sz w:val="22"/>
          <w:szCs w:val="22"/>
          <w:lang w:val="fr-FR"/>
        </w:rPr>
      </w:pPr>
      <w:r w:rsidRPr="00D153AB">
        <w:rPr>
          <w:b/>
          <w:sz w:val="22"/>
          <w:szCs w:val="22"/>
          <w:lang w:val="fr-FR"/>
        </w:rPr>
        <w:t xml:space="preserve">Objectif de la réunion </w:t>
      </w:r>
    </w:p>
    <w:p w14:paraId="40E86D77" w14:textId="77777777" w:rsidR="004043A2" w:rsidRPr="00D153AB" w:rsidRDefault="004043A2" w:rsidP="00D153AB">
      <w:pPr>
        <w:jc w:val="both"/>
        <w:rPr>
          <w:bCs/>
          <w:iCs/>
          <w:sz w:val="22"/>
          <w:szCs w:val="22"/>
          <w:lang w:val="fr-FR"/>
        </w:rPr>
      </w:pPr>
    </w:p>
    <w:p w14:paraId="6A8F25C9" w14:textId="77777777" w:rsidR="004954A1" w:rsidRPr="00D153AB" w:rsidRDefault="004954A1" w:rsidP="00D153AB">
      <w:pPr>
        <w:ind w:firstLine="720"/>
        <w:jc w:val="both"/>
        <w:rPr>
          <w:rFonts w:eastAsia="MS Mincho"/>
          <w:sz w:val="22"/>
          <w:szCs w:val="22"/>
          <w:lang w:val="fr-FR"/>
        </w:rPr>
      </w:pPr>
      <w:r w:rsidRPr="00D153AB">
        <w:rPr>
          <w:sz w:val="22"/>
          <w:szCs w:val="22"/>
          <w:lang w:val="fr-FR"/>
        </w:rPr>
        <w:t>Cette réunion sera l'occasion d'aborder les approches intégrées de l'atténuation et de l'adaptation au changement climatique par la gestion des ressources en eau. Les panélistes experts partageront leurs connaissances et leurs expériences, en cherchant à favoriser une coopération technique horizontale et triangulaire capable de mettre en évidence l'importance de la collaboration dans la gestion des ressources en eau pour le développement économique et social.</w:t>
      </w:r>
    </w:p>
    <w:p w14:paraId="10A97D6B" w14:textId="77777777" w:rsidR="004954A1" w:rsidRPr="00D153AB" w:rsidRDefault="004954A1" w:rsidP="00D153AB">
      <w:pPr>
        <w:jc w:val="both"/>
        <w:rPr>
          <w:rFonts w:eastAsia="Calibri"/>
          <w:bCs/>
          <w:iCs/>
          <w:sz w:val="22"/>
          <w:szCs w:val="22"/>
          <w:lang w:val="fr-FR"/>
        </w:rPr>
      </w:pPr>
    </w:p>
    <w:p w14:paraId="513D2CD7" w14:textId="77777777" w:rsidR="004954A1" w:rsidRPr="00D153AB" w:rsidRDefault="004954A1" w:rsidP="00D153AB">
      <w:pPr>
        <w:ind w:firstLine="720"/>
        <w:jc w:val="both"/>
        <w:rPr>
          <w:rFonts w:eastAsia="MS Mincho"/>
          <w:sz w:val="22"/>
          <w:szCs w:val="22"/>
          <w:lang w:val="fr-FR"/>
        </w:rPr>
      </w:pPr>
      <w:r w:rsidRPr="00D153AB">
        <w:rPr>
          <w:sz w:val="22"/>
          <w:szCs w:val="22"/>
          <w:lang w:val="fr-FR"/>
        </w:rPr>
        <w:t>Les États membres auront l'occasion de partager leurs bonnes pratiques, de déterminer l’influence de la gestion des ressources hydriques sur la réalisation de leurs CDN et d'explorer la viabilité d'un certain nombre de solutions et d'offres de coopération émanant d'autres États membres.</w:t>
      </w:r>
    </w:p>
    <w:p w14:paraId="32EE0C13" w14:textId="77777777" w:rsidR="004954A1" w:rsidRPr="00D153AB" w:rsidRDefault="004954A1" w:rsidP="00D153AB">
      <w:pPr>
        <w:jc w:val="both"/>
        <w:rPr>
          <w:rFonts w:eastAsia="Calibri"/>
          <w:bCs/>
          <w:iCs/>
          <w:sz w:val="22"/>
          <w:szCs w:val="22"/>
          <w:lang w:val="fr-FR"/>
        </w:rPr>
      </w:pPr>
    </w:p>
    <w:p w14:paraId="302BA05D" w14:textId="3ED42B54" w:rsidR="00407BFC" w:rsidRPr="00D153AB" w:rsidRDefault="004954A1" w:rsidP="00D153AB">
      <w:pPr>
        <w:pStyle w:val="ListParagraph"/>
        <w:ind w:left="0" w:firstLine="720"/>
        <w:jc w:val="both"/>
        <w:rPr>
          <w:bCs/>
          <w:iCs/>
          <w:sz w:val="22"/>
          <w:szCs w:val="22"/>
          <w:lang w:val="fr-FR"/>
        </w:rPr>
      </w:pPr>
      <w:r w:rsidRPr="00D153AB">
        <w:rPr>
          <w:sz w:val="22"/>
          <w:szCs w:val="22"/>
          <w:lang w:val="fr-FR"/>
        </w:rPr>
        <w:t>Le SEDI recueillera des informations pour étudier les moyens de renforcer son rôle dans la facilitation de la coopération horizontale et triangulaire, en soutenant la mise en œuvre de programmes et de mécanismes multinationaux de partage de solutions technologiques et naturelles pour une adaptation au changement climatique et une atténuation de ses effets dans la région qui soient efficaces.</w:t>
      </w:r>
    </w:p>
    <w:p w14:paraId="704B556B" w14:textId="77777777" w:rsidR="00407BFC" w:rsidRPr="00D153AB" w:rsidRDefault="00407BFC" w:rsidP="00D153AB">
      <w:pPr>
        <w:jc w:val="both"/>
        <w:rPr>
          <w:bCs/>
          <w:sz w:val="22"/>
          <w:szCs w:val="22"/>
          <w:lang w:val="fr-FR"/>
        </w:rPr>
      </w:pPr>
    </w:p>
    <w:p w14:paraId="4D4C2E54" w14:textId="6EA87B74" w:rsidR="004043A2" w:rsidRPr="00D153AB" w:rsidRDefault="004043A2" w:rsidP="00D153AB">
      <w:pPr>
        <w:pStyle w:val="ListParagraph"/>
        <w:numPr>
          <w:ilvl w:val="0"/>
          <w:numId w:val="1"/>
        </w:numPr>
        <w:ind w:left="720" w:hanging="720"/>
        <w:jc w:val="both"/>
        <w:rPr>
          <w:b/>
          <w:sz w:val="22"/>
          <w:szCs w:val="22"/>
          <w:lang w:val="fr-FR"/>
        </w:rPr>
      </w:pPr>
      <w:r w:rsidRPr="00D153AB">
        <w:rPr>
          <w:b/>
          <w:sz w:val="22"/>
          <w:szCs w:val="22"/>
          <w:lang w:val="fr-FR"/>
        </w:rPr>
        <w:t xml:space="preserve">Pertinence pour le CIDI et le travail du SEDI </w:t>
      </w:r>
    </w:p>
    <w:p w14:paraId="7E9A3796" w14:textId="77777777" w:rsidR="004043A2" w:rsidRPr="00D153AB" w:rsidRDefault="004043A2" w:rsidP="00D153AB">
      <w:pPr>
        <w:jc w:val="both"/>
        <w:rPr>
          <w:sz w:val="22"/>
          <w:szCs w:val="22"/>
          <w:lang w:val="fr-FR"/>
        </w:rPr>
      </w:pPr>
    </w:p>
    <w:p w14:paraId="7D5364FB" w14:textId="5310D916" w:rsidR="004043A2" w:rsidRPr="00D153AB" w:rsidRDefault="00B450B7" w:rsidP="00D153AB">
      <w:pPr>
        <w:contextualSpacing/>
        <w:jc w:val="both"/>
        <w:rPr>
          <w:color w:val="202124"/>
          <w:sz w:val="22"/>
          <w:szCs w:val="22"/>
          <w:lang w:val="fr-FR"/>
        </w:rPr>
      </w:pPr>
      <w:r w:rsidRPr="00D153AB">
        <w:rPr>
          <w:color w:val="202124"/>
          <w:sz w:val="22"/>
          <w:szCs w:val="22"/>
          <w:lang w:val="fr-FR"/>
        </w:rPr>
        <w:tab/>
        <w:t>Renforcer la mise en œuvre des objectifs de développement durable (ODD) conformément au Programme interaméricain de développement durable (PIDS).</w:t>
      </w:r>
    </w:p>
    <w:p w14:paraId="4864F18A" w14:textId="63931F16" w:rsidR="004954A1" w:rsidRPr="00D153AB" w:rsidRDefault="004954A1" w:rsidP="00D153AB">
      <w:pPr>
        <w:contextualSpacing/>
        <w:jc w:val="both"/>
        <w:rPr>
          <w:color w:val="202124"/>
          <w:sz w:val="22"/>
          <w:szCs w:val="22"/>
          <w:lang w:val="fr-FR"/>
        </w:rPr>
      </w:pPr>
    </w:p>
    <w:p w14:paraId="62E877D6" w14:textId="71CB3BBA" w:rsidR="004954A1" w:rsidRPr="00D153AB" w:rsidRDefault="004954A1" w:rsidP="00D153AB">
      <w:pPr>
        <w:contextualSpacing/>
        <w:jc w:val="both"/>
        <w:rPr>
          <w:color w:val="202124"/>
          <w:sz w:val="22"/>
          <w:szCs w:val="22"/>
          <w:lang w:val="fr-FR"/>
        </w:rPr>
      </w:pPr>
      <w:r w:rsidRPr="00D153AB">
        <w:rPr>
          <w:color w:val="202124"/>
          <w:sz w:val="22"/>
          <w:szCs w:val="22"/>
          <w:lang w:val="fr-FR"/>
        </w:rPr>
        <w:tab/>
        <w:t>Renforcer les capacités des États membres dans les domaines stratégiques 1 et 3 du PIDS, à savoir la gestion des risques de catastrophe et la gestion intégrée des ressources hydriques, respectivement, en encourageant le dialogue, la coopération technique, l'échange d'informations, de données d’expériences et de meilleures pratiques entre les États membres pour l'élaboration de politiques publiques sur la gestion intégrée des ressources hydriques afin d'accroître la résilience aux catastrophes multirisques.</w:t>
      </w:r>
    </w:p>
    <w:p w14:paraId="2449CAA2" w14:textId="77777777" w:rsidR="00DD3C02" w:rsidRPr="00D153AB" w:rsidRDefault="00DD3C02" w:rsidP="00D153AB">
      <w:pPr>
        <w:jc w:val="both"/>
        <w:rPr>
          <w:sz w:val="22"/>
          <w:szCs w:val="22"/>
          <w:lang w:val="fr-FR"/>
        </w:rPr>
      </w:pPr>
    </w:p>
    <w:p w14:paraId="242DA055" w14:textId="3F918FE8" w:rsidR="00BD263A" w:rsidRPr="00D153AB" w:rsidRDefault="00705BF2" w:rsidP="00D153AB">
      <w:pPr>
        <w:pStyle w:val="ListParagraph"/>
        <w:numPr>
          <w:ilvl w:val="0"/>
          <w:numId w:val="1"/>
        </w:numPr>
        <w:ind w:left="720" w:hanging="720"/>
        <w:jc w:val="both"/>
        <w:rPr>
          <w:b/>
          <w:sz w:val="22"/>
          <w:szCs w:val="22"/>
          <w:lang w:val="fr-FR"/>
        </w:rPr>
      </w:pPr>
      <w:r w:rsidRPr="00D153AB">
        <w:rPr>
          <w:b/>
          <w:sz w:val="22"/>
          <w:szCs w:val="22"/>
          <w:lang w:val="fr-FR"/>
        </w:rPr>
        <w:t>Structure de la réunion</w:t>
      </w:r>
    </w:p>
    <w:p w14:paraId="4639E36E" w14:textId="2290461E" w:rsidR="00EE6940" w:rsidRPr="00D153AB" w:rsidRDefault="00EE6940" w:rsidP="00D153AB">
      <w:pPr>
        <w:jc w:val="both"/>
        <w:rPr>
          <w:sz w:val="22"/>
          <w:szCs w:val="22"/>
          <w:lang w:val="fr-FR"/>
        </w:rPr>
      </w:pPr>
    </w:p>
    <w:p w14:paraId="67B483D8" w14:textId="343D4E07" w:rsidR="00EE6940" w:rsidRPr="00D153AB" w:rsidRDefault="00EE6940" w:rsidP="00D10B32">
      <w:pPr>
        <w:ind w:left="720"/>
        <w:jc w:val="both"/>
        <w:rPr>
          <w:sz w:val="22"/>
          <w:szCs w:val="22"/>
          <w:lang w:val="fr-FR"/>
        </w:rPr>
      </w:pPr>
      <w:r w:rsidRPr="00D153AB">
        <w:rPr>
          <w:b/>
          <w:sz w:val="22"/>
          <w:szCs w:val="22"/>
          <w:lang w:val="fr-FR"/>
        </w:rPr>
        <w:t xml:space="preserve">PREMIÈRE PARTIE : </w:t>
      </w:r>
      <w:r w:rsidRPr="00D153AB">
        <w:rPr>
          <w:sz w:val="22"/>
          <w:szCs w:val="22"/>
          <w:lang w:val="fr-FR"/>
        </w:rPr>
        <w:t>Allocutions de hauts fonctionnaires gouvernementaux responsables du changement climatique et des ressources hydriques, la durée des interventions étant limitée à cinq minutes.</w:t>
      </w:r>
    </w:p>
    <w:p w14:paraId="223339C0" w14:textId="77777777" w:rsidR="00EE6940" w:rsidRPr="00D153AB" w:rsidRDefault="00EE6940" w:rsidP="00D10B32">
      <w:pPr>
        <w:jc w:val="both"/>
        <w:rPr>
          <w:sz w:val="22"/>
          <w:szCs w:val="22"/>
          <w:lang w:val="fr-FR"/>
        </w:rPr>
      </w:pPr>
    </w:p>
    <w:p w14:paraId="2940EE5E" w14:textId="4942105F" w:rsidR="00D10B32" w:rsidRPr="00D10B32" w:rsidRDefault="00D10B32" w:rsidP="00D10B32">
      <w:pPr>
        <w:pStyle w:val="ListParagraph"/>
        <w:numPr>
          <w:ilvl w:val="0"/>
          <w:numId w:val="24"/>
        </w:numPr>
        <w:tabs>
          <w:tab w:val="left" w:pos="720"/>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02124"/>
          <w:sz w:val="22"/>
          <w:szCs w:val="22"/>
        </w:rPr>
      </w:pPr>
      <w:r w:rsidRPr="00951DD1">
        <w:rPr>
          <w:color w:val="202124"/>
          <w:sz w:val="22"/>
          <w:szCs w:val="22"/>
          <w:lang w:val="fr"/>
        </w:rPr>
        <w:t xml:space="preserve">Silvana </w:t>
      </w:r>
      <w:proofErr w:type="spellStart"/>
      <w:r w:rsidRPr="00951DD1">
        <w:rPr>
          <w:color w:val="202124"/>
          <w:sz w:val="22"/>
          <w:szCs w:val="22"/>
          <w:lang w:val="fr"/>
        </w:rPr>
        <w:t>Alcoz</w:t>
      </w:r>
      <w:proofErr w:type="spellEnd"/>
      <w:r w:rsidRPr="00951DD1">
        <w:rPr>
          <w:color w:val="202124"/>
          <w:sz w:val="22"/>
          <w:szCs w:val="22"/>
          <w:lang w:val="fr"/>
        </w:rPr>
        <w:t>, Directrice des bassins et des aquifères</w:t>
      </w:r>
      <w:r>
        <w:rPr>
          <w:color w:val="202124"/>
          <w:sz w:val="22"/>
          <w:szCs w:val="22"/>
          <w:lang w:val="fr"/>
        </w:rPr>
        <w:t>,</w:t>
      </w:r>
      <w:r>
        <w:rPr>
          <w:lang w:val="fr"/>
        </w:rPr>
        <w:t xml:space="preserve"> </w:t>
      </w:r>
      <w:r w:rsidRPr="00951DD1">
        <w:rPr>
          <w:color w:val="202124"/>
          <w:sz w:val="22"/>
          <w:szCs w:val="22"/>
          <w:lang w:val="fr"/>
        </w:rPr>
        <w:t>Direction nationale de l’eau</w:t>
      </w:r>
      <w:r>
        <w:rPr>
          <w:color w:val="202124"/>
          <w:sz w:val="22"/>
          <w:szCs w:val="22"/>
          <w:lang w:val="fr"/>
        </w:rPr>
        <w:t>,</w:t>
      </w:r>
      <w:r w:rsidRPr="00951DD1">
        <w:rPr>
          <w:color w:val="202124"/>
          <w:sz w:val="22"/>
          <w:szCs w:val="22"/>
          <w:lang w:val="fr"/>
        </w:rPr>
        <w:t xml:space="preserve"> </w:t>
      </w:r>
      <w:proofErr w:type="gramStart"/>
      <w:r w:rsidRPr="00951DD1">
        <w:rPr>
          <w:color w:val="202124"/>
          <w:sz w:val="22"/>
          <w:szCs w:val="22"/>
          <w:lang w:val="fr"/>
        </w:rPr>
        <w:t>Ministère de l’environnement</w:t>
      </w:r>
      <w:proofErr w:type="gramEnd"/>
      <w:r w:rsidRPr="00951DD1">
        <w:rPr>
          <w:color w:val="202124"/>
          <w:sz w:val="22"/>
          <w:szCs w:val="22"/>
          <w:lang w:val="fr"/>
        </w:rPr>
        <w:t xml:space="preserve"> de l’Uruguay </w:t>
      </w:r>
    </w:p>
    <w:p w14:paraId="25385CDE" w14:textId="77777777" w:rsidR="00D10B32" w:rsidRPr="00D10B32" w:rsidRDefault="00D10B32" w:rsidP="00D10B32">
      <w:pPr>
        <w:pStyle w:val="ListParagraph"/>
        <w:tabs>
          <w:tab w:val="left" w:pos="720"/>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hanging="720"/>
        <w:jc w:val="both"/>
        <w:rPr>
          <w:color w:val="202124"/>
          <w:sz w:val="22"/>
          <w:szCs w:val="22"/>
        </w:rPr>
      </w:pPr>
    </w:p>
    <w:p w14:paraId="15D4DEAE" w14:textId="70F14478" w:rsidR="00D10B32" w:rsidRPr="00D10B32" w:rsidRDefault="00D10B32" w:rsidP="00D10B32">
      <w:pPr>
        <w:pStyle w:val="ListParagraph"/>
        <w:numPr>
          <w:ilvl w:val="0"/>
          <w:numId w:val="25"/>
        </w:numPr>
        <w:tabs>
          <w:tab w:val="left" w:pos="720"/>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02124"/>
          <w:sz w:val="22"/>
          <w:szCs w:val="22"/>
        </w:rPr>
      </w:pPr>
      <w:r w:rsidRPr="00F73697">
        <w:rPr>
          <w:color w:val="202124"/>
          <w:sz w:val="22"/>
          <w:szCs w:val="22"/>
          <w:lang w:val="fr"/>
        </w:rPr>
        <w:t xml:space="preserve">Patricia Campos </w:t>
      </w:r>
      <w:proofErr w:type="spellStart"/>
      <w:r w:rsidRPr="00F73697">
        <w:rPr>
          <w:color w:val="202124"/>
          <w:sz w:val="22"/>
          <w:szCs w:val="22"/>
          <w:lang w:val="fr"/>
        </w:rPr>
        <w:t>Mesén</w:t>
      </w:r>
      <w:proofErr w:type="spellEnd"/>
      <w:r w:rsidRPr="00F73697">
        <w:rPr>
          <w:color w:val="202124"/>
          <w:sz w:val="22"/>
          <w:szCs w:val="22"/>
          <w:lang w:val="fr"/>
        </w:rPr>
        <w:t xml:space="preserve">, Directrice, Division du changement climatique, </w:t>
      </w:r>
      <w:proofErr w:type="gramStart"/>
      <w:r w:rsidRPr="00F73697">
        <w:rPr>
          <w:color w:val="202124"/>
          <w:sz w:val="22"/>
          <w:szCs w:val="22"/>
          <w:lang w:val="fr"/>
        </w:rPr>
        <w:t>Ministère de l’environnement</w:t>
      </w:r>
      <w:proofErr w:type="gramEnd"/>
      <w:r w:rsidRPr="00F73697">
        <w:rPr>
          <w:color w:val="202124"/>
          <w:sz w:val="22"/>
          <w:szCs w:val="22"/>
          <w:lang w:val="fr"/>
        </w:rPr>
        <w:t xml:space="preserve"> et de l’énergie du Costa Rica</w:t>
      </w:r>
    </w:p>
    <w:p w14:paraId="226F7E99" w14:textId="77777777" w:rsidR="00D10B32" w:rsidRPr="00D10B32" w:rsidRDefault="00D10B32" w:rsidP="00D10B32">
      <w:pPr>
        <w:jc w:val="both"/>
        <w:rPr>
          <w:rFonts w:eastAsia="Calibri"/>
          <w:sz w:val="22"/>
          <w:szCs w:val="22"/>
        </w:rPr>
      </w:pPr>
    </w:p>
    <w:p w14:paraId="427154A1" w14:textId="1E49E446" w:rsidR="00EE6940" w:rsidRPr="00D153AB" w:rsidRDefault="00EE6940" w:rsidP="00D153AB">
      <w:pPr>
        <w:ind w:firstLine="720"/>
        <w:jc w:val="both"/>
        <w:rPr>
          <w:sz w:val="22"/>
          <w:szCs w:val="22"/>
          <w:lang w:val="fr-FR"/>
        </w:rPr>
      </w:pPr>
      <w:r w:rsidRPr="00D153AB">
        <w:rPr>
          <w:sz w:val="22"/>
          <w:szCs w:val="22"/>
          <w:lang w:val="fr-FR"/>
        </w:rPr>
        <w:t>Questions d’orientation pour les allocutions des hautes autorités :</w:t>
      </w:r>
    </w:p>
    <w:p w14:paraId="10C87CE8" w14:textId="77777777" w:rsidR="00EE6940" w:rsidRPr="00D153AB" w:rsidRDefault="00EE6940" w:rsidP="00D153AB">
      <w:pPr>
        <w:jc w:val="both"/>
        <w:rPr>
          <w:sz w:val="22"/>
          <w:szCs w:val="22"/>
          <w:highlight w:val="yellow"/>
          <w:lang w:val="fr-FR"/>
        </w:rPr>
      </w:pPr>
    </w:p>
    <w:p w14:paraId="5C351327" w14:textId="53DDB4C7" w:rsidR="00B603F0" w:rsidRPr="00D153AB" w:rsidRDefault="00B603F0" w:rsidP="00D153AB">
      <w:pPr>
        <w:pStyle w:val="ListParagraph"/>
        <w:numPr>
          <w:ilvl w:val="0"/>
          <w:numId w:val="19"/>
        </w:numPr>
        <w:tabs>
          <w:tab w:val="clear" w:pos="-720"/>
        </w:tabs>
        <w:ind w:left="1080"/>
        <w:jc w:val="both"/>
        <w:rPr>
          <w:sz w:val="22"/>
          <w:szCs w:val="22"/>
          <w:lang w:val="fr-FR"/>
        </w:rPr>
      </w:pPr>
      <w:r w:rsidRPr="00D153AB">
        <w:rPr>
          <w:sz w:val="22"/>
          <w:szCs w:val="22"/>
          <w:lang w:val="fr-FR"/>
        </w:rPr>
        <w:t xml:space="preserve">Qu'est-ce qui a changé en termes de politiques, de stratégies et de programmes pour la gestion intégrée des ressources hydriques, dans le contexte du changement climatique et </w:t>
      </w:r>
      <w:r w:rsidRPr="00D153AB">
        <w:rPr>
          <w:sz w:val="22"/>
          <w:szCs w:val="22"/>
          <w:lang w:val="fr-FR"/>
        </w:rPr>
        <w:lastRenderedPageBreak/>
        <w:t>les tendances s’y rapportant, qui affecte la disponibilité de l'eau ainsi que les excédents et déficits temporels et spatiaux ?</w:t>
      </w:r>
    </w:p>
    <w:p w14:paraId="7B6D2196" w14:textId="77777777" w:rsidR="00751FFC" w:rsidRPr="00D153AB" w:rsidRDefault="00751FFC" w:rsidP="00D153AB">
      <w:pPr>
        <w:jc w:val="both"/>
        <w:rPr>
          <w:sz w:val="22"/>
          <w:szCs w:val="22"/>
          <w:lang w:val="fr-FR"/>
        </w:rPr>
      </w:pPr>
    </w:p>
    <w:p w14:paraId="1D5B5F8A" w14:textId="2FEFE041" w:rsidR="00EE6940" w:rsidRPr="00D153AB" w:rsidRDefault="00092A61" w:rsidP="00D153AB">
      <w:pPr>
        <w:pStyle w:val="ListParagraph"/>
        <w:numPr>
          <w:ilvl w:val="0"/>
          <w:numId w:val="19"/>
        </w:numPr>
        <w:tabs>
          <w:tab w:val="clear" w:pos="-720"/>
        </w:tabs>
        <w:ind w:left="1080"/>
        <w:jc w:val="both"/>
        <w:rPr>
          <w:sz w:val="22"/>
          <w:szCs w:val="22"/>
          <w:lang w:val="fr-FR"/>
        </w:rPr>
      </w:pPr>
      <w:r w:rsidRPr="00D153AB">
        <w:rPr>
          <w:sz w:val="22"/>
          <w:szCs w:val="22"/>
          <w:lang w:val="fr-FR"/>
        </w:rPr>
        <w:t>Comment les CDN peuvent-elles contribuer à une utilisation plus efficace des ressources financières pour faire face à la crise de l'eau dans les zones les plus touchées de votre pays, tout en contribuant à réduire les émissions nettes de GES ?</w:t>
      </w:r>
    </w:p>
    <w:p w14:paraId="6526A113" w14:textId="77777777" w:rsidR="00232E17" w:rsidRPr="00D153AB" w:rsidRDefault="00232E17" w:rsidP="00D153AB">
      <w:pPr>
        <w:keepNext/>
        <w:jc w:val="both"/>
        <w:rPr>
          <w:bCs/>
          <w:sz w:val="22"/>
          <w:szCs w:val="22"/>
          <w:lang w:val="fr-FR"/>
        </w:rPr>
      </w:pPr>
    </w:p>
    <w:p w14:paraId="556D0101" w14:textId="6DEE2C4E" w:rsidR="00EE6940" w:rsidRPr="00D153AB" w:rsidRDefault="00EE6940" w:rsidP="00D153AB">
      <w:pPr>
        <w:keepNext/>
        <w:ind w:left="720"/>
        <w:jc w:val="both"/>
        <w:rPr>
          <w:sz w:val="22"/>
          <w:szCs w:val="22"/>
          <w:lang w:val="fr-FR"/>
        </w:rPr>
      </w:pPr>
      <w:r w:rsidRPr="00D153AB">
        <w:rPr>
          <w:b/>
          <w:sz w:val="22"/>
          <w:szCs w:val="22"/>
          <w:lang w:val="fr-FR"/>
        </w:rPr>
        <w:t xml:space="preserve">DEUXIÈME PARTIE : </w:t>
      </w:r>
      <w:r w:rsidRPr="00D153AB">
        <w:rPr>
          <w:sz w:val="22"/>
          <w:szCs w:val="22"/>
          <w:lang w:val="fr-FR"/>
        </w:rPr>
        <w:t xml:space="preserve">Session de panel technique au cours de laquelle les participants disposeront d'abord de cinq minutes maximum pour présenter leurs principales idées, puis de deux minutes pour répondre aux questions ciblées formulées par l’animateur. </w:t>
      </w:r>
    </w:p>
    <w:p w14:paraId="51CC7554" w14:textId="77777777" w:rsidR="00EE6940" w:rsidRPr="00D153AB" w:rsidRDefault="00EE6940" w:rsidP="00D153AB">
      <w:pPr>
        <w:keepNext/>
        <w:jc w:val="both"/>
        <w:rPr>
          <w:sz w:val="22"/>
          <w:szCs w:val="22"/>
          <w:lang w:val="fr-FR"/>
        </w:rPr>
      </w:pPr>
    </w:p>
    <w:p w14:paraId="1887EC29" w14:textId="77777777" w:rsidR="00D10B32" w:rsidRPr="00D10B32" w:rsidRDefault="00EE6940" w:rsidP="000C25A6">
      <w:pPr>
        <w:ind w:left="720"/>
        <w:jc w:val="both"/>
        <w:rPr>
          <w:sz w:val="22"/>
          <w:szCs w:val="22"/>
        </w:rPr>
      </w:pPr>
      <w:r w:rsidRPr="00D10B32">
        <w:rPr>
          <w:b/>
          <w:sz w:val="22"/>
          <w:szCs w:val="22"/>
        </w:rPr>
        <w:t>ANIMATRICE:</w:t>
      </w:r>
      <w:r w:rsidR="00D10B32" w:rsidRPr="00D10B32">
        <w:rPr>
          <w:b/>
          <w:sz w:val="22"/>
          <w:szCs w:val="22"/>
        </w:rPr>
        <w:t xml:space="preserve"> </w:t>
      </w:r>
      <w:r w:rsidR="00D10B32" w:rsidRPr="00D10B32">
        <w:rPr>
          <w:b/>
          <w:sz w:val="22"/>
          <w:szCs w:val="22"/>
          <w:lang w:val="fr"/>
        </w:rPr>
        <w:t>Responsable, Département du développement durable, M. Pablo Gonzalez.</w:t>
      </w:r>
    </w:p>
    <w:p w14:paraId="7FD48EE7" w14:textId="317B91AD" w:rsidR="00EE6940" w:rsidRPr="00D10B32" w:rsidRDefault="00EE6940" w:rsidP="00D153AB">
      <w:pPr>
        <w:ind w:left="720"/>
        <w:jc w:val="both"/>
        <w:rPr>
          <w:sz w:val="22"/>
          <w:szCs w:val="22"/>
        </w:rPr>
      </w:pPr>
    </w:p>
    <w:p w14:paraId="0A2843EB" w14:textId="6DA5825A" w:rsidR="00EE6940" w:rsidRPr="00D153AB" w:rsidRDefault="00EE6940" w:rsidP="00D153AB">
      <w:pPr>
        <w:ind w:left="720"/>
        <w:jc w:val="both"/>
        <w:rPr>
          <w:b/>
          <w:bCs/>
          <w:sz w:val="22"/>
          <w:szCs w:val="22"/>
          <w:lang w:val="fr-FR"/>
        </w:rPr>
      </w:pPr>
      <w:r w:rsidRPr="00D153AB">
        <w:rPr>
          <w:b/>
          <w:sz w:val="22"/>
          <w:szCs w:val="22"/>
          <w:lang w:val="fr-FR"/>
        </w:rPr>
        <w:t xml:space="preserve">Panélistes invités sur le thème </w:t>
      </w:r>
      <w:r w:rsidRPr="00D153AB">
        <w:rPr>
          <w:color w:val="202124"/>
          <w:sz w:val="22"/>
          <w:szCs w:val="22"/>
          <w:lang w:val="fr-FR"/>
        </w:rPr>
        <w:t>Eau, climat et développement intégral :</w:t>
      </w:r>
    </w:p>
    <w:p w14:paraId="45C24465" w14:textId="77777777" w:rsidR="00EE6940" w:rsidRPr="00D153AB" w:rsidRDefault="00EE6940" w:rsidP="00D153AB">
      <w:pPr>
        <w:jc w:val="both"/>
        <w:rPr>
          <w:color w:val="202124"/>
          <w:sz w:val="22"/>
          <w:szCs w:val="22"/>
          <w:lang w:val="fr-FR"/>
        </w:rPr>
      </w:pPr>
    </w:p>
    <w:p w14:paraId="0AA00B15" w14:textId="40716AFB" w:rsidR="00D10B32" w:rsidRPr="00D10B32" w:rsidRDefault="00D10B32" w:rsidP="00D10B32">
      <w:pPr>
        <w:pStyle w:val="ListParagraph"/>
        <w:numPr>
          <w:ilvl w:val="0"/>
          <w:numId w:val="25"/>
        </w:numPr>
        <w:tabs>
          <w:tab w:val="left" w:pos="720"/>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720"/>
        <w:jc w:val="both"/>
        <w:rPr>
          <w:color w:val="202124"/>
          <w:sz w:val="22"/>
          <w:szCs w:val="22"/>
        </w:rPr>
      </w:pPr>
      <w:r w:rsidRPr="00D10B32">
        <w:rPr>
          <w:color w:val="202124"/>
          <w:sz w:val="22"/>
          <w:szCs w:val="22"/>
          <w:lang w:val="fr"/>
        </w:rPr>
        <w:t xml:space="preserve">Catherine </w:t>
      </w:r>
      <w:proofErr w:type="spellStart"/>
      <w:r w:rsidRPr="00D10B32">
        <w:rPr>
          <w:color w:val="202124"/>
          <w:sz w:val="22"/>
          <w:szCs w:val="22"/>
          <w:lang w:val="fr"/>
        </w:rPr>
        <w:t>Gamper</w:t>
      </w:r>
      <w:proofErr w:type="spellEnd"/>
      <w:r w:rsidRPr="00D10B32">
        <w:rPr>
          <w:color w:val="202124"/>
          <w:sz w:val="22"/>
          <w:szCs w:val="22"/>
          <w:lang w:val="fr"/>
        </w:rPr>
        <w:t>, Adaptation aux changements climatiques, Direction de l’environnement, Organisation de coopération et de développement économiques (OCDE)</w:t>
      </w:r>
    </w:p>
    <w:p w14:paraId="2C2B6C35" w14:textId="77777777" w:rsidR="00D10B32" w:rsidRPr="00D10B32" w:rsidRDefault="00D10B32" w:rsidP="00D10B32">
      <w:pPr>
        <w:pStyle w:val="ListParagraph"/>
        <w:tabs>
          <w:tab w:val="left" w:pos="720"/>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hanging="720"/>
        <w:jc w:val="both"/>
        <w:rPr>
          <w:color w:val="202124"/>
          <w:sz w:val="22"/>
          <w:szCs w:val="22"/>
        </w:rPr>
      </w:pPr>
    </w:p>
    <w:p w14:paraId="5F23AFD8" w14:textId="37FEAE4C" w:rsidR="00D10B32" w:rsidRPr="00D10B32" w:rsidRDefault="00D10B32" w:rsidP="00D10B32">
      <w:pPr>
        <w:pStyle w:val="ListParagraph"/>
        <w:numPr>
          <w:ilvl w:val="0"/>
          <w:numId w:val="25"/>
        </w:numPr>
        <w:tabs>
          <w:tab w:val="left" w:pos="720"/>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720"/>
        <w:jc w:val="both"/>
        <w:rPr>
          <w:color w:val="202124"/>
          <w:sz w:val="22"/>
          <w:szCs w:val="22"/>
        </w:rPr>
      </w:pPr>
      <w:proofErr w:type="spellStart"/>
      <w:r w:rsidRPr="00D10B32">
        <w:rPr>
          <w:color w:val="202124"/>
          <w:sz w:val="22"/>
          <w:szCs w:val="22"/>
          <w:lang w:val="fr"/>
        </w:rPr>
        <w:t>Raúl</w:t>
      </w:r>
      <w:proofErr w:type="spellEnd"/>
      <w:r w:rsidRPr="00D10B32">
        <w:rPr>
          <w:color w:val="202124"/>
          <w:sz w:val="22"/>
          <w:szCs w:val="22"/>
          <w:lang w:val="fr"/>
        </w:rPr>
        <w:t xml:space="preserve"> Muñoz, Spécialiste des ressources en eau, Division de l’eau et de l’assainissement, Banque interaméricaine de développement (BID</w:t>
      </w:r>
      <w:r w:rsidRPr="00D10B32">
        <w:rPr>
          <w:sz w:val="22"/>
          <w:szCs w:val="22"/>
          <w:lang w:val="fr"/>
        </w:rPr>
        <w:t>)</w:t>
      </w:r>
    </w:p>
    <w:p w14:paraId="39BDA052" w14:textId="3ABC41C1" w:rsidR="00EE6940" w:rsidRPr="00D10B32" w:rsidRDefault="00EE6940" w:rsidP="00D153AB">
      <w:pPr>
        <w:jc w:val="both"/>
        <w:rPr>
          <w:sz w:val="22"/>
          <w:szCs w:val="22"/>
        </w:rPr>
      </w:pPr>
    </w:p>
    <w:p w14:paraId="0709702F" w14:textId="77777777" w:rsidR="00EE6940" w:rsidRPr="00D153AB" w:rsidRDefault="00EE6940" w:rsidP="00D153AB">
      <w:pPr>
        <w:ind w:firstLine="720"/>
        <w:jc w:val="both"/>
        <w:rPr>
          <w:sz w:val="22"/>
          <w:szCs w:val="22"/>
          <w:lang w:val="fr-FR"/>
        </w:rPr>
      </w:pPr>
      <w:r w:rsidRPr="00D153AB">
        <w:rPr>
          <w:sz w:val="22"/>
          <w:szCs w:val="22"/>
          <w:lang w:val="fr-FR"/>
        </w:rPr>
        <w:t>Questions d'orientation pour les allocutions :</w:t>
      </w:r>
    </w:p>
    <w:p w14:paraId="10217D3D" w14:textId="77777777" w:rsidR="00EE6940" w:rsidRPr="00D153AB" w:rsidRDefault="00EE6940" w:rsidP="00D153AB">
      <w:pPr>
        <w:jc w:val="both"/>
        <w:rPr>
          <w:sz w:val="22"/>
          <w:szCs w:val="22"/>
          <w:lang w:val="fr-FR"/>
        </w:rPr>
      </w:pPr>
    </w:p>
    <w:p w14:paraId="66668044" w14:textId="3E774BE6" w:rsidR="00555842" w:rsidRPr="00D153AB" w:rsidRDefault="00E106A5" w:rsidP="00D10B32">
      <w:pPr>
        <w:pStyle w:val="ListParagraph"/>
        <w:numPr>
          <w:ilvl w:val="0"/>
          <w:numId w:val="21"/>
        </w:numPr>
        <w:tabs>
          <w:tab w:val="left" w:pos="1530"/>
        </w:tabs>
        <w:ind w:left="1440" w:hanging="720"/>
        <w:jc w:val="both"/>
        <w:rPr>
          <w:b/>
          <w:sz w:val="22"/>
          <w:szCs w:val="22"/>
          <w:lang w:val="fr-FR"/>
        </w:rPr>
      </w:pPr>
      <w:r w:rsidRPr="00D153AB">
        <w:rPr>
          <w:sz w:val="22"/>
          <w:szCs w:val="22"/>
          <w:lang w:val="fr-FR"/>
        </w:rPr>
        <w:t xml:space="preserve">Que recommanderiez-vous aux </w:t>
      </w:r>
      <w:r w:rsidR="00232E17" w:rsidRPr="00D153AB">
        <w:rPr>
          <w:sz w:val="22"/>
          <w:szCs w:val="22"/>
          <w:lang w:val="fr-FR"/>
        </w:rPr>
        <w:t>[</w:t>
      </w:r>
      <w:r w:rsidRPr="00D153AB">
        <w:rPr>
          <w:sz w:val="22"/>
          <w:szCs w:val="22"/>
          <w:lang w:val="fr-FR"/>
        </w:rPr>
        <w:t>s] dans leurs efforts pour utiliser leurs budgets nationaux et la coopération internationale de manière plus efficace afin qu'ils puissent contribuer aux objectifs de réduction des émissions de GES, et en même temps qu'ils puissent garantir les ressources en eau, les terres et les ressources naturelles dont ils ont besoin pour leur développement durable ?</w:t>
      </w:r>
    </w:p>
    <w:p w14:paraId="54D3B22B" w14:textId="77777777" w:rsidR="00751FFC" w:rsidRPr="00D153AB" w:rsidRDefault="00751FFC" w:rsidP="00D10B32">
      <w:pPr>
        <w:tabs>
          <w:tab w:val="left" w:pos="1530"/>
        </w:tabs>
        <w:ind w:left="1440" w:hanging="720"/>
        <w:jc w:val="both"/>
        <w:rPr>
          <w:color w:val="202124"/>
          <w:sz w:val="22"/>
          <w:szCs w:val="22"/>
          <w:lang w:val="fr-FR"/>
        </w:rPr>
      </w:pPr>
    </w:p>
    <w:p w14:paraId="05538C92" w14:textId="3AD592F1" w:rsidR="00555842" w:rsidRPr="00D153AB" w:rsidRDefault="00D12AEA" w:rsidP="00D10B32">
      <w:pPr>
        <w:pStyle w:val="ListParagraph"/>
        <w:numPr>
          <w:ilvl w:val="0"/>
          <w:numId w:val="21"/>
        </w:numPr>
        <w:tabs>
          <w:tab w:val="left" w:pos="1530"/>
        </w:tabs>
        <w:ind w:left="1440" w:hanging="720"/>
        <w:jc w:val="both"/>
        <w:rPr>
          <w:b/>
          <w:sz w:val="22"/>
          <w:szCs w:val="22"/>
          <w:lang w:val="fr-FR"/>
        </w:rPr>
      </w:pPr>
      <w:r w:rsidRPr="00D153AB">
        <w:rPr>
          <w:sz w:val="22"/>
          <w:szCs w:val="22"/>
          <w:lang w:val="fr-FR"/>
        </w:rPr>
        <w:t>Compte tenu des multiples accords internationaux qui entourent les différents programmes d’action, notamment la CCNUCC, l'accord de Paris et le processus de la COP, le Programme 2030 et les ODD, le Programme d'action d'Addis-Abeba et le Cadre de Sendai pour la RRC, entre autres, comment la coopération internationale, et en particulier l'aide internationale au développement, peut-elle aider les pays bénéficiaires à renforcer leurs capacités de manière coordonnée dans le cadre de tous ces accords, tout en continuant à progresser vers le développement durable ?</w:t>
      </w:r>
    </w:p>
    <w:p w14:paraId="66EA7B19" w14:textId="4C816C1C" w:rsidR="00EE6940" w:rsidRPr="00D153AB" w:rsidRDefault="00EE6940" w:rsidP="00D153AB">
      <w:pPr>
        <w:jc w:val="both"/>
        <w:rPr>
          <w:color w:val="202124"/>
          <w:sz w:val="22"/>
          <w:szCs w:val="22"/>
          <w:lang w:val="fr-FR"/>
        </w:rPr>
      </w:pPr>
    </w:p>
    <w:p w14:paraId="09FBF6E4" w14:textId="6FAFC630" w:rsidR="00EE6940" w:rsidRPr="00D153AB" w:rsidRDefault="00EE6940" w:rsidP="00D153AB">
      <w:pPr>
        <w:ind w:left="720"/>
        <w:jc w:val="both"/>
        <w:rPr>
          <w:sz w:val="22"/>
          <w:szCs w:val="22"/>
          <w:lang w:val="fr-FR"/>
        </w:rPr>
      </w:pPr>
      <w:r w:rsidRPr="00D153AB">
        <w:rPr>
          <w:sz w:val="22"/>
          <w:szCs w:val="22"/>
          <w:lang w:val="fr-FR"/>
        </w:rPr>
        <w:t xml:space="preserve">Après la séance de questions-réponses avec les intervenants invités, la présidence invitera les délégations à partager les meilleures pratiques, les besoins, les défis et opportunités potentiels, et/ou les demandes spécifiques de coopération continentale dans ce domaine. </w:t>
      </w:r>
    </w:p>
    <w:p w14:paraId="7354125E" w14:textId="53E87589" w:rsidR="00661420" w:rsidRDefault="00661420" w:rsidP="00D153AB">
      <w:pPr>
        <w:jc w:val="both"/>
        <w:rPr>
          <w:color w:val="202124"/>
          <w:sz w:val="22"/>
          <w:szCs w:val="22"/>
          <w:lang w:val="fr-FR"/>
        </w:rPr>
      </w:pPr>
    </w:p>
    <w:p w14:paraId="17F1EF93" w14:textId="378095F9" w:rsidR="00D10B32" w:rsidRDefault="00D10B32" w:rsidP="00D153AB">
      <w:pPr>
        <w:jc w:val="both"/>
        <w:rPr>
          <w:color w:val="202124"/>
          <w:sz w:val="22"/>
          <w:szCs w:val="22"/>
          <w:lang w:val="fr-FR"/>
        </w:rPr>
      </w:pPr>
    </w:p>
    <w:p w14:paraId="5B063471" w14:textId="1816BBBA" w:rsidR="00D10B32" w:rsidRDefault="00D10B32" w:rsidP="00D153AB">
      <w:pPr>
        <w:jc w:val="both"/>
        <w:rPr>
          <w:color w:val="202124"/>
          <w:sz w:val="22"/>
          <w:szCs w:val="22"/>
          <w:lang w:val="fr-FR"/>
        </w:rPr>
      </w:pPr>
    </w:p>
    <w:p w14:paraId="3B2C9EE5" w14:textId="39D8863E" w:rsidR="00D10B32" w:rsidRDefault="00D10B32" w:rsidP="00D153AB">
      <w:pPr>
        <w:jc w:val="both"/>
        <w:rPr>
          <w:color w:val="202124"/>
          <w:sz w:val="22"/>
          <w:szCs w:val="22"/>
          <w:lang w:val="fr-FR"/>
        </w:rPr>
      </w:pPr>
    </w:p>
    <w:p w14:paraId="42A2C434" w14:textId="794DC3E5" w:rsidR="00D10B32" w:rsidRDefault="00D10B32" w:rsidP="00D153AB">
      <w:pPr>
        <w:jc w:val="both"/>
        <w:rPr>
          <w:color w:val="202124"/>
          <w:sz w:val="22"/>
          <w:szCs w:val="22"/>
          <w:lang w:val="fr-FR"/>
        </w:rPr>
      </w:pPr>
    </w:p>
    <w:p w14:paraId="3761338F" w14:textId="77777777" w:rsidR="00D10B32" w:rsidRPr="00D153AB" w:rsidRDefault="00D10B32" w:rsidP="00D153AB">
      <w:pPr>
        <w:jc w:val="both"/>
        <w:rPr>
          <w:color w:val="202124"/>
          <w:sz w:val="22"/>
          <w:szCs w:val="22"/>
          <w:lang w:val="fr-FR"/>
        </w:rPr>
      </w:pPr>
    </w:p>
    <w:p w14:paraId="05701FFD" w14:textId="39FCC813" w:rsidR="004043A2" w:rsidRPr="00D153AB" w:rsidRDefault="00705BF2" w:rsidP="00D153AB">
      <w:pPr>
        <w:pStyle w:val="ListParagraph"/>
        <w:numPr>
          <w:ilvl w:val="0"/>
          <w:numId w:val="1"/>
        </w:numPr>
        <w:ind w:left="720" w:hanging="720"/>
        <w:jc w:val="both"/>
        <w:rPr>
          <w:b/>
          <w:sz w:val="22"/>
          <w:szCs w:val="22"/>
          <w:lang w:val="fr-FR"/>
        </w:rPr>
      </w:pPr>
      <w:r w:rsidRPr="00D153AB">
        <w:rPr>
          <w:b/>
          <w:sz w:val="22"/>
          <w:szCs w:val="22"/>
          <w:lang w:val="fr-FR"/>
        </w:rPr>
        <w:lastRenderedPageBreak/>
        <w:t xml:space="preserve">Résultat de la réunion </w:t>
      </w:r>
    </w:p>
    <w:p w14:paraId="3987E448" w14:textId="77777777" w:rsidR="004043A2" w:rsidRPr="00D153AB" w:rsidRDefault="004043A2" w:rsidP="00D153AB">
      <w:pPr>
        <w:jc w:val="both"/>
        <w:rPr>
          <w:rFonts w:eastAsia="Calibri"/>
          <w:sz w:val="22"/>
          <w:szCs w:val="22"/>
          <w:lang w:val="fr-FR"/>
        </w:rPr>
      </w:pPr>
    </w:p>
    <w:p w14:paraId="02624BC1" w14:textId="3C85718B" w:rsidR="00DD70EA" w:rsidRPr="00D153AB" w:rsidRDefault="00B450B7" w:rsidP="00D153AB">
      <w:pPr>
        <w:jc w:val="both"/>
        <w:rPr>
          <w:color w:val="202124"/>
          <w:sz w:val="22"/>
          <w:szCs w:val="22"/>
          <w:lang w:val="fr-FR"/>
        </w:rPr>
      </w:pPr>
      <w:r w:rsidRPr="00D153AB">
        <w:rPr>
          <w:color w:val="202124"/>
          <w:sz w:val="22"/>
          <w:szCs w:val="22"/>
          <w:lang w:val="fr-FR"/>
        </w:rPr>
        <w:tab/>
        <w:t xml:space="preserve">La réunion devrait contribuer </w:t>
      </w:r>
      <w:proofErr w:type="gramStart"/>
      <w:r w:rsidRPr="00D153AB">
        <w:rPr>
          <w:color w:val="202124"/>
          <w:sz w:val="22"/>
          <w:szCs w:val="22"/>
          <w:lang w:val="fr-FR"/>
        </w:rPr>
        <w:t>à:</w:t>
      </w:r>
      <w:proofErr w:type="gramEnd"/>
    </w:p>
    <w:p w14:paraId="0BD29F42" w14:textId="77777777" w:rsidR="00DD70EA" w:rsidRPr="00D153AB" w:rsidRDefault="00DD70EA" w:rsidP="00D153AB">
      <w:pPr>
        <w:jc w:val="both"/>
        <w:rPr>
          <w:color w:val="202124"/>
          <w:sz w:val="22"/>
          <w:szCs w:val="22"/>
          <w:lang w:val="fr-FR"/>
        </w:rPr>
      </w:pPr>
    </w:p>
    <w:p w14:paraId="36DC6AC0" w14:textId="40F82975" w:rsidR="00DD70EA" w:rsidRPr="00D153AB" w:rsidRDefault="00DD70EA" w:rsidP="00D153AB">
      <w:pPr>
        <w:pStyle w:val="ListParagraph"/>
        <w:numPr>
          <w:ilvl w:val="0"/>
          <w:numId w:val="16"/>
        </w:numPr>
        <w:ind w:left="1440" w:hanging="720"/>
        <w:jc w:val="both"/>
        <w:rPr>
          <w:color w:val="202124"/>
          <w:sz w:val="22"/>
          <w:szCs w:val="22"/>
          <w:lang w:val="fr-FR"/>
        </w:rPr>
      </w:pPr>
      <w:r w:rsidRPr="00D153AB">
        <w:rPr>
          <w:color w:val="202124"/>
          <w:sz w:val="22"/>
          <w:szCs w:val="22"/>
          <w:lang w:val="fr-FR"/>
        </w:rPr>
        <w:t>Fournir des informations sur l'influence et les opportunités de la gestion intégrée des ressources hydriques dans l'adaptation au changement climatique et l'atténuation de ses effets, et sur les approches portées par les données pour répondre aux impératifs de développement des États membres de l'OEA ;</w:t>
      </w:r>
    </w:p>
    <w:p w14:paraId="0B5B41F4" w14:textId="46FDD5F4" w:rsidR="00DD70EA" w:rsidRPr="00D153AB" w:rsidRDefault="00DD70EA" w:rsidP="00D153AB">
      <w:pPr>
        <w:jc w:val="both"/>
        <w:rPr>
          <w:color w:val="202124"/>
          <w:sz w:val="22"/>
          <w:szCs w:val="22"/>
          <w:lang w:val="fr-FR"/>
        </w:rPr>
      </w:pPr>
    </w:p>
    <w:p w14:paraId="1305C0D8" w14:textId="00B2EA95" w:rsidR="00DD70EA" w:rsidRPr="00D153AB" w:rsidRDefault="00DD70EA" w:rsidP="00D153AB">
      <w:pPr>
        <w:pStyle w:val="ListParagraph"/>
        <w:numPr>
          <w:ilvl w:val="0"/>
          <w:numId w:val="16"/>
        </w:numPr>
        <w:ind w:left="1440" w:hanging="720"/>
        <w:jc w:val="both"/>
        <w:rPr>
          <w:color w:val="202124"/>
          <w:sz w:val="22"/>
          <w:szCs w:val="22"/>
          <w:lang w:val="fr-FR"/>
        </w:rPr>
      </w:pPr>
      <w:r w:rsidRPr="00D153AB">
        <w:rPr>
          <w:color w:val="202124"/>
          <w:sz w:val="22"/>
          <w:szCs w:val="22"/>
          <w:lang w:val="fr-FR"/>
        </w:rPr>
        <w:t>Encourager la coordination entre les programmes et les interventions pour la réalisation des engagements et des accords internationaux par une approche intersectorielle, interinstitutionnelle, multijuridictionnelle et multilatérale ;</w:t>
      </w:r>
    </w:p>
    <w:p w14:paraId="06EE60C9" w14:textId="7FDCD5A1" w:rsidR="00565CB6" w:rsidRPr="00D153AB" w:rsidRDefault="00565CB6" w:rsidP="00D153AB">
      <w:pPr>
        <w:jc w:val="both"/>
        <w:rPr>
          <w:color w:val="202124"/>
          <w:sz w:val="22"/>
          <w:szCs w:val="22"/>
          <w:lang w:val="fr-FR"/>
        </w:rPr>
      </w:pPr>
    </w:p>
    <w:p w14:paraId="52E1BFEB" w14:textId="65DC5B85" w:rsidR="00DD70EA" w:rsidRPr="00D153AB" w:rsidRDefault="00DD70EA" w:rsidP="00D153AB">
      <w:pPr>
        <w:pStyle w:val="ListParagraph"/>
        <w:numPr>
          <w:ilvl w:val="0"/>
          <w:numId w:val="16"/>
        </w:numPr>
        <w:ind w:left="1440" w:hanging="720"/>
        <w:jc w:val="both"/>
        <w:rPr>
          <w:color w:val="202124"/>
          <w:sz w:val="22"/>
          <w:szCs w:val="22"/>
          <w:lang w:val="fr-FR"/>
        </w:rPr>
      </w:pPr>
      <w:r w:rsidRPr="00D153AB">
        <w:rPr>
          <w:color w:val="202124"/>
          <w:sz w:val="22"/>
          <w:szCs w:val="22"/>
          <w:lang w:val="fr-FR"/>
        </w:rPr>
        <w:t>Obtenir des propositions pour la révision du PIDS,</w:t>
      </w:r>
      <w:r w:rsidR="00A1624A" w:rsidRPr="00D153AB">
        <w:rPr>
          <w:color w:val="202124"/>
          <w:sz w:val="22"/>
          <w:szCs w:val="22"/>
          <w:lang w:val="fr-FR"/>
        </w:rPr>
        <w:t xml:space="preserve"> comme demandé </w:t>
      </w:r>
      <w:r w:rsidRPr="00D153AB">
        <w:rPr>
          <w:color w:val="202124"/>
          <w:sz w:val="22"/>
          <w:szCs w:val="22"/>
          <w:lang w:val="fr-FR"/>
        </w:rPr>
        <w:t>par l'Assemblée générale lors de sa dernière session ordinaire en 2021, et la convocation de la Commission interaméricaine pour le développement durable.</w:t>
      </w:r>
      <w:r w:rsidR="00426C00">
        <w:rPr>
          <w:noProof/>
          <w:color w:val="202124"/>
          <w:sz w:val="22"/>
          <w:szCs w:val="22"/>
          <w:lang w:val="fr-FR"/>
        </w:rPr>
        <mc:AlternateContent>
          <mc:Choice Requires="wps">
            <w:drawing>
              <wp:anchor distT="0" distB="0" distL="114300" distR="114300" simplePos="0" relativeHeight="251659264" behindDoc="0" locked="1" layoutInCell="1" allowOverlap="1" wp14:anchorId="51AFEDEF" wp14:editId="62949F31">
                <wp:simplePos x="0" y="0"/>
                <wp:positionH relativeFrom="column">
                  <wp:posOffset>-91440</wp:posOffset>
                </wp:positionH>
                <wp:positionV relativeFrom="page">
                  <wp:posOffset>9144000</wp:posOffset>
                </wp:positionV>
                <wp:extent cx="3383280" cy="2286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2873CE88" w14:textId="5DD6B789" w:rsidR="00426C00" w:rsidRPr="00426C00" w:rsidRDefault="00426C00">
                            <w:pPr>
                              <w:rPr>
                                <w:sz w:val="18"/>
                              </w:rPr>
                            </w:pPr>
                            <w:r>
                              <w:rPr>
                                <w:sz w:val="18"/>
                              </w:rPr>
                              <w:fldChar w:fldCharType="begin"/>
                            </w:r>
                            <w:r>
                              <w:rPr>
                                <w:sz w:val="18"/>
                              </w:rPr>
                              <w:instrText xml:space="preserve"> FILENAME  \* MERGEFORMAT </w:instrText>
                            </w:r>
                            <w:r>
                              <w:rPr>
                                <w:sz w:val="18"/>
                              </w:rPr>
                              <w:fldChar w:fldCharType="separate"/>
                            </w:r>
                            <w:r>
                              <w:rPr>
                                <w:noProof/>
                                <w:sz w:val="18"/>
                              </w:rPr>
                              <w:t>CIDRP03474F03</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1AFEDEF" id="_x0000_t202" coordsize="21600,21600" o:spt="202" path="m,l,21600r21600,l21600,xe">
                <v:stroke joinstyle="miter"/>
                <v:path gradientshapeok="t" o:connecttype="rect"/>
              </v:shapetype>
              <v:shape id="Text Box 5" o:spid="_x0000_s1026" type="#_x0000_t202" style="position:absolute;left:0;text-align:left;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" filled="f" stroked="f">
                <v:stroke joinstyle="round"/>
                <v:textbox>
                  <w:txbxContent>
                    <w:p w14:paraId="2873CE88" w14:textId="5DD6B789" w:rsidR="00426C00" w:rsidRPr="00426C00" w:rsidRDefault="00426C00">
                      <w:pPr>
                        <w:rPr>
                          <w:sz w:val="18"/>
                        </w:rPr>
                      </w:pPr>
                      <w:r>
                        <w:rPr>
                          <w:sz w:val="18"/>
                        </w:rPr>
                        <w:fldChar w:fldCharType="begin"/>
                      </w:r>
                      <w:r>
                        <w:rPr>
                          <w:sz w:val="18"/>
                        </w:rPr>
                        <w:instrText xml:space="preserve"> FILENAME  \* MERGEFORMAT </w:instrText>
                      </w:r>
                      <w:r>
                        <w:rPr>
                          <w:sz w:val="18"/>
                        </w:rPr>
                        <w:fldChar w:fldCharType="separate"/>
                      </w:r>
                      <w:r>
                        <w:rPr>
                          <w:noProof/>
                          <w:sz w:val="18"/>
                        </w:rPr>
                        <w:t>CIDRP03474F03</w:t>
                      </w:r>
                      <w:r>
                        <w:rPr>
                          <w:sz w:val="18"/>
                        </w:rPr>
                        <w:fldChar w:fldCharType="end"/>
                      </w:r>
                    </w:p>
                  </w:txbxContent>
                </v:textbox>
                <w10:wrap anchory="page"/>
                <w10:anchorlock/>
              </v:shape>
            </w:pict>
          </mc:Fallback>
        </mc:AlternateContent>
      </w:r>
    </w:p>
    <w:sectPr w:rsidR="00DD70EA" w:rsidRPr="00D153AB" w:rsidSect="009C51C2">
      <w:headerReference w:type="default" r:id="rId11"/>
      <w:headerReference w:type="first" r:id="rId12"/>
      <w:pgSz w:w="12240" w:h="15840" w:code="1"/>
      <w:pgMar w:top="2160" w:right="1570" w:bottom="1296" w:left="1699" w:header="1296" w:footer="1296" w:gutter="0"/>
      <w:pgNumType w:fmt="numberInDash"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B7295F" w14:textId="77777777" w:rsidR="00557517" w:rsidRDefault="00557517" w:rsidP="004043A2">
      <w:r>
        <w:separator/>
      </w:r>
    </w:p>
  </w:endnote>
  <w:endnote w:type="continuationSeparator" w:id="0">
    <w:p w14:paraId="073812A3" w14:textId="77777777" w:rsidR="00557517" w:rsidRDefault="00557517" w:rsidP="004043A2">
      <w:r>
        <w:continuationSeparator/>
      </w:r>
    </w:p>
  </w:endnote>
  <w:endnote w:type="continuationNotice" w:id="1">
    <w:p w14:paraId="791E752F" w14:textId="77777777" w:rsidR="00557517" w:rsidRDefault="005575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168066" w14:textId="77777777" w:rsidR="00557517" w:rsidRDefault="00557517" w:rsidP="004043A2">
      <w:r>
        <w:separator/>
      </w:r>
    </w:p>
  </w:footnote>
  <w:footnote w:type="continuationSeparator" w:id="0">
    <w:p w14:paraId="68DA85A8" w14:textId="77777777" w:rsidR="00557517" w:rsidRDefault="00557517" w:rsidP="004043A2">
      <w:r>
        <w:continuationSeparator/>
      </w:r>
    </w:p>
  </w:footnote>
  <w:footnote w:type="continuationNotice" w:id="1">
    <w:p w14:paraId="0155044A" w14:textId="77777777" w:rsidR="00557517" w:rsidRDefault="0055751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AC51C" w14:textId="77777777" w:rsidR="00387D8A" w:rsidRPr="0040128C" w:rsidRDefault="003643AA">
    <w:pPr>
      <w:pStyle w:val="Header"/>
      <w:jc w:val="center"/>
      <w:rPr>
        <w:noProof/>
        <w:sz w:val="22"/>
        <w:szCs w:val="22"/>
      </w:rPr>
    </w:pPr>
    <w:r w:rsidRPr="0040128C">
      <w:rPr>
        <w:sz w:val="22"/>
      </w:rPr>
      <w:fldChar w:fldCharType="begin"/>
    </w:r>
    <w:r w:rsidRPr="0040128C">
      <w:rPr>
        <w:sz w:val="22"/>
      </w:rPr>
      <w:instrText xml:space="preserve"> PAGE   \* MERGEFORMAT </w:instrText>
    </w:r>
    <w:r w:rsidRPr="0040128C">
      <w:rPr>
        <w:sz w:val="22"/>
      </w:rPr>
      <w:fldChar w:fldCharType="separate"/>
    </w:r>
    <w:r>
      <w:rPr>
        <w:sz w:val="22"/>
      </w:rPr>
      <w:t>- 4 -</w:t>
    </w:r>
    <w:r w:rsidRPr="0040128C">
      <w:rPr>
        <w:sz w:val="2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71AF5" w14:textId="77777777" w:rsidR="00387D8A" w:rsidRPr="0040128C" w:rsidRDefault="003643AA">
    <w:pPr>
      <w:pStyle w:val="Header"/>
      <w:rPr>
        <w:noProof/>
      </w:rPr>
    </w:pPr>
    <w:r>
      <w:rPr>
        <w:noProof/>
      </w:rPr>
      <mc:AlternateContent>
        <mc:Choice Requires="wps">
          <w:drawing>
            <wp:anchor distT="0" distB="0" distL="114300" distR="114300" simplePos="0" relativeHeight="251658242" behindDoc="0" locked="0" layoutInCell="1" allowOverlap="1" wp14:anchorId="43C2E382" wp14:editId="44CAFC77">
              <wp:simplePos x="0" y="0"/>
              <wp:positionH relativeFrom="column">
                <wp:posOffset>495300</wp:posOffset>
              </wp:positionH>
              <wp:positionV relativeFrom="paragraph">
                <wp:posOffset>-230974</wp:posOffset>
              </wp:positionV>
              <wp:extent cx="4476585" cy="628153"/>
              <wp:effectExtent l="0" t="0" r="635" b="63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585" cy="62815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6CE669" w14:textId="3F520DAE" w:rsidR="00387D8A" w:rsidRPr="00BD263A" w:rsidRDefault="003643AA" w:rsidP="00387D8A">
                          <w:pPr>
                            <w:pStyle w:val="Header"/>
                            <w:tabs>
                              <w:tab w:val="left" w:pos="900"/>
                            </w:tabs>
                            <w:spacing w:line="0" w:lineRule="atLeast"/>
                            <w:jc w:val="center"/>
                            <w:rPr>
                              <w:rFonts w:ascii="Garamond" w:hAnsi="Garamond"/>
                              <w:b/>
                              <w:sz w:val="28"/>
                            </w:rPr>
                          </w:pPr>
                          <w:r>
                            <w:rPr>
                              <w:rFonts w:ascii="Garamond" w:hAnsi="Garamond"/>
                              <w:b/>
                              <w:sz w:val="28"/>
                            </w:rPr>
                            <w:t xml:space="preserve">ORGANISATION DES ÉTATS AMÉRICAINS </w:t>
                          </w:r>
                        </w:p>
                        <w:p w14:paraId="37D01F7D" w14:textId="129A222B" w:rsidR="00387D8A" w:rsidRPr="00BD263A" w:rsidRDefault="004043A2" w:rsidP="00387D8A">
                          <w:pPr>
                            <w:pStyle w:val="Header"/>
                            <w:tabs>
                              <w:tab w:val="left" w:pos="900"/>
                            </w:tabs>
                            <w:spacing w:line="0" w:lineRule="atLeast"/>
                            <w:jc w:val="center"/>
                            <w:rPr>
                              <w:rFonts w:ascii="Garamond" w:hAnsi="Garamond"/>
                              <w:b/>
                              <w:szCs w:val="22"/>
                            </w:rPr>
                          </w:pPr>
                          <w:r>
                            <w:rPr>
                              <w:rFonts w:ascii="Garamond" w:hAnsi="Garamond"/>
                              <w:b/>
                            </w:rPr>
                            <w:t>Conseil interaméricain pour le développement intégré</w:t>
                          </w:r>
                        </w:p>
                        <w:p w14:paraId="4654E25D" w14:textId="77777777" w:rsidR="00387D8A" w:rsidRPr="0040128C" w:rsidRDefault="003643AA" w:rsidP="00387D8A">
                          <w:pPr>
                            <w:pStyle w:val="Header"/>
                            <w:tabs>
                              <w:tab w:val="left" w:pos="900"/>
                            </w:tabs>
                            <w:spacing w:line="0" w:lineRule="atLeast"/>
                            <w:jc w:val="center"/>
                            <w:rPr>
                              <w:rFonts w:ascii="Garamond" w:hAnsi="Garamond"/>
                              <w:b/>
                              <w:szCs w:val="22"/>
                            </w:rPr>
                          </w:pPr>
                          <w:r>
                            <w:rPr>
                              <w:rFonts w:ascii="Garamond" w:hAnsi="Garamond"/>
                              <w:b/>
                            </w:rPr>
                            <w:t>(CIDI)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C2E382" id="_x0000_t202" coordsize="21600,21600" o:spt="202" path="m,l,21600r21600,l21600,xe">
              <v:stroke joinstyle="miter"/>
              <v:path gradientshapeok="t" o:connecttype="rect"/>
            </v:shapetype>
            <v:shape id="Text Box 1" o:spid="_x0000_s1027" type="#_x0000_t202" style="position:absolute;margin-left:39pt;margin-top:-18.2pt;width:352.5pt;height:49.4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" stroked="f">
              <v:textbox>
                <w:txbxContent>
                  <w:p w14:paraId="476CE669" w14:textId="3F520DAE" w:rsidR="00387D8A" w:rsidRPr="00BD263A" w:rsidRDefault="003643AA" w:rsidP="00387D8A">
                    <w:pPr>
                      <w:pStyle w:val="Header"/>
                      <w:tabs>
                        <w:tab w:val="left" w:pos="900"/>
                      </w:tabs>
                      <w:spacing w:line="0" w:lineRule="atLeast"/>
                      <w:jc w:val="center"/>
                      <w:rPr>
                        <w:rFonts w:ascii="Garamond" w:hAnsi="Garamond"/>
                        <w:b/>
                        <w:sz w:val="28"/>
                      </w:rPr>
                    </w:pPr>
                    <w:r>
                      <w:rPr>
                        <w:rFonts w:ascii="Garamond" w:hAnsi="Garamond"/>
                        <w:b/>
                        <w:sz w:val="28"/>
                      </w:rPr>
                      <w:t xml:space="preserve">ORGANISATION DES ÉTATS AMÉRICAINS </w:t>
                    </w:r>
                  </w:p>
                  <w:p w14:paraId="37D01F7D" w14:textId="129A222B" w:rsidR="00387D8A" w:rsidRPr="00BD263A" w:rsidRDefault="004043A2" w:rsidP="00387D8A">
                    <w:pPr>
                      <w:pStyle w:val="Header"/>
                      <w:tabs>
                        <w:tab w:val="left" w:pos="900"/>
                      </w:tabs>
                      <w:spacing w:line="0" w:lineRule="atLeast"/>
                      <w:jc w:val="center"/>
                      <w:rPr>
                        <w:rFonts w:ascii="Garamond" w:hAnsi="Garamond"/>
                        <w:b/>
                        <w:szCs w:val="22"/>
                      </w:rPr>
                    </w:pPr>
                    <w:r>
                      <w:rPr>
                        <w:rFonts w:ascii="Garamond" w:hAnsi="Garamond"/>
                        <w:b/>
                      </w:rPr>
                      <w:t>Conseil interaméricain pour le développement intégré</w:t>
                    </w:r>
                  </w:p>
                  <w:p w14:paraId="4654E25D" w14:textId="77777777" w:rsidR="00387D8A" w:rsidRPr="0040128C" w:rsidRDefault="003643AA" w:rsidP="00387D8A">
                    <w:pPr>
                      <w:pStyle w:val="Header"/>
                      <w:tabs>
                        <w:tab w:val="left" w:pos="900"/>
                      </w:tabs>
                      <w:spacing w:line="0" w:lineRule="atLeast"/>
                      <w:jc w:val="center"/>
                      <w:rPr>
                        <w:rFonts w:ascii="Garamond" w:hAnsi="Garamond"/>
                        <w:b/>
                        <w:szCs w:val="22"/>
                      </w:rPr>
                    </w:pPr>
                    <w:r>
                      <w:rPr>
                        <w:rFonts w:ascii="Garamond" w:hAnsi="Garamond"/>
                        <w:b/>
                      </w:rPr>
                      <w:t>(CIDI)</w:t>
                    </w:r>
                  </w:p>
                </w:txbxContent>
              </v:textbox>
            </v:shape>
          </w:pict>
        </mc:Fallback>
      </mc:AlternateContent>
    </w:r>
    <w:r>
      <w:rPr>
        <w:noProof/>
      </w:rPr>
      <mc:AlternateContent>
        <mc:Choice Requires="wps">
          <w:drawing>
            <wp:anchor distT="0" distB="0" distL="114300" distR="114300" simplePos="0" relativeHeight="251658241" behindDoc="0" locked="0" layoutInCell="1" allowOverlap="1" wp14:anchorId="37773DC9" wp14:editId="748A157E">
              <wp:simplePos x="0" y="0"/>
              <wp:positionH relativeFrom="column">
                <wp:posOffset>5080000</wp:posOffset>
              </wp:positionH>
              <wp:positionV relativeFrom="paragraph">
                <wp:posOffset>-483235</wp:posOffset>
              </wp:positionV>
              <wp:extent cx="1287780" cy="86233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862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FB6E5C" w14:textId="77777777" w:rsidR="00387D8A" w:rsidRPr="0040128C" w:rsidRDefault="003643AA" w:rsidP="00387D8A">
                          <w:pPr>
                            <w:ind w:right="-130"/>
                          </w:pPr>
                          <w:r>
                            <w:rPr>
                              <w:noProof/>
                            </w:rPr>
                            <w:drawing>
                              <wp:inline distT="0" distB="0" distL="0" distR="0" wp14:anchorId="556C2DD6" wp14:editId="32275092">
                                <wp:extent cx="1104265" cy="772160"/>
                                <wp:effectExtent l="0" t="0" r="0" b="0"/>
                                <wp:docPr id="3" name="Picture 1"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9CID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265" cy="77216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773DC9" id="Text Box 2" o:spid="_x0000_s1028" type="#_x0000_t202" style="position:absolute;margin-left:400pt;margin-top:-38.05pt;width:101.4pt;height:67.9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" stroked="f">
              <v:textbox>
                <w:txbxContent>
                  <w:p w14:paraId="70FB6E5C" w14:textId="77777777" w:rsidR="00387D8A" w:rsidRPr="0040128C" w:rsidRDefault="003643AA" w:rsidP="00387D8A">
                    <w:pPr>
                      <w:ind w:right="-130"/>
                    </w:pPr>
                    <w:r>
                      <w:rPr>
                        <w:noProof/>
                      </w:rPr>
                      <w:drawing>
                        <wp:inline distT="0" distB="0" distL="0" distR="0" wp14:anchorId="556C2DD6" wp14:editId="32275092">
                          <wp:extent cx="1104265" cy="772160"/>
                          <wp:effectExtent l="0" t="0" r="0" b="0"/>
                          <wp:docPr id="3" name="Picture 1"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9CID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265" cy="772160"/>
                                  </a:xfrm>
                                  <a:prstGeom prst="rect">
                                    <a:avLst/>
                                  </a:prstGeom>
                                  <a:noFill/>
                                  <a:ln>
                                    <a:noFill/>
                                  </a:ln>
                                </pic:spPr>
                              </pic:pic>
                            </a:graphicData>
                          </a:graphic>
                        </wp:inline>
                      </w:drawing>
                    </w:r>
                  </w:p>
                </w:txbxContent>
              </v:textbox>
            </v:shape>
          </w:pict>
        </mc:Fallback>
      </mc:AlternateContent>
    </w:r>
    <w:r>
      <w:rPr>
        <w:noProof/>
      </w:rPr>
      <w:drawing>
        <wp:anchor distT="0" distB="0" distL="114300" distR="114300" simplePos="0" relativeHeight="251658240" behindDoc="0" locked="0" layoutInCell="1" allowOverlap="1" wp14:anchorId="70677BEE" wp14:editId="4D0A4EB9">
          <wp:simplePos x="0" y="0"/>
          <wp:positionH relativeFrom="column">
            <wp:posOffset>-444500</wp:posOffset>
          </wp:positionH>
          <wp:positionV relativeFrom="paragraph">
            <wp:posOffset>-483235</wp:posOffset>
          </wp:positionV>
          <wp:extent cx="822960" cy="824865"/>
          <wp:effectExtent l="0" t="0" r="0" b="0"/>
          <wp:wrapNone/>
          <wp:docPr id="4" name="Picture 4" descr="OAS Seal with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AS Seal with lin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A1DA61" w14:textId="77777777" w:rsidR="00387D8A" w:rsidRPr="0040128C" w:rsidRDefault="00387D8A">
    <w:pPr>
      <w:rPr>
        <w:noProo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E7DA9"/>
    <w:multiLevelType w:val="hybridMultilevel"/>
    <w:tmpl w:val="455E726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5611C1D"/>
    <w:multiLevelType w:val="hybridMultilevel"/>
    <w:tmpl w:val="3CA04626"/>
    <w:lvl w:ilvl="0" w:tplc="85DCAD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463291"/>
    <w:multiLevelType w:val="hybridMultilevel"/>
    <w:tmpl w:val="EFBEF4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7CD7854"/>
    <w:multiLevelType w:val="hybridMultilevel"/>
    <w:tmpl w:val="1C28857C"/>
    <w:lvl w:ilvl="0" w:tplc="8DD807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D2336C5"/>
    <w:multiLevelType w:val="hybridMultilevel"/>
    <w:tmpl w:val="191813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F7A5C17"/>
    <w:multiLevelType w:val="hybridMultilevel"/>
    <w:tmpl w:val="D4D6CFB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BFF4576"/>
    <w:multiLevelType w:val="hybridMultilevel"/>
    <w:tmpl w:val="A2DC4D46"/>
    <w:lvl w:ilvl="0" w:tplc="DDBC321C">
      <w:numFmt w:val="bullet"/>
      <w:lvlText w:val="-"/>
      <w:lvlJc w:val="left"/>
      <w:pPr>
        <w:ind w:left="2520" w:hanging="360"/>
      </w:pPr>
      <w:rPr>
        <w:rFonts w:ascii="Times New Roman" w:eastAsia="Calibr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15:restartNumberingAfterBreak="0">
    <w:nsid w:val="1D3A7B9C"/>
    <w:multiLevelType w:val="hybridMultilevel"/>
    <w:tmpl w:val="35CAE9FA"/>
    <w:lvl w:ilvl="0" w:tplc="D33C5FDA">
      <w:start w:val="1"/>
      <w:numFmt w:val="bullet"/>
      <w:lvlText w:val=""/>
      <w:lvlJc w:val="left"/>
      <w:pPr>
        <w:ind w:left="720" w:hanging="360"/>
      </w:pPr>
      <w:rPr>
        <w:rFonts w:ascii="Symbol" w:hAnsi="Symbol" w:cs="Symbol" w:hint="default"/>
        <w:vanish w:val="0"/>
      </w:rPr>
    </w:lvl>
    <w:lvl w:ilvl="1" w:tplc="D7CE736A">
      <w:start w:val="1"/>
      <w:numFmt w:val="bullet"/>
      <w:lvlText w:val="o"/>
      <w:lvlJc w:val="left"/>
      <w:pPr>
        <w:ind w:left="1440" w:hanging="360"/>
      </w:pPr>
      <w:rPr>
        <w:rFonts w:ascii="Courier New" w:hAnsi="Courier New" w:cs="Courier New" w:hint="default"/>
      </w:rPr>
    </w:lvl>
    <w:lvl w:ilvl="2" w:tplc="3988896A">
      <w:start w:val="1"/>
      <w:numFmt w:val="bullet"/>
      <w:lvlText w:val=""/>
      <w:lvlJc w:val="left"/>
      <w:pPr>
        <w:ind w:left="2160" w:hanging="360"/>
      </w:pPr>
      <w:rPr>
        <w:rFonts w:ascii="Wingdings" w:hAnsi="Wingdings" w:cs="Wingdings" w:hint="default"/>
      </w:rPr>
    </w:lvl>
    <w:lvl w:ilvl="3" w:tplc="537C5040">
      <w:start w:val="1"/>
      <w:numFmt w:val="bullet"/>
      <w:lvlText w:val=""/>
      <w:lvlJc w:val="left"/>
      <w:pPr>
        <w:ind w:left="2880" w:hanging="360"/>
      </w:pPr>
      <w:rPr>
        <w:rFonts w:ascii="Symbol" w:hAnsi="Symbol" w:cs="Symbol" w:hint="default"/>
      </w:rPr>
    </w:lvl>
    <w:lvl w:ilvl="4" w:tplc="24982628">
      <w:start w:val="1"/>
      <w:numFmt w:val="bullet"/>
      <w:lvlText w:val="o"/>
      <w:lvlJc w:val="left"/>
      <w:pPr>
        <w:ind w:left="3600" w:hanging="360"/>
      </w:pPr>
      <w:rPr>
        <w:rFonts w:ascii="Courier New" w:hAnsi="Courier New" w:cs="Courier New" w:hint="default"/>
      </w:rPr>
    </w:lvl>
    <w:lvl w:ilvl="5" w:tplc="3F74AC58">
      <w:start w:val="1"/>
      <w:numFmt w:val="bullet"/>
      <w:lvlText w:val=""/>
      <w:lvlJc w:val="left"/>
      <w:pPr>
        <w:ind w:left="4320" w:hanging="360"/>
      </w:pPr>
      <w:rPr>
        <w:rFonts w:ascii="Wingdings" w:hAnsi="Wingdings" w:cs="Wingdings" w:hint="default"/>
      </w:rPr>
    </w:lvl>
    <w:lvl w:ilvl="6" w:tplc="4C4C6CC4">
      <w:start w:val="1"/>
      <w:numFmt w:val="bullet"/>
      <w:lvlText w:val=""/>
      <w:lvlJc w:val="left"/>
      <w:pPr>
        <w:ind w:left="5040" w:hanging="360"/>
      </w:pPr>
      <w:rPr>
        <w:rFonts w:ascii="Symbol" w:hAnsi="Symbol" w:cs="Symbol" w:hint="default"/>
      </w:rPr>
    </w:lvl>
    <w:lvl w:ilvl="7" w:tplc="F8E2B31A">
      <w:start w:val="1"/>
      <w:numFmt w:val="bullet"/>
      <w:lvlText w:val="o"/>
      <w:lvlJc w:val="left"/>
      <w:pPr>
        <w:ind w:left="5760" w:hanging="360"/>
      </w:pPr>
      <w:rPr>
        <w:rFonts w:ascii="Courier New" w:hAnsi="Courier New" w:cs="Courier New" w:hint="default"/>
      </w:rPr>
    </w:lvl>
    <w:lvl w:ilvl="8" w:tplc="6A583D58">
      <w:start w:val="1"/>
      <w:numFmt w:val="bullet"/>
      <w:lvlText w:val=""/>
      <w:lvlJc w:val="left"/>
      <w:pPr>
        <w:ind w:left="6480" w:hanging="360"/>
      </w:pPr>
      <w:rPr>
        <w:rFonts w:ascii="Wingdings" w:hAnsi="Wingdings" w:cs="Wingdings" w:hint="default"/>
      </w:rPr>
    </w:lvl>
  </w:abstractNum>
  <w:abstractNum w:abstractNumId="8" w15:restartNumberingAfterBreak="0">
    <w:nsid w:val="223E4F47"/>
    <w:multiLevelType w:val="hybridMultilevel"/>
    <w:tmpl w:val="BB66C452"/>
    <w:lvl w:ilvl="0" w:tplc="B2A26B3E">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3424E91"/>
    <w:multiLevelType w:val="hybridMultilevel"/>
    <w:tmpl w:val="B358EA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73E2DF0"/>
    <w:multiLevelType w:val="multilevel"/>
    <w:tmpl w:val="FD3EF46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2A34367E"/>
    <w:multiLevelType w:val="hybridMultilevel"/>
    <w:tmpl w:val="6D7A66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2CE7612A"/>
    <w:multiLevelType w:val="hybridMultilevel"/>
    <w:tmpl w:val="C9A0BBD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43E5CB6"/>
    <w:multiLevelType w:val="hybridMultilevel"/>
    <w:tmpl w:val="01509B4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BD6585"/>
    <w:multiLevelType w:val="hybridMultilevel"/>
    <w:tmpl w:val="C706AB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25A4B40"/>
    <w:multiLevelType w:val="hybridMultilevel"/>
    <w:tmpl w:val="E6B0A038"/>
    <w:lvl w:ilvl="0" w:tplc="E9BC7C32">
      <w:numFmt w:val="bullet"/>
      <w:lvlText w:val="-"/>
      <w:lvlJc w:val="left"/>
      <w:pPr>
        <w:ind w:left="2520" w:hanging="360"/>
      </w:pPr>
      <w:rPr>
        <w:rFonts w:ascii="Times New Roman" w:eastAsia="Calibr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 w15:restartNumberingAfterBreak="0">
    <w:nsid w:val="437C3483"/>
    <w:multiLevelType w:val="hybridMultilevel"/>
    <w:tmpl w:val="57B8A406"/>
    <w:lvl w:ilvl="0" w:tplc="93C21FA0">
      <w:start w:val="1"/>
      <w:numFmt w:val="decimal"/>
      <w:lvlText w:val="%1."/>
      <w:lvlJc w:val="left"/>
      <w:pPr>
        <w:ind w:left="2160" w:hanging="36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44703E29"/>
    <w:multiLevelType w:val="hybridMultilevel"/>
    <w:tmpl w:val="FB42B9AA"/>
    <w:lvl w:ilvl="0" w:tplc="240A0001">
      <w:start w:val="1"/>
      <w:numFmt w:val="bullet"/>
      <w:lvlText w:val=""/>
      <w:lvlJc w:val="left"/>
      <w:pPr>
        <w:ind w:left="2160" w:hanging="360"/>
      </w:pPr>
      <w:rPr>
        <w:rFonts w:ascii="Symbol" w:hAnsi="Symbol" w:hint="default"/>
      </w:rPr>
    </w:lvl>
    <w:lvl w:ilvl="1" w:tplc="240A0003" w:tentative="1">
      <w:start w:val="1"/>
      <w:numFmt w:val="bullet"/>
      <w:lvlText w:val="o"/>
      <w:lvlJc w:val="left"/>
      <w:pPr>
        <w:ind w:left="2880" w:hanging="360"/>
      </w:pPr>
      <w:rPr>
        <w:rFonts w:ascii="Courier New" w:hAnsi="Courier New" w:cs="Courier New" w:hint="default"/>
      </w:rPr>
    </w:lvl>
    <w:lvl w:ilvl="2" w:tplc="240A0005" w:tentative="1">
      <w:start w:val="1"/>
      <w:numFmt w:val="bullet"/>
      <w:lvlText w:val=""/>
      <w:lvlJc w:val="left"/>
      <w:pPr>
        <w:ind w:left="3600" w:hanging="360"/>
      </w:pPr>
      <w:rPr>
        <w:rFonts w:ascii="Wingdings" w:hAnsi="Wingdings" w:hint="default"/>
      </w:rPr>
    </w:lvl>
    <w:lvl w:ilvl="3" w:tplc="240A0001" w:tentative="1">
      <w:start w:val="1"/>
      <w:numFmt w:val="bullet"/>
      <w:lvlText w:val=""/>
      <w:lvlJc w:val="left"/>
      <w:pPr>
        <w:ind w:left="4320" w:hanging="360"/>
      </w:pPr>
      <w:rPr>
        <w:rFonts w:ascii="Symbol" w:hAnsi="Symbol" w:hint="default"/>
      </w:rPr>
    </w:lvl>
    <w:lvl w:ilvl="4" w:tplc="240A0003" w:tentative="1">
      <w:start w:val="1"/>
      <w:numFmt w:val="bullet"/>
      <w:lvlText w:val="o"/>
      <w:lvlJc w:val="left"/>
      <w:pPr>
        <w:ind w:left="5040" w:hanging="360"/>
      </w:pPr>
      <w:rPr>
        <w:rFonts w:ascii="Courier New" w:hAnsi="Courier New" w:cs="Courier New" w:hint="default"/>
      </w:rPr>
    </w:lvl>
    <w:lvl w:ilvl="5" w:tplc="240A0005" w:tentative="1">
      <w:start w:val="1"/>
      <w:numFmt w:val="bullet"/>
      <w:lvlText w:val=""/>
      <w:lvlJc w:val="left"/>
      <w:pPr>
        <w:ind w:left="5760" w:hanging="360"/>
      </w:pPr>
      <w:rPr>
        <w:rFonts w:ascii="Wingdings" w:hAnsi="Wingdings" w:hint="default"/>
      </w:rPr>
    </w:lvl>
    <w:lvl w:ilvl="6" w:tplc="240A0001" w:tentative="1">
      <w:start w:val="1"/>
      <w:numFmt w:val="bullet"/>
      <w:lvlText w:val=""/>
      <w:lvlJc w:val="left"/>
      <w:pPr>
        <w:ind w:left="6480" w:hanging="360"/>
      </w:pPr>
      <w:rPr>
        <w:rFonts w:ascii="Symbol" w:hAnsi="Symbol" w:hint="default"/>
      </w:rPr>
    </w:lvl>
    <w:lvl w:ilvl="7" w:tplc="240A0003" w:tentative="1">
      <w:start w:val="1"/>
      <w:numFmt w:val="bullet"/>
      <w:lvlText w:val="o"/>
      <w:lvlJc w:val="left"/>
      <w:pPr>
        <w:ind w:left="7200" w:hanging="360"/>
      </w:pPr>
      <w:rPr>
        <w:rFonts w:ascii="Courier New" w:hAnsi="Courier New" w:cs="Courier New" w:hint="default"/>
      </w:rPr>
    </w:lvl>
    <w:lvl w:ilvl="8" w:tplc="240A0005" w:tentative="1">
      <w:start w:val="1"/>
      <w:numFmt w:val="bullet"/>
      <w:lvlText w:val=""/>
      <w:lvlJc w:val="left"/>
      <w:pPr>
        <w:ind w:left="7920" w:hanging="360"/>
      </w:pPr>
      <w:rPr>
        <w:rFonts w:ascii="Wingdings" w:hAnsi="Wingdings" w:hint="default"/>
      </w:rPr>
    </w:lvl>
  </w:abstractNum>
  <w:abstractNum w:abstractNumId="18" w15:restartNumberingAfterBreak="0">
    <w:nsid w:val="488C6B15"/>
    <w:multiLevelType w:val="hybridMultilevel"/>
    <w:tmpl w:val="4532DCEE"/>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2042A3C"/>
    <w:multiLevelType w:val="hybridMultilevel"/>
    <w:tmpl w:val="D24A0660"/>
    <w:lvl w:ilvl="0" w:tplc="A69078DA">
      <w:start w:val="1"/>
      <w:numFmt w:val="decimal"/>
      <w:lvlText w:val="%1."/>
      <w:lvlJc w:val="left"/>
      <w:pPr>
        <w:tabs>
          <w:tab w:val="num" w:pos="-720"/>
        </w:tabs>
        <w:ind w:left="720" w:hanging="360"/>
      </w:pPr>
      <w:rPr>
        <w:rFonts w:hint="default"/>
        <w:vanish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15:restartNumberingAfterBreak="0">
    <w:nsid w:val="5901567D"/>
    <w:multiLevelType w:val="hybridMultilevel"/>
    <w:tmpl w:val="9EE2D6E0"/>
    <w:lvl w:ilvl="0" w:tplc="A69078DA">
      <w:start w:val="1"/>
      <w:numFmt w:val="decimal"/>
      <w:lvlText w:val="%1."/>
      <w:lvlJc w:val="left"/>
      <w:pPr>
        <w:tabs>
          <w:tab w:val="num" w:pos="-720"/>
        </w:tabs>
        <w:ind w:left="720" w:hanging="360"/>
      </w:pPr>
      <w:rPr>
        <w:rFonts w:hint="default"/>
        <w:vanish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 w15:restartNumberingAfterBreak="0">
    <w:nsid w:val="60957071"/>
    <w:multiLevelType w:val="hybridMultilevel"/>
    <w:tmpl w:val="E9F2874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87934FB"/>
    <w:multiLevelType w:val="multilevel"/>
    <w:tmpl w:val="65FAABD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6E70107D"/>
    <w:multiLevelType w:val="multilevel"/>
    <w:tmpl w:val="5FACBA5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74523BFA"/>
    <w:multiLevelType w:val="hybridMultilevel"/>
    <w:tmpl w:val="3CA04626"/>
    <w:lvl w:ilvl="0" w:tplc="85DCAD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5005F34"/>
    <w:multiLevelType w:val="hybridMultilevel"/>
    <w:tmpl w:val="3E70B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2E072E"/>
    <w:multiLevelType w:val="multilevel"/>
    <w:tmpl w:val="2F682F0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14"/>
  </w:num>
  <w:num w:numId="4">
    <w:abstractNumId w:val="25"/>
  </w:num>
  <w:num w:numId="5">
    <w:abstractNumId w:val="13"/>
  </w:num>
  <w:num w:numId="6">
    <w:abstractNumId w:val="2"/>
  </w:num>
  <w:num w:numId="7">
    <w:abstractNumId w:val="24"/>
  </w:num>
  <w:num w:numId="8">
    <w:abstractNumId w:val="4"/>
  </w:num>
  <w:num w:numId="9">
    <w:abstractNumId w:val="5"/>
  </w:num>
  <w:num w:numId="10">
    <w:abstractNumId w:val="18"/>
  </w:num>
  <w:num w:numId="11">
    <w:abstractNumId w:val="0"/>
  </w:num>
  <w:num w:numId="12">
    <w:abstractNumId w:val="1"/>
  </w:num>
  <w:num w:numId="13">
    <w:abstractNumId w:val="15"/>
  </w:num>
  <w:num w:numId="14">
    <w:abstractNumId w:val="6"/>
  </w:num>
  <w:num w:numId="15">
    <w:abstractNumId w:val="11"/>
  </w:num>
  <w:num w:numId="16">
    <w:abstractNumId w:val="12"/>
  </w:num>
  <w:num w:numId="17">
    <w:abstractNumId w:val="17"/>
  </w:num>
  <w:num w:numId="18">
    <w:abstractNumId w:val="7"/>
  </w:num>
  <w:num w:numId="19">
    <w:abstractNumId w:val="19"/>
  </w:num>
  <w:num w:numId="20">
    <w:abstractNumId w:val="20"/>
  </w:num>
  <w:num w:numId="21">
    <w:abstractNumId w:val="8"/>
  </w:num>
  <w:num w:numId="22">
    <w:abstractNumId w:val="23"/>
  </w:num>
  <w:num w:numId="23">
    <w:abstractNumId w:val="26"/>
  </w:num>
  <w:num w:numId="24">
    <w:abstractNumId w:val="3"/>
  </w:num>
  <w:num w:numId="25">
    <w:abstractNumId w:val="9"/>
  </w:num>
  <w:num w:numId="26">
    <w:abstractNumId w:val="22"/>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U2MDazMDU3NTM1NDdW0lEKTi0uzszPAykwqgUAre9mYywAAAA="/>
  </w:docVars>
  <w:rsids>
    <w:rsidRoot w:val="004043A2"/>
    <w:rsid w:val="00015990"/>
    <w:rsid w:val="00035C5F"/>
    <w:rsid w:val="000433EC"/>
    <w:rsid w:val="00043540"/>
    <w:rsid w:val="000673A2"/>
    <w:rsid w:val="000746C9"/>
    <w:rsid w:val="00077B85"/>
    <w:rsid w:val="00092A61"/>
    <w:rsid w:val="00095663"/>
    <w:rsid w:val="00097E94"/>
    <w:rsid w:val="000A0A91"/>
    <w:rsid w:val="000A203B"/>
    <w:rsid w:val="000A2EB1"/>
    <w:rsid w:val="000A5063"/>
    <w:rsid w:val="000B0C5D"/>
    <w:rsid w:val="000B2D2A"/>
    <w:rsid w:val="000D2F82"/>
    <w:rsid w:val="000E3A82"/>
    <w:rsid w:val="00106275"/>
    <w:rsid w:val="001070BB"/>
    <w:rsid w:val="00127947"/>
    <w:rsid w:val="001356E4"/>
    <w:rsid w:val="00146E65"/>
    <w:rsid w:val="0014711F"/>
    <w:rsid w:val="001536DC"/>
    <w:rsid w:val="00161648"/>
    <w:rsid w:val="001616BF"/>
    <w:rsid w:val="001845A4"/>
    <w:rsid w:val="001B5210"/>
    <w:rsid w:val="001E141F"/>
    <w:rsid w:val="001E6611"/>
    <w:rsid w:val="001E796B"/>
    <w:rsid w:val="001F10B2"/>
    <w:rsid w:val="002149E4"/>
    <w:rsid w:val="00232E17"/>
    <w:rsid w:val="00250507"/>
    <w:rsid w:val="00255D44"/>
    <w:rsid w:val="0027041A"/>
    <w:rsid w:val="002731C2"/>
    <w:rsid w:val="002742A6"/>
    <w:rsid w:val="00281F0D"/>
    <w:rsid w:val="00294484"/>
    <w:rsid w:val="0029595F"/>
    <w:rsid w:val="00297101"/>
    <w:rsid w:val="002A4827"/>
    <w:rsid w:val="002B52D4"/>
    <w:rsid w:val="002C5252"/>
    <w:rsid w:val="002E7723"/>
    <w:rsid w:val="002F6FAA"/>
    <w:rsid w:val="00306330"/>
    <w:rsid w:val="00307582"/>
    <w:rsid w:val="00307671"/>
    <w:rsid w:val="0032573B"/>
    <w:rsid w:val="003411D5"/>
    <w:rsid w:val="003643AA"/>
    <w:rsid w:val="00372BF7"/>
    <w:rsid w:val="0038034D"/>
    <w:rsid w:val="00380D1A"/>
    <w:rsid w:val="003873DE"/>
    <w:rsid w:val="00387D8A"/>
    <w:rsid w:val="0039067B"/>
    <w:rsid w:val="003906B7"/>
    <w:rsid w:val="003971E2"/>
    <w:rsid w:val="003A708F"/>
    <w:rsid w:val="003E170F"/>
    <w:rsid w:val="003F1103"/>
    <w:rsid w:val="00404336"/>
    <w:rsid w:val="004043A2"/>
    <w:rsid w:val="004055D7"/>
    <w:rsid w:val="00406F3D"/>
    <w:rsid w:val="00407BFC"/>
    <w:rsid w:val="00413A82"/>
    <w:rsid w:val="00426C00"/>
    <w:rsid w:val="00426C71"/>
    <w:rsid w:val="004468A5"/>
    <w:rsid w:val="00450361"/>
    <w:rsid w:val="004541EB"/>
    <w:rsid w:val="00457ECB"/>
    <w:rsid w:val="00470C55"/>
    <w:rsid w:val="0048309B"/>
    <w:rsid w:val="00484FC0"/>
    <w:rsid w:val="004908CB"/>
    <w:rsid w:val="004954A1"/>
    <w:rsid w:val="004C032B"/>
    <w:rsid w:val="004E211D"/>
    <w:rsid w:val="004E23AF"/>
    <w:rsid w:val="004E41A9"/>
    <w:rsid w:val="004F29A2"/>
    <w:rsid w:val="004F3663"/>
    <w:rsid w:val="005072FE"/>
    <w:rsid w:val="00523CCC"/>
    <w:rsid w:val="00540D55"/>
    <w:rsid w:val="00541E2F"/>
    <w:rsid w:val="00555842"/>
    <w:rsid w:val="00557517"/>
    <w:rsid w:val="005628FD"/>
    <w:rsid w:val="00562DC6"/>
    <w:rsid w:val="00563CA4"/>
    <w:rsid w:val="00565CB6"/>
    <w:rsid w:val="00585A36"/>
    <w:rsid w:val="005868B0"/>
    <w:rsid w:val="005C3A80"/>
    <w:rsid w:val="005C7E62"/>
    <w:rsid w:val="005D3718"/>
    <w:rsid w:val="005F1B2D"/>
    <w:rsid w:val="005F2FD0"/>
    <w:rsid w:val="006135E1"/>
    <w:rsid w:val="00613661"/>
    <w:rsid w:val="00615AB0"/>
    <w:rsid w:val="00654681"/>
    <w:rsid w:val="00661420"/>
    <w:rsid w:val="00670D0B"/>
    <w:rsid w:val="00675C1F"/>
    <w:rsid w:val="006B3565"/>
    <w:rsid w:val="006B4484"/>
    <w:rsid w:val="006C0C76"/>
    <w:rsid w:val="006C7F3C"/>
    <w:rsid w:val="006D1E45"/>
    <w:rsid w:val="006E4B72"/>
    <w:rsid w:val="00705BF2"/>
    <w:rsid w:val="00715811"/>
    <w:rsid w:val="00715C1A"/>
    <w:rsid w:val="00726F7B"/>
    <w:rsid w:val="00736BE6"/>
    <w:rsid w:val="00742891"/>
    <w:rsid w:val="00750FE5"/>
    <w:rsid w:val="00751FFC"/>
    <w:rsid w:val="007547D9"/>
    <w:rsid w:val="00761A54"/>
    <w:rsid w:val="00773B90"/>
    <w:rsid w:val="00777743"/>
    <w:rsid w:val="00782F49"/>
    <w:rsid w:val="007F0FE9"/>
    <w:rsid w:val="00803244"/>
    <w:rsid w:val="00817174"/>
    <w:rsid w:val="00834BF2"/>
    <w:rsid w:val="008525D0"/>
    <w:rsid w:val="00853FBC"/>
    <w:rsid w:val="008603AB"/>
    <w:rsid w:val="0086321D"/>
    <w:rsid w:val="008859BB"/>
    <w:rsid w:val="0089157C"/>
    <w:rsid w:val="00895B89"/>
    <w:rsid w:val="008966FE"/>
    <w:rsid w:val="008B42C1"/>
    <w:rsid w:val="008B67B5"/>
    <w:rsid w:val="008B7463"/>
    <w:rsid w:val="008D3251"/>
    <w:rsid w:val="008F3A2F"/>
    <w:rsid w:val="00921CF5"/>
    <w:rsid w:val="0092485E"/>
    <w:rsid w:val="009349F0"/>
    <w:rsid w:val="00941195"/>
    <w:rsid w:val="0094518A"/>
    <w:rsid w:val="00953A8A"/>
    <w:rsid w:val="00956146"/>
    <w:rsid w:val="00962185"/>
    <w:rsid w:val="0097224E"/>
    <w:rsid w:val="00975F86"/>
    <w:rsid w:val="00976BC5"/>
    <w:rsid w:val="00987BEC"/>
    <w:rsid w:val="00990786"/>
    <w:rsid w:val="00994973"/>
    <w:rsid w:val="009B2D78"/>
    <w:rsid w:val="009C4A99"/>
    <w:rsid w:val="009C51C2"/>
    <w:rsid w:val="009D0E22"/>
    <w:rsid w:val="009E1BE0"/>
    <w:rsid w:val="009E4B9C"/>
    <w:rsid w:val="009E5688"/>
    <w:rsid w:val="009F6B5F"/>
    <w:rsid w:val="00A01FD3"/>
    <w:rsid w:val="00A11F70"/>
    <w:rsid w:val="00A1624A"/>
    <w:rsid w:val="00A205B0"/>
    <w:rsid w:val="00A2456F"/>
    <w:rsid w:val="00A368B3"/>
    <w:rsid w:val="00A41D8A"/>
    <w:rsid w:val="00A450E7"/>
    <w:rsid w:val="00A4770F"/>
    <w:rsid w:val="00A555C3"/>
    <w:rsid w:val="00A61B5C"/>
    <w:rsid w:val="00A7007F"/>
    <w:rsid w:val="00AA237E"/>
    <w:rsid w:val="00AA50DE"/>
    <w:rsid w:val="00AB37EA"/>
    <w:rsid w:val="00AC2859"/>
    <w:rsid w:val="00AD087D"/>
    <w:rsid w:val="00AE31CE"/>
    <w:rsid w:val="00AF066D"/>
    <w:rsid w:val="00AF0687"/>
    <w:rsid w:val="00AF7622"/>
    <w:rsid w:val="00B0399D"/>
    <w:rsid w:val="00B4214F"/>
    <w:rsid w:val="00B450B7"/>
    <w:rsid w:val="00B477B0"/>
    <w:rsid w:val="00B50166"/>
    <w:rsid w:val="00B52573"/>
    <w:rsid w:val="00B561C8"/>
    <w:rsid w:val="00B603F0"/>
    <w:rsid w:val="00B62DD7"/>
    <w:rsid w:val="00B776D1"/>
    <w:rsid w:val="00B77EFF"/>
    <w:rsid w:val="00B964C5"/>
    <w:rsid w:val="00BA16AB"/>
    <w:rsid w:val="00BB5623"/>
    <w:rsid w:val="00BC1B92"/>
    <w:rsid w:val="00BC6D4A"/>
    <w:rsid w:val="00BD1DCB"/>
    <w:rsid w:val="00BD263A"/>
    <w:rsid w:val="00BE7725"/>
    <w:rsid w:val="00BF4632"/>
    <w:rsid w:val="00BF545A"/>
    <w:rsid w:val="00C01545"/>
    <w:rsid w:val="00C02871"/>
    <w:rsid w:val="00C067D9"/>
    <w:rsid w:val="00C16FCB"/>
    <w:rsid w:val="00C17F8B"/>
    <w:rsid w:val="00C27A85"/>
    <w:rsid w:val="00C54A17"/>
    <w:rsid w:val="00C677BB"/>
    <w:rsid w:val="00C71E0F"/>
    <w:rsid w:val="00C72879"/>
    <w:rsid w:val="00C73BA5"/>
    <w:rsid w:val="00C77C4C"/>
    <w:rsid w:val="00C8093A"/>
    <w:rsid w:val="00C82E16"/>
    <w:rsid w:val="00C96256"/>
    <w:rsid w:val="00CB78CF"/>
    <w:rsid w:val="00CF4E26"/>
    <w:rsid w:val="00D10B32"/>
    <w:rsid w:val="00D12AEA"/>
    <w:rsid w:val="00D153AB"/>
    <w:rsid w:val="00D20D16"/>
    <w:rsid w:val="00D37813"/>
    <w:rsid w:val="00D4056E"/>
    <w:rsid w:val="00D45623"/>
    <w:rsid w:val="00D46992"/>
    <w:rsid w:val="00D64916"/>
    <w:rsid w:val="00D840CD"/>
    <w:rsid w:val="00DB5DBA"/>
    <w:rsid w:val="00DD3C02"/>
    <w:rsid w:val="00DD70EA"/>
    <w:rsid w:val="00DF1355"/>
    <w:rsid w:val="00E0494C"/>
    <w:rsid w:val="00E106A5"/>
    <w:rsid w:val="00E16032"/>
    <w:rsid w:val="00E2114D"/>
    <w:rsid w:val="00E33644"/>
    <w:rsid w:val="00E55B98"/>
    <w:rsid w:val="00E624B5"/>
    <w:rsid w:val="00E73B00"/>
    <w:rsid w:val="00E76537"/>
    <w:rsid w:val="00E779BD"/>
    <w:rsid w:val="00EA7D2D"/>
    <w:rsid w:val="00EC568A"/>
    <w:rsid w:val="00ED4286"/>
    <w:rsid w:val="00EE6940"/>
    <w:rsid w:val="00F052B5"/>
    <w:rsid w:val="00F075F1"/>
    <w:rsid w:val="00F15174"/>
    <w:rsid w:val="00F30B9F"/>
    <w:rsid w:val="00F50157"/>
    <w:rsid w:val="00F50DFC"/>
    <w:rsid w:val="00F52F41"/>
    <w:rsid w:val="00F5493F"/>
    <w:rsid w:val="00F71588"/>
    <w:rsid w:val="00F9023E"/>
    <w:rsid w:val="00F959E0"/>
    <w:rsid w:val="00FA32E2"/>
    <w:rsid w:val="00FB55C9"/>
    <w:rsid w:val="00FB6686"/>
    <w:rsid w:val="00FD5BBB"/>
    <w:rsid w:val="00FD6E53"/>
    <w:rsid w:val="00FE6B1B"/>
    <w:rsid w:val="00FE7978"/>
    <w:rsid w:val="00FF1314"/>
    <w:rsid w:val="00FF1F04"/>
    <w:rsid w:val="30E85458"/>
    <w:rsid w:val="312C5A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7F37AD"/>
  <w15:chartTrackingRefBased/>
  <w15:docId w15:val="{F6C15B06-D663-2641-9C61-32574DDA8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43A2"/>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ncabezado"/>
    <w:basedOn w:val="Normal"/>
    <w:link w:val="HeaderChar"/>
    <w:rsid w:val="004043A2"/>
    <w:pPr>
      <w:tabs>
        <w:tab w:val="center" w:pos="4320"/>
        <w:tab w:val="right" w:pos="8640"/>
      </w:tabs>
    </w:pPr>
  </w:style>
  <w:style w:type="character" w:customStyle="1" w:styleId="HeaderChar">
    <w:name w:val="Header Char"/>
    <w:aliases w:val="encabezado Char"/>
    <w:basedOn w:val="DefaultParagraphFont"/>
    <w:link w:val="Header"/>
    <w:rsid w:val="004043A2"/>
    <w:rPr>
      <w:rFonts w:ascii="Times New Roman" w:eastAsia="Times New Roman" w:hAnsi="Times New Roman" w:cs="Times New Roman"/>
      <w:sz w:val="20"/>
      <w:szCs w:val="20"/>
      <w:lang w:val="fr-CA"/>
    </w:rPr>
  </w:style>
  <w:style w:type="paragraph" w:styleId="FootnoteText">
    <w:name w:val="footnote text"/>
    <w:basedOn w:val="Normal"/>
    <w:link w:val="FootnoteTextChar"/>
    <w:uiPriority w:val="99"/>
    <w:rsid w:val="004043A2"/>
  </w:style>
  <w:style w:type="character" w:customStyle="1" w:styleId="FootnoteTextChar">
    <w:name w:val="Footnote Text Char"/>
    <w:basedOn w:val="DefaultParagraphFont"/>
    <w:link w:val="FootnoteText"/>
    <w:uiPriority w:val="99"/>
    <w:rsid w:val="004043A2"/>
    <w:rPr>
      <w:rFonts w:ascii="Times New Roman" w:eastAsia="Times New Roman" w:hAnsi="Times New Roman" w:cs="Times New Roman"/>
      <w:sz w:val="20"/>
      <w:szCs w:val="20"/>
      <w:lang w:val="fr-CA"/>
    </w:rPr>
  </w:style>
  <w:style w:type="character" w:styleId="FootnoteReference">
    <w:name w:val="footnote reference"/>
    <w:aliases w:val="Ref,de nota al pie,Footnote Reference Number,ftref,16 Point,Superscript 6 Point,footnote ref,BVI fnr,RSC_WP (footnote reference),Footnote symbol,Footnote Reference1,Error-Fußnotenzeichen5,Error-Fußnotenzeichen6,Texto de nota al pie,f"/>
    <w:uiPriority w:val="99"/>
    <w:rsid w:val="004043A2"/>
    <w:rPr>
      <w:vertAlign w:val="superscript"/>
      <w:lang w:val="fr-CA" w:eastAsia="en-US"/>
    </w:rPr>
  </w:style>
  <w:style w:type="character" w:styleId="Hyperlink">
    <w:name w:val="Hyperlink"/>
    <w:rsid w:val="004043A2"/>
    <w:rPr>
      <w:rFonts w:ascii="Times New Roman" w:hAnsi="Times New Roman" w:cs="Times New Roman" w:hint="default"/>
      <w:color w:val="0000FF"/>
      <w:u w:val="single"/>
      <w:lang w:val="fr-CA" w:eastAsia="en-US"/>
    </w:rPr>
  </w:style>
  <w:style w:type="paragraph" w:styleId="ListParagraph">
    <w:name w:val="List Paragraph"/>
    <w:basedOn w:val="Normal"/>
    <w:link w:val="ListParagraphChar"/>
    <w:uiPriority w:val="34"/>
    <w:qFormat/>
    <w:rsid w:val="004043A2"/>
    <w:pPr>
      <w:ind w:left="720"/>
    </w:pPr>
    <w:rPr>
      <w:rFonts w:eastAsia="Calibri"/>
      <w:sz w:val="24"/>
      <w:szCs w:val="24"/>
    </w:rPr>
  </w:style>
  <w:style w:type="character" w:styleId="FollowedHyperlink">
    <w:name w:val="FollowedHyperlink"/>
    <w:basedOn w:val="DefaultParagraphFont"/>
    <w:uiPriority w:val="99"/>
    <w:semiHidden/>
    <w:unhideWhenUsed/>
    <w:rsid w:val="004043A2"/>
    <w:rPr>
      <w:color w:val="954F72" w:themeColor="followedHyperlink"/>
      <w:u w:val="single"/>
    </w:rPr>
  </w:style>
  <w:style w:type="paragraph" w:styleId="Footer">
    <w:name w:val="footer"/>
    <w:basedOn w:val="Normal"/>
    <w:link w:val="FooterChar"/>
    <w:uiPriority w:val="99"/>
    <w:unhideWhenUsed/>
    <w:rsid w:val="004043A2"/>
    <w:pPr>
      <w:tabs>
        <w:tab w:val="center" w:pos="4680"/>
        <w:tab w:val="right" w:pos="9360"/>
      </w:tabs>
    </w:pPr>
  </w:style>
  <w:style w:type="character" w:customStyle="1" w:styleId="FooterChar">
    <w:name w:val="Footer Char"/>
    <w:basedOn w:val="DefaultParagraphFont"/>
    <w:link w:val="Footer"/>
    <w:uiPriority w:val="99"/>
    <w:rsid w:val="004043A2"/>
    <w:rPr>
      <w:rFonts w:ascii="Times New Roman" w:eastAsia="Times New Roman" w:hAnsi="Times New Roman" w:cs="Times New Roman"/>
      <w:sz w:val="20"/>
      <w:szCs w:val="20"/>
      <w:lang w:val="fr-CA"/>
    </w:rPr>
  </w:style>
  <w:style w:type="character" w:styleId="UnresolvedMention">
    <w:name w:val="Unresolved Mention"/>
    <w:basedOn w:val="DefaultParagraphFont"/>
    <w:uiPriority w:val="99"/>
    <w:semiHidden/>
    <w:unhideWhenUsed/>
    <w:rsid w:val="004043A2"/>
    <w:rPr>
      <w:color w:val="605E5C"/>
      <w:shd w:val="clear" w:color="auto" w:fill="E1DFDD"/>
    </w:rPr>
  </w:style>
  <w:style w:type="character" w:styleId="CommentReference">
    <w:name w:val="annotation reference"/>
    <w:basedOn w:val="DefaultParagraphFont"/>
    <w:uiPriority w:val="99"/>
    <w:semiHidden/>
    <w:unhideWhenUsed/>
    <w:rsid w:val="00A41D8A"/>
    <w:rPr>
      <w:sz w:val="16"/>
      <w:szCs w:val="16"/>
    </w:rPr>
  </w:style>
  <w:style w:type="paragraph" w:styleId="CommentText">
    <w:name w:val="annotation text"/>
    <w:basedOn w:val="Normal"/>
    <w:link w:val="CommentTextChar"/>
    <w:uiPriority w:val="99"/>
    <w:unhideWhenUsed/>
    <w:rsid w:val="00A41D8A"/>
  </w:style>
  <w:style w:type="character" w:customStyle="1" w:styleId="CommentTextChar">
    <w:name w:val="Comment Text Char"/>
    <w:basedOn w:val="DefaultParagraphFont"/>
    <w:link w:val="CommentText"/>
    <w:uiPriority w:val="99"/>
    <w:rsid w:val="00A41D8A"/>
    <w:rPr>
      <w:rFonts w:ascii="Times New Roman" w:eastAsia="Times New Roman" w:hAnsi="Times New Roman" w:cs="Times New Roman"/>
      <w:sz w:val="20"/>
      <w:szCs w:val="20"/>
      <w:lang w:val="fr-CA"/>
    </w:rPr>
  </w:style>
  <w:style w:type="paragraph" w:styleId="CommentSubject">
    <w:name w:val="annotation subject"/>
    <w:basedOn w:val="CommentText"/>
    <w:next w:val="CommentText"/>
    <w:link w:val="CommentSubjectChar"/>
    <w:uiPriority w:val="99"/>
    <w:semiHidden/>
    <w:unhideWhenUsed/>
    <w:rsid w:val="00A41D8A"/>
    <w:rPr>
      <w:b/>
      <w:bCs/>
    </w:rPr>
  </w:style>
  <w:style w:type="character" w:customStyle="1" w:styleId="CommentSubjectChar">
    <w:name w:val="Comment Subject Char"/>
    <w:basedOn w:val="CommentTextChar"/>
    <w:link w:val="CommentSubject"/>
    <w:uiPriority w:val="99"/>
    <w:semiHidden/>
    <w:rsid w:val="00A41D8A"/>
    <w:rPr>
      <w:rFonts w:ascii="Times New Roman" w:eastAsia="Times New Roman" w:hAnsi="Times New Roman" w:cs="Times New Roman"/>
      <w:b/>
      <w:bCs/>
      <w:sz w:val="20"/>
      <w:szCs w:val="20"/>
      <w:lang w:val="fr-CA"/>
    </w:rPr>
  </w:style>
  <w:style w:type="paragraph" w:styleId="Revision">
    <w:name w:val="Revision"/>
    <w:hidden/>
    <w:uiPriority w:val="99"/>
    <w:semiHidden/>
    <w:rsid w:val="009F6B5F"/>
    <w:rPr>
      <w:rFonts w:ascii="Times New Roman" w:eastAsia="Times New Roman" w:hAnsi="Times New Roman" w:cs="Times New Roman"/>
      <w:sz w:val="20"/>
      <w:szCs w:val="20"/>
    </w:rPr>
  </w:style>
  <w:style w:type="character" w:customStyle="1" w:styleId="ListParagraphChar">
    <w:name w:val="List Paragraph Char"/>
    <w:basedOn w:val="DefaultParagraphFont"/>
    <w:link w:val="ListParagraph"/>
    <w:uiPriority w:val="99"/>
    <w:locked/>
    <w:rsid w:val="00EE6940"/>
    <w:rPr>
      <w:rFonts w:ascii="Times New Roman" w:eastAsia="Calibri" w:hAnsi="Times New Roman" w:cs="Times New Roman"/>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94"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02664B49-BA60-4C33-B347-3E536E59D76B}">
  <we:reference id="wa200000368" version="1.0.0.0" store="en-001" storeType="OMEX"/>
  <we:alternateReferences>
    <we:reference id="WA200000368" version="1.0.0.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2B7353BFE9827438EBF19872927A460" ma:contentTypeVersion="7" ma:contentTypeDescription="Create a new document." ma:contentTypeScope="" ma:versionID="2a74d3edccf2b01d45f0ecc5d82d25d6">
  <xsd:schema xmlns:xsd="http://www.w3.org/2001/XMLSchema" xmlns:xs="http://www.w3.org/2001/XMLSchema" xmlns:p="http://schemas.microsoft.com/office/2006/metadata/properties" xmlns:ns3="d96ab0fc-bb98-41ac-b264-64d49f623ac2" xmlns:ns4="6691804d-c530-47b1-9b8c-031a554c30cd" targetNamespace="http://schemas.microsoft.com/office/2006/metadata/properties" ma:root="true" ma:fieldsID="1f8109e9feb84cd9ac81bb0b88f91743" ns3:_="" ns4:_="">
    <xsd:import namespace="d96ab0fc-bb98-41ac-b264-64d49f623ac2"/>
    <xsd:import namespace="6691804d-c530-47b1-9b8c-031a554c30c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6ab0fc-bb98-41ac-b264-64d49f623a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91804d-c530-47b1-9b8c-031a554c30c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06F99A0-C27C-4209-ADFF-C3B5D3C54964}">
  <ds:schemaRefs>
    <ds:schemaRef ds:uri="http://schemas.openxmlformats.org/officeDocument/2006/bibliography"/>
  </ds:schemaRefs>
</ds:datastoreItem>
</file>

<file path=customXml/itemProps2.xml><?xml version="1.0" encoding="utf-8"?>
<ds:datastoreItem xmlns:ds="http://schemas.openxmlformats.org/officeDocument/2006/customXml" ds:itemID="{84FE40D6-F3C1-4474-BA4C-4985669F04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6ab0fc-bb98-41ac-b264-64d49f623ac2"/>
    <ds:schemaRef ds:uri="6691804d-c530-47b1-9b8c-031a554c30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A5B3BF9-9224-41E3-A529-DFF1504E897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569478B-3A15-4BC0-8038-7F393CD1E66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1291</Words>
  <Characters>7362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Diaz - Avalos,  Estela</cp:lastModifiedBy>
  <cp:revision>3</cp:revision>
  <dcterms:created xsi:type="dcterms:W3CDTF">2022-03-21T20:47:00Z</dcterms:created>
  <dcterms:modified xsi:type="dcterms:W3CDTF">2022-03-21T20:47:00Z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0x01010082B7353BFE9827438EBF19872927A460</vt:lpwstr>
  </property>
</Properties>
</file>