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AD256D" w:rsidRDefault="004043A2" w:rsidP="00AD256D">
      <w:pPr>
        <w:tabs>
          <w:tab w:val="left" w:pos="7200"/>
        </w:tabs>
        <w:ind w:right="-1080"/>
        <w:rPr>
          <w:sz w:val="22"/>
          <w:szCs w:val="22"/>
          <w:lang w:val="pt-BR"/>
        </w:rPr>
      </w:pPr>
      <w:r w:rsidRPr="00AD256D">
        <w:rPr>
          <w:sz w:val="22"/>
          <w:szCs w:val="22"/>
          <w:lang w:val="en-US"/>
        </w:rPr>
        <w:tab/>
      </w:r>
      <w:r w:rsidRPr="00AD256D">
        <w:rPr>
          <w:sz w:val="22"/>
          <w:szCs w:val="22"/>
          <w:lang w:val="pt-BR"/>
        </w:rPr>
        <w:t>OEA/Ser.W</w:t>
      </w:r>
    </w:p>
    <w:p w14:paraId="08456320" w14:textId="411F94FD" w:rsidR="004043A2" w:rsidRPr="00143D1D" w:rsidRDefault="004043A2" w:rsidP="00AD256D">
      <w:pPr>
        <w:tabs>
          <w:tab w:val="left" w:pos="7200"/>
        </w:tabs>
        <w:ind w:right="-1080"/>
        <w:rPr>
          <w:sz w:val="22"/>
          <w:szCs w:val="22"/>
          <w:lang w:val="pt-BR"/>
        </w:rPr>
      </w:pPr>
      <w:r w:rsidRPr="00AD256D">
        <w:rPr>
          <w:sz w:val="22"/>
          <w:szCs w:val="22"/>
          <w:lang w:val="pt-BR"/>
        </w:rPr>
        <w:tab/>
      </w:r>
      <w:r w:rsidRPr="00BB072D">
        <w:rPr>
          <w:sz w:val="22"/>
          <w:szCs w:val="22"/>
          <w:lang w:val="pt-BR"/>
        </w:rPr>
        <w:t>CIDI/INF.</w:t>
      </w:r>
      <w:r w:rsidR="007D63B5" w:rsidRPr="00BB072D">
        <w:rPr>
          <w:sz w:val="22"/>
          <w:szCs w:val="22"/>
          <w:lang w:val="pt-BR"/>
        </w:rPr>
        <w:t xml:space="preserve"> </w:t>
      </w:r>
      <w:r w:rsidR="00D3458F" w:rsidRPr="00BB072D">
        <w:rPr>
          <w:sz w:val="22"/>
          <w:szCs w:val="22"/>
          <w:lang w:val="pt-BR"/>
        </w:rPr>
        <w:t>497</w:t>
      </w:r>
      <w:r w:rsidRPr="00BB072D">
        <w:rPr>
          <w:sz w:val="22"/>
          <w:szCs w:val="22"/>
          <w:lang w:val="pt-BR"/>
        </w:rPr>
        <w:t>/2</w:t>
      </w:r>
      <w:r w:rsidR="007D63B5" w:rsidRPr="00BB072D">
        <w:rPr>
          <w:sz w:val="22"/>
          <w:szCs w:val="22"/>
          <w:lang w:val="pt-BR"/>
        </w:rPr>
        <w:t>2</w:t>
      </w:r>
      <w:r w:rsidR="00120056">
        <w:rPr>
          <w:sz w:val="22"/>
          <w:szCs w:val="22"/>
          <w:lang w:val="pt-BR"/>
        </w:rPr>
        <w:t xml:space="preserve"> </w:t>
      </w:r>
      <w:r w:rsidR="00BB072D" w:rsidRPr="00BB072D">
        <w:rPr>
          <w:sz w:val="22"/>
          <w:szCs w:val="22"/>
          <w:lang w:val="pt-BR"/>
        </w:rPr>
        <w:t>r</w:t>
      </w:r>
      <w:r w:rsidR="00263CAD" w:rsidRPr="00BB072D">
        <w:rPr>
          <w:sz w:val="22"/>
          <w:szCs w:val="22"/>
          <w:lang w:val="pt-BR"/>
        </w:rPr>
        <w:t>ev</w:t>
      </w:r>
      <w:r w:rsidR="001774D9">
        <w:rPr>
          <w:sz w:val="22"/>
          <w:szCs w:val="22"/>
          <w:lang w:val="pt-BR"/>
        </w:rPr>
        <w:t>.2</w:t>
      </w:r>
    </w:p>
    <w:p w14:paraId="68F88370" w14:textId="1A30E0B2" w:rsidR="004043A2" w:rsidRPr="00AD256D" w:rsidRDefault="004043A2" w:rsidP="00AD256D">
      <w:pPr>
        <w:tabs>
          <w:tab w:val="left" w:pos="7200"/>
        </w:tabs>
        <w:ind w:right="-1080"/>
        <w:rPr>
          <w:sz w:val="22"/>
          <w:szCs w:val="22"/>
          <w:lang w:val="en-US"/>
        </w:rPr>
      </w:pPr>
      <w:r w:rsidRPr="00143D1D">
        <w:rPr>
          <w:sz w:val="22"/>
          <w:szCs w:val="22"/>
          <w:lang w:val="pt-BR"/>
        </w:rPr>
        <w:tab/>
      </w:r>
      <w:r w:rsidR="001774D9" w:rsidRPr="003C3361">
        <w:rPr>
          <w:sz w:val="22"/>
          <w:szCs w:val="22"/>
          <w:lang w:val="en-US"/>
        </w:rPr>
        <w:t>25</w:t>
      </w:r>
      <w:r w:rsidR="00D16E8D">
        <w:rPr>
          <w:sz w:val="22"/>
          <w:szCs w:val="22"/>
          <w:lang w:val="en-US"/>
        </w:rPr>
        <w:t xml:space="preserve"> </w:t>
      </w:r>
      <w:r w:rsidR="00AD256D" w:rsidRPr="0055701E">
        <w:rPr>
          <w:sz w:val="22"/>
          <w:szCs w:val="22"/>
          <w:lang w:val="en-US"/>
        </w:rPr>
        <w:t>April</w:t>
      </w:r>
      <w:r w:rsidRPr="0055701E">
        <w:rPr>
          <w:sz w:val="22"/>
          <w:szCs w:val="22"/>
          <w:lang w:val="en-US"/>
        </w:rPr>
        <w:t xml:space="preserve"> 202</w:t>
      </w:r>
      <w:r w:rsidR="00C27A85" w:rsidRPr="0055701E">
        <w:rPr>
          <w:sz w:val="22"/>
          <w:szCs w:val="22"/>
          <w:lang w:val="en-US"/>
        </w:rPr>
        <w:t>2</w:t>
      </w:r>
    </w:p>
    <w:p w14:paraId="20D73E19" w14:textId="6A4B046E" w:rsidR="004043A2" w:rsidRPr="00AD256D" w:rsidRDefault="004043A2" w:rsidP="00AD256D">
      <w:pPr>
        <w:pBdr>
          <w:bottom w:val="single" w:sz="12" w:space="1" w:color="auto"/>
        </w:pBdr>
        <w:tabs>
          <w:tab w:val="left" w:pos="7200"/>
        </w:tabs>
        <w:ind w:right="-389"/>
        <w:rPr>
          <w:sz w:val="22"/>
          <w:szCs w:val="22"/>
          <w:lang w:val="en-US"/>
        </w:rPr>
      </w:pPr>
      <w:r w:rsidRPr="00AD256D">
        <w:rPr>
          <w:sz w:val="22"/>
          <w:szCs w:val="22"/>
          <w:lang w:val="en-US"/>
        </w:rPr>
        <w:tab/>
        <w:t xml:space="preserve">Original: </w:t>
      </w:r>
      <w:r w:rsidR="00AD256D">
        <w:rPr>
          <w:sz w:val="22"/>
          <w:szCs w:val="22"/>
          <w:lang w:val="en-US"/>
        </w:rPr>
        <w:t>Spanish</w:t>
      </w:r>
    </w:p>
    <w:p w14:paraId="7C7619D3" w14:textId="77777777" w:rsidR="004043A2" w:rsidRPr="00AD256D" w:rsidRDefault="004043A2" w:rsidP="00AD256D">
      <w:pPr>
        <w:pBdr>
          <w:bottom w:val="single" w:sz="12" w:space="1" w:color="auto"/>
        </w:pBdr>
        <w:tabs>
          <w:tab w:val="left" w:pos="7200"/>
        </w:tabs>
        <w:ind w:right="-389"/>
        <w:rPr>
          <w:sz w:val="22"/>
          <w:szCs w:val="22"/>
          <w:lang w:val="en-US"/>
        </w:rPr>
      </w:pPr>
    </w:p>
    <w:p w14:paraId="59C99E33" w14:textId="77777777" w:rsidR="004043A2" w:rsidRPr="00AD256D" w:rsidRDefault="004043A2" w:rsidP="00AD256D">
      <w:pPr>
        <w:tabs>
          <w:tab w:val="left" w:pos="7200"/>
        </w:tabs>
        <w:ind w:right="-1080"/>
        <w:rPr>
          <w:sz w:val="22"/>
          <w:szCs w:val="22"/>
          <w:lang w:val="en-US"/>
        </w:rPr>
      </w:pPr>
    </w:p>
    <w:p w14:paraId="20B0F134" w14:textId="77777777" w:rsidR="00AD256D" w:rsidRPr="00AD256D" w:rsidRDefault="00AD256D" w:rsidP="00AD256D">
      <w:pPr>
        <w:jc w:val="center"/>
        <w:rPr>
          <w:rFonts w:eastAsia="Calibri"/>
          <w:sz w:val="22"/>
          <w:szCs w:val="22"/>
          <w:lang w:val="en-US"/>
        </w:rPr>
      </w:pPr>
      <w:r w:rsidRPr="00AD256D">
        <w:rPr>
          <w:sz w:val="22"/>
          <w:szCs w:val="22"/>
          <w:lang w:val="en-US"/>
        </w:rPr>
        <w:t>CONCEPT NOTE</w:t>
      </w:r>
    </w:p>
    <w:p w14:paraId="3F221C60" w14:textId="77777777" w:rsidR="00AD256D" w:rsidRPr="00AD256D" w:rsidRDefault="00AD256D" w:rsidP="00AD256D">
      <w:pPr>
        <w:rPr>
          <w:rFonts w:eastAsia="Calibri"/>
          <w:sz w:val="22"/>
          <w:szCs w:val="22"/>
          <w:lang w:val="en-US"/>
        </w:rPr>
      </w:pPr>
    </w:p>
    <w:p w14:paraId="1AA76977" w14:textId="77777777" w:rsidR="00AD256D" w:rsidRPr="00AD256D" w:rsidRDefault="00AD256D" w:rsidP="00AD256D">
      <w:pPr>
        <w:jc w:val="center"/>
        <w:rPr>
          <w:caps/>
          <w:sz w:val="22"/>
          <w:szCs w:val="22"/>
          <w:lang w:val="en-US"/>
        </w:rPr>
      </w:pPr>
      <w:r w:rsidRPr="00AD256D">
        <w:rPr>
          <w:caps/>
          <w:sz w:val="22"/>
          <w:szCs w:val="22"/>
          <w:lang w:val="en-US"/>
        </w:rPr>
        <w:t>REGULAR MEETING OF THE</w:t>
      </w:r>
    </w:p>
    <w:p w14:paraId="2385C4DC" w14:textId="77777777" w:rsidR="00AD256D" w:rsidRPr="00AD256D" w:rsidRDefault="00AD256D" w:rsidP="00AD256D">
      <w:pPr>
        <w:jc w:val="center"/>
        <w:rPr>
          <w:caps/>
          <w:sz w:val="22"/>
          <w:szCs w:val="22"/>
          <w:lang w:val="en-US"/>
        </w:rPr>
      </w:pPr>
      <w:r w:rsidRPr="00AD256D">
        <w:rPr>
          <w:caps/>
          <w:sz w:val="22"/>
          <w:szCs w:val="22"/>
          <w:lang w:val="en-US"/>
        </w:rPr>
        <w:t>INTER-AMERICAN COUNCIL FOR INTEGRAL DEVELOPMENT (CIDI)</w:t>
      </w:r>
    </w:p>
    <w:p w14:paraId="5DDE0276" w14:textId="77777777" w:rsidR="00AD256D" w:rsidRPr="00AD256D" w:rsidRDefault="00AD256D" w:rsidP="00AD256D">
      <w:pPr>
        <w:jc w:val="center"/>
        <w:rPr>
          <w:rFonts w:eastAsia="Calibri"/>
          <w:caps/>
          <w:sz w:val="22"/>
          <w:szCs w:val="22"/>
          <w:highlight w:val="yellow"/>
          <w:lang w:val="en-US"/>
        </w:rPr>
      </w:pPr>
      <w:r w:rsidRPr="00AD256D">
        <w:rPr>
          <w:caps/>
          <w:sz w:val="22"/>
          <w:szCs w:val="22"/>
          <w:lang w:val="en-US"/>
        </w:rPr>
        <w:t>APRIL 26, 2022</w:t>
      </w:r>
    </w:p>
    <w:p w14:paraId="29116134" w14:textId="77777777" w:rsidR="00AD256D" w:rsidRPr="00AD256D" w:rsidRDefault="00AD256D" w:rsidP="00AD256D">
      <w:pPr>
        <w:jc w:val="both"/>
        <w:rPr>
          <w:rFonts w:eastAsia="Calibri"/>
          <w:sz w:val="22"/>
          <w:szCs w:val="22"/>
          <w:highlight w:val="yellow"/>
          <w:lang w:val="en-US"/>
        </w:rPr>
      </w:pPr>
    </w:p>
    <w:p w14:paraId="729EE77C" w14:textId="6F8F6FFB" w:rsidR="00AD256D" w:rsidRPr="00AD256D" w:rsidRDefault="00AD256D" w:rsidP="00AD256D">
      <w:pPr>
        <w:tabs>
          <w:tab w:val="left" w:pos="900"/>
        </w:tabs>
        <w:ind w:left="1890" w:hanging="1170"/>
        <w:jc w:val="both"/>
        <w:rPr>
          <w:b/>
          <w:bCs/>
          <w:sz w:val="22"/>
          <w:szCs w:val="22"/>
          <w:lang w:val="en-US"/>
        </w:rPr>
      </w:pPr>
      <w:r>
        <w:rPr>
          <w:b/>
          <w:bCs/>
          <w:sz w:val="22"/>
          <w:szCs w:val="22"/>
          <w:lang w:val="en-US"/>
        </w:rPr>
        <w:t xml:space="preserve">THEME: </w:t>
      </w:r>
      <w:r w:rsidRPr="00AD256D">
        <w:rPr>
          <w:b/>
          <w:bCs/>
          <w:sz w:val="22"/>
          <w:szCs w:val="22"/>
          <w:lang w:val="en-US"/>
        </w:rPr>
        <w:t>TOWARDS THE CONSTRUCTION OF A NEW HEMISPHERIC EDUCATIONAL PACT IN CONTEXTS OF CHANGE:</w:t>
      </w:r>
      <w:r>
        <w:rPr>
          <w:b/>
          <w:bCs/>
          <w:sz w:val="22"/>
          <w:szCs w:val="22"/>
          <w:lang w:val="en-US"/>
        </w:rPr>
        <w:t xml:space="preserve"> </w:t>
      </w:r>
      <w:r w:rsidRPr="00AD256D">
        <w:rPr>
          <w:b/>
          <w:sz w:val="22"/>
          <w:szCs w:val="22"/>
          <w:lang w:val="en-US"/>
        </w:rPr>
        <w:t>POST-PANDEMIC EDUCATIONAL RECOVERY AND REPAIR</w:t>
      </w:r>
      <w:r w:rsidRPr="00AD256D">
        <w:rPr>
          <w:b/>
          <w:bCs/>
          <w:sz w:val="22"/>
          <w:szCs w:val="22"/>
          <w:lang w:val="en-US"/>
        </w:rPr>
        <w:t xml:space="preserve"> </w:t>
      </w:r>
    </w:p>
    <w:p w14:paraId="552373A9" w14:textId="77777777" w:rsidR="00AD256D" w:rsidRPr="00AD256D" w:rsidRDefault="00AD256D" w:rsidP="00AD256D">
      <w:pPr>
        <w:tabs>
          <w:tab w:val="left" w:pos="900"/>
        </w:tabs>
        <w:jc w:val="center"/>
        <w:rPr>
          <w:b/>
          <w:bCs/>
          <w:sz w:val="22"/>
          <w:szCs w:val="22"/>
          <w:lang w:val="en-US"/>
        </w:rPr>
      </w:pPr>
    </w:p>
    <w:p w14:paraId="75F0E15C" w14:textId="77777777" w:rsidR="00AD256D" w:rsidRPr="00AD256D" w:rsidRDefault="00AD256D" w:rsidP="00AD256D">
      <w:pPr>
        <w:tabs>
          <w:tab w:val="left" w:pos="900"/>
        </w:tabs>
        <w:jc w:val="center"/>
        <w:rPr>
          <w:caps/>
          <w:sz w:val="22"/>
          <w:szCs w:val="22"/>
          <w:highlight w:val="yellow"/>
          <w:lang w:val="en-US"/>
        </w:rPr>
      </w:pPr>
    </w:p>
    <w:p w14:paraId="350284AD" w14:textId="467DB969" w:rsidR="00AD256D" w:rsidRPr="00AD256D" w:rsidRDefault="00AD256D" w:rsidP="00AD256D">
      <w:pPr>
        <w:rPr>
          <w:caps/>
          <w:sz w:val="22"/>
          <w:szCs w:val="22"/>
          <w:highlight w:val="yellow"/>
          <w:lang w:val="en-US"/>
        </w:rPr>
      </w:pPr>
      <w:r w:rsidRPr="00AD256D">
        <w:rPr>
          <w:b/>
          <w:sz w:val="22"/>
          <w:szCs w:val="22"/>
          <w:lang w:val="en-US"/>
        </w:rPr>
        <w:t xml:space="preserve">1. </w:t>
      </w:r>
      <w:r>
        <w:rPr>
          <w:b/>
          <w:sz w:val="22"/>
          <w:szCs w:val="22"/>
          <w:lang w:val="en-US"/>
        </w:rPr>
        <w:tab/>
      </w:r>
      <w:r w:rsidRPr="00AD256D">
        <w:rPr>
          <w:b/>
          <w:sz w:val="22"/>
          <w:szCs w:val="22"/>
          <w:lang w:val="en-US"/>
        </w:rPr>
        <w:t>Background and Justification</w:t>
      </w:r>
    </w:p>
    <w:p w14:paraId="3CA8BD3C" w14:textId="77777777" w:rsidR="00AD256D" w:rsidRPr="00AD256D" w:rsidRDefault="00AD256D" w:rsidP="00AD256D">
      <w:pPr>
        <w:tabs>
          <w:tab w:val="left" w:pos="720"/>
          <w:tab w:val="left" w:pos="1530"/>
          <w:tab w:val="left" w:pos="7380"/>
        </w:tabs>
        <w:jc w:val="both"/>
        <w:rPr>
          <w:rFonts w:eastAsia="MS Mincho"/>
          <w:sz w:val="22"/>
          <w:szCs w:val="22"/>
          <w:lang w:val="en-US"/>
        </w:rPr>
      </w:pPr>
    </w:p>
    <w:p w14:paraId="30707F37" w14:textId="603ECB22" w:rsidR="00AD256D" w:rsidRPr="00AD256D" w:rsidRDefault="00AD256D" w:rsidP="00636D8D">
      <w:pPr>
        <w:tabs>
          <w:tab w:val="left" w:pos="720"/>
          <w:tab w:val="left" w:pos="1530"/>
          <w:tab w:val="left" w:pos="7380"/>
        </w:tabs>
        <w:ind w:firstLine="720"/>
        <w:jc w:val="both"/>
        <w:rPr>
          <w:rFonts w:eastAsia="MS Mincho"/>
          <w:sz w:val="22"/>
          <w:szCs w:val="22"/>
          <w:lang w:val="en-US"/>
        </w:rPr>
      </w:pPr>
      <w:proofErr w:type="gramStart"/>
      <w:r w:rsidRPr="00AD256D">
        <w:rPr>
          <w:rFonts w:eastAsia="MS Mincho"/>
          <w:sz w:val="22"/>
          <w:szCs w:val="22"/>
          <w:lang w:val="en-US"/>
        </w:rPr>
        <w:t>In the midst of</w:t>
      </w:r>
      <w:proofErr w:type="gramEnd"/>
      <w:r w:rsidRPr="00AD256D">
        <w:rPr>
          <w:rFonts w:eastAsia="MS Mincho"/>
          <w:sz w:val="22"/>
          <w:szCs w:val="22"/>
          <w:lang w:val="en-US"/>
        </w:rPr>
        <w:t xml:space="preserve"> a global health crisis that has led to the massive closure of educational establishments, educational authorities have demonstrated their commitment to the idea that education is a right and, as such, an unquestionable commitment of the State. In this connection, the Ministers of Education have focused their work on creating a scope of action that ensures the continuity of education at the different levels of the education system. Ministers have directed their attention to those who have borne the brunt of such circumstances. For this reason, </w:t>
      </w:r>
      <w:proofErr w:type="gramStart"/>
      <w:r w:rsidRPr="00AD256D">
        <w:rPr>
          <w:rFonts w:eastAsia="MS Mincho"/>
          <w:sz w:val="22"/>
          <w:szCs w:val="22"/>
          <w:lang w:val="en-US"/>
        </w:rPr>
        <w:t>leaders</w:t>
      </w:r>
      <w:proofErr w:type="gramEnd"/>
      <w:r w:rsidRPr="00AD256D">
        <w:rPr>
          <w:rFonts w:eastAsia="MS Mincho"/>
          <w:sz w:val="22"/>
          <w:szCs w:val="22"/>
          <w:lang w:val="en-US"/>
        </w:rPr>
        <w:t xml:space="preserve"> and decision makers of public policies of the Member States of the</w:t>
      </w:r>
      <w:r w:rsidRPr="00AD256D">
        <w:rPr>
          <w:rFonts w:eastAsia="MS Mincho"/>
          <w:color w:val="8EAADB" w:themeColor="accent1" w:themeTint="99"/>
          <w:sz w:val="22"/>
          <w:szCs w:val="22"/>
          <w:lang w:val="en-US"/>
        </w:rPr>
        <w:t xml:space="preserve"> </w:t>
      </w:r>
      <w:r w:rsidRPr="00AD256D">
        <w:rPr>
          <w:rFonts w:eastAsia="MS Mincho"/>
          <w:color w:val="000000" w:themeColor="text1"/>
          <w:sz w:val="22"/>
          <w:szCs w:val="22"/>
          <w:lang w:val="en-US"/>
        </w:rPr>
        <w:t xml:space="preserve">Organization of American States (OAS) through various dialogue spaces, have considered that, </w:t>
      </w:r>
      <w:r w:rsidRPr="00AD256D">
        <w:rPr>
          <w:rFonts w:eastAsia="MS Mincho"/>
          <w:sz w:val="22"/>
          <w:szCs w:val="22"/>
          <w:lang w:val="en-US"/>
        </w:rPr>
        <w:t>instead of looking for a return to normality, this is perhaps the time to imagine a new and better future. Systems that best suit students and societies. Systems that are resilient and respond quickly to change. Systems that take advantage of new insights into effective learning and new technologies for digital learning to provide all people with access to equitable, high-quality education that gives them the skills to thrive in the economy of the future and become informed and engaged citizens.</w:t>
      </w:r>
    </w:p>
    <w:p w14:paraId="66CD2158" w14:textId="77777777" w:rsidR="00AD256D" w:rsidRPr="00AD256D" w:rsidRDefault="00AD256D" w:rsidP="00636D8D">
      <w:pPr>
        <w:tabs>
          <w:tab w:val="left" w:pos="720"/>
          <w:tab w:val="left" w:pos="1530"/>
          <w:tab w:val="left" w:pos="7380"/>
        </w:tabs>
        <w:jc w:val="both"/>
        <w:rPr>
          <w:rFonts w:eastAsia="MS Mincho"/>
          <w:sz w:val="22"/>
          <w:szCs w:val="22"/>
          <w:lang w:val="en-US"/>
        </w:rPr>
      </w:pPr>
    </w:p>
    <w:p w14:paraId="668507EE" w14:textId="02051953" w:rsidR="00AD256D" w:rsidRPr="00AD256D" w:rsidRDefault="00AD256D" w:rsidP="00636D8D">
      <w:pPr>
        <w:tabs>
          <w:tab w:val="left" w:pos="720"/>
          <w:tab w:val="left" w:pos="1530"/>
          <w:tab w:val="left" w:pos="7380"/>
        </w:tabs>
        <w:jc w:val="both"/>
        <w:rPr>
          <w:sz w:val="22"/>
          <w:szCs w:val="22"/>
          <w:lang w:val="en-US" w:eastAsia="es-ES"/>
        </w:rPr>
      </w:pPr>
      <w:r>
        <w:rPr>
          <w:sz w:val="22"/>
          <w:szCs w:val="22"/>
          <w:lang w:val="en-US" w:eastAsia="es-ES"/>
        </w:rPr>
        <w:tab/>
      </w:r>
      <w:r w:rsidRPr="00AD256D">
        <w:rPr>
          <w:sz w:val="22"/>
          <w:szCs w:val="22"/>
          <w:lang w:val="en-US" w:eastAsia="es-ES"/>
        </w:rPr>
        <w:t>Promising possibilities have already been glimpsed through innovative solutions powered by digital learning, and it has been suggested that we might even be well positioned to take steps towards a thoughtful reinvention of how we learn throughout our lives to achieve quality and equitable education around the world. In this way, it has been established as one of the priorities for the region to develop resilient systems for education that allow man</w:t>
      </w:r>
      <w:r w:rsidRPr="00AD256D">
        <w:rPr>
          <w:color w:val="000000" w:themeColor="text1"/>
          <w:sz w:val="22"/>
          <w:szCs w:val="22"/>
          <w:lang w:val="en-US" w:eastAsia="es-ES"/>
        </w:rPr>
        <w:t xml:space="preserve">aging interruptions of a different nature, such as those caused by the COVID-19 pandemic or similar future </w:t>
      </w:r>
      <w:r w:rsidRPr="00AD256D">
        <w:rPr>
          <w:sz w:val="22"/>
          <w:szCs w:val="22"/>
          <w:lang w:val="en-US" w:eastAsia="es-ES"/>
        </w:rPr>
        <w:t>interruptions. In 2021, the Organization for Economic Co-operation and Development (OECD) and the Educational International (EI)</w:t>
      </w:r>
      <w:r w:rsidRPr="00AD256D">
        <w:rPr>
          <w:rStyle w:val="FootnoteReference"/>
          <w:sz w:val="22"/>
          <w:szCs w:val="22"/>
          <w:u w:val="single"/>
        </w:rPr>
        <w:footnoteReference w:id="2"/>
      </w:r>
      <w:r w:rsidRPr="00AD256D">
        <w:rPr>
          <w:sz w:val="22"/>
          <w:szCs w:val="22"/>
          <w:vertAlign w:val="superscript"/>
          <w:lang w:val="en-US" w:eastAsia="es-ES"/>
        </w:rPr>
        <w:t>/</w:t>
      </w:r>
      <w:r w:rsidRPr="00AD256D">
        <w:rPr>
          <w:sz w:val="22"/>
          <w:szCs w:val="22"/>
          <w:lang w:val="en-US" w:eastAsia="es-ES"/>
        </w:rPr>
        <w:t xml:space="preserve"> Secretariats jointly established principles for effective and equitable educational recovery to draw lessons from the pandemic that can facilitate the collaboration of education authorities and compile policy experiences and practices from countries that can underpin a sustained educational recovery to reach greater levels of educational quality and equity. Among the proposed principles </w:t>
      </w:r>
      <w:proofErr w:type="gramStart"/>
      <w:r w:rsidRPr="00AD256D">
        <w:rPr>
          <w:sz w:val="22"/>
          <w:szCs w:val="22"/>
          <w:lang w:val="en-US" w:eastAsia="es-ES"/>
        </w:rPr>
        <w:t>are:</w:t>
      </w:r>
      <w:proofErr w:type="gramEnd"/>
      <w:r w:rsidRPr="00AD256D">
        <w:rPr>
          <w:sz w:val="22"/>
          <w:szCs w:val="22"/>
          <w:lang w:val="en-US" w:eastAsia="es-ES"/>
        </w:rPr>
        <w:t xml:space="preserve"> provide targeted support to meet students’ learning and social and emotional needs; co-design a robust digital learning infrastructure with teachers and stakeholders; empower teachers to exercise their </w:t>
      </w:r>
      <w:r w:rsidRPr="00AD256D">
        <w:rPr>
          <w:sz w:val="22"/>
          <w:szCs w:val="22"/>
          <w:lang w:val="en-US" w:eastAsia="es-ES"/>
        </w:rPr>
        <w:lastRenderedPageBreak/>
        <w:t>professionalism and benefit from professional learning opportunities; encourage a collaborative culture of innovation</w:t>
      </w:r>
      <w:r w:rsidRPr="00AD256D">
        <w:rPr>
          <w:sz w:val="22"/>
          <w:szCs w:val="22"/>
          <w:lang w:val="en-US"/>
        </w:rPr>
        <w:t xml:space="preserve"> and l</w:t>
      </w:r>
      <w:r w:rsidRPr="00AD256D">
        <w:rPr>
          <w:sz w:val="22"/>
          <w:szCs w:val="22"/>
          <w:lang w:val="en-US" w:eastAsia="es-ES"/>
        </w:rPr>
        <w:t>earn from national and international evidence.</w:t>
      </w:r>
    </w:p>
    <w:p w14:paraId="188E22EF" w14:textId="77777777" w:rsidR="00AD256D" w:rsidRPr="00AD256D" w:rsidRDefault="00AD256D" w:rsidP="00636D8D">
      <w:pPr>
        <w:tabs>
          <w:tab w:val="left" w:pos="720"/>
          <w:tab w:val="left" w:pos="1530"/>
          <w:tab w:val="left" w:pos="7380"/>
        </w:tabs>
        <w:jc w:val="both"/>
        <w:rPr>
          <w:sz w:val="22"/>
          <w:szCs w:val="22"/>
          <w:lang w:val="en-US" w:eastAsia="es-ES"/>
        </w:rPr>
      </w:pPr>
    </w:p>
    <w:p w14:paraId="462DC8AF" w14:textId="20F45452" w:rsidR="00AD256D" w:rsidRPr="00AD256D" w:rsidRDefault="00AD256D" w:rsidP="00636D8D">
      <w:pPr>
        <w:pStyle w:val="ListParagraph"/>
        <w:numPr>
          <w:ilvl w:val="0"/>
          <w:numId w:val="27"/>
        </w:numPr>
        <w:ind w:hanging="720"/>
        <w:jc w:val="both"/>
        <w:rPr>
          <w:bCs/>
          <w:iCs/>
          <w:sz w:val="22"/>
          <w:szCs w:val="22"/>
          <w:lang w:val="en-US"/>
        </w:rPr>
      </w:pPr>
      <w:r w:rsidRPr="00AD256D">
        <w:rPr>
          <w:b/>
          <w:sz w:val="22"/>
          <w:szCs w:val="22"/>
          <w:lang w:val="en-US"/>
        </w:rPr>
        <w:t xml:space="preserve">Objective of the meeting </w:t>
      </w:r>
    </w:p>
    <w:p w14:paraId="6578C53A" w14:textId="77777777" w:rsidR="00AD256D" w:rsidRPr="00AD256D" w:rsidRDefault="00AD256D" w:rsidP="00636D8D">
      <w:pPr>
        <w:pStyle w:val="ListParagraph"/>
        <w:jc w:val="both"/>
        <w:rPr>
          <w:bCs/>
          <w:iCs/>
          <w:sz w:val="22"/>
          <w:szCs w:val="22"/>
          <w:lang w:val="en-US"/>
        </w:rPr>
      </w:pPr>
    </w:p>
    <w:p w14:paraId="6533323C" w14:textId="47ACE6D7" w:rsidR="00AD256D" w:rsidRDefault="00AD256D" w:rsidP="00636D8D">
      <w:pPr>
        <w:pStyle w:val="ListParagraph"/>
        <w:numPr>
          <w:ilvl w:val="0"/>
          <w:numId w:val="25"/>
        </w:numPr>
        <w:ind w:hanging="720"/>
        <w:jc w:val="both"/>
        <w:rPr>
          <w:bCs/>
          <w:iCs/>
          <w:sz w:val="22"/>
          <w:szCs w:val="22"/>
          <w:lang w:val="en-US"/>
        </w:rPr>
      </w:pPr>
      <w:r w:rsidRPr="00AD256D">
        <w:rPr>
          <w:bCs/>
          <w:iCs/>
          <w:sz w:val="22"/>
          <w:szCs w:val="22"/>
          <w:lang w:val="en-US"/>
        </w:rPr>
        <w:t>Share challenges and opportunities that affect the region in terms of educational continuity; with a special focus on populations in vulnerable conditions and based on the actions and decisions taken by their governments to face the COVID-19 pandemic</w:t>
      </w:r>
      <w:r>
        <w:rPr>
          <w:bCs/>
          <w:iCs/>
          <w:sz w:val="22"/>
          <w:szCs w:val="22"/>
          <w:lang w:val="en-US"/>
        </w:rPr>
        <w:t>.</w:t>
      </w:r>
    </w:p>
    <w:p w14:paraId="4F20ACE8" w14:textId="77777777" w:rsidR="00AD256D" w:rsidRPr="00AD256D" w:rsidRDefault="00AD256D" w:rsidP="00636D8D">
      <w:pPr>
        <w:pStyle w:val="ListParagraph"/>
        <w:ind w:left="1440"/>
        <w:jc w:val="both"/>
        <w:rPr>
          <w:bCs/>
          <w:iCs/>
          <w:sz w:val="22"/>
          <w:szCs w:val="22"/>
          <w:lang w:val="en-US"/>
        </w:rPr>
      </w:pPr>
    </w:p>
    <w:p w14:paraId="781B24C6" w14:textId="77777777" w:rsidR="00AD256D" w:rsidRPr="00AD256D" w:rsidRDefault="00AD256D" w:rsidP="00636D8D">
      <w:pPr>
        <w:pStyle w:val="ListParagraph"/>
        <w:numPr>
          <w:ilvl w:val="0"/>
          <w:numId w:val="25"/>
        </w:numPr>
        <w:ind w:hanging="720"/>
        <w:jc w:val="both"/>
        <w:rPr>
          <w:bCs/>
          <w:iCs/>
          <w:sz w:val="22"/>
          <w:szCs w:val="22"/>
          <w:lang w:val="en-US"/>
        </w:rPr>
      </w:pPr>
      <w:r w:rsidRPr="00AD256D">
        <w:rPr>
          <w:bCs/>
          <w:iCs/>
          <w:sz w:val="22"/>
          <w:szCs w:val="22"/>
          <w:lang w:val="en-US"/>
        </w:rPr>
        <w:t>Share good practices and specific programs, as well as offers of collaboration on 3 topics: the reactivation of the post-pandemic education sector, the safe return to face-to-face classes, and the digital educational agenda.</w:t>
      </w:r>
    </w:p>
    <w:p w14:paraId="445EBF3C" w14:textId="77777777" w:rsidR="00AD256D" w:rsidRPr="00AD256D" w:rsidRDefault="00AD256D" w:rsidP="00636D8D">
      <w:pPr>
        <w:jc w:val="both"/>
        <w:rPr>
          <w:b/>
          <w:sz w:val="22"/>
          <w:szCs w:val="22"/>
          <w:lang w:val="en-US"/>
        </w:rPr>
      </w:pPr>
    </w:p>
    <w:p w14:paraId="01DB2BA8" w14:textId="25BF9C4A" w:rsidR="00AD256D" w:rsidRPr="00AD256D" w:rsidRDefault="00AD256D" w:rsidP="00636D8D">
      <w:pPr>
        <w:pStyle w:val="ListParagraph"/>
        <w:numPr>
          <w:ilvl w:val="0"/>
          <w:numId w:val="27"/>
        </w:numPr>
        <w:ind w:hanging="720"/>
        <w:jc w:val="both"/>
        <w:rPr>
          <w:b/>
          <w:sz w:val="22"/>
          <w:szCs w:val="22"/>
          <w:lang w:val="en-US"/>
        </w:rPr>
      </w:pPr>
      <w:r w:rsidRPr="00AD256D">
        <w:rPr>
          <w:b/>
          <w:sz w:val="22"/>
          <w:szCs w:val="22"/>
          <w:lang w:val="en-US"/>
        </w:rPr>
        <w:t>Relevance for CIDI and the work of the Executive Secretariat for Integral Development (SEDI)</w:t>
      </w:r>
    </w:p>
    <w:p w14:paraId="50266AC0" w14:textId="77777777" w:rsidR="00AD256D" w:rsidRPr="00AD256D" w:rsidRDefault="00AD256D" w:rsidP="00636D8D">
      <w:pPr>
        <w:jc w:val="both"/>
        <w:rPr>
          <w:sz w:val="22"/>
          <w:szCs w:val="22"/>
          <w:lang w:val="en-US"/>
        </w:rPr>
      </w:pPr>
    </w:p>
    <w:p w14:paraId="6CDA33B9" w14:textId="77777777" w:rsidR="00AD256D" w:rsidRPr="00AD256D" w:rsidRDefault="00AD256D" w:rsidP="00636D8D">
      <w:pPr>
        <w:tabs>
          <w:tab w:val="left" w:pos="720"/>
          <w:tab w:val="left" w:pos="1530"/>
          <w:tab w:val="left" w:pos="7380"/>
        </w:tabs>
        <w:ind w:firstLine="720"/>
        <w:jc w:val="both"/>
        <w:rPr>
          <w:rFonts w:eastAsia="MS Mincho"/>
          <w:sz w:val="22"/>
          <w:szCs w:val="22"/>
          <w:lang w:val="en-US"/>
        </w:rPr>
      </w:pPr>
      <w:r w:rsidRPr="00AD256D">
        <w:rPr>
          <w:rFonts w:eastAsia="MS Mincho"/>
          <w:sz w:val="22"/>
          <w:szCs w:val="22"/>
          <w:lang w:val="en-US"/>
        </w:rPr>
        <w:t>In resolution AG/RES.2955 (LO/20) “Advancing hemispheric initiatives in integral development: promoting resilience”, the General Assembly recognized the pandemic reinforced the urgent need for member states to design and implement policies, strategies, and programs to reduce their vulnerability and build their resilience to external shocks.</w:t>
      </w:r>
    </w:p>
    <w:p w14:paraId="09FF273D" w14:textId="77777777" w:rsidR="00AD256D" w:rsidRPr="00AD256D" w:rsidRDefault="00AD256D" w:rsidP="00636D8D">
      <w:pPr>
        <w:tabs>
          <w:tab w:val="left" w:pos="720"/>
          <w:tab w:val="left" w:pos="1530"/>
          <w:tab w:val="left" w:pos="7380"/>
        </w:tabs>
        <w:jc w:val="both"/>
        <w:rPr>
          <w:rFonts w:eastAsia="MS Mincho"/>
          <w:sz w:val="22"/>
          <w:szCs w:val="22"/>
          <w:lang w:val="en-US"/>
        </w:rPr>
      </w:pPr>
    </w:p>
    <w:p w14:paraId="1C90F959" w14:textId="77777777" w:rsidR="00AD256D" w:rsidRPr="00AD256D" w:rsidRDefault="00AD256D" w:rsidP="00636D8D">
      <w:pPr>
        <w:tabs>
          <w:tab w:val="left" w:pos="720"/>
          <w:tab w:val="left" w:pos="1530"/>
          <w:tab w:val="left" w:pos="7380"/>
        </w:tabs>
        <w:jc w:val="both"/>
        <w:rPr>
          <w:rFonts w:eastAsia="MS Mincho"/>
          <w:sz w:val="22"/>
          <w:szCs w:val="22"/>
          <w:lang w:val="en-US"/>
        </w:rPr>
      </w:pPr>
      <w:r w:rsidRPr="00AD256D">
        <w:rPr>
          <w:rFonts w:eastAsia="MS Mincho"/>
          <w:sz w:val="22"/>
          <w:szCs w:val="22"/>
          <w:lang w:val="en-US"/>
        </w:rPr>
        <w:tab/>
        <w:t>By 2021, through resolution AG/RES. 2967 (LI-O/21) “Advancing hemispheric initiatives in integral development: promoting resilience” SEDI was instructed to strengthen its mechanisms for development cooperation aimed at improving member states’ technical and institutional capacity at the community, national and regional levels, as well as building sustainable multi-sectoral alliances and partnerships, with a particular focus on assisting member states with their post-COVID-19 recovery.</w:t>
      </w:r>
    </w:p>
    <w:p w14:paraId="00BA88ED" w14:textId="77777777" w:rsidR="00AD256D" w:rsidRPr="00AD256D" w:rsidRDefault="00AD256D" w:rsidP="00636D8D">
      <w:pPr>
        <w:tabs>
          <w:tab w:val="left" w:pos="720"/>
          <w:tab w:val="left" w:pos="1530"/>
          <w:tab w:val="left" w:pos="7380"/>
        </w:tabs>
        <w:jc w:val="both"/>
        <w:rPr>
          <w:rFonts w:eastAsia="Calibri"/>
          <w:sz w:val="22"/>
          <w:szCs w:val="22"/>
          <w:highlight w:val="yellow"/>
          <w:lang w:val="en-US"/>
        </w:rPr>
      </w:pPr>
    </w:p>
    <w:p w14:paraId="0F23AB6A" w14:textId="77777777" w:rsidR="00AD256D" w:rsidRPr="00AD256D" w:rsidRDefault="00AD256D" w:rsidP="00636D8D">
      <w:pPr>
        <w:pStyle w:val="ListParagraph"/>
        <w:numPr>
          <w:ilvl w:val="0"/>
          <w:numId w:val="27"/>
        </w:numPr>
        <w:ind w:hanging="720"/>
        <w:jc w:val="both"/>
        <w:rPr>
          <w:b/>
          <w:sz w:val="22"/>
          <w:szCs w:val="22"/>
          <w:lang w:val="en-US"/>
        </w:rPr>
      </w:pPr>
      <w:r w:rsidRPr="00AD256D">
        <w:rPr>
          <w:b/>
          <w:sz w:val="22"/>
          <w:szCs w:val="22"/>
          <w:lang w:val="en-US"/>
        </w:rPr>
        <w:t>Meeting’s Structure</w:t>
      </w:r>
    </w:p>
    <w:p w14:paraId="6673C7A4" w14:textId="77777777" w:rsidR="00AD256D" w:rsidRPr="00AD256D" w:rsidRDefault="00AD256D" w:rsidP="00636D8D">
      <w:pPr>
        <w:pStyle w:val="ListParagraph"/>
        <w:jc w:val="both"/>
        <w:rPr>
          <w:b/>
          <w:sz w:val="22"/>
          <w:szCs w:val="22"/>
          <w:lang w:val="en-US"/>
        </w:rPr>
      </w:pPr>
    </w:p>
    <w:p w14:paraId="02BEC486" w14:textId="77777777" w:rsidR="00AD256D" w:rsidRPr="00AD256D" w:rsidRDefault="00AD256D" w:rsidP="00636D8D">
      <w:pPr>
        <w:ind w:firstLine="720"/>
        <w:jc w:val="both"/>
        <w:rPr>
          <w:sz w:val="22"/>
          <w:szCs w:val="22"/>
          <w:lang w:val="en-US"/>
        </w:rPr>
      </w:pPr>
      <w:r w:rsidRPr="00AD256D">
        <w:rPr>
          <w:sz w:val="22"/>
          <w:szCs w:val="22"/>
          <w:lang w:val="en-US"/>
        </w:rPr>
        <w:t xml:space="preserve">For the development of the meeting, various speakers will be convened to address the main challenges and opportunities that the construction of educational pacts presents in terms of overcoming fragmentation, break-off and exclusion, as well as to exchange on the formulation and implementation of responses more inclusive and accessible that are flexible, </w:t>
      </w:r>
      <w:proofErr w:type="gramStart"/>
      <w:r w:rsidRPr="00AD256D">
        <w:rPr>
          <w:sz w:val="22"/>
          <w:szCs w:val="22"/>
          <w:lang w:val="en-US"/>
        </w:rPr>
        <w:t>effective</w:t>
      </w:r>
      <w:proofErr w:type="gramEnd"/>
      <w:r w:rsidRPr="00AD256D">
        <w:rPr>
          <w:sz w:val="22"/>
          <w:szCs w:val="22"/>
          <w:lang w:val="en-US"/>
        </w:rPr>
        <w:t xml:space="preserve"> and contextualized. Member states will have the opportunity to participate in an interactive dialogue led by the Chair of CIDI.</w:t>
      </w:r>
    </w:p>
    <w:p w14:paraId="6B85EDB1" w14:textId="77777777" w:rsidR="00AD256D" w:rsidRPr="00AD256D" w:rsidRDefault="00AD256D" w:rsidP="00636D8D">
      <w:pPr>
        <w:ind w:firstLine="720"/>
        <w:jc w:val="both"/>
        <w:rPr>
          <w:sz w:val="22"/>
          <w:szCs w:val="22"/>
          <w:lang w:val="en-US"/>
        </w:rPr>
      </w:pPr>
    </w:p>
    <w:p w14:paraId="0BFC952B" w14:textId="4A57F57B" w:rsidR="00AD256D" w:rsidRPr="000F0FA3" w:rsidRDefault="00AD256D" w:rsidP="00636D8D">
      <w:pPr>
        <w:ind w:left="720"/>
        <w:jc w:val="both"/>
        <w:rPr>
          <w:b/>
          <w:bCs/>
          <w:sz w:val="22"/>
          <w:szCs w:val="22"/>
          <w:lang w:val="en-US"/>
        </w:rPr>
      </w:pPr>
      <w:r w:rsidRPr="000F0FA3">
        <w:rPr>
          <w:b/>
          <w:bCs/>
          <w:sz w:val="22"/>
          <w:szCs w:val="22"/>
          <w:lang w:val="en-US"/>
        </w:rPr>
        <w:t xml:space="preserve">FIRST PART: </w:t>
      </w:r>
      <w:r w:rsidR="00731A07" w:rsidRPr="00731A07">
        <w:rPr>
          <w:b/>
          <w:bCs/>
          <w:sz w:val="22"/>
          <w:szCs w:val="22"/>
          <w:lang w:val="en-US"/>
        </w:rPr>
        <w:t xml:space="preserve">Interventions </w:t>
      </w:r>
      <w:r w:rsidR="00731A07">
        <w:rPr>
          <w:b/>
          <w:bCs/>
          <w:sz w:val="22"/>
          <w:szCs w:val="22"/>
          <w:lang w:val="en-US"/>
        </w:rPr>
        <w:t xml:space="preserve">by </w:t>
      </w:r>
      <w:r w:rsidR="00120056">
        <w:rPr>
          <w:b/>
          <w:bCs/>
          <w:sz w:val="22"/>
          <w:szCs w:val="22"/>
          <w:lang w:val="en-US"/>
        </w:rPr>
        <w:t xml:space="preserve">national </w:t>
      </w:r>
      <w:r w:rsidR="00731A07" w:rsidRPr="00731A07">
        <w:rPr>
          <w:b/>
          <w:bCs/>
          <w:sz w:val="22"/>
          <w:szCs w:val="22"/>
          <w:lang w:val="en-US"/>
        </w:rPr>
        <w:t xml:space="preserve">authorities of </w:t>
      </w:r>
      <w:r w:rsidR="00C126BA" w:rsidRPr="000F0FA3">
        <w:rPr>
          <w:b/>
          <w:bCs/>
          <w:sz w:val="22"/>
          <w:szCs w:val="22"/>
          <w:lang w:val="en-US"/>
        </w:rPr>
        <w:t>Education</w:t>
      </w:r>
      <w:r w:rsidRPr="000F0FA3">
        <w:rPr>
          <w:b/>
          <w:bCs/>
          <w:sz w:val="22"/>
          <w:szCs w:val="22"/>
          <w:lang w:val="en-US"/>
        </w:rPr>
        <w:t xml:space="preserve">. 5 minutes maximum for </w:t>
      </w:r>
      <w:r w:rsidR="00120056">
        <w:rPr>
          <w:b/>
          <w:bCs/>
          <w:sz w:val="22"/>
          <w:szCs w:val="22"/>
          <w:lang w:val="en-US"/>
        </w:rPr>
        <w:t>each</w:t>
      </w:r>
      <w:r w:rsidRPr="000F0FA3">
        <w:rPr>
          <w:b/>
          <w:bCs/>
          <w:sz w:val="22"/>
          <w:szCs w:val="22"/>
          <w:lang w:val="en-US"/>
        </w:rPr>
        <w:t xml:space="preserve"> presentation.</w:t>
      </w:r>
    </w:p>
    <w:p w14:paraId="73F35262" w14:textId="77777777" w:rsidR="00AD256D" w:rsidRPr="000F0FA3" w:rsidRDefault="00AD256D" w:rsidP="00636D8D">
      <w:pPr>
        <w:jc w:val="both"/>
        <w:rPr>
          <w:sz w:val="22"/>
          <w:szCs w:val="22"/>
          <w:lang w:val="en-US"/>
        </w:rPr>
      </w:pPr>
    </w:p>
    <w:p w14:paraId="72FBD99B" w14:textId="4BDDFA7B" w:rsidR="0035352F" w:rsidRPr="00AF6AC5" w:rsidRDefault="0035352F" w:rsidP="00636D8D">
      <w:pPr>
        <w:pStyle w:val="ListParagraph"/>
        <w:numPr>
          <w:ilvl w:val="0"/>
          <w:numId w:val="24"/>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sz w:val="22"/>
          <w:szCs w:val="22"/>
          <w:lang w:val="en-US"/>
        </w:rPr>
      </w:pPr>
      <w:r w:rsidRPr="00AF6AC5">
        <w:rPr>
          <w:color w:val="202124"/>
          <w:sz w:val="22"/>
          <w:szCs w:val="22"/>
          <w:lang w:val="en-US"/>
        </w:rPr>
        <w:t>Claudia Ruiz Casasola, Minister of Education of Guatemala</w:t>
      </w:r>
    </w:p>
    <w:p w14:paraId="4FDFDF46" w14:textId="09A1DA6E" w:rsidR="00315C7E" w:rsidRPr="000F0FA3" w:rsidRDefault="00315C7E" w:rsidP="00636D8D">
      <w:pPr>
        <w:pStyle w:val="ListParagraph"/>
        <w:numPr>
          <w:ilvl w:val="0"/>
          <w:numId w:val="24"/>
        </w:numPr>
        <w:ind w:firstLine="0"/>
        <w:jc w:val="both"/>
        <w:rPr>
          <w:sz w:val="22"/>
          <w:szCs w:val="22"/>
          <w:lang w:val="en-US"/>
        </w:rPr>
      </w:pPr>
      <w:r w:rsidRPr="000F0FA3">
        <w:rPr>
          <w:sz w:val="22"/>
          <w:szCs w:val="22"/>
          <w:lang w:val="en-US"/>
        </w:rPr>
        <w:t>Curtis King, Minister of Education of Sa</w:t>
      </w:r>
      <w:r w:rsidR="00120056">
        <w:rPr>
          <w:sz w:val="22"/>
          <w:szCs w:val="22"/>
          <w:lang w:val="en-US"/>
        </w:rPr>
        <w:t>int</w:t>
      </w:r>
      <w:r w:rsidRPr="000F0FA3">
        <w:rPr>
          <w:sz w:val="22"/>
          <w:szCs w:val="22"/>
          <w:lang w:val="en-US"/>
        </w:rPr>
        <w:t xml:space="preserve"> Vincent and the </w:t>
      </w:r>
      <w:proofErr w:type="spellStart"/>
      <w:r w:rsidRPr="000F0FA3">
        <w:rPr>
          <w:sz w:val="22"/>
          <w:szCs w:val="22"/>
          <w:lang w:val="en-US"/>
        </w:rPr>
        <w:t>Granadines</w:t>
      </w:r>
      <w:proofErr w:type="spellEnd"/>
    </w:p>
    <w:p w14:paraId="6959E1B8" w14:textId="373D58F5" w:rsidR="00AD256D" w:rsidRPr="00753DF0" w:rsidRDefault="00AD256D" w:rsidP="00636D8D">
      <w:pPr>
        <w:pStyle w:val="ListParagraph"/>
        <w:jc w:val="both"/>
        <w:rPr>
          <w:rFonts w:eastAsia="Times New Roman"/>
          <w:sz w:val="20"/>
          <w:szCs w:val="20"/>
          <w:lang w:val="en-US"/>
        </w:rPr>
      </w:pPr>
    </w:p>
    <w:p w14:paraId="6E5B6467" w14:textId="2BF9FC7C" w:rsidR="00AD256D" w:rsidRPr="00AD256D" w:rsidRDefault="00AD256D" w:rsidP="00636D8D">
      <w:pPr>
        <w:ind w:firstLine="720"/>
        <w:jc w:val="both"/>
        <w:rPr>
          <w:sz w:val="22"/>
          <w:szCs w:val="22"/>
          <w:lang w:val="en-US"/>
        </w:rPr>
      </w:pPr>
      <w:r w:rsidRPr="00AD256D">
        <w:rPr>
          <w:sz w:val="22"/>
          <w:szCs w:val="22"/>
          <w:lang w:val="en-US"/>
        </w:rPr>
        <w:t>Guiding questions for interventions</w:t>
      </w:r>
      <w:r w:rsidR="00C518D2">
        <w:rPr>
          <w:sz w:val="22"/>
          <w:szCs w:val="22"/>
          <w:lang w:val="en-US"/>
        </w:rPr>
        <w:t xml:space="preserve"> of the national authorities</w:t>
      </w:r>
      <w:r w:rsidRPr="00AD256D">
        <w:rPr>
          <w:sz w:val="22"/>
          <w:szCs w:val="22"/>
          <w:lang w:val="en-US"/>
        </w:rPr>
        <w:t>:</w:t>
      </w:r>
    </w:p>
    <w:p w14:paraId="4327B336" w14:textId="77777777" w:rsidR="00AD256D" w:rsidRPr="00AD256D" w:rsidRDefault="00AD256D" w:rsidP="00636D8D">
      <w:pPr>
        <w:jc w:val="both"/>
        <w:rPr>
          <w:sz w:val="22"/>
          <w:szCs w:val="22"/>
          <w:lang w:val="en-US"/>
        </w:rPr>
      </w:pPr>
    </w:p>
    <w:p w14:paraId="6512F8C1" w14:textId="158574BC" w:rsidR="00AD256D" w:rsidRPr="00AD256D" w:rsidRDefault="00AD256D" w:rsidP="00636D8D">
      <w:pPr>
        <w:pStyle w:val="ListParagraph"/>
        <w:numPr>
          <w:ilvl w:val="0"/>
          <w:numId w:val="28"/>
        </w:numPr>
        <w:ind w:left="1440" w:hanging="720"/>
        <w:jc w:val="both"/>
        <w:rPr>
          <w:sz w:val="22"/>
          <w:szCs w:val="22"/>
          <w:lang w:val="en-US"/>
        </w:rPr>
      </w:pPr>
      <w:r w:rsidRPr="00AD256D">
        <w:rPr>
          <w:sz w:val="22"/>
          <w:szCs w:val="22"/>
          <w:lang w:val="en-US"/>
        </w:rPr>
        <w:t>What element included in the educational pacts guarantee the continuity of educational policies and what role do the different social actors play for them? What are the experiences and lessons learned from your country?</w:t>
      </w:r>
    </w:p>
    <w:p w14:paraId="23DDF1A9" w14:textId="77777777" w:rsidR="00AD256D" w:rsidRPr="00AD256D" w:rsidRDefault="00AD256D" w:rsidP="00636D8D">
      <w:pPr>
        <w:ind w:left="720"/>
        <w:jc w:val="both"/>
        <w:rPr>
          <w:sz w:val="22"/>
          <w:szCs w:val="22"/>
          <w:lang w:val="en-US"/>
        </w:rPr>
      </w:pPr>
      <w:r w:rsidRPr="00AD256D">
        <w:rPr>
          <w:sz w:val="22"/>
          <w:szCs w:val="22"/>
          <w:lang w:val="en-US"/>
        </w:rPr>
        <w:t xml:space="preserve"> </w:t>
      </w:r>
    </w:p>
    <w:p w14:paraId="148CA94E" w14:textId="44FA4DE0" w:rsidR="00AD256D" w:rsidRPr="00AD256D" w:rsidRDefault="00AD256D" w:rsidP="00636D8D">
      <w:pPr>
        <w:ind w:left="1440" w:hanging="720"/>
        <w:jc w:val="both"/>
        <w:rPr>
          <w:sz w:val="22"/>
          <w:szCs w:val="22"/>
          <w:lang w:val="en-US"/>
        </w:rPr>
      </w:pPr>
      <w:r w:rsidRPr="00AD256D">
        <w:rPr>
          <w:sz w:val="22"/>
          <w:szCs w:val="22"/>
          <w:lang w:val="en-US"/>
        </w:rPr>
        <w:lastRenderedPageBreak/>
        <w:t>2.</w:t>
      </w:r>
      <w:r>
        <w:rPr>
          <w:sz w:val="22"/>
          <w:szCs w:val="22"/>
          <w:lang w:val="en-US"/>
        </w:rPr>
        <w:tab/>
      </w:r>
      <w:r w:rsidRPr="00AD256D">
        <w:rPr>
          <w:sz w:val="22"/>
          <w:szCs w:val="22"/>
          <w:lang w:val="en-US"/>
        </w:rPr>
        <w:t>What are the differentiating elements in the implementation of these pacts under contexts of change, especially to face the tendencies towards fragmentation, break-off and exclusion?</w:t>
      </w:r>
    </w:p>
    <w:p w14:paraId="7347BEB2" w14:textId="77777777" w:rsidR="00AD256D" w:rsidRPr="00AD256D" w:rsidRDefault="00AD256D" w:rsidP="00636D8D">
      <w:pPr>
        <w:jc w:val="both"/>
        <w:rPr>
          <w:sz w:val="22"/>
          <w:szCs w:val="22"/>
          <w:lang w:val="en-US"/>
        </w:rPr>
      </w:pPr>
    </w:p>
    <w:p w14:paraId="226B96B2" w14:textId="77777777" w:rsidR="00AD256D" w:rsidRPr="00AD256D" w:rsidRDefault="00AD256D" w:rsidP="00636D8D">
      <w:pPr>
        <w:ind w:left="720"/>
        <w:jc w:val="both"/>
        <w:rPr>
          <w:sz w:val="22"/>
          <w:szCs w:val="22"/>
          <w:lang w:val="en-US"/>
        </w:rPr>
      </w:pPr>
      <w:r w:rsidRPr="002E77FC">
        <w:rPr>
          <w:b/>
          <w:bCs/>
          <w:color w:val="000000" w:themeColor="text1"/>
          <w:sz w:val="22"/>
          <w:szCs w:val="22"/>
          <w:lang w:val="en-US"/>
        </w:rPr>
        <w:t>SECOND PART</w:t>
      </w:r>
      <w:r w:rsidRPr="002E77FC">
        <w:rPr>
          <w:b/>
          <w:bCs/>
          <w:sz w:val="22"/>
          <w:szCs w:val="22"/>
          <w:lang w:val="en-US"/>
        </w:rPr>
        <w:t>:</w:t>
      </w:r>
      <w:r w:rsidRPr="002E77FC">
        <w:rPr>
          <w:sz w:val="22"/>
          <w:szCs w:val="22"/>
          <w:lang w:val="en-US"/>
        </w:rPr>
        <w:t xml:space="preserve"> Technical Panel in which the participants will have a maximum of 5 minutes initially to present their strong ideas and then 2 minutes to answer focus questions formulated by the moderator.</w:t>
      </w:r>
    </w:p>
    <w:p w14:paraId="31AB3C29" w14:textId="77777777" w:rsidR="00AD256D" w:rsidRPr="00AD256D" w:rsidRDefault="00AD256D" w:rsidP="00636D8D">
      <w:pPr>
        <w:ind w:left="720"/>
        <w:jc w:val="both"/>
        <w:rPr>
          <w:sz w:val="22"/>
          <w:szCs w:val="22"/>
          <w:lang w:val="en-US"/>
        </w:rPr>
      </w:pPr>
    </w:p>
    <w:p w14:paraId="112FC797" w14:textId="7519F5ED" w:rsidR="00AD256D" w:rsidRPr="00AD256D" w:rsidRDefault="00AD256D" w:rsidP="00636D8D">
      <w:pPr>
        <w:ind w:left="720"/>
        <w:jc w:val="both"/>
        <w:rPr>
          <w:color w:val="000000" w:themeColor="text1"/>
          <w:sz w:val="22"/>
          <w:szCs w:val="22"/>
          <w:lang w:val="en-US"/>
        </w:rPr>
      </w:pPr>
      <w:r w:rsidRPr="00636D8D">
        <w:rPr>
          <w:b/>
          <w:bCs/>
          <w:color w:val="000000" w:themeColor="text1"/>
          <w:sz w:val="22"/>
          <w:szCs w:val="22"/>
          <w:u w:val="single"/>
          <w:lang w:val="en-US"/>
        </w:rPr>
        <w:t>MODERATOR</w:t>
      </w:r>
      <w:r w:rsidRPr="00AD256D">
        <w:rPr>
          <w:b/>
          <w:bCs/>
          <w:color w:val="000000" w:themeColor="text1"/>
          <w:sz w:val="22"/>
          <w:szCs w:val="22"/>
          <w:lang w:val="en-US"/>
        </w:rPr>
        <w:t>: Kim Osborne</w:t>
      </w:r>
      <w:r w:rsidR="00120056">
        <w:rPr>
          <w:b/>
          <w:bCs/>
          <w:color w:val="000000" w:themeColor="text1"/>
          <w:sz w:val="22"/>
          <w:szCs w:val="22"/>
          <w:lang w:val="en-US"/>
        </w:rPr>
        <w:t>,</w:t>
      </w:r>
      <w:r w:rsidRPr="00AD256D">
        <w:rPr>
          <w:b/>
          <w:bCs/>
          <w:color w:val="000000" w:themeColor="text1"/>
          <w:sz w:val="22"/>
          <w:szCs w:val="22"/>
          <w:lang w:val="en-US"/>
        </w:rPr>
        <w:t xml:space="preserve"> Executive Secretary for Integral Development</w:t>
      </w:r>
    </w:p>
    <w:p w14:paraId="7108A566" w14:textId="77777777" w:rsidR="00AD256D" w:rsidRPr="00AD256D" w:rsidRDefault="00AD256D" w:rsidP="00636D8D">
      <w:pPr>
        <w:ind w:left="720"/>
        <w:jc w:val="both"/>
        <w:rPr>
          <w:sz w:val="22"/>
          <w:szCs w:val="22"/>
          <w:lang w:val="en-US"/>
        </w:rPr>
      </w:pPr>
    </w:p>
    <w:p w14:paraId="73BE2713" w14:textId="619F6534" w:rsidR="00AD256D" w:rsidRPr="00636D8D" w:rsidRDefault="00AD256D" w:rsidP="00636D8D">
      <w:pPr>
        <w:ind w:left="720"/>
        <w:jc w:val="both"/>
        <w:rPr>
          <w:rFonts w:eastAsia="Calibri"/>
          <w:b/>
          <w:bCs/>
          <w:caps/>
          <w:sz w:val="22"/>
          <w:szCs w:val="22"/>
          <w:lang w:val="en-US"/>
        </w:rPr>
      </w:pPr>
      <w:r w:rsidRPr="00636D8D">
        <w:rPr>
          <w:b/>
          <w:bCs/>
          <w:caps/>
          <w:sz w:val="22"/>
          <w:szCs w:val="22"/>
          <w:u w:val="single"/>
          <w:lang w:val="en-US"/>
        </w:rPr>
        <w:t>Panelists</w:t>
      </w:r>
      <w:r w:rsidRPr="00636D8D">
        <w:rPr>
          <w:b/>
          <w:bCs/>
          <w:caps/>
          <w:sz w:val="22"/>
          <w:szCs w:val="22"/>
          <w:lang w:val="en-US"/>
        </w:rPr>
        <w:t>:</w:t>
      </w:r>
    </w:p>
    <w:p w14:paraId="220A00A2" w14:textId="77777777" w:rsidR="00AD256D" w:rsidRPr="00AD256D" w:rsidRDefault="00AD256D" w:rsidP="00636D8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02124"/>
          <w:sz w:val="22"/>
          <w:szCs w:val="22"/>
          <w:lang w:val="en-US"/>
        </w:rPr>
      </w:pPr>
    </w:p>
    <w:p w14:paraId="4E412B27" w14:textId="3423C492" w:rsidR="000F0FA3" w:rsidRPr="000F0FA3" w:rsidRDefault="000F0FA3" w:rsidP="00636D8D">
      <w:pPr>
        <w:pStyle w:val="ListParagraph"/>
        <w:numPr>
          <w:ilvl w:val="0"/>
          <w:numId w:val="24"/>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color w:val="202124"/>
          <w:sz w:val="22"/>
          <w:szCs w:val="22"/>
          <w:lang w:val="en-US"/>
        </w:rPr>
      </w:pPr>
      <w:r w:rsidRPr="000F0FA3">
        <w:rPr>
          <w:sz w:val="22"/>
          <w:szCs w:val="22"/>
          <w:lang w:val="en-US"/>
        </w:rPr>
        <w:t>Andrea García, Secretary of Educational Cooperation and Priority Actions</w:t>
      </w:r>
      <w:r w:rsidR="00120056">
        <w:rPr>
          <w:sz w:val="22"/>
          <w:szCs w:val="22"/>
          <w:lang w:val="en-US"/>
        </w:rPr>
        <w:t xml:space="preserve">, </w:t>
      </w:r>
      <w:r w:rsidRPr="000F0FA3">
        <w:rPr>
          <w:sz w:val="22"/>
          <w:szCs w:val="22"/>
          <w:lang w:val="en-US"/>
        </w:rPr>
        <w:t xml:space="preserve">Ministry of Education of Argentina </w:t>
      </w:r>
    </w:p>
    <w:p w14:paraId="751C0037" w14:textId="3181A74D" w:rsidR="000F0FA3" w:rsidRPr="002E5D95" w:rsidRDefault="000F0FA3" w:rsidP="00636D8D">
      <w:pPr>
        <w:pStyle w:val="ListParagraph"/>
        <w:numPr>
          <w:ilvl w:val="0"/>
          <w:numId w:val="24"/>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sz w:val="22"/>
          <w:szCs w:val="22"/>
          <w:lang w:val="en-US"/>
        </w:rPr>
      </w:pPr>
      <w:proofErr w:type="spellStart"/>
      <w:r w:rsidRPr="002E5D95">
        <w:rPr>
          <w:sz w:val="22"/>
          <w:szCs w:val="22"/>
          <w:lang w:val="en-US"/>
        </w:rPr>
        <w:t>Cinthya</w:t>
      </w:r>
      <w:proofErr w:type="spellEnd"/>
      <w:r w:rsidRPr="002E5D95">
        <w:rPr>
          <w:sz w:val="22"/>
          <w:szCs w:val="22"/>
          <w:lang w:val="en-US"/>
        </w:rPr>
        <w:t xml:space="preserve"> Game, Deputy Minister of Education</w:t>
      </w:r>
      <w:r w:rsidR="00120056">
        <w:rPr>
          <w:sz w:val="22"/>
          <w:szCs w:val="22"/>
          <w:lang w:val="en-US"/>
        </w:rPr>
        <w:t>,</w:t>
      </w:r>
      <w:r w:rsidRPr="002E5D95">
        <w:rPr>
          <w:sz w:val="22"/>
          <w:szCs w:val="22"/>
          <w:lang w:val="en-US"/>
        </w:rPr>
        <w:t xml:space="preserve"> Ministry of Education of Ecuador</w:t>
      </w:r>
    </w:p>
    <w:p w14:paraId="43309400" w14:textId="6028BB31" w:rsidR="002E77FC" w:rsidRDefault="002E77FC" w:rsidP="00636D8D">
      <w:pPr>
        <w:pStyle w:val="ListParagraph"/>
        <w:numPr>
          <w:ilvl w:val="0"/>
          <w:numId w:val="24"/>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sz w:val="22"/>
          <w:szCs w:val="22"/>
          <w:lang w:val="en-US"/>
        </w:rPr>
      </w:pPr>
      <w:r w:rsidRPr="002E5D95">
        <w:rPr>
          <w:sz w:val="22"/>
          <w:szCs w:val="22"/>
          <w:lang w:val="en-US"/>
        </w:rPr>
        <w:t>Fiona Philip-Mayer, Chief Education Officer</w:t>
      </w:r>
      <w:r w:rsidR="00120056">
        <w:rPr>
          <w:sz w:val="22"/>
          <w:szCs w:val="22"/>
          <w:lang w:val="en-US"/>
        </w:rPr>
        <w:t xml:space="preserve">, </w:t>
      </w:r>
      <w:r w:rsidRPr="002E5D95">
        <w:rPr>
          <w:sz w:val="22"/>
          <w:szCs w:val="22"/>
          <w:lang w:val="en-US"/>
        </w:rPr>
        <w:t>Ministry of Education of Saint Lucia</w:t>
      </w:r>
    </w:p>
    <w:p w14:paraId="4CD3DDF1" w14:textId="0C7E3AD2" w:rsidR="001774D9" w:rsidRPr="001774D9" w:rsidRDefault="001774D9" w:rsidP="001774D9">
      <w:pPr>
        <w:pStyle w:val="ListParagraph"/>
        <w:numPr>
          <w:ilvl w:val="0"/>
          <w:numId w:val="24"/>
        </w:num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contextualSpacing/>
        <w:jc w:val="both"/>
        <w:rPr>
          <w:sz w:val="22"/>
          <w:szCs w:val="22"/>
          <w:lang w:val="en-US"/>
        </w:rPr>
      </w:pPr>
      <w:r>
        <w:rPr>
          <w:rFonts w:eastAsiaTheme="minorHAnsi"/>
          <w:sz w:val="22"/>
          <w:szCs w:val="22"/>
          <w:lang w:val="en-US"/>
        </w:rPr>
        <w:t>S</w:t>
      </w:r>
      <w:r w:rsidRPr="001774D9">
        <w:rPr>
          <w:rFonts w:eastAsiaTheme="minorHAnsi"/>
          <w:sz w:val="22"/>
          <w:szCs w:val="22"/>
          <w:lang w:val="en-US"/>
        </w:rPr>
        <w:t xml:space="preserve">ilvia Rosa Martínez Jiménez, </w:t>
      </w:r>
      <w:r w:rsidRPr="001774D9">
        <w:rPr>
          <w:sz w:val="22"/>
          <w:szCs w:val="22"/>
          <w:lang w:val="en"/>
        </w:rPr>
        <w:t>Head of the General Office of Cooperation and International Affairs, Ministry of Education of Peru</w:t>
      </w:r>
    </w:p>
    <w:p w14:paraId="6199D375" w14:textId="77777777" w:rsidR="00AD256D" w:rsidRPr="00AD256D" w:rsidRDefault="00AD256D" w:rsidP="00636D8D">
      <w:pPr>
        <w:tabs>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sz w:val="22"/>
          <w:szCs w:val="22"/>
          <w:lang w:val="en-US"/>
        </w:rPr>
      </w:pPr>
    </w:p>
    <w:p w14:paraId="655208F7" w14:textId="68B956CB" w:rsidR="00AD256D" w:rsidRPr="00AD256D" w:rsidRDefault="00AD256D" w:rsidP="00636D8D">
      <w:pPr>
        <w:ind w:firstLine="720"/>
        <w:jc w:val="both"/>
        <w:rPr>
          <w:sz w:val="22"/>
          <w:szCs w:val="22"/>
          <w:lang w:val="en-US"/>
        </w:rPr>
      </w:pPr>
      <w:r w:rsidRPr="00AD256D">
        <w:rPr>
          <w:sz w:val="22"/>
          <w:szCs w:val="22"/>
          <w:lang w:val="en-US"/>
        </w:rPr>
        <w:t>Guiding questions for interventions:</w:t>
      </w:r>
    </w:p>
    <w:p w14:paraId="172EE74A" w14:textId="77777777" w:rsidR="00AD256D" w:rsidRPr="00AD256D" w:rsidRDefault="00AD256D" w:rsidP="00636D8D">
      <w:pPr>
        <w:ind w:firstLine="720"/>
        <w:jc w:val="both"/>
        <w:rPr>
          <w:sz w:val="22"/>
          <w:szCs w:val="22"/>
          <w:lang w:val="en-US"/>
        </w:rPr>
      </w:pPr>
    </w:p>
    <w:p w14:paraId="7D6BC983" w14:textId="77777777" w:rsidR="00AD256D" w:rsidRPr="00AD256D" w:rsidRDefault="00AD256D" w:rsidP="00636D8D">
      <w:pPr>
        <w:pStyle w:val="ListParagraph"/>
        <w:numPr>
          <w:ilvl w:val="0"/>
          <w:numId w:val="22"/>
        </w:numPr>
        <w:ind w:left="1440" w:hanging="720"/>
        <w:jc w:val="both"/>
        <w:rPr>
          <w:sz w:val="22"/>
          <w:szCs w:val="22"/>
          <w:lang w:val="en-US"/>
        </w:rPr>
      </w:pPr>
      <w:r w:rsidRPr="00AD256D">
        <w:rPr>
          <w:sz w:val="22"/>
          <w:szCs w:val="22"/>
          <w:lang w:val="en-US"/>
        </w:rPr>
        <w:t>Taking as context the educational Pacts existing at the national level and the previous experiences at the hemispheric and/or global level, what do you consider would be the main challenges and opportunities?</w:t>
      </w:r>
    </w:p>
    <w:p w14:paraId="2B1E994F" w14:textId="77777777" w:rsidR="00AD256D" w:rsidRPr="00AD256D" w:rsidRDefault="00AD256D" w:rsidP="00636D8D">
      <w:pPr>
        <w:ind w:left="1440" w:hanging="720"/>
        <w:jc w:val="both"/>
        <w:rPr>
          <w:sz w:val="22"/>
          <w:szCs w:val="22"/>
          <w:lang w:val="en-US"/>
        </w:rPr>
      </w:pPr>
    </w:p>
    <w:p w14:paraId="4FEC22C5" w14:textId="77777777" w:rsidR="00AD256D" w:rsidRPr="00AD256D" w:rsidRDefault="00AD256D" w:rsidP="00636D8D">
      <w:pPr>
        <w:pStyle w:val="ListParagraph"/>
        <w:numPr>
          <w:ilvl w:val="0"/>
          <w:numId w:val="22"/>
        </w:numPr>
        <w:ind w:left="1440" w:hanging="720"/>
        <w:jc w:val="both"/>
        <w:rPr>
          <w:sz w:val="22"/>
          <w:szCs w:val="22"/>
          <w:lang w:val="en-US"/>
        </w:rPr>
      </w:pPr>
      <w:r w:rsidRPr="00AD256D">
        <w:rPr>
          <w:sz w:val="22"/>
          <w:szCs w:val="22"/>
          <w:lang w:val="en-US"/>
        </w:rPr>
        <w:t xml:space="preserve">What role does the facilitation of policy dialogue   and the consensus building approach play in the sustainability of this type </w:t>
      </w:r>
      <w:proofErr w:type="gramStart"/>
      <w:r w:rsidRPr="00AD256D">
        <w:rPr>
          <w:sz w:val="22"/>
          <w:szCs w:val="22"/>
          <w:lang w:val="en-US"/>
        </w:rPr>
        <w:t>of  framework</w:t>
      </w:r>
      <w:proofErr w:type="gramEnd"/>
      <w:r w:rsidRPr="00AD256D">
        <w:rPr>
          <w:sz w:val="22"/>
          <w:szCs w:val="22"/>
          <w:lang w:val="en-US"/>
        </w:rPr>
        <w:t xml:space="preserve"> , especially in contexts of change?</w:t>
      </w:r>
    </w:p>
    <w:p w14:paraId="30FECCD0" w14:textId="77777777" w:rsidR="00AD256D" w:rsidRPr="00AD256D" w:rsidRDefault="00AD256D" w:rsidP="00636D8D">
      <w:pPr>
        <w:jc w:val="both"/>
        <w:rPr>
          <w:sz w:val="22"/>
          <w:szCs w:val="22"/>
          <w:lang w:val="en-US"/>
        </w:rPr>
      </w:pPr>
    </w:p>
    <w:p w14:paraId="3A041AF5" w14:textId="5EEE669E" w:rsidR="00AD256D" w:rsidRPr="00AD256D" w:rsidRDefault="00AD256D" w:rsidP="00636D8D">
      <w:pPr>
        <w:ind w:firstLine="720"/>
        <w:jc w:val="both"/>
        <w:rPr>
          <w:sz w:val="22"/>
          <w:szCs w:val="22"/>
          <w:lang w:val="en-US"/>
        </w:rPr>
      </w:pPr>
      <w:r w:rsidRPr="00AD256D">
        <w:rPr>
          <w:sz w:val="22"/>
          <w:szCs w:val="22"/>
          <w:lang w:val="en-US"/>
        </w:rPr>
        <w:t>Once the space for questions and answers to the panelists is over, the President invites the delegations to share good practices, needs, challenges and opportunities and/or specific demands for hemispheric collaboration in relation to the topic.</w:t>
      </w:r>
    </w:p>
    <w:p w14:paraId="52ED3F26" w14:textId="77777777" w:rsidR="00AD256D" w:rsidRPr="00AD256D" w:rsidRDefault="00AD256D" w:rsidP="00636D8D">
      <w:pPr>
        <w:tabs>
          <w:tab w:val="left" w:pos="720"/>
          <w:tab w:val="left" w:pos="1440"/>
          <w:tab w:val="left" w:pos="2160"/>
        </w:tabs>
        <w:jc w:val="both"/>
        <w:rPr>
          <w:bCs/>
          <w:sz w:val="22"/>
          <w:szCs w:val="22"/>
          <w:lang w:val="en-US"/>
        </w:rPr>
      </w:pPr>
    </w:p>
    <w:p w14:paraId="729C692C" w14:textId="77777777" w:rsidR="00AD256D" w:rsidRPr="00AD256D" w:rsidRDefault="00AD256D" w:rsidP="00636D8D">
      <w:pPr>
        <w:pStyle w:val="ListParagraph"/>
        <w:numPr>
          <w:ilvl w:val="0"/>
          <w:numId w:val="27"/>
        </w:numPr>
        <w:ind w:hanging="720"/>
        <w:jc w:val="both"/>
        <w:rPr>
          <w:b/>
          <w:sz w:val="22"/>
          <w:szCs w:val="22"/>
          <w:lang w:val="en-US"/>
        </w:rPr>
      </w:pPr>
      <w:r w:rsidRPr="00AD256D">
        <w:rPr>
          <w:b/>
          <w:sz w:val="22"/>
          <w:szCs w:val="22"/>
          <w:lang w:val="en-US"/>
        </w:rPr>
        <w:t>Result of the Meeting</w:t>
      </w:r>
    </w:p>
    <w:p w14:paraId="757BAB0D" w14:textId="77777777" w:rsidR="00AD256D" w:rsidRPr="00AD256D" w:rsidRDefault="00AD256D" w:rsidP="00636D8D">
      <w:pPr>
        <w:jc w:val="both"/>
        <w:rPr>
          <w:rFonts w:eastAsia="Calibri"/>
          <w:sz w:val="22"/>
          <w:szCs w:val="22"/>
          <w:lang w:val="en-US"/>
        </w:rPr>
      </w:pPr>
    </w:p>
    <w:p w14:paraId="245E0B7C" w14:textId="77777777" w:rsidR="00AD256D" w:rsidRPr="00AD256D" w:rsidRDefault="00AD256D" w:rsidP="00636D8D">
      <w:pPr>
        <w:tabs>
          <w:tab w:val="left" w:pos="720"/>
          <w:tab w:val="left" w:pos="1530"/>
          <w:tab w:val="left" w:pos="7380"/>
        </w:tabs>
        <w:ind w:firstLine="720"/>
        <w:jc w:val="both"/>
        <w:rPr>
          <w:rFonts w:eastAsia="MS Mincho"/>
          <w:sz w:val="22"/>
          <w:szCs w:val="22"/>
          <w:lang w:val="en-US"/>
        </w:rPr>
      </w:pPr>
      <w:r w:rsidRPr="00AD256D">
        <w:rPr>
          <w:rFonts w:eastAsia="MS Mincho"/>
          <w:sz w:val="22"/>
          <w:szCs w:val="22"/>
          <w:lang w:val="en-US"/>
        </w:rPr>
        <w:t>Synergies and opportunities identified for collaboration and cooperation among the Member States, as well as with regional institutions for the implementation of initiatives related to the reactivation of the post-pandemic education sector, the safe return to face-to-face classes, and the digital educational agenda, in accordance with the resolutions of the OAS General Assembly AG/RES.2955 (LO/20), and AG/RES. 2967 (LI-O/21) “Advancing hemispheric initiatives in the area of comprehensive development: promotion of resilience”, in the framework of the discussions on the Plan of Action of Buenos Aires 2022-2025 that will be considered during the XI Inter-American Meeting of Ministers of Education.</w:t>
      </w:r>
    </w:p>
    <w:p w14:paraId="26C6EFC2" w14:textId="7E3749C0" w:rsidR="004043A2" w:rsidRPr="00AD256D" w:rsidRDefault="003C3361" w:rsidP="00636D8D">
      <w:pPr>
        <w:jc w:val="both"/>
        <w:outlineLvl w:val="0"/>
        <w:rPr>
          <w:sz w:val="22"/>
          <w:szCs w:val="22"/>
          <w:lang w:val="en-US"/>
        </w:rPr>
      </w:pPr>
      <w:r>
        <w:rPr>
          <w:noProof/>
          <w:sz w:val="22"/>
          <w:szCs w:val="22"/>
          <w:lang w:val="en-US"/>
        </w:rPr>
        <mc:AlternateContent>
          <mc:Choice Requires="wps">
            <w:drawing>
              <wp:anchor distT="0" distB="0" distL="114300" distR="114300" simplePos="0" relativeHeight="251659264" behindDoc="0" locked="1" layoutInCell="1" allowOverlap="1" wp14:anchorId="2A155080" wp14:editId="35A7E7DC">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3293D69" w14:textId="6384F187" w:rsidR="003C3361" w:rsidRPr="003C3361" w:rsidRDefault="003C3361">
                            <w:pPr>
                              <w:rPr>
                                <w:sz w:val="18"/>
                              </w:rPr>
                            </w:pPr>
                            <w:r>
                              <w:rPr>
                                <w:sz w:val="18"/>
                              </w:rPr>
                              <w:fldChar w:fldCharType="begin"/>
                            </w:r>
                            <w:r>
                              <w:rPr>
                                <w:sz w:val="18"/>
                              </w:rPr>
                              <w:instrText xml:space="preserve"> FILENAME  \* MERGEFORMAT </w:instrText>
                            </w:r>
                            <w:r>
                              <w:rPr>
                                <w:sz w:val="18"/>
                              </w:rPr>
                              <w:fldChar w:fldCharType="separate"/>
                            </w:r>
                            <w:r>
                              <w:rPr>
                                <w:noProof/>
                                <w:sz w:val="18"/>
                              </w:rPr>
                              <w:t>CIDRP03513E01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55080"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3293D69" w14:textId="6384F187" w:rsidR="003C3361" w:rsidRPr="003C3361" w:rsidRDefault="003C3361">
                      <w:pPr>
                        <w:rPr>
                          <w:sz w:val="18"/>
                        </w:rPr>
                      </w:pPr>
                      <w:r>
                        <w:rPr>
                          <w:sz w:val="18"/>
                        </w:rPr>
                        <w:fldChar w:fldCharType="begin"/>
                      </w:r>
                      <w:r>
                        <w:rPr>
                          <w:sz w:val="18"/>
                        </w:rPr>
                        <w:instrText xml:space="preserve"> FILENAME  \* MERGEFORMAT </w:instrText>
                      </w:r>
                      <w:r>
                        <w:rPr>
                          <w:sz w:val="18"/>
                        </w:rPr>
                        <w:fldChar w:fldCharType="separate"/>
                      </w:r>
                      <w:r>
                        <w:rPr>
                          <w:noProof/>
                          <w:sz w:val="18"/>
                        </w:rPr>
                        <w:t>CIDRP03513E01</w:t>
                      </w:r>
                      <w:r>
                        <w:rPr>
                          <w:sz w:val="18"/>
                        </w:rPr>
                        <w:fldChar w:fldCharType="end"/>
                      </w:r>
                    </w:p>
                  </w:txbxContent>
                </v:textbox>
                <w10:wrap anchory="page"/>
                <w10:anchorlock/>
              </v:shape>
            </w:pict>
          </mc:Fallback>
        </mc:AlternateContent>
      </w:r>
    </w:p>
    <w:sectPr w:rsidR="004043A2" w:rsidRPr="00AD256D" w:rsidSect="00AD256D">
      <w:headerReference w:type="default" r:id="rId11"/>
      <w:headerReference w:type="first" r:id="rId12"/>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5D47" w14:textId="77777777" w:rsidR="006525CC" w:rsidRDefault="006525CC" w:rsidP="004043A2">
      <w:r>
        <w:separator/>
      </w:r>
    </w:p>
  </w:endnote>
  <w:endnote w:type="continuationSeparator" w:id="0">
    <w:p w14:paraId="79010B62" w14:textId="77777777" w:rsidR="006525CC" w:rsidRDefault="006525CC" w:rsidP="004043A2">
      <w:r>
        <w:continuationSeparator/>
      </w:r>
    </w:p>
  </w:endnote>
  <w:endnote w:type="continuationNotice" w:id="1">
    <w:p w14:paraId="0A561B7C" w14:textId="77777777" w:rsidR="006525CC" w:rsidRDefault="00652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0A7A" w14:textId="77777777" w:rsidR="006525CC" w:rsidRDefault="006525CC" w:rsidP="004043A2">
      <w:r>
        <w:separator/>
      </w:r>
    </w:p>
  </w:footnote>
  <w:footnote w:type="continuationSeparator" w:id="0">
    <w:p w14:paraId="20F0ED5B" w14:textId="77777777" w:rsidR="006525CC" w:rsidRDefault="006525CC" w:rsidP="004043A2">
      <w:r>
        <w:continuationSeparator/>
      </w:r>
    </w:p>
  </w:footnote>
  <w:footnote w:type="continuationNotice" w:id="1">
    <w:p w14:paraId="70AFD1DB" w14:textId="77777777" w:rsidR="006525CC" w:rsidRDefault="006525CC"/>
  </w:footnote>
  <w:footnote w:id="2">
    <w:p w14:paraId="46EB4DF7" w14:textId="16EA92BF" w:rsidR="00AD256D" w:rsidRPr="00270873" w:rsidRDefault="00AD256D" w:rsidP="00AD256D">
      <w:pPr>
        <w:pStyle w:val="FootnoteText"/>
        <w:ind w:left="720" w:hanging="360"/>
        <w:jc w:val="both"/>
        <w:rPr>
          <w:lang w:val="en-US"/>
        </w:rPr>
      </w:pPr>
      <w:r w:rsidRPr="00AD256D">
        <w:rPr>
          <w:rStyle w:val="FootnoteReference"/>
          <w:vertAlign w:val="baseline"/>
        </w:rPr>
        <w:footnoteRef/>
      </w:r>
      <w:r>
        <w:rPr>
          <w:lang w:val="en-US"/>
        </w:rPr>
        <w:t>.</w:t>
      </w:r>
      <w:r>
        <w:rPr>
          <w:lang w:val="en-US"/>
        </w:rPr>
        <w:tab/>
      </w:r>
      <w:r w:rsidRPr="00270873">
        <w:rPr>
          <w:lang w:val="en-US"/>
        </w:rPr>
        <w:t xml:space="preserve"> </w:t>
      </w:r>
      <w:hyperlink r:id="rId1" w:history="1">
        <w:r w:rsidRPr="00636B27">
          <w:rPr>
            <w:rStyle w:val="Hyperlink"/>
            <w:lang w:val="en-US" w:eastAsia="es-ES"/>
          </w:rPr>
          <w:t>OECD-Educational International (2021), Effective and Equitable Educational Recovery: 10 Principles. Education International, Brussels.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387D8A" w:rsidRPr="0040128C" w:rsidRDefault="003643AA">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387D8A" w:rsidRPr="0040128C" w:rsidRDefault="003643AA">
    <w:pPr>
      <w:pStyle w:val="Header"/>
      <w:rPr>
        <w:noProof/>
      </w:rPr>
    </w:pPr>
    <w:r>
      <w:rPr>
        <w:noProof/>
        <w:lang w:val="es-CO" w:eastAsia="es-CO"/>
      </w:rPr>
      <mc:AlternateContent>
        <mc:Choice Requires="wps">
          <w:drawing>
            <wp:anchor distT="0" distB="0" distL="114300" distR="114300" simplePos="0" relativeHeight="251658242" behindDoc="0" locked="0" layoutInCell="1" allowOverlap="1" wp14:anchorId="43C2E382" wp14:editId="269EDC54">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476CE669" w14:textId="3F520DAE" w:rsidR="00387D8A" w:rsidRPr="00BD263A" w:rsidRDefault="003643AA" w:rsidP="00387D8A">
                    <w:pPr>
                      <w:pStyle w:val="Header"/>
                      <w:tabs>
                        <w:tab w:val="left" w:pos="900"/>
                      </w:tabs>
                      <w:spacing w:line="0" w:lineRule="atLeast"/>
                      <w:jc w:val="center"/>
                      <w:rPr>
                        <w:rFonts w:ascii="Garamond" w:hAnsi="Garamond"/>
                        <w:b/>
                        <w:sz w:val="28"/>
                        <w:lang w:val="en-US"/>
                      </w:rPr>
                    </w:pPr>
                    <w:r w:rsidRPr="00BD263A">
                      <w:rPr>
                        <w:rFonts w:ascii="Garamond" w:hAnsi="Garamond"/>
                        <w:b/>
                        <w:sz w:val="28"/>
                        <w:lang w:val="en-US"/>
                      </w:rPr>
                      <w:t>O</w:t>
                    </w:r>
                    <w:r w:rsidR="004043A2" w:rsidRPr="00BD263A">
                      <w:rPr>
                        <w:rFonts w:ascii="Garamond" w:hAnsi="Garamond"/>
                        <w:b/>
                        <w:sz w:val="28"/>
                        <w:lang w:val="en-US"/>
                      </w:rPr>
                      <w:t xml:space="preserve">RGANIZATION OF AMERICAN STATES </w:t>
                    </w:r>
                  </w:p>
                  <w:p w14:paraId="37D01F7D" w14:textId="129A222B" w:rsidR="00387D8A" w:rsidRPr="00BD263A" w:rsidRDefault="004043A2" w:rsidP="00387D8A">
                    <w:pPr>
                      <w:pStyle w:val="Header"/>
                      <w:tabs>
                        <w:tab w:val="left" w:pos="900"/>
                      </w:tabs>
                      <w:spacing w:line="0" w:lineRule="atLeast"/>
                      <w:jc w:val="center"/>
                      <w:rPr>
                        <w:rFonts w:ascii="Garamond" w:hAnsi="Garamond"/>
                        <w:b/>
                        <w:szCs w:val="22"/>
                        <w:lang w:val="en-US"/>
                      </w:rPr>
                    </w:pPr>
                    <w:r w:rsidRPr="00BD263A">
                      <w:rPr>
                        <w:rFonts w:ascii="Garamond" w:hAnsi="Garamond"/>
                        <w:b/>
                        <w:lang w:val="en-US"/>
                      </w:rPr>
                      <w:t>Inter-American Council for Integral Development</w:t>
                    </w:r>
                  </w:p>
                  <w:p w14:paraId="4654E25D" w14:textId="77777777" w:rsidR="00387D8A" w:rsidRPr="0040128C" w:rsidRDefault="003643AA" w:rsidP="00387D8A">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s-CO" w:eastAsia="es-CO"/>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387D8A" w:rsidRPr="0040128C" w:rsidRDefault="003643AA" w:rsidP="00387D8A">
                    <w:pPr>
                      <w:ind w:right="-130"/>
                    </w:pPr>
                    <w:r>
                      <w:rPr>
                        <w:noProof/>
                        <w:lang w:val="es-CO" w:eastAsia="es-CO"/>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387D8A" w:rsidRPr="0040128C" w:rsidRDefault="00387D8A">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6"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8"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0"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8"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2"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672869">
    <w:abstractNumId w:val="16"/>
  </w:num>
  <w:num w:numId="2" w16cid:durableId="1611205976">
    <w:abstractNumId w:val="24"/>
  </w:num>
  <w:num w:numId="3" w16cid:durableId="317422033">
    <w:abstractNumId w:val="14"/>
  </w:num>
  <w:num w:numId="4" w16cid:durableId="1289437677">
    <w:abstractNumId w:val="26"/>
  </w:num>
  <w:num w:numId="5" w16cid:durableId="550773382">
    <w:abstractNumId w:val="12"/>
  </w:num>
  <w:num w:numId="6" w16cid:durableId="1533495938">
    <w:abstractNumId w:val="2"/>
  </w:num>
  <w:num w:numId="7" w16cid:durableId="2058163223">
    <w:abstractNumId w:val="25"/>
  </w:num>
  <w:num w:numId="8" w16cid:durableId="629289516">
    <w:abstractNumId w:val="3"/>
  </w:num>
  <w:num w:numId="9" w16cid:durableId="476261908">
    <w:abstractNumId w:val="4"/>
  </w:num>
  <w:num w:numId="10" w16cid:durableId="1903711231">
    <w:abstractNumId w:val="18"/>
  </w:num>
  <w:num w:numId="11" w16cid:durableId="1562863345">
    <w:abstractNumId w:val="0"/>
  </w:num>
  <w:num w:numId="12" w16cid:durableId="1518881867">
    <w:abstractNumId w:val="1"/>
  </w:num>
  <w:num w:numId="13" w16cid:durableId="538323596">
    <w:abstractNumId w:val="15"/>
  </w:num>
  <w:num w:numId="14" w16cid:durableId="1887643164">
    <w:abstractNumId w:val="6"/>
  </w:num>
  <w:num w:numId="15" w16cid:durableId="354115072">
    <w:abstractNumId w:val="10"/>
  </w:num>
  <w:num w:numId="16" w16cid:durableId="72970289">
    <w:abstractNumId w:val="11"/>
  </w:num>
  <w:num w:numId="17" w16cid:durableId="481190973">
    <w:abstractNumId w:val="17"/>
  </w:num>
  <w:num w:numId="18" w16cid:durableId="870873988">
    <w:abstractNumId w:val="7"/>
  </w:num>
  <w:num w:numId="19" w16cid:durableId="870650201">
    <w:abstractNumId w:val="20"/>
  </w:num>
  <w:num w:numId="20" w16cid:durableId="705763843">
    <w:abstractNumId w:val="23"/>
  </w:num>
  <w:num w:numId="21" w16cid:durableId="109906155">
    <w:abstractNumId w:val="8"/>
  </w:num>
  <w:num w:numId="22" w16cid:durableId="1320379201">
    <w:abstractNumId w:val="5"/>
  </w:num>
  <w:num w:numId="23" w16cid:durableId="1100490774">
    <w:abstractNumId w:val="9"/>
  </w:num>
  <w:num w:numId="24" w16cid:durableId="1502773010">
    <w:abstractNumId w:val="21"/>
  </w:num>
  <w:num w:numId="25" w16cid:durableId="56905996">
    <w:abstractNumId w:val="19"/>
  </w:num>
  <w:num w:numId="26" w16cid:durableId="109519550">
    <w:abstractNumId w:val="16"/>
  </w:num>
  <w:num w:numId="27" w16cid:durableId="883448199">
    <w:abstractNumId w:val="22"/>
  </w:num>
  <w:num w:numId="28" w16cid:durableId="766996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1238D"/>
    <w:rsid w:val="00015990"/>
    <w:rsid w:val="00020B7B"/>
    <w:rsid w:val="00035C5F"/>
    <w:rsid w:val="000433EC"/>
    <w:rsid w:val="00043540"/>
    <w:rsid w:val="00045702"/>
    <w:rsid w:val="00064ABB"/>
    <w:rsid w:val="000673A2"/>
    <w:rsid w:val="00067C55"/>
    <w:rsid w:val="00071EE5"/>
    <w:rsid w:val="000746C9"/>
    <w:rsid w:val="00077B85"/>
    <w:rsid w:val="00092A61"/>
    <w:rsid w:val="00095663"/>
    <w:rsid w:val="00097E94"/>
    <w:rsid w:val="000A0A91"/>
    <w:rsid w:val="000A203B"/>
    <w:rsid w:val="000A2EB1"/>
    <w:rsid w:val="000A5063"/>
    <w:rsid w:val="000B0C5D"/>
    <w:rsid w:val="000B2D2A"/>
    <w:rsid w:val="000B4043"/>
    <w:rsid w:val="000D2F82"/>
    <w:rsid w:val="000E3A82"/>
    <w:rsid w:val="000F0FA3"/>
    <w:rsid w:val="00106275"/>
    <w:rsid w:val="001070BB"/>
    <w:rsid w:val="00120056"/>
    <w:rsid w:val="00127947"/>
    <w:rsid w:val="001356E4"/>
    <w:rsid w:val="00143D1D"/>
    <w:rsid w:val="00146E65"/>
    <w:rsid w:val="0014711F"/>
    <w:rsid w:val="001536DC"/>
    <w:rsid w:val="00161648"/>
    <w:rsid w:val="001774D9"/>
    <w:rsid w:val="001845A4"/>
    <w:rsid w:val="001A3BA0"/>
    <w:rsid w:val="001B5210"/>
    <w:rsid w:val="001E141F"/>
    <w:rsid w:val="001E6611"/>
    <w:rsid w:val="001E796B"/>
    <w:rsid w:val="001F10B2"/>
    <w:rsid w:val="001F48F4"/>
    <w:rsid w:val="00204D57"/>
    <w:rsid w:val="00205ECA"/>
    <w:rsid w:val="002149E4"/>
    <w:rsid w:val="00234AB9"/>
    <w:rsid w:val="00240533"/>
    <w:rsid w:val="002470A8"/>
    <w:rsid w:val="00250507"/>
    <w:rsid w:val="00255D44"/>
    <w:rsid w:val="00263CAD"/>
    <w:rsid w:val="0027041A"/>
    <w:rsid w:val="002731C2"/>
    <w:rsid w:val="002742A6"/>
    <w:rsid w:val="00281F0D"/>
    <w:rsid w:val="00294484"/>
    <w:rsid w:val="0029595F"/>
    <w:rsid w:val="00297101"/>
    <w:rsid w:val="002A4827"/>
    <w:rsid w:val="002B52D4"/>
    <w:rsid w:val="002B5E43"/>
    <w:rsid w:val="002C5252"/>
    <w:rsid w:val="002E5D95"/>
    <w:rsid w:val="002E7723"/>
    <w:rsid w:val="002E77FC"/>
    <w:rsid w:val="002F6FAA"/>
    <w:rsid w:val="00306330"/>
    <w:rsid w:val="00307582"/>
    <w:rsid w:val="00307671"/>
    <w:rsid w:val="00315C7E"/>
    <w:rsid w:val="0032573B"/>
    <w:rsid w:val="003411D5"/>
    <w:rsid w:val="0034329B"/>
    <w:rsid w:val="0035352F"/>
    <w:rsid w:val="003643AA"/>
    <w:rsid w:val="00372BF7"/>
    <w:rsid w:val="0038034D"/>
    <w:rsid w:val="00380D1A"/>
    <w:rsid w:val="003873DE"/>
    <w:rsid w:val="00387D8A"/>
    <w:rsid w:val="0039067B"/>
    <w:rsid w:val="003906B7"/>
    <w:rsid w:val="003971E2"/>
    <w:rsid w:val="003A708F"/>
    <w:rsid w:val="003B4161"/>
    <w:rsid w:val="003C3361"/>
    <w:rsid w:val="003E170F"/>
    <w:rsid w:val="00404336"/>
    <w:rsid w:val="004043A2"/>
    <w:rsid w:val="004055D7"/>
    <w:rsid w:val="00406F3D"/>
    <w:rsid w:val="00407BFC"/>
    <w:rsid w:val="00413A82"/>
    <w:rsid w:val="00426C71"/>
    <w:rsid w:val="00432868"/>
    <w:rsid w:val="004468A5"/>
    <w:rsid w:val="00450361"/>
    <w:rsid w:val="004541EB"/>
    <w:rsid w:val="00457ECB"/>
    <w:rsid w:val="00470C55"/>
    <w:rsid w:val="0048309B"/>
    <w:rsid w:val="00484FC0"/>
    <w:rsid w:val="004908CB"/>
    <w:rsid w:val="004954A1"/>
    <w:rsid w:val="004C032B"/>
    <w:rsid w:val="004C26CB"/>
    <w:rsid w:val="004E211D"/>
    <w:rsid w:val="004E23AF"/>
    <w:rsid w:val="004E41A9"/>
    <w:rsid w:val="004F29A2"/>
    <w:rsid w:val="004F3663"/>
    <w:rsid w:val="005072FE"/>
    <w:rsid w:val="00523CCC"/>
    <w:rsid w:val="0053344B"/>
    <w:rsid w:val="00540D55"/>
    <w:rsid w:val="00541E2F"/>
    <w:rsid w:val="00546BC5"/>
    <w:rsid w:val="00555842"/>
    <w:rsid w:val="0055701E"/>
    <w:rsid w:val="00557517"/>
    <w:rsid w:val="005628FD"/>
    <w:rsid w:val="00562DC6"/>
    <w:rsid w:val="00563CA4"/>
    <w:rsid w:val="00564733"/>
    <w:rsid w:val="00565CB6"/>
    <w:rsid w:val="005729AA"/>
    <w:rsid w:val="00585A36"/>
    <w:rsid w:val="005868B0"/>
    <w:rsid w:val="005C3A80"/>
    <w:rsid w:val="005C7E62"/>
    <w:rsid w:val="005D3718"/>
    <w:rsid w:val="005F1B2D"/>
    <w:rsid w:val="005F2FD0"/>
    <w:rsid w:val="005F5EEF"/>
    <w:rsid w:val="006135E1"/>
    <w:rsid w:val="00613661"/>
    <w:rsid w:val="00615AB0"/>
    <w:rsid w:val="00634DEA"/>
    <w:rsid w:val="00636D8D"/>
    <w:rsid w:val="006525CC"/>
    <w:rsid w:val="00654681"/>
    <w:rsid w:val="00661420"/>
    <w:rsid w:val="00670D0B"/>
    <w:rsid w:val="00675C1F"/>
    <w:rsid w:val="00683091"/>
    <w:rsid w:val="006A58A1"/>
    <w:rsid w:val="006A6FE5"/>
    <w:rsid w:val="006B3565"/>
    <w:rsid w:val="006B4484"/>
    <w:rsid w:val="006C0C76"/>
    <w:rsid w:val="006C7F3C"/>
    <w:rsid w:val="006D1E45"/>
    <w:rsid w:val="006E4B72"/>
    <w:rsid w:val="006F47DD"/>
    <w:rsid w:val="00704581"/>
    <w:rsid w:val="00705BF2"/>
    <w:rsid w:val="007068F9"/>
    <w:rsid w:val="00715811"/>
    <w:rsid w:val="00715C1A"/>
    <w:rsid w:val="00726F7B"/>
    <w:rsid w:val="00731A07"/>
    <w:rsid w:val="00736BE6"/>
    <w:rsid w:val="00742623"/>
    <w:rsid w:val="00742891"/>
    <w:rsid w:val="00750432"/>
    <w:rsid w:val="00753DF0"/>
    <w:rsid w:val="007547D9"/>
    <w:rsid w:val="00761A54"/>
    <w:rsid w:val="00773B90"/>
    <w:rsid w:val="00777743"/>
    <w:rsid w:val="00782F49"/>
    <w:rsid w:val="007946CA"/>
    <w:rsid w:val="007D63B5"/>
    <w:rsid w:val="007F0FE9"/>
    <w:rsid w:val="00803244"/>
    <w:rsid w:val="00810FEE"/>
    <w:rsid w:val="00817174"/>
    <w:rsid w:val="008172F7"/>
    <w:rsid w:val="00834BF2"/>
    <w:rsid w:val="008525D0"/>
    <w:rsid w:val="00853FBC"/>
    <w:rsid w:val="008566EF"/>
    <w:rsid w:val="0085696D"/>
    <w:rsid w:val="008603AB"/>
    <w:rsid w:val="0086321D"/>
    <w:rsid w:val="00864AE6"/>
    <w:rsid w:val="008859BB"/>
    <w:rsid w:val="0089157C"/>
    <w:rsid w:val="00895B89"/>
    <w:rsid w:val="008966FE"/>
    <w:rsid w:val="008B42C1"/>
    <w:rsid w:val="008B67B5"/>
    <w:rsid w:val="008B7463"/>
    <w:rsid w:val="008D3251"/>
    <w:rsid w:val="008F3A2F"/>
    <w:rsid w:val="00905990"/>
    <w:rsid w:val="00921CF5"/>
    <w:rsid w:val="0092485E"/>
    <w:rsid w:val="009349F0"/>
    <w:rsid w:val="00941195"/>
    <w:rsid w:val="0094518A"/>
    <w:rsid w:val="00953A8A"/>
    <w:rsid w:val="00956146"/>
    <w:rsid w:val="00962185"/>
    <w:rsid w:val="0097224E"/>
    <w:rsid w:val="009756AC"/>
    <w:rsid w:val="00975F86"/>
    <w:rsid w:val="00976BC5"/>
    <w:rsid w:val="00987BEC"/>
    <w:rsid w:val="00990786"/>
    <w:rsid w:val="00994973"/>
    <w:rsid w:val="009B08DB"/>
    <w:rsid w:val="009B2D78"/>
    <w:rsid w:val="009C4A99"/>
    <w:rsid w:val="009D0E22"/>
    <w:rsid w:val="009E1BE0"/>
    <w:rsid w:val="009E4B9C"/>
    <w:rsid w:val="009E5688"/>
    <w:rsid w:val="009F6B5F"/>
    <w:rsid w:val="00A01FD3"/>
    <w:rsid w:val="00A11B43"/>
    <w:rsid w:val="00A11F70"/>
    <w:rsid w:val="00A205B0"/>
    <w:rsid w:val="00A2456F"/>
    <w:rsid w:val="00A368B3"/>
    <w:rsid w:val="00A4058B"/>
    <w:rsid w:val="00A41D8A"/>
    <w:rsid w:val="00A450E7"/>
    <w:rsid w:val="00A4770F"/>
    <w:rsid w:val="00A555C3"/>
    <w:rsid w:val="00A61B5C"/>
    <w:rsid w:val="00A7007F"/>
    <w:rsid w:val="00A850CE"/>
    <w:rsid w:val="00AA237E"/>
    <w:rsid w:val="00AA50DE"/>
    <w:rsid w:val="00AB37EA"/>
    <w:rsid w:val="00AC2859"/>
    <w:rsid w:val="00AD087D"/>
    <w:rsid w:val="00AD256D"/>
    <w:rsid w:val="00AD38E1"/>
    <w:rsid w:val="00AE31CE"/>
    <w:rsid w:val="00AF0687"/>
    <w:rsid w:val="00AF6AC5"/>
    <w:rsid w:val="00AF7622"/>
    <w:rsid w:val="00B0399D"/>
    <w:rsid w:val="00B2503B"/>
    <w:rsid w:val="00B36EBF"/>
    <w:rsid w:val="00B4214F"/>
    <w:rsid w:val="00B450B7"/>
    <w:rsid w:val="00B477B0"/>
    <w:rsid w:val="00B50166"/>
    <w:rsid w:val="00B52573"/>
    <w:rsid w:val="00B561C8"/>
    <w:rsid w:val="00B603F0"/>
    <w:rsid w:val="00B62DD7"/>
    <w:rsid w:val="00B74082"/>
    <w:rsid w:val="00B776D1"/>
    <w:rsid w:val="00B77EFF"/>
    <w:rsid w:val="00B964C5"/>
    <w:rsid w:val="00BA16AB"/>
    <w:rsid w:val="00BB072D"/>
    <w:rsid w:val="00BB5623"/>
    <w:rsid w:val="00BC1B92"/>
    <w:rsid w:val="00BC6D4A"/>
    <w:rsid w:val="00BC6E21"/>
    <w:rsid w:val="00BD1DCB"/>
    <w:rsid w:val="00BD263A"/>
    <w:rsid w:val="00BE7725"/>
    <w:rsid w:val="00BF4632"/>
    <w:rsid w:val="00C01545"/>
    <w:rsid w:val="00C02871"/>
    <w:rsid w:val="00C067D9"/>
    <w:rsid w:val="00C074FE"/>
    <w:rsid w:val="00C126BA"/>
    <w:rsid w:val="00C15F5D"/>
    <w:rsid w:val="00C16FCB"/>
    <w:rsid w:val="00C17F8B"/>
    <w:rsid w:val="00C27A85"/>
    <w:rsid w:val="00C518D2"/>
    <w:rsid w:val="00C54A17"/>
    <w:rsid w:val="00C64063"/>
    <w:rsid w:val="00C677BB"/>
    <w:rsid w:val="00C71E0F"/>
    <w:rsid w:val="00C72879"/>
    <w:rsid w:val="00C73BA5"/>
    <w:rsid w:val="00C77C4C"/>
    <w:rsid w:val="00C8093A"/>
    <w:rsid w:val="00C82E16"/>
    <w:rsid w:val="00C96256"/>
    <w:rsid w:val="00CB78CF"/>
    <w:rsid w:val="00CF4E26"/>
    <w:rsid w:val="00CF7A22"/>
    <w:rsid w:val="00CF7C45"/>
    <w:rsid w:val="00D12AEA"/>
    <w:rsid w:val="00D16E8D"/>
    <w:rsid w:val="00D20D16"/>
    <w:rsid w:val="00D3458F"/>
    <w:rsid w:val="00D37813"/>
    <w:rsid w:val="00D4056E"/>
    <w:rsid w:val="00D45623"/>
    <w:rsid w:val="00D46992"/>
    <w:rsid w:val="00D840CD"/>
    <w:rsid w:val="00DB2ADA"/>
    <w:rsid w:val="00DB5DBA"/>
    <w:rsid w:val="00DD3C02"/>
    <w:rsid w:val="00DD70EA"/>
    <w:rsid w:val="00DF1355"/>
    <w:rsid w:val="00E0494C"/>
    <w:rsid w:val="00E0533C"/>
    <w:rsid w:val="00E106A5"/>
    <w:rsid w:val="00E16032"/>
    <w:rsid w:val="00E2114D"/>
    <w:rsid w:val="00E33644"/>
    <w:rsid w:val="00E55B98"/>
    <w:rsid w:val="00E624B5"/>
    <w:rsid w:val="00E73B00"/>
    <w:rsid w:val="00E76537"/>
    <w:rsid w:val="00E779BD"/>
    <w:rsid w:val="00E9777C"/>
    <w:rsid w:val="00EA0807"/>
    <w:rsid w:val="00EA7D2D"/>
    <w:rsid w:val="00EC568A"/>
    <w:rsid w:val="00ED4286"/>
    <w:rsid w:val="00EE6940"/>
    <w:rsid w:val="00EF1972"/>
    <w:rsid w:val="00F052B5"/>
    <w:rsid w:val="00F075F1"/>
    <w:rsid w:val="00F15174"/>
    <w:rsid w:val="00F30B9F"/>
    <w:rsid w:val="00F3705D"/>
    <w:rsid w:val="00F50157"/>
    <w:rsid w:val="00F50DFC"/>
    <w:rsid w:val="00F52F41"/>
    <w:rsid w:val="00F5493F"/>
    <w:rsid w:val="00F71588"/>
    <w:rsid w:val="00F74A49"/>
    <w:rsid w:val="00F80A54"/>
    <w:rsid w:val="00F8747C"/>
    <w:rsid w:val="00F9023E"/>
    <w:rsid w:val="00F959E0"/>
    <w:rsid w:val="00FA32E2"/>
    <w:rsid w:val="00FB55C9"/>
    <w:rsid w:val="00FB61C3"/>
    <w:rsid w:val="00FB6686"/>
    <w:rsid w:val="00FC52C7"/>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chartTrackingRefBased/>
  <w15:docId w15:val="{F6C15B06-D663-2641-9C61-32574DDA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uiPriority w:val="99"/>
    <w:rsid w:val="004043A2"/>
  </w:style>
  <w:style w:type="character" w:customStyle="1" w:styleId="FootnoteTextChar">
    <w:name w:val="Footnote Text Char"/>
    <w:basedOn w:val="DefaultParagraphFont"/>
    <w:link w:val="FootnoteText"/>
    <w:uiPriority w:val="99"/>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aliases w:val="Fundamentacion,Bulleted List,SubPárrafo de lista"/>
    <w:basedOn w:val="Normal"/>
    <w:link w:val="ListParagraphChar"/>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styleId="UnresolvedMention">
    <w:name w:val="Unresolved Mention"/>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aliases w:val="Fundamentacion Char,Bulleted List Char,SubPárrafo de lista Char"/>
    <w:basedOn w:val="DefaultParagraphFont"/>
    <w:link w:val="ListParagraph"/>
    <w:qFormat/>
    <w:locked/>
    <w:rsid w:val="00EE6940"/>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qmap.bangkok.unesco.org/wp-content/uploads/2021/05/10-principles-effective-equitable-educational-recovery-COVID.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F99A0-C27C-4209-ADFF-C3B5D3C54964}">
  <ds:schemaRefs>
    <ds:schemaRef ds:uri="http://schemas.openxmlformats.org/officeDocument/2006/bibliography"/>
  </ds:schemaRefs>
</ds:datastoreItem>
</file>

<file path=customXml/itemProps3.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4.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Diaz - Avalos,  Estela</cp:lastModifiedBy>
  <cp:revision>3</cp:revision>
  <dcterms:created xsi:type="dcterms:W3CDTF">2022-04-28T03:04:00Z</dcterms:created>
  <dcterms:modified xsi:type="dcterms:W3CDTF">2022-04-28T03:05:00Z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