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9DFEA01" w:rsidR="00722693" w:rsidRPr="00D6069E" w:rsidRDefault="00FA607C" w:rsidP="005067D7">
      <w:pPr>
        <w:tabs>
          <w:tab w:val="left" w:pos="7200"/>
        </w:tabs>
        <w:ind w:right="-1080"/>
        <w:rPr>
          <w:sz w:val="22"/>
          <w:szCs w:val="22"/>
          <w:lang w:val="pt-BR"/>
        </w:rPr>
      </w:pPr>
      <w:r w:rsidRPr="00BC6EAE">
        <w:rPr>
          <w:sz w:val="22"/>
          <w:szCs w:val="22"/>
        </w:rPr>
        <w:tab/>
      </w:r>
      <w:r w:rsidRPr="00D6069E">
        <w:rPr>
          <w:sz w:val="22"/>
          <w:szCs w:val="22"/>
          <w:lang w:val="pt-BR"/>
        </w:rPr>
        <w:t>OEA/Ser.W</w:t>
      </w:r>
    </w:p>
    <w:p w14:paraId="47887D17" w14:textId="18FB0BC4" w:rsidR="00722693" w:rsidRPr="00D6069E" w:rsidRDefault="00FA607C" w:rsidP="005067D7">
      <w:pPr>
        <w:tabs>
          <w:tab w:val="left" w:pos="7200"/>
        </w:tabs>
        <w:ind w:right="-1080"/>
        <w:rPr>
          <w:sz w:val="22"/>
          <w:szCs w:val="22"/>
          <w:lang w:val="pt-BR"/>
        </w:rPr>
      </w:pPr>
      <w:r w:rsidRPr="00D6069E">
        <w:rPr>
          <w:sz w:val="22"/>
          <w:szCs w:val="22"/>
          <w:lang w:val="pt-BR"/>
        </w:rPr>
        <w:tab/>
        <w:t>CIDI/INF.502/22</w:t>
      </w:r>
    </w:p>
    <w:p w14:paraId="5A33C6A7" w14:textId="7139D396" w:rsidR="00921E9E" w:rsidRPr="00BC6EAE" w:rsidRDefault="00FA607C" w:rsidP="005067D7">
      <w:pPr>
        <w:tabs>
          <w:tab w:val="left" w:pos="7200"/>
        </w:tabs>
        <w:ind w:right="-1080"/>
        <w:rPr>
          <w:sz w:val="22"/>
          <w:szCs w:val="22"/>
        </w:rPr>
      </w:pPr>
      <w:r w:rsidRPr="00D6069E">
        <w:rPr>
          <w:sz w:val="22"/>
          <w:szCs w:val="22"/>
          <w:lang w:val="pt-BR"/>
        </w:rPr>
        <w:tab/>
      </w:r>
      <w:r w:rsidRPr="00BC6EAE">
        <w:rPr>
          <w:sz w:val="22"/>
          <w:szCs w:val="22"/>
        </w:rPr>
        <w:t>20 mai 2022</w:t>
      </w:r>
    </w:p>
    <w:p w14:paraId="0F58D2B5" w14:textId="24BEBB87" w:rsidR="00921E9E" w:rsidRPr="00BC6EAE" w:rsidRDefault="00FA607C" w:rsidP="005067D7">
      <w:pPr>
        <w:pBdr>
          <w:bottom w:val="single" w:sz="12" w:space="1" w:color="auto"/>
        </w:pBdr>
        <w:tabs>
          <w:tab w:val="left" w:pos="7200"/>
        </w:tabs>
        <w:ind w:right="-389"/>
        <w:rPr>
          <w:sz w:val="22"/>
          <w:szCs w:val="22"/>
        </w:rPr>
      </w:pPr>
      <w:r w:rsidRPr="00BC6EAE">
        <w:rPr>
          <w:sz w:val="22"/>
          <w:szCs w:val="22"/>
        </w:rPr>
        <w:tab/>
        <w:t>Original: espagnol</w:t>
      </w:r>
    </w:p>
    <w:p w14:paraId="5D981BA8" w14:textId="77777777" w:rsidR="00921E9E" w:rsidRPr="00D6069E" w:rsidRDefault="00921E9E" w:rsidP="005067D7">
      <w:pPr>
        <w:pBdr>
          <w:bottom w:val="single" w:sz="12" w:space="1" w:color="auto"/>
        </w:pBdr>
        <w:tabs>
          <w:tab w:val="left" w:pos="7200"/>
        </w:tabs>
        <w:ind w:right="-389"/>
        <w:rPr>
          <w:sz w:val="22"/>
          <w:szCs w:val="22"/>
          <w:lang w:val="fr-FR"/>
        </w:rPr>
      </w:pPr>
    </w:p>
    <w:p w14:paraId="2F69D4D3" w14:textId="4F852273" w:rsidR="00722693" w:rsidRDefault="00722693" w:rsidP="005067D7">
      <w:pPr>
        <w:tabs>
          <w:tab w:val="left" w:pos="7200"/>
        </w:tabs>
        <w:ind w:right="-1080"/>
        <w:rPr>
          <w:sz w:val="22"/>
          <w:szCs w:val="22"/>
          <w:lang w:val="fr-FR"/>
        </w:rPr>
      </w:pPr>
    </w:p>
    <w:p w14:paraId="418772FD" w14:textId="77777777" w:rsidR="00D6069E" w:rsidRPr="00D6069E" w:rsidRDefault="00D6069E" w:rsidP="005067D7">
      <w:pPr>
        <w:tabs>
          <w:tab w:val="left" w:pos="7200"/>
        </w:tabs>
        <w:ind w:right="-1080"/>
        <w:rPr>
          <w:sz w:val="22"/>
          <w:szCs w:val="22"/>
          <w:lang w:val="fr-FR"/>
        </w:rPr>
      </w:pPr>
    </w:p>
    <w:p w14:paraId="175A517F" w14:textId="29B19D14" w:rsidR="00921E9E" w:rsidRPr="00BC6EAE" w:rsidRDefault="00281CAA" w:rsidP="005067D7">
      <w:pPr>
        <w:jc w:val="center"/>
        <w:rPr>
          <w:b/>
          <w:bCs/>
          <w:sz w:val="22"/>
          <w:szCs w:val="22"/>
        </w:rPr>
      </w:pPr>
      <w:r w:rsidRPr="00BC6EAE">
        <w:rPr>
          <w:b/>
          <w:sz w:val="22"/>
          <w:szCs w:val="22"/>
        </w:rPr>
        <w:t>DOCUMENT DE RÉFLEXION</w:t>
      </w:r>
    </w:p>
    <w:p w14:paraId="1DE3BE5E" w14:textId="77777777" w:rsidR="00CB1E4F" w:rsidRPr="00D6069E" w:rsidRDefault="00CB1E4F" w:rsidP="00D6069E">
      <w:pPr>
        <w:jc w:val="both"/>
        <w:rPr>
          <w:rFonts w:eastAsia="Calibri"/>
          <w:sz w:val="22"/>
          <w:szCs w:val="22"/>
          <w:lang w:val="fr-FR"/>
        </w:rPr>
      </w:pPr>
    </w:p>
    <w:p w14:paraId="215CDB98" w14:textId="438FF0AC" w:rsidR="00DD0DD6" w:rsidRPr="00BC6EAE" w:rsidRDefault="00FA607C" w:rsidP="005067D7">
      <w:pPr>
        <w:jc w:val="center"/>
        <w:rPr>
          <w:rFonts w:eastAsia="Calibri"/>
          <w:caps/>
          <w:sz w:val="22"/>
          <w:szCs w:val="22"/>
        </w:rPr>
      </w:pPr>
      <w:r w:rsidRPr="00BC6EAE">
        <w:rPr>
          <w:caps/>
          <w:sz w:val="22"/>
          <w:szCs w:val="22"/>
        </w:rPr>
        <w:t>Réunion ordinaire du</w:t>
      </w:r>
    </w:p>
    <w:p w14:paraId="02610FD8" w14:textId="1561936D" w:rsidR="00921E9E" w:rsidRPr="00BC6EAE" w:rsidRDefault="00FA607C" w:rsidP="005067D7">
      <w:pPr>
        <w:jc w:val="center"/>
        <w:rPr>
          <w:rFonts w:eastAsia="Calibri"/>
          <w:caps/>
          <w:sz w:val="22"/>
          <w:szCs w:val="22"/>
        </w:rPr>
      </w:pPr>
      <w:r w:rsidRPr="00BC6EAE">
        <w:rPr>
          <w:caps/>
          <w:sz w:val="22"/>
          <w:szCs w:val="22"/>
        </w:rPr>
        <w:t>Conseil interaméricain pour le développement intégré (CIDI)</w:t>
      </w:r>
    </w:p>
    <w:p w14:paraId="60A978BB" w14:textId="00034C13" w:rsidR="00921E9E" w:rsidRPr="00BC6EAE" w:rsidRDefault="00A13023" w:rsidP="005067D7">
      <w:pPr>
        <w:jc w:val="center"/>
        <w:rPr>
          <w:caps/>
          <w:sz w:val="22"/>
          <w:szCs w:val="22"/>
        </w:rPr>
      </w:pPr>
      <w:r w:rsidRPr="00BC6EAE">
        <w:rPr>
          <w:sz w:val="22"/>
          <w:szCs w:val="22"/>
        </w:rPr>
        <w:t>31 mai 2022</w:t>
      </w:r>
    </w:p>
    <w:p w14:paraId="32410C52" w14:textId="77777777" w:rsidR="00BF3B28" w:rsidRPr="00D6069E" w:rsidRDefault="00BF3B28" w:rsidP="00D6069E">
      <w:pPr>
        <w:jc w:val="both"/>
        <w:rPr>
          <w:rFonts w:eastAsia="Calibri"/>
          <w:caps/>
          <w:sz w:val="22"/>
          <w:szCs w:val="22"/>
          <w:lang w:val="fr-FR"/>
        </w:rPr>
      </w:pPr>
    </w:p>
    <w:p w14:paraId="288951F7" w14:textId="446FA915" w:rsidR="0021502A" w:rsidRPr="00BC6EAE" w:rsidRDefault="00FA607C" w:rsidP="005067D7">
      <w:pPr>
        <w:jc w:val="center"/>
        <w:rPr>
          <w:sz w:val="22"/>
          <w:szCs w:val="22"/>
        </w:rPr>
      </w:pPr>
      <w:r w:rsidRPr="00BC6EAE">
        <w:rPr>
          <w:sz w:val="22"/>
          <w:szCs w:val="22"/>
        </w:rPr>
        <w:t>(Document élaboré par la Présidence du CIDI avec le concours du Département de l'inclusion sociale du Secrétariat à l'accès aux droits et à l'équité)</w:t>
      </w:r>
    </w:p>
    <w:p w14:paraId="15CD43B6" w14:textId="07E0EEF3" w:rsidR="007A307C" w:rsidRPr="00D6069E" w:rsidRDefault="007A307C" w:rsidP="00D6069E">
      <w:pPr>
        <w:jc w:val="both"/>
        <w:rPr>
          <w:sz w:val="22"/>
          <w:szCs w:val="22"/>
          <w:lang w:val="fr-FR"/>
        </w:rPr>
      </w:pPr>
    </w:p>
    <w:p w14:paraId="0C7F118F" w14:textId="50EF68BC" w:rsidR="007A307C" w:rsidRPr="00D6069E" w:rsidRDefault="007A307C" w:rsidP="005067D7">
      <w:pPr>
        <w:jc w:val="both"/>
        <w:rPr>
          <w:sz w:val="22"/>
          <w:szCs w:val="22"/>
          <w:lang w:val="fr-FR"/>
        </w:rPr>
      </w:pPr>
    </w:p>
    <w:p w14:paraId="2548068C" w14:textId="568DA577" w:rsidR="005A53C5" w:rsidRPr="00BC6EAE" w:rsidRDefault="00902338" w:rsidP="005067D7">
      <w:pPr>
        <w:tabs>
          <w:tab w:val="left" w:pos="1080"/>
          <w:tab w:val="left" w:pos="1440"/>
          <w:tab w:val="left" w:pos="3240"/>
        </w:tabs>
        <w:ind w:left="1080" w:hanging="1080"/>
        <w:contextualSpacing/>
        <w:jc w:val="center"/>
        <w:rPr>
          <w:b/>
          <w:bCs/>
          <w:sz w:val="22"/>
          <w:szCs w:val="22"/>
        </w:rPr>
      </w:pPr>
      <w:r w:rsidRPr="00BC6EAE">
        <w:rPr>
          <w:sz w:val="22"/>
          <w:szCs w:val="22"/>
        </w:rPr>
        <w:t>THÈME :</w:t>
      </w:r>
      <w:r w:rsidRPr="00BC6EAE">
        <w:rPr>
          <w:b/>
          <w:sz w:val="22"/>
          <w:szCs w:val="22"/>
        </w:rPr>
        <w:tab/>
        <w:t xml:space="preserve">EXAMEN MULTILATÉRAL DE LA MIGRATION </w:t>
      </w:r>
      <w:r w:rsidR="00D6069E">
        <w:rPr>
          <w:b/>
          <w:sz w:val="22"/>
          <w:szCs w:val="22"/>
        </w:rPr>
        <w:br/>
      </w:r>
      <w:r w:rsidRPr="00BC6EAE">
        <w:rPr>
          <w:b/>
          <w:sz w:val="22"/>
          <w:szCs w:val="22"/>
        </w:rPr>
        <w:t>DANS LE CONTINENT AMÉRICAIN</w:t>
      </w:r>
    </w:p>
    <w:p w14:paraId="1BC24364" w14:textId="0C6099DA" w:rsidR="00902338" w:rsidRPr="00D6069E" w:rsidRDefault="00902338" w:rsidP="00D6069E">
      <w:pPr>
        <w:tabs>
          <w:tab w:val="left" w:pos="720"/>
          <w:tab w:val="left" w:pos="1440"/>
        </w:tabs>
        <w:jc w:val="both"/>
        <w:rPr>
          <w:sz w:val="22"/>
          <w:szCs w:val="22"/>
          <w:lang w:val="fr-FR"/>
        </w:rPr>
      </w:pPr>
    </w:p>
    <w:p w14:paraId="70FAE608" w14:textId="77777777" w:rsidR="005067D7" w:rsidRPr="00D6069E" w:rsidRDefault="005067D7" w:rsidP="005067D7">
      <w:pPr>
        <w:tabs>
          <w:tab w:val="left" w:pos="720"/>
          <w:tab w:val="left" w:pos="1440"/>
        </w:tabs>
        <w:jc w:val="both"/>
        <w:rPr>
          <w:sz w:val="22"/>
          <w:szCs w:val="22"/>
          <w:lang w:val="fr-FR"/>
        </w:rPr>
      </w:pPr>
    </w:p>
    <w:p w14:paraId="7EDBDD55" w14:textId="30FDCF4F" w:rsidR="001E797F" w:rsidRPr="00BC6EAE" w:rsidRDefault="00522DF5" w:rsidP="005067D7">
      <w:pPr>
        <w:pStyle w:val="ListParagraph0"/>
        <w:numPr>
          <w:ilvl w:val="0"/>
          <w:numId w:val="47"/>
        </w:numPr>
        <w:ind w:hanging="720"/>
        <w:rPr>
          <w:b/>
          <w:sz w:val="22"/>
          <w:szCs w:val="22"/>
        </w:rPr>
      </w:pPr>
      <w:r w:rsidRPr="00BC6EAE">
        <w:rPr>
          <w:b/>
          <w:sz w:val="22"/>
          <w:szCs w:val="22"/>
        </w:rPr>
        <w:t>Antécédents et justification</w:t>
      </w:r>
    </w:p>
    <w:p w14:paraId="2BCB07AC" w14:textId="40C547CA" w:rsidR="000649B1" w:rsidRPr="00D6069E" w:rsidRDefault="000649B1" w:rsidP="00D6069E">
      <w:pPr>
        <w:tabs>
          <w:tab w:val="left" w:pos="720"/>
          <w:tab w:val="left" w:pos="1440"/>
        </w:tabs>
        <w:jc w:val="both"/>
        <w:rPr>
          <w:sz w:val="22"/>
          <w:szCs w:val="22"/>
          <w:lang w:val="fr-FR"/>
        </w:rPr>
      </w:pPr>
    </w:p>
    <w:p w14:paraId="4B2FC320" w14:textId="7469B8E9" w:rsidR="0020193C" w:rsidRPr="00BC6EAE" w:rsidRDefault="008B062F" w:rsidP="005067D7">
      <w:pPr>
        <w:ind w:firstLine="708"/>
        <w:jc w:val="both"/>
        <w:rPr>
          <w:color w:val="000000" w:themeColor="text1"/>
          <w:sz w:val="22"/>
          <w:szCs w:val="22"/>
        </w:rPr>
      </w:pPr>
      <w:r w:rsidRPr="00BC6EAE">
        <w:rPr>
          <w:color w:val="000000" w:themeColor="text1"/>
          <w:sz w:val="22"/>
          <w:szCs w:val="22"/>
        </w:rPr>
        <w:t>La migration internationale est l'une des manifestations contemporaines les plus importantes et les plus complexes de la mondialisation et constitue une question transfrontalière qu'aucun État ne peut traiter individuellement. Cependant, il reste des défis à relever pour développer une structure multilatérale cohérente et formelle pour la gestion de cette question au niveau régional dans les Amériques.</w:t>
      </w:r>
      <w:r w:rsidR="00BC6EAE">
        <w:rPr>
          <w:color w:val="000000" w:themeColor="text1"/>
          <w:sz w:val="22"/>
          <w:szCs w:val="22"/>
        </w:rPr>
        <w:t xml:space="preserve"> </w:t>
      </w:r>
    </w:p>
    <w:p w14:paraId="79B29627" w14:textId="5337613C" w:rsidR="0020193C" w:rsidRPr="00D6069E" w:rsidRDefault="0020193C" w:rsidP="00D6069E">
      <w:pPr>
        <w:tabs>
          <w:tab w:val="left" w:pos="720"/>
          <w:tab w:val="left" w:pos="1440"/>
        </w:tabs>
        <w:jc w:val="both"/>
        <w:rPr>
          <w:sz w:val="22"/>
          <w:szCs w:val="22"/>
          <w:lang w:val="fr-FR"/>
        </w:rPr>
      </w:pPr>
    </w:p>
    <w:p w14:paraId="2C7468E8" w14:textId="36828E7C" w:rsidR="002679AF" w:rsidRPr="00BC6EAE" w:rsidRDefault="0020193C" w:rsidP="005067D7">
      <w:pPr>
        <w:ind w:firstLine="708"/>
        <w:jc w:val="both"/>
        <w:rPr>
          <w:color w:val="000000" w:themeColor="text1"/>
          <w:sz w:val="22"/>
          <w:szCs w:val="22"/>
        </w:rPr>
      </w:pPr>
      <w:r w:rsidRPr="00BC6EAE">
        <w:rPr>
          <w:color w:val="000000" w:themeColor="text1"/>
          <w:sz w:val="22"/>
          <w:szCs w:val="22"/>
        </w:rPr>
        <w:t xml:space="preserve">À la fin de 2020, les Nations Unies recensaient près de 281 millions de migrants dans le monde, dont 26%, soit 73,5 millions de personnes, vivaient dans les Amériques, ce qui représente 7% de la population totale de la région. Huit migrants sur dix se trouvent en Amérique du Nord, tandis que l'Amérique du Sud compte près de 11 millions de migrants, dont beaucoup viennent d'autres pays de la région sud-américaine, principalement du Venezuela. Selon les estimations de l'Organisation internationale du Travail (OIT), </w:t>
      </w:r>
      <w:r w:rsidR="008F5D96">
        <w:rPr>
          <w:color w:val="000000" w:themeColor="text1"/>
          <w:sz w:val="22"/>
          <w:szCs w:val="22"/>
        </w:rPr>
        <w:t>un</w:t>
      </w:r>
      <w:r w:rsidRPr="00BC6EAE">
        <w:rPr>
          <w:color w:val="000000" w:themeColor="text1"/>
          <w:sz w:val="22"/>
          <w:szCs w:val="22"/>
        </w:rPr>
        <w:t xml:space="preserve"> travailleur migrant sur </w:t>
      </w:r>
      <w:r w:rsidR="008F5D96">
        <w:rPr>
          <w:color w:val="000000" w:themeColor="text1"/>
          <w:sz w:val="22"/>
          <w:szCs w:val="22"/>
        </w:rPr>
        <w:t>quatre</w:t>
      </w:r>
      <w:r w:rsidRPr="00BC6EAE">
        <w:rPr>
          <w:color w:val="000000" w:themeColor="text1"/>
          <w:sz w:val="22"/>
          <w:szCs w:val="22"/>
        </w:rPr>
        <w:t xml:space="preserve"> se trouve dans les Amériques. En outre, parmi les nombreuses contributions des migrants au développement de leur pays d'origine figurent les envois de fonds qui, selon les estimations de la Banque mondiale, ont atteint un nouveau sommet de 126 milliards de dollars en Amérique latine et dans les Caraïbes en 2021. </w:t>
      </w:r>
    </w:p>
    <w:p w14:paraId="5A9BCEF3" w14:textId="77777777" w:rsidR="0020193C" w:rsidRPr="00D6069E" w:rsidRDefault="0020193C" w:rsidP="005067D7">
      <w:pPr>
        <w:jc w:val="both"/>
        <w:rPr>
          <w:color w:val="000000" w:themeColor="text1"/>
          <w:sz w:val="22"/>
          <w:szCs w:val="22"/>
          <w:lang w:val="fr-FR"/>
        </w:rPr>
      </w:pPr>
    </w:p>
    <w:p w14:paraId="70A2BF3D" w14:textId="1B0A1AFC" w:rsidR="008B062F" w:rsidRPr="00BC6EAE" w:rsidRDefault="0020193C" w:rsidP="005067D7">
      <w:pPr>
        <w:ind w:firstLine="708"/>
        <w:jc w:val="both"/>
        <w:rPr>
          <w:color w:val="000000" w:themeColor="text1"/>
          <w:sz w:val="22"/>
          <w:szCs w:val="22"/>
        </w:rPr>
      </w:pPr>
      <w:r w:rsidRPr="00BC6EAE">
        <w:rPr>
          <w:color w:val="000000" w:themeColor="text1"/>
          <w:sz w:val="22"/>
          <w:szCs w:val="22"/>
        </w:rPr>
        <w:t>Des mécanismes et des processus traitant de la migration et des déplacements forcés existent aux niveaux mondial et régional, mais ils sont fragmentés entre une série d'institutions qui accordent une importance variable aux types d'arrangements, aux acteurs concernés et aux niveaux de gouvernance. En d'autres termes, la gouvernance de la migration est largement restée au niveau des États souverains, sans cadre institutionnel multilatéral formel au niveau régional dans les Amériques</w:t>
      </w:r>
      <w:r w:rsidR="00442E5D" w:rsidRPr="00BC6EAE">
        <w:rPr>
          <w:rStyle w:val="FootnoteReference"/>
          <w:color w:val="000000" w:themeColor="text1"/>
          <w:sz w:val="22"/>
          <w:szCs w:val="22"/>
          <w:u w:val="single"/>
        </w:rPr>
        <w:footnoteReference w:id="1"/>
      </w:r>
      <w:r w:rsidRPr="00BC6EAE">
        <w:rPr>
          <w:color w:val="000000" w:themeColor="text1"/>
          <w:sz w:val="22"/>
          <w:szCs w:val="22"/>
          <w:vertAlign w:val="superscript"/>
        </w:rPr>
        <w:t>/</w:t>
      </w:r>
      <w:r w:rsidRPr="00BC6EAE">
        <w:rPr>
          <w:color w:val="000000" w:themeColor="text1"/>
          <w:sz w:val="22"/>
          <w:szCs w:val="22"/>
        </w:rPr>
        <w:t>.</w:t>
      </w:r>
    </w:p>
    <w:p w14:paraId="732B87A0" w14:textId="45520150" w:rsidR="00835709" w:rsidRPr="00D6069E" w:rsidRDefault="00835709" w:rsidP="00D6069E">
      <w:pPr>
        <w:tabs>
          <w:tab w:val="left" w:pos="720"/>
          <w:tab w:val="left" w:pos="1440"/>
        </w:tabs>
        <w:jc w:val="both"/>
        <w:rPr>
          <w:sz w:val="22"/>
          <w:szCs w:val="22"/>
          <w:lang w:val="fr-FR"/>
        </w:rPr>
      </w:pPr>
    </w:p>
    <w:p w14:paraId="7A064C64" w14:textId="5923544D" w:rsidR="007679A2" w:rsidRPr="00BC6EAE" w:rsidRDefault="00CB1E4F" w:rsidP="005067D7">
      <w:pPr>
        <w:ind w:firstLine="708"/>
        <w:jc w:val="both"/>
        <w:rPr>
          <w:color w:val="000000" w:themeColor="text1"/>
          <w:sz w:val="22"/>
          <w:szCs w:val="22"/>
        </w:rPr>
      </w:pPr>
      <w:r w:rsidRPr="00BC6EAE">
        <w:rPr>
          <w:color w:val="000000" w:themeColor="text1"/>
          <w:sz w:val="22"/>
          <w:szCs w:val="22"/>
        </w:rPr>
        <w:lastRenderedPageBreak/>
        <w:t xml:space="preserve">Le paysage institutionnel de la gouvernance de la migration est de plus en plus complexe et changeant aux niveaux mondial et régional. Cette situation, associée aux récents impacts de la pandémie de COVID-19, a posé de multiples défis aux gouvernements de la région en termes d'élaboration de politiques migratoires qui abordent la migration comme un phénomène humain normal plutôt que par des approches visant à contenir ou à dissuader la migration. </w:t>
      </w:r>
    </w:p>
    <w:p w14:paraId="6BB24260" w14:textId="77777777" w:rsidR="005B5CE1" w:rsidRPr="00D6069E" w:rsidRDefault="005B5CE1" w:rsidP="00D6069E">
      <w:pPr>
        <w:tabs>
          <w:tab w:val="left" w:pos="720"/>
          <w:tab w:val="left" w:pos="1440"/>
        </w:tabs>
        <w:jc w:val="both"/>
        <w:rPr>
          <w:sz w:val="22"/>
          <w:szCs w:val="22"/>
          <w:lang w:val="fr-FR"/>
        </w:rPr>
      </w:pPr>
    </w:p>
    <w:p w14:paraId="120450CC" w14:textId="64831C4D" w:rsidR="00783F6F" w:rsidRPr="00BC6EAE" w:rsidRDefault="002F5F9D" w:rsidP="005067D7">
      <w:pPr>
        <w:ind w:firstLine="708"/>
        <w:jc w:val="both"/>
        <w:rPr>
          <w:color w:val="000000" w:themeColor="text1"/>
          <w:sz w:val="22"/>
          <w:szCs w:val="22"/>
        </w:rPr>
      </w:pPr>
      <w:r w:rsidRPr="00BC6EAE">
        <w:rPr>
          <w:color w:val="000000" w:themeColor="text1"/>
          <w:sz w:val="22"/>
          <w:szCs w:val="22"/>
        </w:rPr>
        <w:t>Dans ce contexte, il est crucial d'intégrer la migration dans la planification des politiques de développement dans un cadre fondé sur les droits de la personne. Le défi consiste donc à établir un lien entre migration et développement dans une perspective non linéaire, en examinant comment la migration influe sur le développement et comment les politiques de développement influent sur la migration.</w:t>
      </w:r>
    </w:p>
    <w:p w14:paraId="0F84ED7C" w14:textId="77777777" w:rsidR="000649B1" w:rsidRPr="00D6069E" w:rsidRDefault="000649B1" w:rsidP="005067D7">
      <w:pPr>
        <w:jc w:val="both"/>
        <w:rPr>
          <w:color w:val="000000" w:themeColor="text1"/>
          <w:sz w:val="22"/>
          <w:szCs w:val="22"/>
          <w:lang w:val="fr-FR"/>
        </w:rPr>
      </w:pPr>
    </w:p>
    <w:p w14:paraId="79975BFA" w14:textId="04BEE36D" w:rsidR="000649B1" w:rsidRPr="00BC6EAE" w:rsidRDefault="000649B1" w:rsidP="005067D7">
      <w:pPr>
        <w:ind w:firstLine="708"/>
        <w:jc w:val="both"/>
        <w:rPr>
          <w:color w:val="000000" w:themeColor="text1"/>
          <w:sz w:val="22"/>
          <w:szCs w:val="22"/>
        </w:rPr>
      </w:pPr>
      <w:r w:rsidRPr="00BC6EAE">
        <w:rPr>
          <w:color w:val="000000" w:themeColor="text1"/>
          <w:sz w:val="22"/>
          <w:szCs w:val="22"/>
        </w:rPr>
        <w:t>La région se trouve à un moment particulier puisqu'elle est à la veille du Sommet des Amériques qui se tiendra à Los Angeles, aux États-Unis, en juin 2022. Ce sommet peut être un espace idéal pour entamer la conversation sur une approche continentale afin de renforcer le principe de responsabilité partagée qui prévoit qu'aucun pays ne doit supporter seul le coût de l'accueil et de l'intégration des migrants et des réfugiés</w:t>
      </w:r>
      <w:r w:rsidR="00A6149D">
        <w:rPr>
          <w:color w:val="000000" w:themeColor="text1"/>
          <w:sz w:val="22"/>
          <w:szCs w:val="22"/>
        </w:rPr>
        <w:t>.</w:t>
      </w:r>
      <w:r w:rsidR="00783F6F" w:rsidRPr="00BC6EAE">
        <w:rPr>
          <w:rStyle w:val="FootnoteReference"/>
          <w:color w:val="000000" w:themeColor="text1"/>
          <w:sz w:val="22"/>
          <w:szCs w:val="22"/>
          <w:u w:val="single"/>
        </w:rPr>
        <w:footnoteReference w:id="2"/>
      </w:r>
      <w:r w:rsidRPr="00BC6EAE">
        <w:rPr>
          <w:color w:val="000000" w:themeColor="text1"/>
          <w:sz w:val="22"/>
          <w:szCs w:val="22"/>
          <w:vertAlign w:val="superscript"/>
        </w:rPr>
        <w:t>/.</w:t>
      </w:r>
    </w:p>
    <w:p w14:paraId="78ECC5D9" w14:textId="77777777" w:rsidR="00522DF5" w:rsidRPr="00D6069E" w:rsidRDefault="00522DF5" w:rsidP="005067D7">
      <w:pPr>
        <w:jc w:val="both"/>
        <w:rPr>
          <w:rFonts w:eastAsia="Calibri"/>
          <w:bCs/>
          <w:sz w:val="22"/>
          <w:szCs w:val="22"/>
          <w:lang w:val="fr-FR"/>
        </w:rPr>
      </w:pPr>
    </w:p>
    <w:p w14:paraId="2E6F142A" w14:textId="52916447" w:rsidR="00522DF5" w:rsidRPr="00BC6EAE" w:rsidRDefault="00522DF5" w:rsidP="00CB1E4F">
      <w:pPr>
        <w:pStyle w:val="ListParagraph0"/>
        <w:numPr>
          <w:ilvl w:val="0"/>
          <w:numId w:val="47"/>
        </w:numPr>
        <w:ind w:hanging="720"/>
        <w:rPr>
          <w:b/>
          <w:sz w:val="22"/>
          <w:szCs w:val="22"/>
        </w:rPr>
      </w:pPr>
      <w:r w:rsidRPr="00BC6EAE">
        <w:rPr>
          <w:b/>
          <w:sz w:val="22"/>
          <w:szCs w:val="22"/>
        </w:rPr>
        <w:t>But de la réunion</w:t>
      </w:r>
    </w:p>
    <w:p w14:paraId="76654C52" w14:textId="77777777" w:rsidR="00522DF5" w:rsidRPr="00D6069E" w:rsidRDefault="00522DF5" w:rsidP="00D6069E">
      <w:pPr>
        <w:tabs>
          <w:tab w:val="left" w:pos="720"/>
          <w:tab w:val="left" w:pos="1440"/>
        </w:tabs>
        <w:jc w:val="both"/>
        <w:rPr>
          <w:sz w:val="22"/>
          <w:szCs w:val="22"/>
          <w:lang w:val="fr-FR"/>
        </w:rPr>
      </w:pPr>
    </w:p>
    <w:p w14:paraId="272DE76B" w14:textId="4BA0B53A" w:rsidR="00522DF5" w:rsidRPr="00BC6EAE" w:rsidRDefault="00522DF5" w:rsidP="005067D7">
      <w:pPr>
        <w:pStyle w:val="NoSpacing"/>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olor w:val="000000" w:themeColor="text1"/>
        </w:rPr>
      </w:pPr>
      <w:bookmarkStart w:id="0" w:name="_Hlk77271427"/>
      <w:r w:rsidRPr="00BC6EAE">
        <w:rPr>
          <w:rFonts w:ascii="Times New Roman" w:hAnsi="Times New Roman"/>
        </w:rPr>
        <w:tab/>
        <w:t xml:space="preserve">Cette </w:t>
      </w:r>
      <w:r w:rsidRPr="00BC6EAE">
        <w:rPr>
          <w:rFonts w:ascii="Times New Roman" w:hAnsi="Times New Roman"/>
          <w:color w:val="000000" w:themeColor="text1"/>
        </w:rPr>
        <w:t>réunion du CIDI offrira aux États membres l'occasion de discuter des priorités réalisables pour faire progresser la collaboration régionale par le biais d'une gouvernance continentale complète et durable de la migration en tant que stratégie fondamentale pour répondre aux besoins de développement humain des pays d'origine, de transit, de destination et de retour des migrants dans les Amériques, y compris ceux qui émergent à la suite de la pandémie de COVID-19</w:t>
      </w:r>
      <w:r w:rsidRPr="00BC6EAE">
        <w:rPr>
          <w:rFonts w:ascii="Times New Roman" w:hAnsi="Times New Roman"/>
        </w:rPr>
        <w:t>.</w:t>
      </w:r>
      <w:r w:rsidRPr="00BC6EAE">
        <w:rPr>
          <w:rFonts w:ascii="Times New Roman" w:hAnsi="Times New Roman"/>
          <w:color w:val="000000" w:themeColor="text1"/>
        </w:rPr>
        <w:t xml:space="preserve"> </w:t>
      </w:r>
    </w:p>
    <w:p w14:paraId="2713B0A4" w14:textId="77777777" w:rsidR="00522DF5" w:rsidRPr="00D6069E" w:rsidRDefault="00522DF5" w:rsidP="005067D7">
      <w:pPr>
        <w:pStyle w:val="NoSpacing"/>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olor w:val="000000" w:themeColor="text1"/>
          <w:lang w:val="fr-FR"/>
        </w:rPr>
      </w:pPr>
    </w:p>
    <w:p w14:paraId="396C42F8" w14:textId="29FB55E6" w:rsidR="00522DF5" w:rsidRPr="00BC6EAE" w:rsidRDefault="00522DF5" w:rsidP="005067D7">
      <w:pPr>
        <w:tabs>
          <w:tab w:val="left" w:pos="720"/>
          <w:tab w:val="left" w:pos="1440"/>
        </w:tabs>
        <w:jc w:val="both"/>
        <w:rPr>
          <w:color w:val="000000" w:themeColor="text1"/>
          <w:sz w:val="22"/>
          <w:szCs w:val="22"/>
        </w:rPr>
      </w:pPr>
      <w:r w:rsidRPr="00BC6EAE">
        <w:rPr>
          <w:color w:val="000000" w:themeColor="text1"/>
          <w:sz w:val="22"/>
          <w:szCs w:val="22"/>
        </w:rPr>
        <w:tab/>
        <w:t>La réunion examinera les initiatives susceptibles de contribuer au renforcement de la gouvernance migratoire axée sur la gestion de la migration de manière ordonnée, humaine, sûre et régulière et conformément aux obligations internationales auxquelles les États membres de l'Organisation des États Américains (OEA) ont souscrit dans ce domaine, ainsi qu'au principe de responsabilité partagée. Cette réunion vise également à aborder les actions spécifiques menées par les États membres pour améliorer et renforcer la gestion de la migration au niveau régional, ainsi qu'à soutenir la conception de politiques publiques qui favorisent une gestion humaine, ordonnée, sûre et régulière de la migration au niveau régional et bénéficient au développement des pays d'origine, de transit, de destination et de retour des migrants, et en particulier aux migrants en situation de vulnérabilité</w:t>
      </w:r>
      <w:r w:rsidRPr="00BC6EAE">
        <w:rPr>
          <w:sz w:val="22"/>
          <w:szCs w:val="22"/>
        </w:rPr>
        <w:t>.</w:t>
      </w:r>
    </w:p>
    <w:bookmarkEnd w:id="0"/>
    <w:p w14:paraId="6849212B" w14:textId="704F5C98" w:rsidR="00522DF5" w:rsidRPr="00BC6EAE" w:rsidRDefault="00522DF5" w:rsidP="005067D7">
      <w:pPr>
        <w:tabs>
          <w:tab w:val="left" w:pos="720"/>
          <w:tab w:val="left" w:pos="1440"/>
        </w:tabs>
        <w:jc w:val="both"/>
        <w:rPr>
          <w:sz w:val="22"/>
          <w:szCs w:val="22"/>
        </w:rPr>
      </w:pPr>
    </w:p>
    <w:p w14:paraId="588A6A54" w14:textId="77777777" w:rsidR="00522DF5" w:rsidRPr="00BC6EAE" w:rsidRDefault="00522DF5" w:rsidP="005067D7">
      <w:pPr>
        <w:tabs>
          <w:tab w:val="left" w:pos="720"/>
          <w:tab w:val="left" w:pos="1440"/>
          <w:tab w:val="left" w:pos="2160"/>
        </w:tabs>
        <w:ind w:left="720" w:hanging="720"/>
        <w:jc w:val="both"/>
        <w:rPr>
          <w:b/>
          <w:sz w:val="22"/>
          <w:szCs w:val="22"/>
        </w:rPr>
      </w:pPr>
      <w:r w:rsidRPr="00BC6EAE">
        <w:rPr>
          <w:b/>
          <w:sz w:val="22"/>
          <w:szCs w:val="22"/>
        </w:rPr>
        <w:t>3.</w:t>
      </w:r>
      <w:r w:rsidRPr="00BC6EAE">
        <w:rPr>
          <w:b/>
          <w:sz w:val="22"/>
          <w:szCs w:val="22"/>
        </w:rPr>
        <w:tab/>
        <w:t>Pertinence pour le Secrétariat général de l'OEA et ses mandats</w:t>
      </w:r>
    </w:p>
    <w:p w14:paraId="511DEE15" w14:textId="2FA0251C" w:rsidR="00522DF5" w:rsidRPr="00BC6EAE" w:rsidRDefault="00522DF5" w:rsidP="005067D7">
      <w:pPr>
        <w:tabs>
          <w:tab w:val="left" w:pos="720"/>
          <w:tab w:val="left" w:pos="2955"/>
        </w:tabs>
        <w:jc w:val="both"/>
        <w:rPr>
          <w:sz w:val="22"/>
          <w:szCs w:val="22"/>
        </w:rPr>
      </w:pPr>
    </w:p>
    <w:p w14:paraId="7F904A93" w14:textId="51D4EB7A" w:rsidR="003A47C6" w:rsidRPr="00BC6EAE" w:rsidRDefault="00522DF5" w:rsidP="005067D7">
      <w:pPr>
        <w:tabs>
          <w:tab w:val="left" w:pos="720"/>
          <w:tab w:val="left" w:pos="2955"/>
        </w:tabs>
        <w:jc w:val="both"/>
        <w:rPr>
          <w:sz w:val="22"/>
          <w:szCs w:val="22"/>
        </w:rPr>
      </w:pPr>
      <w:r w:rsidRPr="00BC6EAE">
        <w:rPr>
          <w:sz w:val="22"/>
          <w:szCs w:val="22"/>
        </w:rPr>
        <w:tab/>
        <w:t xml:space="preserve">Le thème proposé pour cette réunion du CIDI coïncide avec les questions abordées par la résolution </w:t>
      </w:r>
      <w:r w:rsidRPr="00BC6EAE">
        <w:rPr>
          <w:bCs/>
          <w:sz w:val="22"/>
          <w:szCs w:val="22"/>
        </w:rPr>
        <w:t>« Encourager les initiatives continentales en matière de développement intégré :</w:t>
      </w:r>
      <w:r w:rsidR="00BC6EAE" w:rsidRPr="00BC6EAE">
        <w:rPr>
          <w:bCs/>
          <w:sz w:val="22"/>
          <w:szCs w:val="22"/>
        </w:rPr>
        <w:t xml:space="preserve"> </w:t>
      </w:r>
      <w:r w:rsidRPr="00BC6EAE">
        <w:rPr>
          <w:bCs/>
          <w:sz w:val="22"/>
          <w:szCs w:val="22"/>
        </w:rPr>
        <w:t>Promotion de la résilience »</w:t>
      </w:r>
      <w:r w:rsidRPr="00BC6EAE">
        <w:rPr>
          <w:sz w:val="22"/>
          <w:szCs w:val="22"/>
        </w:rPr>
        <w:t xml:space="preserve"> [AG/RES. 2967 (LI-O/21)</w:t>
      </w:r>
      <w:r w:rsidRPr="00BC6EAE">
        <w:rPr>
          <w:color w:val="171717"/>
          <w:sz w:val="22"/>
          <w:szCs w:val="22"/>
        </w:rPr>
        <w:t>],</w:t>
      </w:r>
      <w:r w:rsidRPr="00BC6EAE">
        <w:rPr>
          <w:sz w:val="22"/>
          <w:szCs w:val="22"/>
        </w:rPr>
        <w:t xml:space="preserve"> adoptée par l'Assemblée en novembre 2021, établit, en son dispositif, « [d]e réitérer l’importance d’une migration sûre, ordonnée et régulière et de l'élaboration de politiques publiques fondées sur des données probantes pour s’attaquer aux causes et conséquences structurelles de la migration et réduire les risques liés à la migration irrégulière ». Dans </w:t>
      </w:r>
      <w:r w:rsidRPr="00BC6EAE">
        <w:rPr>
          <w:sz w:val="22"/>
          <w:szCs w:val="22"/>
        </w:rPr>
        <w:lastRenderedPageBreak/>
        <w:t xml:space="preserve">le même temps, cette résolution </w:t>
      </w:r>
      <w:r w:rsidRPr="00BC6EAE">
        <w:rPr>
          <w:color w:val="000000" w:themeColor="text1"/>
          <w:sz w:val="22"/>
          <w:szCs w:val="22"/>
        </w:rPr>
        <w:t>invite instamment les États membres</w:t>
      </w:r>
      <w:r w:rsidRPr="00BC6EAE">
        <w:rPr>
          <w:sz w:val="22"/>
          <w:szCs w:val="22"/>
        </w:rPr>
        <w:t xml:space="preserve">, conformément aux obligations pertinentes découlant du droit international des droits de la personne, à renforcer leurs politiques publiques de lutte contre la discrimination, le racisme et la xénophobie. </w:t>
      </w:r>
    </w:p>
    <w:p w14:paraId="6BC62025" w14:textId="77777777" w:rsidR="00BC6EAE" w:rsidRDefault="00BC6EAE" w:rsidP="005067D7">
      <w:pPr>
        <w:tabs>
          <w:tab w:val="left" w:pos="720"/>
          <w:tab w:val="left" w:pos="2955"/>
        </w:tabs>
        <w:jc w:val="both"/>
        <w:rPr>
          <w:sz w:val="22"/>
          <w:szCs w:val="22"/>
        </w:rPr>
      </w:pPr>
    </w:p>
    <w:p w14:paraId="47D96ECD" w14:textId="592E9990" w:rsidR="003A47C6" w:rsidRPr="00BC6EAE" w:rsidRDefault="003A47C6" w:rsidP="005067D7">
      <w:pPr>
        <w:tabs>
          <w:tab w:val="left" w:pos="720"/>
          <w:tab w:val="left" w:pos="2955"/>
        </w:tabs>
        <w:jc w:val="both"/>
        <w:rPr>
          <w:sz w:val="22"/>
          <w:szCs w:val="22"/>
        </w:rPr>
      </w:pPr>
      <w:r w:rsidRPr="00BC6EAE">
        <w:rPr>
          <w:sz w:val="22"/>
          <w:szCs w:val="22"/>
        </w:rPr>
        <w:tab/>
        <w:t xml:space="preserve">La résolution reconnaît également les défis de la mobilité humaine causés par les effets des catastrophes naturelles, la dégradation de l'environnement et la perte de biodiversité résultant du changement climatique, et appelle à s'attaquer aux causes structurelles qui augmentent le risque de catastrophes et le déplacement de personnes qui en découle, en mettant l'accent sur des interventions d’atténuation et de prévention. </w:t>
      </w:r>
    </w:p>
    <w:p w14:paraId="7251DA67" w14:textId="2DBC809C" w:rsidR="00522DF5" w:rsidRPr="00BC6EAE" w:rsidRDefault="00522DF5" w:rsidP="0003503B">
      <w:pPr>
        <w:tabs>
          <w:tab w:val="left" w:pos="720"/>
          <w:tab w:val="left" w:pos="2955"/>
        </w:tabs>
        <w:jc w:val="both"/>
        <w:rPr>
          <w:sz w:val="22"/>
          <w:szCs w:val="22"/>
        </w:rPr>
      </w:pPr>
    </w:p>
    <w:p w14:paraId="49348320" w14:textId="77777777" w:rsidR="00522DF5" w:rsidRPr="00BC6EAE" w:rsidRDefault="00522DF5" w:rsidP="005067D7">
      <w:pPr>
        <w:pStyle w:val="ListParagraph0"/>
        <w:numPr>
          <w:ilvl w:val="0"/>
          <w:numId w:val="18"/>
        </w:numPr>
        <w:ind w:left="720" w:hanging="720"/>
        <w:rPr>
          <w:b/>
          <w:sz w:val="22"/>
          <w:szCs w:val="22"/>
        </w:rPr>
      </w:pPr>
      <w:r w:rsidRPr="00BC6EAE">
        <w:rPr>
          <w:b/>
          <w:sz w:val="22"/>
          <w:szCs w:val="22"/>
        </w:rPr>
        <w:t>Structure de la réunion</w:t>
      </w:r>
    </w:p>
    <w:p w14:paraId="7E973711" w14:textId="77777777" w:rsidR="00522DF5" w:rsidRPr="00BC6EAE" w:rsidRDefault="00522DF5" w:rsidP="005067D7">
      <w:pPr>
        <w:jc w:val="both"/>
        <w:rPr>
          <w:sz w:val="22"/>
          <w:szCs w:val="22"/>
          <w:lang w:val="es"/>
        </w:rPr>
      </w:pPr>
    </w:p>
    <w:p w14:paraId="0A287C38" w14:textId="0D1E3521" w:rsidR="00522DF5" w:rsidRPr="00BC6EAE" w:rsidRDefault="00522DF5" w:rsidP="005067D7">
      <w:pPr>
        <w:ind w:firstLine="720"/>
        <w:jc w:val="both"/>
        <w:rPr>
          <w:sz w:val="22"/>
          <w:szCs w:val="22"/>
        </w:rPr>
      </w:pPr>
      <w:r w:rsidRPr="00BC6EAE">
        <w:rPr>
          <w:sz w:val="22"/>
          <w:szCs w:val="22"/>
        </w:rPr>
        <w:t>Plusieurs intervenants ont été conviés à la réunion pour aborder les principaux défis et les possibilités de la gestion de la migration et du développement d’une gouvernance de la migration au niveau du continent dans les Amériques ainsi que pour tenir des échanges sur la formulation et la mise en œuvre de réponses plus inclusives et accessibles selon une perspective de droits de la personne et d’équité au regard du genre, de l’âge et de la diversité. Les États membres auront l'occasion de participer à un dialogue interactif guidé par la Présidente du CIDI.</w:t>
      </w:r>
    </w:p>
    <w:p w14:paraId="15E66988" w14:textId="436B3576" w:rsidR="000467B1" w:rsidRPr="00D6069E" w:rsidRDefault="000467B1" w:rsidP="00D6069E">
      <w:pPr>
        <w:jc w:val="both"/>
        <w:rPr>
          <w:sz w:val="22"/>
          <w:szCs w:val="22"/>
          <w:lang w:val="fr-FR"/>
        </w:rPr>
      </w:pPr>
    </w:p>
    <w:p w14:paraId="73029310" w14:textId="5C0D903A" w:rsidR="00522DF5" w:rsidRPr="00BC6EAE" w:rsidRDefault="00522DF5" w:rsidP="0003503B">
      <w:pPr>
        <w:ind w:left="720"/>
        <w:jc w:val="both"/>
        <w:rPr>
          <w:sz w:val="22"/>
          <w:szCs w:val="22"/>
        </w:rPr>
      </w:pPr>
      <w:r w:rsidRPr="00BC6EAE">
        <w:rPr>
          <w:b/>
          <w:sz w:val="22"/>
          <w:szCs w:val="22"/>
        </w:rPr>
        <w:t>PREMIÈRE PARTIE</w:t>
      </w:r>
      <w:r w:rsidR="00BC6EAE">
        <w:rPr>
          <w:sz w:val="22"/>
          <w:szCs w:val="22"/>
        </w:rPr>
        <w:t xml:space="preserve"> : </w:t>
      </w:r>
      <w:r w:rsidRPr="00BC6EAE">
        <w:rPr>
          <w:sz w:val="22"/>
          <w:szCs w:val="22"/>
        </w:rPr>
        <w:t xml:space="preserve">Interventions des hautes autorités de la migration, avec un maximum de 7 minutes par intervention : </w:t>
      </w:r>
    </w:p>
    <w:p w14:paraId="44D0CE10" w14:textId="77777777" w:rsidR="00522DF5" w:rsidRPr="00D6069E" w:rsidRDefault="00522DF5" w:rsidP="005067D7">
      <w:pPr>
        <w:jc w:val="both"/>
        <w:rPr>
          <w:rFonts w:eastAsia="Calibri"/>
          <w:color w:val="202124"/>
          <w:sz w:val="22"/>
          <w:szCs w:val="22"/>
          <w:lang w:val="fr-FR"/>
        </w:rPr>
      </w:pPr>
    </w:p>
    <w:p w14:paraId="776D4F2A" w14:textId="7BCDE083" w:rsidR="00017741" w:rsidRPr="00BC6EAE" w:rsidRDefault="003F60E6" w:rsidP="0003503B">
      <w:pPr>
        <w:pStyle w:val="ListParagraph0"/>
        <w:numPr>
          <w:ilvl w:val="0"/>
          <w:numId w:val="3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color w:val="202124"/>
          <w:sz w:val="22"/>
          <w:szCs w:val="22"/>
        </w:rPr>
      </w:pPr>
      <w:r w:rsidRPr="00BC6EAE">
        <w:rPr>
          <w:color w:val="202124"/>
          <w:sz w:val="22"/>
          <w:szCs w:val="22"/>
        </w:rPr>
        <w:t>M. Jerome Xavier Walcott, Ministre des affaires étrangères de la Barbade</w:t>
      </w:r>
    </w:p>
    <w:p w14:paraId="782EDC5F" w14:textId="26586C3C" w:rsidR="00C74344" w:rsidRPr="00BC6EAE" w:rsidRDefault="003F60E6" w:rsidP="0003503B">
      <w:pPr>
        <w:pStyle w:val="ListParagraph0"/>
        <w:numPr>
          <w:ilvl w:val="0"/>
          <w:numId w:val="3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color w:val="202124"/>
          <w:sz w:val="22"/>
          <w:szCs w:val="22"/>
        </w:rPr>
      </w:pPr>
      <w:r w:rsidRPr="00BC6EAE">
        <w:rPr>
          <w:color w:val="202124"/>
          <w:sz w:val="22"/>
          <w:szCs w:val="22"/>
        </w:rPr>
        <w:t>M</w:t>
      </w:r>
      <w:r w:rsidRPr="00BC6EAE">
        <w:rPr>
          <w:color w:val="202124"/>
          <w:sz w:val="22"/>
          <w:szCs w:val="22"/>
          <w:vertAlign w:val="superscript"/>
        </w:rPr>
        <w:t>me</w:t>
      </w:r>
      <w:r w:rsidRPr="00BC6EAE">
        <w:rPr>
          <w:color w:val="202124"/>
          <w:sz w:val="22"/>
          <w:szCs w:val="22"/>
        </w:rPr>
        <w:t xml:space="preserve"> Antonia Urrejola Noguera, Ministre des relations extérieures du Chili</w:t>
      </w:r>
    </w:p>
    <w:p w14:paraId="197E2264" w14:textId="4EFECC45" w:rsidR="00522DF5" w:rsidRPr="00BC6EAE" w:rsidRDefault="003F60E6" w:rsidP="0003503B">
      <w:pPr>
        <w:pStyle w:val="ListParagraph0"/>
        <w:numPr>
          <w:ilvl w:val="0"/>
          <w:numId w:val="3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color w:val="202124"/>
          <w:sz w:val="22"/>
          <w:szCs w:val="22"/>
        </w:rPr>
      </w:pPr>
      <w:r w:rsidRPr="00BC6EAE">
        <w:rPr>
          <w:color w:val="202124"/>
          <w:sz w:val="22"/>
          <w:szCs w:val="22"/>
        </w:rPr>
        <w:t>M</w:t>
      </w:r>
      <w:r w:rsidRPr="00BC6EAE">
        <w:rPr>
          <w:color w:val="202124"/>
          <w:sz w:val="22"/>
          <w:szCs w:val="22"/>
          <w:vertAlign w:val="superscript"/>
        </w:rPr>
        <w:t>me</w:t>
      </w:r>
      <w:r w:rsidRPr="00BC6EAE">
        <w:rPr>
          <w:color w:val="202124"/>
          <w:sz w:val="22"/>
          <w:szCs w:val="22"/>
        </w:rPr>
        <w:t xml:space="preserve"> Erika Mouynes, Ministre des relations extérieures du Panama</w:t>
      </w:r>
    </w:p>
    <w:p w14:paraId="0AB1E753" w14:textId="77251112" w:rsidR="00C74344" w:rsidRPr="00BC6EAE" w:rsidRDefault="003F60E6" w:rsidP="0003503B">
      <w:pPr>
        <w:pStyle w:val="ListParagraph0"/>
        <w:numPr>
          <w:ilvl w:val="0"/>
          <w:numId w:val="3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color w:val="202124"/>
          <w:sz w:val="22"/>
          <w:szCs w:val="22"/>
        </w:rPr>
      </w:pPr>
      <w:r w:rsidRPr="00BC6EAE">
        <w:rPr>
          <w:color w:val="202124"/>
          <w:sz w:val="22"/>
          <w:szCs w:val="22"/>
        </w:rPr>
        <w:t>M. Eduardo Enrique Reina, Ministre des relations extérieures du Honduras</w:t>
      </w:r>
    </w:p>
    <w:p w14:paraId="33E06255" w14:textId="77777777" w:rsidR="00522DF5" w:rsidRPr="00D6069E" w:rsidRDefault="00522DF5" w:rsidP="00D6069E">
      <w:pPr>
        <w:jc w:val="both"/>
        <w:rPr>
          <w:sz w:val="22"/>
          <w:szCs w:val="22"/>
          <w:lang w:val="fr-FR"/>
        </w:rPr>
      </w:pPr>
    </w:p>
    <w:p w14:paraId="422931C4" w14:textId="28F7CD4F" w:rsidR="00522DF5" w:rsidRPr="00BC6EAE" w:rsidRDefault="00522DF5" w:rsidP="00AF3A9D">
      <w:pPr>
        <w:ind w:firstLine="720"/>
        <w:jc w:val="both"/>
        <w:rPr>
          <w:sz w:val="22"/>
          <w:szCs w:val="22"/>
        </w:rPr>
      </w:pPr>
      <w:r w:rsidRPr="00BC6EAE">
        <w:rPr>
          <w:sz w:val="22"/>
          <w:szCs w:val="22"/>
        </w:rPr>
        <w:t>Questions d’orientation pour les interventions des hautes autorités :</w:t>
      </w:r>
    </w:p>
    <w:p w14:paraId="416712B5" w14:textId="77777777" w:rsidR="00522DF5" w:rsidRPr="00D6069E" w:rsidRDefault="00522DF5" w:rsidP="00D6069E">
      <w:pPr>
        <w:jc w:val="both"/>
        <w:rPr>
          <w:sz w:val="22"/>
          <w:szCs w:val="22"/>
        </w:rPr>
      </w:pPr>
    </w:p>
    <w:p w14:paraId="2A456FD0" w14:textId="4394185E" w:rsidR="00522DF5" w:rsidRPr="00BC6EAE" w:rsidRDefault="00522DF5" w:rsidP="00AF3A9D">
      <w:pPr>
        <w:pStyle w:val="ListParagraph0"/>
        <w:numPr>
          <w:ilvl w:val="0"/>
          <w:numId w:val="29"/>
        </w:numPr>
        <w:ind w:left="1260" w:hanging="540"/>
        <w:jc w:val="both"/>
        <w:rPr>
          <w:sz w:val="22"/>
          <w:szCs w:val="22"/>
        </w:rPr>
      </w:pPr>
      <w:r w:rsidRPr="00BC6EAE">
        <w:rPr>
          <w:sz w:val="22"/>
          <w:szCs w:val="22"/>
        </w:rPr>
        <w:t>Quels sont les principaux défis auxquels votre pays est confronté dans la gestion de la migration?</w:t>
      </w:r>
    </w:p>
    <w:p w14:paraId="44DF5208" w14:textId="1DEA60E6" w:rsidR="00522DF5" w:rsidRPr="00BC6EAE" w:rsidRDefault="00522DF5" w:rsidP="00AF3A9D">
      <w:pPr>
        <w:pStyle w:val="ListParagraph0"/>
        <w:numPr>
          <w:ilvl w:val="0"/>
          <w:numId w:val="29"/>
        </w:numPr>
        <w:ind w:left="1260" w:hanging="540"/>
        <w:jc w:val="both"/>
        <w:rPr>
          <w:sz w:val="22"/>
          <w:szCs w:val="22"/>
        </w:rPr>
      </w:pPr>
      <w:r w:rsidRPr="00BC6EAE">
        <w:rPr>
          <w:sz w:val="22"/>
          <w:szCs w:val="22"/>
        </w:rPr>
        <w:t>Quelles possibilités de collaboration ou de soutien technique votre pays pourrait-il offrir pour la gestion et la gouvernance de la migration au niveau continental?</w:t>
      </w:r>
    </w:p>
    <w:p w14:paraId="4A4CF3A5" w14:textId="24EC7251" w:rsidR="008A7943" w:rsidRPr="00BC6EAE" w:rsidRDefault="00804CD5" w:rsidP="00AF3A9D">
      <w:pPr>
        <w:pStyle w:val="ListParagraph0"/>
        <w:numPr>
          <w:ilvl w:val="0"/>
          <w:numId w:val="29"/>
        </w:numPr>
        <w:ind w:left="1260" w:hanging="540"/>
        <w:jc w:val="both"/>
        <w:rPr>
          <w:sz w:val="22"/>
          <w:szCs w:val="22"/>
        </w:rPr>
      </w:pPr>
      <w:r w:rsidRPr="00BC6EAE">
        <w:rPr>
          <w:sz w:val="22"/>
          <w:szCs w:val="22"/>
        </w:rPr>
        <w:t>Comment les espaces de dialogue et de coopération technique existants (tels que la CRM, la CSM, le MIRPS, le Processus de Quito et d’autres) peuvent-ils être exploités pour construire un mécanisme multilatéral continental qui optimise les efforts en cours?</w:t>
      </w:r>
    </w:p>
    <w:p w14:paraId="465AE415" w14:textId="77777777" w:rsidR="00522DF5" w:rsidRPr="00D6069E" w:rsidRDefault="00522DF5" w:rsidP="005067D7">
      <w:pPr>
        <w:jc w:val="both"/>
        <w:rPr>
          <w:sz w:val="22"/>
          <w:szCs w:val="22"/>
          <w:highlight w:val="yellow"/>
          <w:lang w:val="fr-FR"/>
        </w:rPr>
      </w:pPr>
    </w:p>
    <w:p w14:paraId="27ECD80A" w14:textId="694ECBDD" w:rsidR="00522DF5" w:rsidRPr="00BC6EAE" w:rsidRDefault="00522DF5" w:rsidP="00AF3A9D">
      <w:pPr>
        <w:ind w:left="720"/>
        <w:jc w:val="both"/>
        <w:rPr>
          <w:sz w:val="22"/>
          <w:szCs w:val="22"/>
        </w:rPr>
      </w:pPr>
      <w:r w:rsidRPr="00BC6EAE">
        <w:rPr>
          <w:b/>
          <w:sz w:val="22"/>
          <w:szCs w:val="22"/>
        </w:rPr>
        <w:t>DEUXIÈME PARTIE</w:t>
      </w:r>
      <w:r w:rsidR="00BC6EAE">
        <w:rPr>
          <w:b/>
          <w:sz w:val="22"/>
          <w:szCs w:val="22"/>
        </w:rPr>
        <w:t> :</w:t>
      </w:r>
      <w:r w:rsidRPr="00BC6EAE">
        <w:rPr>
          <w:b/>
          <w:sz w:val="22"/>
          <w:szCs w:val="22"/>
        </w:rPr>
        <w:t xml:space="preserve"> </w:t>
      </w:r>
      <w:r w:rsidRPr="00BC6EAE">
        <w:rPr>
          <w:sz w:val="22"/>
          <w:szCs w:val="22"/>
        </w:rPr>
        <w:t>Panel technique au cours duquel les participants auront 5 minutes pour répondre aux questions ciblées.</w:t>
      </w:r>
      <w:r w:rsidR="00BC6EAE">
        <w:rPr>
          <w:sz w:val="22"/>
          <w:szCs w:val="22"/>
        </w:rPr>
        <w:t xml:space="preserve"> </w:t>
      </w:r>
      <w:r w:rsidRPr="00BC6EAE">
        <w:rPr>
          <w:sz w:val="22"/>
          <w:szCs w:val="22"/>
        </w:rPr>
        <w:t>Après la session de questions et réponses, les délégations seront invitées à partager les meilleures pratiques, les besoins, les défis persistants et les opportunités et/ou les demandes spécifiques de collaboration continentale en la matière.</w:t>
      </w:r>
    </w:p>
    <w:p w14:paraId="047AF631" w14:textId="77777777" w:rsidR="00AF3A9D" w:rsidRPr="00D6069E" w:rsidRDefault="00AF3A9D" w:rsidP="00D6069E">
      <w:pPr>
        <w:jc w:val="both"/>
        <w:rPr>
          <w:sz w:val="22"/>
          <w:szCs w:val="22"/>
          <w:lang w:val="fr-FR"/>
        </w:rPr>
      </w:pPr>
    </w:p>
    <w:p w14:paraId="463CA631" w14:textId="4766A411" w:rsidR="0003503B" w:rsidRPr="00BC6EAE" w:rsidRDefault="0003503B" w:rsidP="00AF3A9D">
      <w:pPr>
        <w:ind w:left="720"/>
        <w:jc w:val="both"/>
        <w:rPr>
          <w:sz w:val="22"/>
          <w:szCs w:val="22"/>
        </w:rPr>
      </w:pPr>
      <w:r w:rsidRPr="00BC6EAE">
        <w:rPr>
          <w:b/>
          <w:bCs/>
          <w:sz w:val="22"/>
          <w:szCs w:val="22"/>
        </w:rPr>
        <w:t>ANIMATRICE :</w:t>
      </w:r>
      <w:r w:rsidRPr="00BC6EAE">
        <w:rPr>
          <w:sz w:val="22"/>
          <w:szCs w:val="22"/>
        </w:rPr>
        <w:t xml:space="preserve"> Ambassadrice María del Carmen Roquebert, Représentante permanente du Panama près de l'Organisation des États Américains (OEA), Présidente du CIDI</w:t>
      </w:r>
    </w:p>
    <w:p w14:paraId="581A3950" w14:textId="77777777" w:rsidR="00522DF5" w:rsidRPr="00D6069E" w:rsidRDefault="00522DF5" w:rsidP="00D6069E">
      <w:pPr>
        <w:jc w:val="both"/>
        <w:rPr>
          <w:sz w:val="22"/>
          <w:szCs w:val="22"/>
          <w:lang w:val="fr-FR"/>
        </w:rPr>
      </w:pPr>
    </w:p>
    <w:p w14:paraId="01158D41" w14:textId="20FD0E02" w:rsidR="00522DF5" w:rsidRPr="00BC6EAE" w:rsidRDefault="00522DF5" w:rsidP="00D6069E">
      <w:pPr>
        <w:keepNext/>
        <w:ind w:left="720"/>
        <w:jc w:val="both"/>
        <w:rPr>
          <w:rFonts w:eastAsia="Calibri"/>
          <w:b/>
          <w:bCs/>
          <w:sz w:val="22"/>
          <w:szCs w:val="22"/>
        </w:rPr>
      </w:pPr>
      <w:r w:rsidRPr="00BC6EAE">
        <w:rPr>
          <w:b/>
          <w:sz w:val="22"/>
          <w:szCs w:val="22"/>
        </w:rPr>
        <w:lastRenderedPageBreak/>
        <w:t>Panélistes invités</w:t>
      </w:r>
    </w:p>
    <w:p w14:paraId="32D8AC43" w14:textId="77777777" w:rsidR="00522DF5" w:rsidRPr="00BC6EAE" w:rsidRDefault="00522DF5" w:rsidP="00D6069E">
      <w:pPr>
        <w:keepNext/>
        <w:jc w:val="both"/>
        <w:rPr>
          <w:rFonts w:eastAsia="Calibri"/>
          <w:sz w:val="22"/>
          <w:szCs w:val="22"/>
          <w:lang w:val="es-UY"/>
        </w:rPr>
      </w:pPr>
    </w:p>
    <w:p w14:paraId="65235C15" w14:textId="53DB6DFF" w:rsidR="00C74344" w:rsidRPr="00BC6EAE" w:rsidRDefault="003F60E6" w:rsidP="00AF3A9D">
      <w:pPr>
        <w:pStyle w:val="ListParagraph0"/>
        <w:numPr>
          <w:ilvl w:val="0"/>
          <w:numId w:val="33"/>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540"/>
        <w:contextualSpacing/>
        <w:jc w:val="both"/>
        <w:rPr>
          <w:color w:val="000000" w:themeColor="text1"/>
          <w:sz w:val="22"/>
          <w:szCs w:val="22"/>
        </w:rPr>
      </w:pPr>
      <w:r w:rsidRPr="00BC6EAE">
        <w:rPr>
          <w:color w:val="000000" w:themeColor="text1"/>
          <w:sz w:val="22"/>
          <w:szCs w:val="22"/>
        </w:rPr>
        <w:t xml:space="preserve">M. Ricardo Martins Rizzo, Chef de la Division des Nations III au Ministère des relations extérieures et du Conseil de la Commission nationale brésilienne pour l'UNESCO – Point focal de la Présidence </w:t>
      </w:r>
      <w:r w:rsidRPr="00BC6EAE">
        <w:rPr>
          <w:i/>
          <w:iCs/>
          <w:color w:val="000000" w:themeColor="text1"/>
          <w:sz w:val="22"/>
          <w:szCs w:val="22"/>
        </w:rPr>
        <w:t>pro tempore</w:t>
      </w:r>
      <w:r w:rsidRPr="00BC6EAE">
        <w:rPr>
          <w:color w:val="000000" w:themeColor="text1"/>
          <w:sz w:val="22"/>
          <w:szCs w:val="22"/>
        </w:rPr>
        <w:t xml:space="preserve"> du Processus de Quito</w:t>
      </w:r>
    </w:p>
    <w:p w14:paraId="75B1C1D5" w14:textId="4A2CA5E0" w:rsidR="003D184D" w:rsidRPr="00BC6EAE" w:rsidRDefault="003F60E6" w:rsidP="00AF3A9D">
      <w:pPr>
        <w:pStyle w:val="ListParagraph0"/>
        <w:numPr>
          <w:ilvl w:val="0"/>
          <w:numId w:val="33"/>
        </w:numPr>
        <w:ind w:left="1260" w:hanging="540"/>
        <w:jc w:val="both"/>
        <w:rPr>
          <w:color w:val="000000" w:themeColor="text1"/>
          <w:sz w:val="22"/>
          <w:szCs w:val="22"/>
        </w:rPr>
      </w:pPr>
      <w:r w:rsidRPr="00BC6EAE">
        <w:rPr>
          <w:color w:val="000000" w:themeColor="text1"/>
          <w:sz w:val="22"/>
          <w:szCs w:val="22"/>
        </w:rPr>
        <w:t>M. Diego Beltrand, Envoyé spécial du Directeur général de l'Organisation internationale pour les migrations (OIM) pour les flux de réfugiés et de migrants en provenance du Venezuela</w:t>
      </w:r>
    </w:p>
    <w:p w14:paraId="3F660F7A" w14:textId="2925D0D3" w:rsidR="003D184D" w:rsidRPr="00BC6EAE" w:rsidRDefault="003F60E6" w:rsidP="00AF3A9D">
      <w:pPr>
        <w:pStyle w:val="ListParagraph0"/>
        <w:numPr>
          <w:ilvl w:val="0"/>
          <w:numId w:val="33"/>
        </w:numPr>
        <w:ind w:left="1260" w:hanging="540"/>
        <w:jc w:val="both"/>
        <w:rPr>
          <w:color w:val="000000" w:themeColor="text1"/>
          <w:sz w:val="22"/>
          <w:szCs w:val="22"/>
        </w:rPr>
      </w:pPr>
      <w:r w:rsidRPr="00BC6EAE">
        <w:rPr>
          <w:color w:val="000000" w:themeColor="text1"/>
          <w:sz w:val="22"/>
          <w:szCs w:val="22"/>
        </w:rPr>
        <w:t>M. José Samaniego, Directeur pour les Amériques du Haut-Commissariat des Nations Unies pour les réfugiés (HCR)</w:t>
      </w:r>
    </w:p>
    <w:p w14:paraId="64E08C48" w14:textId="4E274C99" w:rsidR="00A90B46" w:rsidRPr="00BC6EAE" w:rsidRDefault="003F60E6" w:rsidP="00AF3A9D">
      <w:pPr>
        <w:pStyle w:val="ListParagraph0"/>
        <w:numPr>
          <w:ilvl w:val="0"/>
          <w:numId w:val="33"/>
        </w:numPr>
        <w:tabs>
          <w:tab w:val="left" w:pos="1260"/>
          <w:tab w:val="left" w:pos="1440"/>
          <w:tab w:val="left" w:pos="3240"/>
        </w:tabs>
        <w:ind w:left="1260" w:hanging="540"/>
        <w:contextualSpacing/>
        <w:jc w:val="both"/>
        <w:rPr>
          <w:color w:val="000000" w:themeColor="text1"/>
          <w:sz w:val="22"/>
          <w:szCs w:val="22"/>
        </w:rPr>
      </w:pPr>
      <w:r w:rsidRPr="00BC6EAE">
        <w:rPr>
          <w:color w:val="000000" w:themeColor="text1"/>
          <w:sz w:val="22"/>
          <w:szCs w:val="22"/>
        </w:rPr>
        <w:t>M. Joel Hernández García, Rapporteur sur les droits des migrants (CIDH)</w:t>
      </w:r>
    </w:p>
    <w:p w14:paraId="15728CF6" w14:textId="710F3672" w:rsidR="00A90B46" w:rsidRPr="00BC6EAE" w:rsidRDefault="003F60E6" w:rsidP="00AF3A9D">
      <w:pPr>
        <w:pStyle w:val="ListParagraph0"/>
        <w:numPr>
          <w:ilvl w:val="0"/>
          <w:numId w:val="33"/>
        </w:numPr>
        <w:tabs>
          <w:tab w:val="left" w:pos="1260"/>
          <w:tab w:val="left" w:pos="1440"/>
          <w:tab w:val="left" w:pos="3240"/>
        </w:tabs>
        <w:ind w:left="1260" w:hanging="540"/>
        <w:contextualSpacing/>
        <w:jc w:val="both"/>
        <w:rPr>
          <w:color w:val="000000" w:themeColor="text1"/>
          <w:sz w:val="22"/>
          <w:szCs w:val="22"/>
        </w:rPr>
      </w:pPr>
      <w:r w:rsidRPr="00BC6EAE">
        <w:rPr>
          <w:color w:val="000000" w:themeColor="text1"/>
          <w:sz w:val="22"/>
          <w:szCs w:val="22"/>
        </w:rPr>
        <w:t>M</w:t>
      </w:r>
      <w:r w:rsidRPr="00BC6EAE">
        <w:rPr>
          <w:color w:val="000000" w:themeColor="text1"/>
          <w:sz w:val="22"/>
          <w:szCs w:val="22"/>
          <w:vertAlign w:val="superscript"/>
        </w:rPr>
        <w:t>me</w:t>
      </w:r>
      <w:r w:rsidRPr="00BC6EAE">
        <w:rPr>
          <w:color w:val="000000" w:themeColor="text1"/>
          <w:sz w:val="22"/>
          <w:szCs w:val="22"/>
        </w:rPr>
        <w:t xml:space="preserve"> Betilde Muñoz-Pogossian, Directrice du Département de l’inclusion sociale du Secrétariat à l’accès aux droits et à l’équité (OEA)</w:t>
      </w:r>
    </w:p>
    <w:p w14:paraId="7547A3B3" w14:textId="77777777" w:rsidR="003D184D" w:rsidRPr="00D6069E" w:rsidRDefault="003D184D" w:rsidP="00D6069E">
      <w:pPr>
        <w:pStyle w:val="ListParagraph0"/>
        <w:ind w:left="0"/>
        <w:jc w:val="both"/>
        <w:rPr>
          <w:color w:val="000000" w:themeColor="text1"/>
          <w:sz w:val="22"/>
          <w:szCs w:val="22"/>
          <w:lang w:val="fr-FR"/>
        </w:rPr>
      </w:pPr>
    </w:p>
    <w:p w14:paraId="3630C6C4" w14:textId="0DC74188" w:rsidR="00522DF5" w:rsidRPr="00BC6EAE" w:rsidRDefault="00522DF5" w:rsidP="00AF3A9D">
      <w:pPr>
        <w:ind w:firstLine="720"/>
        <w:jc w:val="both"/>
        <w:rPr>
          <w:color w:val="000000" w:themeColor="text1"/>
          <w:sz w:val="22"/>
          <w:szCs w:val="22"/>
        </w:rPr>
      </w:pPr>
      <w:r w:rsidRPr="00BC6EAE">
        <w:rPr>
          <w:color w:val="000000" w:themeColor="text1"/>
          <w:sz w:val="22"/>
          <w:szCs w:val="22"/>
        </w:rPr>
        <w:t>Questions d’orientation pour les interventions</w:t>
      </w:r>
    </w:p>
    <w:p w14:paraId="08461404" w14:textId="77777777" w:rsidR="00522DF5" w:rsidRPr="00BC6EAE" w:rsidRDefault="00522DF5" w:rsidP="00D6069E">
      <w:pPr>
        <w:pStyle w:val="ListParagraph0"/>
        <w:ind w:left="0"/>
        <w:jc w:val="both"/>
        <w:rPr>
          <w:color w:val="000000" w:themeColor="text1"/>
          <w:sz w:val="22"/>
          <w:szCs w:val="22"/>
          <w:lang w:val="es-US"/>
        </w:rPr>
      </w:pPr>
    </w:p>
    <w:p w14:paraId="62363A14" w14:textId="49A69231" w:rsidR="00C74344" w:rsidRPr="00BC6EAE" w:rsidRDefault="00576A1A" w:rsidP="00AF3A9D">
      <w:pPr>
        <w:pStyle w:val="ListParagraph0"/>
        <w:numPr>
          <w:ilvl w:val="0"/>
          <w:numId w:val="44"/>
        </w:numPr>
        <w:ind w:left="1260" w:hanging="540"/>
        <w:jc w:val="both"/>
        <w:rPr>
          <w:color w:val="000000" w:themeColor="text1"/>
          <w:sz w:val="22"/>
          <w:szCs w:val="22"/>
        </w:rPr>
      </w:pPr>
      <w:r w:rsidRPr="00BC6EAE">
        <w:rPr>
          <w:color w:val="000000" w:themeColor="text1"/>
          <w:sz w:val="22"/>
          <w:szCs w:val="22"/>
        </w:rPr>
        <w:t xml:space="preserve">Représentants de l'OEA, de la CIDH et du Processus de Quito : Quels sont les principaux défis et les possibilités spécifiques en matière de politique migratoire qui pourraient être abordés selon une approche continentale ? </w:t>
      </w:r>
    </w:p>
    <w:p w14:paraId="04C7CD56" w14:textId="7C3A32CA" w:rsidR="0006212F" w:rsidRPr="00BC6EAE" w:rsidRDefault="00576A1A" w:rsidP="00AF3A9D">
      <w:pPr>
        <w:pStyle w:val="ListParagraph0"/>
        <w:numPr>
          <w:ilvl w:val="0"/>
          <w:numId w:val="44"/>
        </w:numPr>
        <w:ind w:left="1260" w:hanging="540"/>
        <w:jc w:val="both"/>
        <w:rPr>
          <w:sz w:val="22"/>
          <w:szCs w:val="22"/>
        </w:rPr>
      </w:pPr>
      <w:r w:rsidRPr="00BC6EAE">
        <w:rPr>
          <w:sz w:val="22"/>
          <w:szCs w:val="22"/>
        </w:rPr>
        <w:t>Représentants du HCR et de l'OIM : Quelles mesures considérez-vous utiles pour le développement d'une gouvernance de la migration au niveau régional et d'un cadre institutionnel responsable de sa mise en application ?</w:t>
      </w:r>
    </w:p>
    <w:p w14:paraId="3A660350" w14:textId="36AE887A" w:rsidR="00522DF5" w:rsidRPr="00BC6EAE" w:rsidRDefault="000649B1" w:rsidP="00AF3A9D">
      <w:pPr>
        <w:pStyle w:val="ListParagraph0"/>
        <w:numPr>
          <w:ilvl w:val="0"/>
          <w:numId w:val="44"/>
        </w:numPr>
        <w:ind w:left="1260" w:hanging="540"/>
        <w:jc w:val="both"/>
        <w:rPr>
          <w:color w:val="000000" w:themeColor="text1"/>
          <w:sz w:val="22"/>
          <w:szCs w:val="22"/>
        </w:rPr>
      </w:pPr>
      <w:r w:rsidRPr="00BC6EAE">
        <w:rPr>
          <w:color w:val="000000" w:themeColor="text1"/>
          <w:sz w:val="22"/>
          <w:szCs w:val="22"/>
        </w:rPr>
        <w:t>Pour tous les experts : Quelles pourraient être les principales caractéristiques d'un système régional de gouvernance de la migration fondé sur les approches des droits de la personne et du développement et sur le principe de la responsabilité partagée ?</w:t>
      </w:r>
    </w:p>
    <w:p w14:paraId="7699EBF3" w14:textId="77777777" w:rsidR="00522DF5" w:rsidRPr="00D6069E" w:rsidRDefault="00522DF5" w:rsidP="005067D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202124"/>
          <w:sz w:val="22"/>
          <w:szCs w:val="22"/>
          <w:lang w:val="fr-FR"/>
        </w:rPr>
      </w:pPr>
    </w:p>
    <w:p w14:paraId="09FDCBF5" w14:textId="77777777" w:rsidR="00522DF5" w:rsidRPr="00BC6EAE" w:rsidRDefault="00522DF5" w:rsidP="005067D7">
      <w:pPr>
        <w:numPr>
          <w:ilvl w:val="0"/>
          <w:numId w:val="18"/>
        </w:numPr>
        <w:ind w:left="0" w:firstLine="0"/>
        <w:rPr>
          <w:rFonts w:eastAsia="Calibri"/>
          <w:b/>
          <w:sz w:val="22"/>
          <w:szCs w:val="22"/>
        </w:rPr>
      </w:pPr>
      <w:r w:rsidRPr="00BC6EAE">
        <w:rPr>
          <w:b/>
          <w:sz w:val="22"/>
          <w:szCs w:val="22"/>
        </w:rPr>
        <w:t>Résultats de la réunion</w:t>
      </w:r>
    </w:p>
    <w:p w14:paraId="68862116" w14:textId="77777777" w:rsidR="00522DF5" w:rsidRPr="00D6069E" w:rsidRDefault="00522DF5" w:rsidP="00D6069E">
      <w:pPr>
        <w:pStyle w:val="ListParagraph0"/>
        <w:ind w:left="0"/>
        <w:jc w:val="both"/>
        <w:rPr>
          <w:color w:val="000000" w:themeColor="text1"/>
          <w:sz w:val="22"/>
          <w:szCs w:val="22"/>
          <w:lang w:val="es-US"/>
        </w:rPr>
      </w:pPr>
    </w:p>
    <w:p w14:paraId="7CB033D6" w14:textId="76454DD3" w:rsidR="00522DF5" w:rsidRPr="00BC6EAE" w:rsidRDefault="00522DF5" w:rsidP="005067D7">
      <w:pPr>
        <w:ind w:firstLine="720"/>
        <w:jc w:val="both"/>
        <w:rPr>
          <w:rFonts w:eastAsia="Calibri"/>
          <w:sz w:val="22"/>
          <w:szCs w:val="22"/>
        </w:rPr>
      </w:pPr>
      <w:r w:rsidRPr="00BC6EAE">
        <w:rPr>
          <w:sz w:val="22"/>
          <w:szCs w:val="22"/>
        </w:rPr>
        <w:t xml:space="preserve">La réunion devrait contribuer </w:t>
      </w:r>
      <w:r w:rsidR="00BC6EAE">
        <w:rPr>
          <w:sz w:val="22"/>
          <w:szCs w:val="22"/>
        </w:rPr>
        <w:t>à atteindre les résultats ci-après</w:t>
      </w:r>
      <w:r w:rsidRPr="00BC6EAE">
        <w:rPr>
          <w:sz w:val="22"/>
          <w:szCs w:val="22"/>
        </w:rPr>
        <w:t xml:space="preserve"> :</w:t>
      </w:r>
    </w:p>
    <w:p w14:paraId="0EC199B2" w14:textId="77777777" w:rsidR="00522DF5" w:rsidRPr="00D6069E" w:rsidRDefault="00522DF5" w:rsidP="00D6069E">
      <w:pPr>
        <w:pStyle w:val="ListParagraph0"/>
        <w:ind w:left="0"/>
        <w:jc w:val="both"/>
        <w:rPr>
          <w:sz w:val="22"/>
          <w:szCs w:val="22"/>
          <w:lang w:val="fr-FR"/>
        </w:rPr>
      </w:pPr>
    </w:p>
    <w:p w14:paraId="34320C5E" w14:textId="4E237409" w:rsidR="00522DF5" w:rsidRPr="00BC6EAE" w:rsidRDefault="00522DF5" w:rsidP="00C03EF7">
      <w:pPr>
        <w:numPr>
          <w:ilvl w:val="0"/>
          <w:numId w:val="11"/>
        </w:numPr>
        <w:tabs>
          <w:tab w:val="left" w:pos="1260"/>
        </w:tabs>
        <w:ind w:left="1260" w:hanging="540"/>
        <w:jc w:val="both"/>
        <w:rPr>
          <w:rFonts w:eastAsia="Calibri"/>
          <w:sz w:val="22"/>
          <w:szCs w:val="22"/>
        </w:rPr>
      </w:pPr>
      <w:r w:rsidRPr="00BC6EAE">
        <w:rPr>
          <w:sz w:val="22"/>
          <w:szCs w:val="22"/>
        </w:rPr>
        <w:t>Fournir des informations sur les principales tendances, les défis et les possibilités spécifiques pour les États membres de l'OEA au regard du renforcement de leurs politiques nationales et régionales sur la gestion et la gouvernance de la migration et des déplacements forcés.</w:t>
      </w:r>
      <w:r w:rsidR="00BC6EAE">
        <w:rPr>
          <w:sz w:val="22"/>
          <w:szCs w:val="22"/>
        </w:rPr>
        <w:t xml:space="preserve"> </w:t>
      </w:r>
    </w:p>
    <w:p w14:paraId="7F114FA8" w14:textId="588F7251" w:rsidR="00522DF5" w:rsidRPr="00BC6EAE" w:rsidRDefault="00522DF5" w:rsidP="00C03EF7">
      <w:pPr>
        <w:numPr>
          <w:ilvl w:val="0"/>
          <w:numId w:val="11"/>
        </w:numPr>
        <w:tabs>
          <w:tab w:val="left" w:pos="1260"/>
        </w:tabs>
        <w:ind w:left="1260" w:hanging="540"/>
        <w:jc w:val="both"/>
        <w:rPr>
          <w:sz w:val="22"/>
          <w:szCs w:val="22"/>
        </w:rPr>
      </w:pPr>
      <w:r w:rsidRPr="00BC6EAE">
        <w:rPr>
          <w:sz w:val="22"/>
          <w:szCs w:val="22"/>
        </w:rPr>
        <w:t>Identifier les priorités d'action et les possibilités de coopération fondées sur le principe de la responsabilité partagée en matière de gouvernance de la migration au niveau continental afin de favoriser le développement et l'inclusion sociale au niveau régional.</w:t>
      </w:r>
    </w:p>
    <w:p w14:paraId="5629D43E" w14:textId="77FB3DD8" w:rsidR="00522DF5" w:rsidRPr="00BC6EAE" w:rsidRDefault="00522DF5" w:rsidP="00C03EF7">
      <w:pPr>
        <w:numPr>
          <w:ilvl w:val="0"/>
          <w:numId w:val="11"/>
        </w:numPr>
        <w:tabs>
          <w:tab w:val="left" w:pos="1260"/>
        </w:tabs>
        <w:ind w:left="1260" w:hanging="540"/>
        <w:jc w:val="both"/>
        <w:rPr>
          <w:rFonts w:eastAsia="Calibri"/>
          <w:sz w:val="22"/>
          <w:szCs w:val="22"/>
        </w:rPr>
      </w:pPr>
      <w:r w:rsidRPr="00BC6EAE">
        <w:rPr>
          <w:sz w:val="22"/>
          <w:szCs w:val="22"/>
        </w:rPr>
        <w:t xml:space="preserve">Encourager les États membres à partager les bonnes pratiques, les politiques et les programmes ayant donné des résultats positifs dans le traitement de la migration et des déplacements forcés aux niveaux national, sous-régional et régional, en accordant une attention particulière aux personnes les plus vulnérables. </w:t>
      </w:r>
    </w:p>
    <w:p w14:paraId="21954D1D" w14:textId="35EE29A8" w:rsidR="000B6478" w:rsidRPr="00BC6EAE" w:rsidRDefault="00A13023" w:rsidP="00C03EF7">
      <w:pPr>
        <w:numPr>
          <w:ilvl w:val="0"/>
          <w:numId w:val="11"/>
        </w:numPr>
        <w:ind w:left="1260" w:hanging="540"/>
        <w:jc w:val="both"/>
        <w:rPr>
          <w:rFonts w:eastAsia="Calibri"/>
          <w:sz w:val="22"/>
          <w:szCs w:val="22"/>
        </w:rPr>
      </w:pPr>
      <w:r w:rsidRPr="00BC6EAE">
        <w:rPr>
          <w:sz w:val="22"/>
          <w:szCs w:val="22"/>
        </w:rPr>
        <w:t>Sensibiliser les États membres aux incidences positives d’une gouvernance régionale de la migration fondée sur les approches des droits de la personne et du développement et sur le principe de la responsabilité partagée.</w:t>
      </w:r>
      <w:r w:rsidR="00D6069E">
        <w:rPr>
          <w:rFonts w:eastAsia="Calibri"/>
          <w:noProof/>
          <w:sz w:val="22"/>
          <w:szCs w:val="22"/>
        </w:rPr>
        <mc:AlternateContent>
          <mc:Choice Requires="wps">
            <w:drawing>
              <wp:anchor distT="0" distB="0" distL="114300" distR="114300" simplePos="0" relativeHeight="251659264" behindDoc="0" locked="1" layoutInCell="1" allowOverlap="1" wp14:anchorId="0CC0D6BE" wp14:editId="2C21204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EEE5AB3" w14:textId="501B1111" w:rsidR="00D6069E" w:rsidRPr="00D6069E" w:rsidRDefault="00D6069E">
                            <w:pPr>
                              <w:rPr>
                                <w:sz w:val="18"/>
                              </w:rPr>
                            </w:pPr>
                            <w:r>
                              <w:rPr>
                                <w:sz w:val="18"/>
                              </w:rPr>
                              <w:fldChar w:fldCharType="begin"/>
                            </w:r>
                            <w:r>
                              <w:rPr>
                                <w:sz w:val="18"/>
                              </w:rPr>
                              <w:instrText xml:space="preserve"> FILENAME  \* MERGEFORMAT </w:instrText>
                            </w:r>
                            <w:r>
                              <w:rPr>
                                <w:sz w:val="18"/>
                              </w:rPr>
                              <w:fldChar w:fldCharType="separate"/>
                            </w:r>
                            <w:r>
                              <w:rPr>
                                <w:noProof/>
                                <w:sz w:val="18"/>
                              </w:rPr>
                              <w:t>CIDRP03527F04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C0D6B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EEE5AB3" w14:textId="501B1111" w:rsidR="00D6069E" w:rsidRPr="00D6069E" w:rsidRDefault="00D6069E">
                      <w:pPr>
                        <w:rPr>
                          <w:sz w:val="18"/>
                        </w:rPr>
                      </w:pPr>
                      <w:r>
                        <w:rPr>
                          <w:sz w:val="18"/>
                        </w:rPr>
                        <w:fldChar w:fldCharType="begin"/>
                      </w:r>
                      <w:r>
                        <w:rPr>
                          <w:sz w:val="18"/>
                        </w:rPr>
                        <w:instrText xml:space="preserve"> FILENAME  \* MERGEFORMAT </w:instrText>
                      </w:r>
                      <w:r>
                        <w:rPr>
                          <w:sz w:val="18"/>
                        </w:rPr>
                        <w:fldChar w:fldCharType="separate"/>
                      </w:r>
                      <w:r>
                        <w:rPr>
                          <w:noProof/>
                          <w:sz w:val="18"/>
                        </w:rPr>
                        <w:t>CIDRP03527F04</w:t>
                      </w:r>
                      <w:r>
                        <w:rPr>
                          <w:sz w:val="18"/>
                        </w:rPr>
                        <w:fldChar w:fldCharType="end"/>
                      </w:r>
                    </w:p>
                  </w:txbxContent>
                </v:textbox>
                <w10:wrap anchory="page"/>
                <w10:anchorlock/>
              </v:shape>
            </w:pict>
          </mc:Fallback>
        </mc:AlternateContent>
      </w:r>
    </w:p>
    <w:sectPr w:rsidR="000B6478" w:rsidRPr="00BC6EAE" w:rsidSect="00D6069E">
      <w:headerReference w:type="default" r:id="rId11"/>
      <w:headerReference w:type="first" r:id="rId12"/>
      <w:type w:val="continuous"/>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138A" w14:textId="77777777" w:rsidR="00636DF2" w:rsidRDefault="00636DF2">
      <w:r>
        <w:rPr>
          <w:lang w:val="es"/>
        </w:rPr>
        <w:separator/>
      </w:r>
    </w:p>
  </w:endnote>
  <w:endnote w:type="continuationSeparator" w:id="0">
    <w:p w14:paraId="50AFBEFC" w14:textId="77777777" w:rsidR="00636DF2" w:rsidRDefault="00636DF2">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6E33" w14:textId="77777777" w:rsidR="00636DF2" w:rsidRDefault="00636DF2">
      <w:r>
        <w:rPr>
          <w:lang w:val="es"/>
        </w:rPr>
        <w:separator/>
      </w:r>
    </w:p>
  </w:footnote>
  <w:footnote w:type="continuationSeparator" w:id="0">
    <w:p w14:paraId="79C3CA86" w14:textId="77777777" w:rsidR="00636DF2" w:rsidRDefault="00636DF2">
      <w:r>
        <w:rPr>
          <w:lang w:val="es"/>
        </w:rPr>
        <w:continuationSeparator/>
      </w:r>
    </w:p>
  </w:footnote>
  <w:footnote w:id="1">
    <w:p w14:paraId="52AD4068" w14:textId="140F24C1" w:rsidR="00442E5D" w:rsidRPr="00D6069E" w:rsidRDefault="004A31FF" w:rsidP="0003593A">
      <w:pPr>
        <w:pStyle w:val="FootnoteText"/>
        <w:numPr>
          <w:ilvl w:val="0"/>
          <w:numId w:val="49"/>
        </w:numPr>
        <w:ind w:left="360" w:firstLine="0"/>
        <w:jc w:val="both"/>
        <w:rPr>
          <w:color w:val="000000" w:themeColor="text1"/>
        </w:rPr>
      </w:pPr>
      <w:r w:rsidRPr="00D6069E">
        <w:rPr>
          <w:color w:val="000000" w:themeColor="text1"/>
          <w:lang w:val="en-US"/>
        </w:rPr>
        <w:t>Alexander Betts (2011)</w:t>
      </w:r>
      <w:r w:rsidR="00BC6EAE" w:rsidRPr="00D6069E">
        <w:rPr>
          <w:color w:val="000000" w:themeColor="text1"/>
          <w:lang w:val="en-US"/>
        </w:rPr>
        <w:t>, « </w:t>
      </w:r>
      <w:r w:rsidRPr="00D6069E">
        <w:rPr>
          <w:lang w:val="en-US"/>
        </w:rPr>
        <w:t>Global Migration Governance</w:t>
      </w:r>
      <w:r w:rsidR="00BC6EAE" w:rsidRPr="00D6069E">
        <w:rPr>
          <w:lang w:val="en-US"/>
        </w:rPr>
        <w:t> »</w:t>
      </w:r>
      <w:r w:rsidRPr="00D6069E">
        <w:rPr>
          <w:rStyle w:val="Hyperlink"/>
          <w:color w:val="000000" w:themeColor="text1"/>
          <w:u w:val="none"/>
          <w:lang w:val="en-US"/>
        </w:rPr>
        <w:t xml:space="preserve">. </w:t>
      </w:r>
      <w:r w:rsidRPr="00D6069E">
        <w:rPr>
          <w:rStyle w:val="Hyperlink"/>
          <w:color w:val="000000" w:themeColor="text1"/>
          <w:u w:val="none"/>
        </w:rPr>
        <w:t>Oxford University Press</w:t>
      </w:r>
      <w:r w:rsidRPr="00D6069E">
        <w:rPr>
          <w:color w:val="000000" w:themeColor="text1"/>
        </w:rPr>
        <w:t>.</w:t>
      </w:r>
      <w:r w:rsidRPr="00D6069E">
        <w:rPr>
          <w:color w:val="000000" w:themeColor="text1"/>
          <w:u w:val="single"/>
        </w:rPr>
        <w:t xml:space="preserve"> </w:t>
      </w:r>
    </w:p>
  </w:footnote>
  <w:footnote w:id="2">
    <w:p w14:paraId="6B446CED" w14:textId="57ECB1BC" w:rsidR="00783F6F" w:rsidRPr="00D6069E" w:rsidRDefault="00783F6F" w:rsidP="0003503B">
      <w:pPr>
        <w:pStyle w:val="Heading1"/>
        <w:numPr>
          <w:ilvl w:val="0"/>
          <w:numId w:val="49"/>
        </w:numPr>
        <w:shd w:val="clear" w:color="auto" w:fill="FFFFFF"/>
        <w:ind w:left="720"/>
        <w:jc w:val="both"/>
        <w:rPr>
          <w:rFonts w:ascii="Times New Roman" w:hAnsi="Times New Roman"/>
          <w:b w:val="0"/>
          <w:bCs w:val="0"/>
          <w:color w:val="000000" w:themeColor="text1"/>
          <w:sz w:val="20"/>
        </w:rPr>
      </w:pPr>
      <w:r w:rsidRPr="00D6069E">
        <w:rPr>
          <w:rFonts w:ascii="Times New Roman" w:hAnsi="Times New Roman"/>
          <w:b w:val="0"/>
          <w:color w:val="000000" w:themeColor="text1"/>
          <w:sz w:val="20"/>
          <w:lang w:val="en-US"/>
        </w:rPr>
        <w:t>Betilde Muñoz-Pogossian (2022)</w:t>
      </w:r>
      <w:r w:rsidR="00BC6EAE" w:rsidRPr="00D6069E">
        <w:rPr>
          <w:rFonts w:ascii="Times New Roman" w:hAnsi="Times New Roman"/>
          <w:b w:val="0"/>
          <w:color w:val="000000" w:themeColor="text1"/>
          <w:sz w:val="20"/>
          <w:lang w:val="en-US"/>
        </w:rPr>
        <w:t>,</w:t>
      </w:r>
      <w:r w:rsidRPr="00D6069E">
        <w:rPr>
          <w:rFonts w:ascii="Times New Roman" w:hAnsi="Times New Roman"/>
          <w:b w:val="0"/>
          <w:color w:val="000000" w:themeColor="text1"/>
          <w:sz w:val="20"/>
          <w:lang w:val="en-US"/>
        </w:rPr>
        <w:t xml:space="preserve"> </w:t>
      </w:r>
      <w:r w:rsidR="00BC6EAE" w:rsidRPr="00D6069E">
        <w:rPr>
          <w:rFonts w:ascii="Times New Roman" w:hAnsi="Times New Roman"/>
          <w:b w:val="0"/>
          <w:color w:val="000000" w:themeColor="text1"/>
          <w:sz w:val="20"/>
          <w:lang w:val="en-US"/>
        </w:rPr>
        <w:t>« </w:t>
      </w:r>
      <w:r w:rsidRPr="002E6AC4">
        <w:rPr>
          <w:rFonts w:ascii="Times New Roman" w:hAnsi="Times New Roman"/>
          <w:b w:val="0"/>
          <w:i/>
          <w:iCs/>
          <w:color w:val="000000" w:themeColor="text1"/>
          <w:sz w:val="20"/>
          <w:lang w:val="en-US"/>
        </w:rPr>
        <w:t xml:space="preserve">Americas </w:t>
      </w:r>
      <w:r w:rsidR="002E6AC4" w:rsidRPr="002E6AC4">
        <w:rPr>
          <w:rFonts w:ascii="Times New Roman" w:hAnsi="Times New Roman"/>
          <w:b w:val="0"/>
          <w:i/>
          <w:iCs/>
          <w:color w:val="000000" w:themeColor="text1"/>
          <w:sz w:val="20"/>
          <w:lang w:val="en-US"/>
        </w:rPr>
        <w:t>Quarterly</w:t>
      </w:r>
      <w:r w:rsidRPr="002E6AC4">
        <w:rPr>
          <w:rFonts w:ascii="Times New Roman" w:hAnsi="Times New Roman"/>
          <w:b w:val="0"/>
          <w:i/>
          <w:iCs/>
          <w:color w:val="000000" w:themeColor="text1"/>
          <w:sz w:val="20"/>
          <w:lang w:val="en-US"/>
        </w:rPr>
        <w:t>: The Summit Is a Great Chance for Better Cooperation on Migration</w:t>
      </w:r>
      <w:r w:rsidR="00BC6EAE" w:rsidRPr="002E6AC4">
        <w:rPr>
          <w:rFonts w:ascii="Times New Roman" w:hAnsi="Times New Roman"/>
          <w:b w:val="0"/>
          <w:i/>
          <w:iCs/>
          <w:color w:val="000000" w:themeColor="text1"/>
          <w:sz w:val="20"/>
          <w:lang w:val="en-US"/>
        </w:rPr>
        <w:t> </w:t>
      </w:r>
      <w:r w:rsidR="00BC6EAE" w:rsidRPr="00D6069E">
        <w:rPr>
          <w:rFonts w:ascii="Times New Roman" w:hAnsi="Times New Roman"/>
          <w:b w:val="0"/>
          <w:color w:val="000000" w:themeColor="text1"/>
          <w:sz w:val="20"/>
          <w:lang w:val="en-US"/>
        </w:rPr>
        <w:t>»</w:t>
      </w:r>
      <w:r w:rsidRPr="00D6069E">
        <w:rPr>
          <w:rFonts w:ascii="Times New Roman" w:hAnsi="Times New Roman"/>
          <w:b w:val="0"/>
          <w:color w:val="000000" w:themeColor="text1"/>
          <w:sz w:val="20"/>
          <w:lang w:val="en-US"/>
        </w:rPr>
        <w:t>.</w:t>
      </w:r>
      <w:r w:rsidRPr="00D6069E">
        <w:rPr>
          <w:rFonts w:ascii="Times New Roman" w:hAnsi="Times New Roman"/>
          <w:sz w:val="20"/>
          <w:lang w:val="en-US"/>
        </w:rPr>
        <w:t xml:space="preserve"> </w:t>
      </w:r>
      <w:r w:rsidRPr="00D6069E">
        <w:rPr>
          <w:rFonts w:ascii="Times New Roman" w:hAnsi="Times New Roman"/>
          <w:b w:val="0"/>
          <w:color w:val="000000" w:themeColor="text1"/>
          <w:sz w:val="20"/>
        </w:rPr>
        <w:t xml:space="preserve">Disponible sur </w:t>
      </w:r>
      <w:hyperlink r:id="rId1" w:history="1">
        <w:r w:rsidRPr="00D6069E">
          <w:rPr>
            <w:rStyle w:val="Hyperlink"/>
            <w:b w:val="0"/>
            <w:color w:val="000000" w:themeColor="text1"/>
            <w:sz w:val="20"/>
          </w:rPr>
          <w:t>https://americasquarterly.org/article/the-summit-is-a-great-chance-for-better-cooperation-on-migration/</w:t>
        </w:r>
      </w:hyperlink>
      <w:r w:rsidR="00BC6EAE" w:rsidRPr="00D6069E">
        <w:rPr>
          <w:rStyle w:val="Hyperlink"/>
          <w:b w:val="0"/>
          <w:color w:val="000000" w:themeColor="text1"/>
          <w:sz w:val="20"/>
          <w:u w:val="none"/>
        </w:rPr>
        <w:t>.</w:t>
      </w:r>
      <w:r w:rsidRPr="00D6069E">
        <w:rPr>
          <w:rFonts w:ascii="Times New Roman" w:hAnsi="Times New Roman"/>
          <w:b w:val="0"/>
          <w:color w:val="000000" w:themeColor="text1"/>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E24237">
      <w:rPr>
        <w:sz w:val="22"/>
      </w:rPr>
      <w:t>- 8 -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1A23190F" w:rsidR="0073480E" w:rsidRDefault="00D6069E">
    <w:pPr>
      <w:pStyle w:val="Header"/>
    </w:pPr>
    <w:r>
      <w:rPr>
        <w:noProof/>
      </w:rPr>
      <w:drawing>
        <wp:anchor distT="0" distB="0" distL="114300" distR="114300" simplePos="0" relativeHeight="251656704" behindDoc="0" locked="0" layoutInCell="1" allowOverlap="1" wp14:anchorId="24749B64" wp14:editId="0D856AB5">
          <wp:simplePos x="0" y="0"/>
          <wp:positionH relativeFrom="column">
            <wp:posOffset>-492125</wp:posOffset>
          </wp:positionH>
          <wp:positionV relativeFrom="paragraph">
            <wp:posOffset>-140860</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9776" behindDoc="0" locked="0" layoutInCell="1" allowOverlap="1" wp14:anchorId="29DEFDEE" wp14:editId="2532F8DF">
          <wp:simplePos x="0" y="0"/>
          <wp:positionH relativeFrom="column">
            <wp:posOffset>5003276</wp:posOffset>
          </wp:positionH>
          <wp:positionV relativeFrom="paragraph">
            <wp:posOffset>-138071</wp:posOffset>
          </wp:positionV>
          <wp:extent cx="1106424" cy="768096"/>
          <wp:effectExtent l="0" t="0" r="0" b="0"/>
          <wp:wrapSquare wrapText="bothSides"/>
          <wp:docPr id="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424" cy="7680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580D35AC" wp14:editId="659A97EE">
              <wp:simplePos x="0" y="0"/>
              <wp:positionH relativeFrom="column">
                <wp:posOffset>329207</wp:posOffset>
              </wp:positionH>
              <wp:positionV relativeFrom="paragraph">
                <wp:posOffset>-1740</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rPr>
                          </w:pPr>
                          <w:r>
                            <w:rPr>
                              <w:b/>
                              <w:sz w:val="28"/>
                            </w:rPr>
                            <w:t xml:space="preserve">ORGANISATION DES ÉTATS AMÉRICAINS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rPr>
                          </w:pPr>
                          <w:r>
                            <w:rPr>
                              <w:b/>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25.9pt;margin-top:-.15pt;width:372.3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" stroked="f">
              <v:textbo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rPr>
                    </w:pPr>
                    <w:r>
                      <w:rPr>
                        <w:b/>
                        <w:sz w:val="28"/>
                      </w:rPr>
                      <w:t xml:space="preserve">ORGANISATION DES ÉTATS AMÉRICAINS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rPr>
                    </w:pPr>
                    <w:r>
                      <w:rPr>
                        <w:b/>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b/>
                      </w:rPr>
                      <w:t>(CIDI)</w:t>
                    </w:r>
                  </w:p>
                </w:txbxContent>
              </v:textbox>
            </v:shape>
          </w:pict>
        </mc:Fallback>
      </mc:AlternateContent>
    </w:r>
  </w:p>
  <w:p w14:paraId="362260FF" w14:textId="4EF9F42A"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9A0AC2"/>
    <w:multiLevelType w:val="hybridMultilevel"/>
    <w:tmpl w:val="B518D2F0"/>
    <w:lvl w:ilvl="0" w:tplc="0098038E">
      <w:start w:val="1"/>
      <w:numFmt w:val="decimal"/>
      <w:lvlText w:val="%1."/>
      <w:lvlJc w:val="left"/>
      <w:pPr>
        <w:ind w:left="1490" w:hanging="360"/>
      </w:pPr>
      <w:rPr>
        <w:rFonts w:eastAsiaTheme="minorHAnsi" w:cstheme="minorHAnsi" w:hint="default"/>
        <w:u w:val="none"/>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6"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2"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F1ABA"/>
    <w:multiLevelType w:val="hybridMultilevel"/>
    <w:tmpl w:val="7D326526"/>
    <w:lvl w:ilvl="0" w:tplc="54B8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EE2BAB"/>
    <w:multiLevelType w:val="hybridMultilevel"/>
    <w:tmpl w:val="F352218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75AC3"/>
    <w:multiLevelType w:val="hybridMultilevel"/>
    <w:tmpl w:val="2E24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8" w15:restartNumberingAfterBreak="0">
    <w:nsid w:val="68DB5C9B"/>
    <w:multiLevelType w:val="hybridMultilevel"/>
    <w:tmpl w:val="EDF464C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6E84103B"/>
    <w:multiLevelType w:val="hybridMultilevel"/>
    <w:tmpl w:val="00529AA2"/>
    <w:lvl w:ilvl="0" w:tplc="C4AEBEB2">
      <w:start w:val="1"/>
      <w:numFmt w:val="decimal"/>
      <w:lvlText w:val="%1."/>
      <w:lvlJc w:val="left"/>
      <w:pPr>
        <w:ind w:left="1440" w:hanging="360"/>
      </w:pPr>
      <w:rPr>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3"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6611387">
    <w:abstractNumId w:val="37"/>
  </w:num>
  <w:num w:numId="2" w16cid:durableId="1001005055">
    <w:abstractNumId w:val="11"/>
  </w:num>
  <w:num w:numId="3" w16cid:durableId="465244640">
    <w:abstractNumId w:val="5"/>
  </w:num>
  <w:num w:numId="4" w16cid:durableId="1372149543">
    <w:abstractNumId w:val="42"/>
  </w:num>
  <w:num w:numId="5" w16cid:durableId="1666401513">
    <w:abstractNumId w:val="13"/>
  </w:num>
  <w:num w:numId="6" w16cid:durableId="1164122980">
    <w:abstractNumId w:val="11"/>
  </w:num>
  <w:num w:numId="7" w16cid:durableId="1080718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1492506">
    <w:abstractNumId w:val="37"/>
  </w:num>
  <w:num w:numId="9" w16cid:durableId="1342121376">
    <w:abstractNumId w:val="3"/>
  </w:num>
  <w:num w:numId="10" w16cid:durableId="1498495310">
    <w:abstractNumId w:val="21"/>
  </w:num>
  <w:num w:numId="11" w16cid:durableId="1262713633">
    <w:abstractNumId w:val="27"/>
  </w:num>
  <w:num w:numId="12" w16cid:durableId="522785636">
    <w:abstractNumId w:val="44"/>
  </w:num>
  <w:num w:numId="13" w16cid:durableId="541599853">
    <w:abstractNumId w:val="19"/>
  </w:num>
  <w:num w:numId="14" w16cid:durableId="920719220">
    <w:abstractNumId w:val="35"/>
  </w:num>
  <w:num w:numId="15" w16cid:durableId="318077411">
    <w:abstractNumId w:val="18"/>
  </w:num>
  <w:num w:numId="16" w16cid:durableId="258299554">
    <w:abstractNumId w:val="36"/>
  </w:num>
  <w:num w:numId="17" w16cid:durableId="10893050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2185654">
    <w:abstractNumId w:val="26"/>
  </w:num>
  <w:num w:numId="19" w16cid:durableId="1331324434">
    <w:abstractNumId w:val="33"/>
  </w:num>
  <w:num w:numId="20" w16cid:durableId="1855335730">
    <w:abstractNumId w:val="4"/>
  </w:num>
  <w:num w:numId="21" w16cid:durableId="533083854">
    <w:abstractNumId w:val="23"/>
  </w:num>
  <w:num w:numId="22" w16cid:durableId="718163570">
    <w:abstractNumId w:val="6"/>
  </w:num>
  <w:num w:numId="23" w16cid:durableId="466314510">
    <w:abstractNumId w:val="0"/>
  </w:num>
  <w:num w:numId="24" w16cid:durableId="232743474">
    <w:abstractNumId w:val="40"/>
  </w:num>
  <w:num w:numId="25" w16cid:durableId="1064598329">
    <w:abstractNumId w:val="43"/>
  </w:num>
  <w:num w:numId="26" w16cid:durableId="535848941">
    <w:abstractNumId w:val="32"/>
  </w:num>
  <w:num w:numId="27" w16cid:durableId="902374509">
    <w:abstractNumId w:val="10"/>
  </w:num>
  <w:num w:numId="28" w16cid:durableId="272637617">
    <w:abstractNumId w:val="39"/>
  </w:num>
  <w:num w:numId="29" w16cid:durableId="351034938">
    <w:abstractNumId w:val="38"/>
  </w:num>
  <w:num w:numId="30" w16cid:durableId="2005087078">
    <w:abstractNumId w:val="14"/>
  </w:num>
  <w:num w:numId="31" w16cid:durableId="1441337104">
    <w:abstractNumId w:val="15"/>
  </w:num>
  <w:num w:numId="32" w16cid:durableId="536427388">
    <w:abstractNumId w:val="34"/>
  </w:num>
  <w:num w:numId="33" w16cid:durableId="1062094653">
    <w:abstractNumId w:val="9"/>
  </w:num>
  <w:num w:numId="34" w16cid:durableId="255138697">
    <w:abstractNumId w:val="25"/>
  </w:num>
  <w:num w:numId="35" w16cid:durableId="129790701">
    <w:abstractNumId w:val="22"/>
  </w:num>
  <w:num w:numId="36" w16cid:durableId="1873180154">
    <w:abstractNumId w:val="12"/>
  </w:num>
  <w:num w:numId="37" w16cid:durableId="1843546038">
    <w:abstractNumId w:val="28"/>
  </w:num>
  <w:num w:numId="38" w16cid:durableId="192613640">
    <w:abstractNumId w:val="8"/>
  </w:num>
  <w:num w:numId="39" w16cid:durableId="681054494">
    <w:abstractNumId w:val="29"/>
  </w:num>
  <w:num w:numId="40" w16cid:durableId="976228037">
    <w:abstractNumId w:val="7"/>
  </w:num>
  <w:num w:numId="41" w16cid:durableId="1528789918">
    <w:abstractNumId w:val="31"/>
  </w:num>
  <w:num w:numId="42" w16cid:durableId="569392156">
    <w:abstractNumId w:val="17"/>
  </w:num>
  <w:num w:numId="43" w16cid:durableId="485442345">
    <w:abstractNumId w:val="30"/>
  </w:num>
  <w:num w:numId="44" w16cid:durableId="1196427986">
    <w:abstractNumId w:val="2"/>
  </w:num>
  <w:num w:numId="45" w16cid:durableId="1949238355">
    <w:abstractNumId w:val="20"/>
  </w:num>
  <w:num w:numId="46" w16cid:durableId="102070925">
    <w:abstractNumId w:val="1"/>
  </w:num>
  <w:num w:numId="47" w16cid:durableId="325982379">
    <w:abstractNumId w:val="16"/>
  </w:num>
  <w:num w:numId="48" w16cid:durableId="1740057040">
    <w:abstractNumId w:val="24"/>
  </w:num>
  <w:num w:numId="49" w16cid:durableId="1759936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062F"/>
    <w:rsid w:val="00011272"/>
    <w:rsid w:val="000129E8"/>
    <w:rsid w:val="0001300D"/>
    <w:rsid w:val="00016585"/>
    <w:rsid w:val="00017741"/>
    <w:rsid w:val="000205EC"/>
    <w:rsid w:val="00022016"/>
    <w:rsid w:val="0002378D"/>
    <w:rsid w:val="0002644D"/>
    <w:rsid w:val="00032777"/>
    <w:rsid w:val="000328FB"/>
    <w:rsid w:val="0003440C"/>
    <w:rsid w:val="0003503B"/>
    <w:rsid w:val="00035138"/>
    <w:rsid w:val="0003593A"/>
    <w:rsid w:val="000366B7"/>
    <w:rsid w:val="000427B5"/>
    <w:rsid w:val="00043B49"/>
    <w:rsid w:val="0004458F"/>
    <w:rsid w:val="0004513C"/>
    <w:rsid w:val="00045E53"/>
    <w:rsid w:val="000467B1"/>
    <w:rsid w:val="00050886"/>
    <w:rsid w:val="000533B5"/>
    <w:rsid w:val="000534E3"/>
    <w:rsid w:val="0005466E"/>
    <w:rsid w:val="00055019"/>
    <w:rsid w:val="00055B43"/>
    <w:rsid w:val="00060836"/>
    <w:rsid w:val="00060E7D"/>
    <w:rsid w:val="00061861"/>
    <w:rsid w:val="0006212F"/>
    <w:rsid w:val="000623FA"/>
    <w:rsid w:val="000649B1"/>
    <w:rsid w:val="00064A6B"/>
    <w:rsid w:val="00064DCC"/>
    <w:rsid w:val="00065A54"/>
    <w:rsid w:val="000661F4"/>
    <w:rsid w:val="00070537"/>
    <w:rsid w:val="00071E31"/>
    <w:rsid w:val="000736AA"/>
    <w:rsid w:val="00073CCC"/>
    <w:rsid w:val="00074325"/>
    <w:rsid w:val="00074E66"/>
    <w:rsid w:val="000969F9"/>
    <w:rsid w:val="00097899"/>
    <w:rsid w:val="000A0D59"/>
    <w:rsid w:val="000A55A9"/>
    <w:rsid w:val="000A5C55"/>
    <w:rsid w:val="000A72E3"/>
    <w:rsid w:val="000A72FD"/>
    <w:rsid w:val="000A7902"/>
    <w:rsid w:val="000B1FCF"/>
    <w:rsid w:val="000B285B"/>
    <w:rsid w:val="000B3763"/>
    <w:rsid w:val="000B43F5"/>
    <w:rsid w:val="000B5383"/>
    <w:rsid w:val="000B6478"/>
    <w:rsid w:val="000B6933"/>
    <w:rsid w:val="000B742B"/>
    <w:rsid w:val="000C1C8E"/>
    <w:rsid w:val="000C340C"/>
    <w:rsid w:val="000C3438"/>
    <w:rsid w:val="000C344F"/>
    <w:rsid w:val="000C5EA3"/>
    <w:rsid w:val="000C6047"/>
    <w:rsid w:val="000C6F5C"/>
    <w:rsid w:val="000D112E"/>
    <w:rsid w:val="000D42DB"/>
    <w:rsid w:val="000D4368"/>
    <w:rsid w:val="000D540D"/>
    <w:rsid w:val="000D6070"/>
    <w:rsid w:val="000E2D0F"/>
    <w:rsid w:val="000E313E"/>
    <w:rsid w:val="000E439E"/>
    <w:rsid w:val="000E6C8E"/>
    <w:rsid w:val="000F5FD2"/>
    <w:rsid w:val="000F6782"/>
    <w:rsid w:val="00100FE1"/>
    <w:rsid w:val="001010F8"/>
    <w:rsid w:val="00103208"/>
    <w:rsid w:val="001046FC"/>
    <w:rsid w:val="00104C71"/>
    <w:rsid w:val="001069A4"/>
    <w:rsid w:val="00106D57"/>
    <w:rsid w:val="0011373A"/>
    <w:rsid w:val="00115533"/>
    <w:rsid w:val="001155B8"/>
    <w:rsid w:val="001161FC"/>
    <w:rsid w:val="001170ED"/>
    <w:rsid w:val="0012371A"/>
    <w:rsid w:val="001259E2"/>
    <w:rsid w:val="0012611C"/>
    <w:rsid w:val="001301D2"/>
    <w:rsid w:val="0013037E"/>
    <w:rsid w:val="00133A15"/>
    <w:rsid w:val="001344E8"/>
    <w:rsid w:val="00136B8C"/>
    <w:rsid w:val="001405C9"/>
    <w:rsid w:val="0014140A"/>
    <w:rsid w:val="001416DF"/>
    <w:rsid w:val="00142D34"/>
    <w:rsid w:val="001448F7"/>
    <w:rsid w:val="00146FB1"/>
    <w:rsid w:val="0014761F"/>
    <w:rsid w:val="00150AE4"/>
    <w:rsid w:val="00151498"/>
    <w:rsid w:val="00152D2E"/>
    <w:rsid w:val="00153DD8"/>
    <w:rsid w:val="001570D8"/>
    <w:rsid w:val="00157C02"/>
    <w:rsid w:val="001631D1"/>
    <w:rsid w:val="0016660D"/>
    <w:rsid w:val="00166C73"/>
    <w:rsid w:val="001675EC"/>
    <w:rsid w:val="00171786"/>
    <w:rsid w:val="00171B89"/>
    <w:rsid w:val="00172D57"/>
    <w:rsid w:val="0017356B"/>
    <w:rsid w:val="0017389A"/>
    <w:rsid w:val="00173E59"/>
    <w:rsid w:val="00180746"/>
    <w:rsid w:val="00180924"/>
    <w:rsid w:val="00183C2C"/>
    <w:rsid w:val="001842C2"/>
    <w:rsid w:val="00187D59"/>
    <w:rsid w:val="00194645"/>
    <w:rsid w:val="00194B58"/>
    <w:rsid w:val="0019668A"/>
    <w:rsid w:val="001A0B66"/>
    <w:rsid w:val="001A4F84"/>
    <w:rsid w:val="001B0628"/>
    <w:rsid w:val="001B0828"/>
    <w:rsid w:val="001B0AB0"/>
    <w:rsid w:val="001B193D"/>
    <w:rsid w:val="001B4D32"/>
    <w:rsid w:val="001C6DC5"/>
    <w:rsid w:val="001D0221"/>
    <w:rsid w:val="001D02E9"/>
    <w:rsid w:val="001D738C"/>
    <w:rsid w:val="001E0458"/>
    <w:rsid w:val="001E3150"/>
    <w:rsid w:val="001E34E4"/>
    <w:rsid w:val="001E3C78"/>
    <w:rsid w:val="001E797F"/>
    <w:rsid w:val="001F2739"/>
    <w:rsid w:val="001F7700"/>
    <w:rsid w:val="0020125B"/>
    <w:rsid w:val="0020193C"/>
    <w:rsid w:val="00201C73"/>
    <w:rsid w:val="0020227F"/>
    <w:rsid w:val="002024FE"/>
    <w:rsid w:val="00203839"/>
    <w:rsid w:val="00203F80"/>
    <w:rsid w:val="0020460C"/>
    <w:rsid w:val="002050F0"/>
    <w:rsid w:val="0020534F"/>
    <w:rsid w:val="002069D4"/>
    <w:rsid w:val="00210E31"/>
    <w:rsid w:val="00211F7B"/>
    <w:rsid w:val="00212337"/>
    <w:rsid w:val="00214C2B"/>
    <w:rsid w:val="0021502A"/>
    <w:rsid w:val="00222AFE"/>
    <w:rsid w:val="00224C3F"/>
    <w:rsid w:val="00225597"/>
    <w:rsid w:val="00230EFF"/>
    <w:rsid w:val="00231968"/>
    <w:rsid w:val="00233927"/>
    <w:rsid w:val="00234996"/>
    <w:rsid w:val="00235CB9"/>
    <w:rsid w:val="00236173"/>
    <w:rsid w:val="00250E6D"/>
    <w:rsid w:val="00253995"/>
    <w:rsid w:val="00256DD6"/>
    <w:rsid w:val="002613E4"/>
    <w:rsid w:val="00264202"/>
    <w:rsid w:val="0026449A"/>
    <w:rsid w:val="00265E70"/>
    <w:rsid w:val="002679AF"/>
    <w:rsid w:val="00267E1B"/>
    <w:rsid w:val="00272944"/>
    <w:rsid w:val="0027412E"/>
    <w:rsid w:val="002756AA"/>
    <w:rsid w:val="00277271"/>
    <w:rsid w:val="002772C8"/>
    <w:rsid w:val="00277682"/>
    <w:rsid w:val="00281CAA"/>
    <w:rsid w:val="002822E7"/>
    <w:rsid w:val="0028278B"/>
    <w:rsid w:val="00282ED9"/>
    <w:rsid w:val="00285FE8"/>
    <w:rsid w:val="0028696A"/>
    <w:rsid w:val="00286D8C"/>
    <w:rsid w:val="00291E8B"/>
    <w:rsid w:val="00292E95"/>
    <w:rsid w:val="002A03E9"/>
    <w:rsid w:val="002A1985"/>
    <w:rsid w:val="002A1CB2"/>
    <w:rsid w:val="002A1D17"/>
    <w:rsid w:val="002A2CD7"/>
    <w:rsid w:val="002A3CB5"/>
    <w:rsid w:val="002A63EC"/>
    <w:rsid w:val="002B0898"/>
    <w:rsid w:val="002B2DE0"/>
    <w:rsid w:val="002B44E1"/>
    <w:rsid w:val="002C12AA"/>
    <w:rsid w:val="002C223D"/>
    <w:rsid w:val="002C386D"/>
    <w:rsid w:val="002C6B0D"/>
    <w:rsid w:val="002C7068"/>
    <w:rsid w:val="002D02CC"/>
    <w:rsid w:val="002D15D5"/>
    <w:rsid w:val="002D412D"/>
    <w:rsid w:val="002E1F2D"/>
    <w:rsid w:val="002E2CC7"/>
    <w:rsid w:val="002E3DDA"/>
    <w:rsid w:val="002E4678"/>
    <w:rsid w:val="002E609F"/>
    <w:rsid w:val="002E6AC4"/>
    <w:rsid w:val="002F0A27"/>
    <w:rsid w:val="002F0AF9"/>
    <w:rsid w:val="002F25F2"/>
    <w:rsid w:val="002F5352"/>
    <w:rsid w:val="002F5F9D"/>
    <w:rsid w:val="002F6A12"/>
    <w:rsid w:val="00305E93"/>
    <w:rsid w:val="00307998"/>
    <w:rsid w:val="00310D3E"/>
    <w:rsid w:val="00310F9B"/>
    <w:rsid w:val="0031130C"/>
    <w:rsid w:val="003116AC"/>
    <w:rsid w:val="00311EA4"/>
    <w:rsid w:val="0031291C"/>
    <w:rsid w:val="003143F1"/>
    <w:rsid w:val="00321DFD"/>
    <w:rsid w:val="003254F3"/>
    <w:rsid w:val="0032713A"/>
    <w:rsid w:val="003302CF"/>
    <w:rsid w:val="003347BB"/>
    <w:rsid w:val="00335478"/>
    <w:rsid w:val="00335ABE"/>
    <w:rsid w:val="003366D5"/>
    <w:rsid w:val="0034010F"/>
    <w:rsid w:val="00345C27"/>
    <w:rsid w:val="00345DCF"/>
    <w:rsid w:val="00346EA7"/>
    <w:rsid w:val="00347E42"/>
    <w:rsid w:val="00350910"/>
    <w:rsid w:val="00351BC4"/>
    <w:rsid w:val="003529F3"/>
    <w:rsid w:val="00352BB7"/>
    <w:rsid w:val="00353D48"/>
    <w:rsid w:val="00353D7A"/>
    <w:rsid w:val="00356FCD"/>
    <w:rsid w:val="00357684"/>
    <w:rsid w:val="003614A1"/>
    <w:rsid w:val="00362CC1"/>
    <w:rsid w:val="00362D68"/>
    <w:rsid w:val="00363233"/>
    <w:rsid w:val="003677B2"/>
    <w:rsid w:val="00367F9B"/>
    <w:rsid w:val="00371390"/>
    <w:rsid w:val="00371856"/>
    <w:rsid w:val="00372627"/>
    <w:rsid w:val="00373E60"/>
    <w:rsid w:val="0037599C"/>
    <w:rsid w:val="003759C8"/>
    <w:rsid w:val="003775B4"/>
    <w:rsid w:val="003775DE"/>
    <w:rsid w:val="003805E5"/>
    <w:rsid w:val="00383385"/>
    <w:rsid w:val="003836D2"/>
    <w:rsid w:val="00385985"/>
    <w:rsid w:val="00386110"/>
    <w:rsid w:val="0039085C"/>
    <w:rsid w:val="00390A70"/>
    <w:rsid w:val="00390D0F"/>
    <w:rsid w:val="0039119E"/>
    <w:rsid w:val="003923A6"/>
    <w:rsid w:val="003945DC"/>
    <w:rsid w:val="003A2854"/>
    <w:rsid w:val="003A47C6"/>
    <w:rsid w:val="003A5B70"/>
    <w:rsid w:val="003A6437"/>
    <w:rsid w:val="003B0385"/>
    <w:rsid w:val="003B0B19"/>
    <w:rsid w:val="003B40C4"/>
    <w:rsid w:val="003C213C"/>
    <w:rsid w:val="003C2F13"/>
    <w:rsid w:val="003C332F"/>
    <w:rsid w:val="003C448A"/>
    <w:rsid w:val="003D0721"/>
    <w:rsid w:val="003D13AD"/>
    <w:rsid w:val="003D184D"/>
    <w:rsid w:val="003D2362"/>
    <w:rsid w:val="003D4305"/>
    <w:rsid w:val="003D6278"/>
    <w:rsid w:val="003D7152"/>
    <w:rsid w:val="003E04BA"/>
    <w:rsid w:val="003E687F"/>
    <w:rsid w:val="003F023D"/>
    <w:rsid w:val="003F4FA0"/>
    <w:rsid w:val="003F5415"/>
    <w:rsid w:val="003F5AB6"/>
    <w:rsid w:val="003F60E6"/>
    <w:rsid w:val="003F64AA"/>
    <w:rsid w:val="003F6FF7"/>
    <w:rsid w:val="00402DD8"/>
    <w:rsid w:val="004064B3"/>
    <w:rsid w:val="00410E11"/>
    <w:rsid w:val="004113BA"/>
    <w:rsid w:val="00413FE5"/>
    <w:rsid w:val="00414A9D"/>
    <w:rsid w:val="00421AA1"/>
    <w:rsid w:val="00423375"/>
    <w:rsid w:val="004279F5"/>
    <w:rsid w:val="004324F2"/>
    <w:rsid w:val="004357CD"/>
    <w:rsid w:val="004377F5"/>
    <w:rsid w:val="00442E5D"/>
    <w:rsid w:val="00445837"/>
    <w:rsid w:val="004460F9"/>
    <w:rsid w:val="00457B19"/>
    <w:rsid w:val="004600F6"/>
    <w:rsid w:val="00461F49"/>
    <w:rsid w:val="0046301C"/>
    <w:rsid w:val="00463A6B"/>
    <w:rsid w:val="0046512F"/>
    <w:rsid w:val="00467880"/>
    <w:rsid w:val="00467A8F"/>
    <w:rsid w:val="004712B6"/>
    <w:rsid w:val="00472B48"/>
    <w:rsid w:val="004732D7"/>
    <w:rsid w:val="00476154"/>
    <w:rsid w:val="00476255"/>
    <w:rsid w:val="00477036"/>
    <w:rsid w:val="004774F0"/>
    <w:rsid w:val="004817D4"/>
    <w:rsid w:val="00482E80"/>
    <w:rsid w:val="00490731"/>
    <w:rsid w:val="00493B12"/>
    <w:rsid w:val="004943F6"/>
    <w:rsid w:val="00495215"/>
    <w:rsid w:val="0049625D"/>
    <w:rsid w:val="00496643"/>
    <w:rsid w:val="00496977"/>
    <w:rsid w:val="00496BBC"/>
    <w:rsid w:val="00497068"/>
    <w:rsid w:val="004A1D26"/>
    <w:rsid w:val="004A203A"/>
    <w:rsid w:val="004A31FF"/>
    <w:rsid w:val="004A4116"/>
    <w:rsid w:val="004A6065"/>
    <w:rsid w:val="004A7C48"/>
    <w:rsid w:val="004B1B47"/>
    <w:rsid w:val="004B1D9A"/>
    <w:rsid w:val="004B2B39"/>
    <w:rsid w:val="004B301B"/>
    <w:rsid w:val="004B3050"/>
    <w:rsid w:val="004B387B"/>
    <w:rsid w:val="004B5C41"/>
    <w:rsid w:val="004B6550"/>
    <w:rsid w:val="004B6C1E"/>
    <w:rsid w:val="004B7C28"/>
    <w:rsid w:val="004C13FA"/>
    <w:rsid w:val="004C1DF5"/>
    <w:rsid w:val="004C4A50"/>
    <w:rsid w:val="004C73A7"/>
    <w:rsid w:val="004D2279"/>
    <w:rsid w:val="004D3097"/>
    <w:rsid w:val="004D44C9"/>
    <w:rsid w:val="004D5D8F"/>
    <w:rsid w:val="004D5E4E"/>
    <w:rsid w:val="004D6FE1"/>
    <w:rsid w:val="004E4195"/>
    <w:rsid w:val="004E4E9B"/>
    <w:rsid w:val="004F0AD2"/>
    <w:rsid w:val="004F0EF3"/>
    <w:rsid w:val="004F2141"/>
    <w:rsid w:val="004F29FC"/>
    <w:rsid w:val="004F38E1"/>
    <w:rsid w:val="004F4571"/>
    <w:rsid w:val="004F6805"/>
    <w:rsid w:val="004F793C"/>
    <w:rsid w:val="0050011F"/>
    <w:rsid w:val="005002C9"/>
    <w:rsid w:val="00502854"/>
    <w:rsid w:val="00505843"/>
    <w:rsid w:val="005061E1"/>
    <w:rsid w:val="0050667F"/>
    <w:rsid w:val="005067D7"/>
    <w:rsid w:val="005068AC"/>
    <w:rsid w:val="00510EDF"/>
    <w:rsid w:val="005112C3"/>
    <w:rsid w:val="00513B4E"/>
    <w:rsid w:val="00514EDB"/>
    <w:rsid w:val="00515B70"/>
    <w:rsid w:val="0052023C"/>
    <w:rsid w:val="0052066D"/>
    <w:rsid w:val="0052125B"/>
    <w:rsid w:val="0052162C"/>
    <w:rsid w:val="00522DF5"/>
    <w:rsid w:val="00527F6D"/>
    <w:rsid w:val="005336D0"/>
    <w:rsid w:val="00533D2A"/>
    <w:rsid w:val="0053678B"/>
    <w:rsid w:val="00540938"/>
    <w:rsid w:val="005421E0"/>
    <w:rsid w:val="00543D10"/>
    <w:rsid w:val="005462E3"/>
    <w:rsid w:val="0055186F"/>
    <w:rsid w:val="005533CC"/>
    <w:rsid w:val="005544E5"/>
    <w:rsid w:val="00556CA2"/>
    <w:rsid w:val="00561183"/>
    <w:rsid w:val="005623CD"/>
    <w:rsid w:val="0056295B"/>
    <w:rsid w:val="0056489C"/>
    <w:rsid w:val="00564C90"/>
    <w:rsid w:val="00564FA3"/>
    <w:rsid w:val="005679D8"/>
    <w:rsid w:val="00572C15"/>
    <w:rsid w:val="00573AF1"/>
    <w:rsid w:val="00575576"/>
    <w:rsid w:val="00576A1A"/>
    <w:rsid w:val="00577517"/>
    <w:rsid w:val="005834B9"/>
    <w:rsid w:val="0058420A"/>
    <w:rsid w:val="00591CC8"/>
    <w:rsid w:val="00594069"/>
    <w:rsid w:val="00597477"/>
    <w:rsid w:val="005A1B6D"/>
    <w:rsid w:val="005A26B7"/>
    <w:rsid w:val="005A32EB"/>
    <w:rsid w:val="005A5372"/>
    <w:rsid w:val="005A53C5"/>
    <w:rsid w:val="005A599A"/>
    <w:rsid w:val="005B2287"/>
    <w:rsid w:val="005B2929"/>
    <w:rsid w:val="005B351B"/>
    <w:rsid w:val="005B5CE1"/>
    <w:rsid w:val="005B5F61"/>
    <w:rsid w:val="005B7D03"/>
    <w:rsid w:val="005C20AF"/>
    <w:rsid w:val="005C3C0B"/>
    <w:rsid w:val="005C617D"/>
    <w:rsid w:val="005C7F84"/>
    <w:rsid w:val="005D1365"/>
    <w:rsid w:val="005D1D57"/>
    <w:rsid w:val="005D2F73"/>
    <w:rsid w:val="005D44CE"/>
    <w:rsid w:val="005D4ECD"/>
    <w:rsid w:val="005D5589"/>
    <w:rsid w:val="005D5A6F"/>
    <w:rsid w:val="005D74F2"/>
    <w:rsid w:val="005E085B"/>
    <w:rsid w:val="005E1785"/>
    <w:rsid w:val="005E4627"/>
    <w:rsid w:val="005F02EC"/>
    <w:rsid w:val="005F0A8C"/>
    <w:rsid w:val="005F1964"/>
    <w:rsid w:val="005F29C1"/>
    <w:rsid w:val="005F78BB"/>
    <w:rsid w:val="005F7B63"/>
    <w:rsid w:val="00601200"/>
    <w:rsid w:val="00601668"/>
    <w:rsid w:val="00602399"/>
    <w:rsid w:val="00602980"/>
    <w:rsid w:val="006049EA"/>
    <w:rsid w:val="006123C5"/>
    <w:rsid w:val="00612E0C"/>
    <w:rsid w:val="006148C2"/>
    <w:rsid w:val="006156C8"/>
    <w:rsid w:val="006174D9"/>
    <w:rsid w:val="00622461"/>
    <w:rsid w:val="00622F41"/>
    <w:rsid w:val="00630084"/>
    <w:rsid w:val="00631FB8"/>
    <w:rsid w:val="00631FB9"/>
    <w:rsid w:val="00632D5D"/>
    <w:rsid w:val="00634E7B"/>
    <w:rsid w:val="0063562A"/>
    <w:rsid w:val="00636DF2"/>
    <w:rsid w:val="00636F9C"/>
    <w:rsid w:val="006374D0"/>
    <w:rsid w:val="00642E66"/>
    <w:rsid w:val="0064648A"/>
    <w:rsid w:val="00647CB9"/>
    <w:rsid w:val="00650EFA"/>
    <w:rsid w:val="00655B90"/>
    <w:rsid w:val="00656B5A"/>
    <w:rsid w:val="00657E95"/>
    <w:rsid w:val="00661424"/>
    <w:rsid w:val="00663D49"/>
    <w:rsid w:val="00665672"/>
    <w:rsid w:val="00666B25"/>
    <w:rsid w:val="00670A7C"/>
    <w:rsid w:val="00670E8A"/>
    <w:rsid w:val="006711F3"/>
    <w:rsid w:val="006734B2"/>
    <w:rsid w:val="00675F54"/>
    <w:rsid w:val="00676625"/>
    <w:rsid w:val="00680EA5"/>
    <w:rsid w:val="006839FF"/>
    <w:rsid w:val="00685580"/>
    <w:rsid w:val="006865F6"/>
    <w:rsid w:val="00686F1B"/>
    <w:rsid w:val="00686FEA"/>
    <w:rsid w:val="00691284"/>
    <w:rsid w:val="00691B9D"/>
    <w:rsid w:val="0069262F"/>
    <w:rsid w:val="00694D58"/>
    <w:rsid w:val="006957F4"/>
    <w:rsid w:val="006A0998"/>
    <w:rsid w:val="006A1A6B"/>
    <w:rsid w:val="006A3162"/>
    <w:rsid w:val="006A483E"/>
    <w:rsid w:val="006A545B"/>
    <w:rsid w:val="006A6025"/>
    <w:rsid w:val="006A67F9"/>
    <w:rsid w:val="006B1932"/>
    <w:rsid w:val="006B21AD"/>
    <w:rsid w:val="006B318C"/>
    <w:rsid w:val="006B3342"/>
    <w:rsid w:val="006B3BA2"/>
    <w:rsid w:val="006B4518"/>
    <w:rsid w:val="006B6411"/>
    <w:rsid w:val="006B710A"/>
    <w:rsid w:val="006C187C"/>
    <w:rsid w:val="006C6F0E"/>
    <w:rsid w:val="006C7485"/>
    <w:rsid w:val="006D11BB"/>
    <w:rsid w:val="006D1E13"/>
    <w:rsid w:val="006D5A66"/>
    <w:rsid w:val="006D7239"/>
    <w:rsid w:val="006E25B8"/>
    <w:rsid w:val="006E6990"/>
    <w:rsid w:val="006F0712"/>
    <w:rsid w:val="006F1262"/>
    <w:rsid w:val="006F4488"/>
    <w:rsid w:val="006F5EF2"/>
    <w:rsid w:val="006F6D5F"/>
    <w:rsid w:val="006F7CC4"/>
    <w:rsid w:val="00700780"/>
    <w:rsid w:val="007026A5"/>
    <w:rsid w:val="00704E36"/>
    <w:rsid w:val="007051B5"/>
    <w:rsid w:val="00705346"/>
    <w:rsid w:val="00707B72"/>
    <w:rsid w:val="00712521"/>
    <w:rsid w:val="00713D82"/>
    <w:rsid w:val="007147F0"/>
    <w:rsid w:val="0071494C"/>
    <w:rsid w:val="00716596"/>
    <w:rsid w:val="00716E9A"/>
    <w:rsid w:val="00721843"/>
    <w:rsid w:val="00722693"/>
    <w:rsid w:val="00723DE2"/>
    <w:rsid w:val="00723EE9"/>
    <w:rsid w:val="0072562F"/>
    <w:rsid w:val="00726214"/>
    <w:rsid w:val="00727758"/>
    <w:rsid w:val="00730E0A"/>
    <w:rsid w:val="00731A03"/>
    <w:rsid w:val="0073209A"/>
    <w:rsid w:val="007325A6"/>
    <w:rsid w:val="0073480E"/>
    <w:rsid w:val="00735782"/>
    <w:rsid w:val="00743DD7"/>
    <w:rsid w:val="007443E9"/>
    <w:rsid w:val="00753C20"/>
    <w:rsid w:val="00753D41"/>
    <w:rsid w:val="00756232"/>
    <w:rsid w:val="00756B07"/>
    <w:rsid w:val="0076198A"/>
    <w:rsid w:val="00762167"/>
    <w:rsid w:val="007638EF"/>
    <w:rsid w:val="007648E4"/>
    <w:rsid w:val="007650CE"/>
    <w:rsid w:val="007661C1"/>
    <w:rsid w:val="007679A2"/>
    <w:rsid w:val="007703A2"/>
    <w:rsid w:val="007714C3"/>
    <w:rsid w:val="00772F05"/>
    <w:rsid w:val="00776BC3"/>
    <w:rsid w:val="00777049"/>
    <w:rsid w:val="00781CB8"/>
    <w:rsid w:val="00781D3F"/>
    <w:rsid w:val="00782512"/>
    <w:rsid w:val="00782CE9"/>
    <w:rsid w:val="00783480"/>
    <w:rsid w:val="007838A3"/>
    <w:rsid w:val="00783F6F"/>
    <w:rsid w:val="00784889"/>
    <w:rsid w:val="00787435"/>
    <w:rsid w:val="00787FE1"/>
    <w:rsid w:val="00790B06"/>
    <w:rsid w:val="00791388"/>
    <w:rsid w:val="00791916"/>
    <w:rsid w:val="00792398"/>
    <w:rsid w:val="00794A66"/>
    <w:rsid w:val="00794BF4"/>
    <w:rsid w:val="00794E46"/>
    <w:rsid w:val="00796149"/>
    <w:rsid w:val="007A307C"/>
    <w:rsid w:val="007A5463"/>
    <w:rsid w:val="007A7017"/>
    <w:rsid w:val="007A7104"/>
    <w:rsid w:val="007B08BF"/>
    <w:rsid w:val="007B0967"/>
    <w:rsid w:val="007B171E"/>
    <w:rsid w:val="007B2937"/>
    <w:rsid w:val="007B2DE5"/>
    <w:rsid w:val="007B3903"/>
    <w:rsid w:val="007B5591"/>
    <w:rsid w:val="007B6A70"/>
    <w:rsid w:val="007B6AD7"/>
    <w:rsid w:val="007B7D90"/>
    <w:rsid w:val="007C19CD"/>
    <w:rsid w:val="007C2A94"/>
    <w:rsid w:val="007C34AB"/>
    <w:rsid w:val="007C38B9"/>
    <w:rsid w:val="007C42A2"/>
    <w:rsid w:val="007C565B"/>
    <w:rsid w:val="007C6CAB"/>
    <w:rsid w:val="007D0B50"/>
    <w:rsid w:val="007D1BF7"/>
    <w:rsid w:val="007D2223"/>
    <w:rsid w:val="007D2690"/>
    <w:rsid w:val="007D3DC1"/>
    <w:rsid w:val="007D5C3E"/>
    <w:rsid w:val="007D6421"/>
    <w:rsid w:val="007D72CB"/>
    <w:rsid w:val="007D764E"/>
    <w:rsid w:val="007E2160"/>
    <w:rsid w:val="007E4931"/>
    <w:rsid w:val="007E4BB3"/>
    <w:rsid w:val="007E57B0"/>
    <w:rsid w:val="007E6A73"/>
    <w:rsid w:val="007E6D06"/>
    <w:rsid w:val="007F13AB"/>
    <w:rsid w:val="007F22EF"/>
    <w:rsid w:val="007F2774"/>
    <w:rsid w:val="007F3CF5"/>
    <w:rsid w:val="007F764A"/>
    <w:rsid w:val="00801C23"/>
    <w:rsid w:val="008023AC"/>
    <w:rsid w:val="008026FE"/>
    <w:rsid w:val="00804323"/>
    <w:rsid w:val="00804CD5"/>
    <w:rsid w:val="00804DA9"/>
    <w:rsid w:val="008109EC"/>
    <w:rsid w:val="00812E45"/>
    <w:rsid w:val="00815597"/>
    <w:rsid w:val="00815A1F"/>
    <w:rsid w:val="00820F66"/>
    <w:rsid w:val="00821E7C"/>
    <w:rsid w:val="0082268A"/>
    <w:rsid w:val="0082444B"/>
    <w:rsid w:val="008260C9"/>
    <w:rsid w:val="00827358"/>
    <w:rsid w:val="00830955"/>
    <w:rsid w:val="00835709"/>
    <w:rsid w:val="008365F4"/>
    <w:rsid w:val="00836740"/>
    <w:rsid w:val="008367CC"/>
    <w:rsid w:val="00836CCC"/>
    <w:rsid w:val="0084046A"/>
    <w:rsid w:val="008439E7"/>
    <w:rsid w:val="00852DA4"/>
    <w:rsid w:val="00855455"/>
    <w:rsid w:val="00856DC9"/>
    <w:rsid w:val="00860083"/>
    <w:rsid w:val="00860DE1"/>
    <w:rsid w:val="00861F80"/>
    <w:rsid w:val="0086271D"/>
    <w:rsid w:val="008632F7"/>
    <w:rsid w:val="0086513E"/>
    <w:rsid w:val="00865686"/>
    <w:rsid w:val="00865B5C"/>
    <w:rsid w:val="0086767B"/>
    <w:rsid w:val="00870FD9"/>
    <w:rsid w:val="00873512"/>
    <w:rsid w:val="00876B09"/>
    <w:rsid w:val="008814B8"/>
    <w:rsid w:val="008819DA"/>
    <w:rsid w:val="00887157"/>
    <w:rsid w:val="00887A65"/>
    <w:rsid w:val="0089063B"/>
    <w:rsid w:val="00890C34"/>
    <w:rsid w:val="008916E8"/>
    <w:rsid w:val="008917B9"/>
    <w:rsid w:val="00894F52"/>
    <w:rsid w:val="00896014"/>
    <w:rsid w:val="008A1ECD"/>
    <w:rsid w:val="008A2F14"/>
    <w:rsid w:val="008A36E6"/>
    <w:rsid w:val="008A5CC5"/>
    <w:rsid w:val="008A7943"/>
    <w:rsid w:val="008B062F"/>
    <w:rsid w:val="008B4134"/>
    <w:rsid w:val="008B5AF8"/>
    <w:rsid w:val="008B5E4C"/>
    <w:rsid w:val="008B7715"/>
    <w:rsid w:val="008C047B"/>
    <w:rsid w:val="008C0C4C"/>
    <w:rsid w:val="008C254E"/>
    <w:rsid w:val="008C408E"/>
    <w:rsid w:val="008C718F"/>
    <w:rsid w:val="008D1CDB"/>
    <w:rsid w:val="008D2C52"/>
    <w:rsid w:val="008D487B"/>
    <w:rsid w:val="008D57AD"/>
    <w:rsid w:val="008D6555"/>
    <w:rsid w:val="008E3561"/>
    <w:rsid w:val="008E4A93"/>
    <w:rsid w:val="008F0291"/>
    <w:rsid w:val="008F2B9A"/>
    <w:rsid w:val="008F3669"/>
    <w:rsid w:val="008F5D96"/>
    <w:rsid w:val="008F747C"/>
    <w:rsid w:val="00900525"/>
    <w:rsid w:val="00902067"/>
    <w:rsid w:val="0090209F"/>
    <w:rsid w:val="00902338"/>
    <w:rsid w:val="00902E94"/>
    <w:rsid w:val="00903889"/>
    <w:rsid w:val="00903C16"/>
    <w:rsid w:val="009042BF"/>
    <w:rsid w:val="009054CB"/>
    <w:rsid w:val="00907232"/>
    <w:rsid w:val="00910645"/>
    <w:rsid w:val="00916055"/>
    <w:rsid w:val="00917257"/>
    <w:rsid w:val="00920492"/>
    <w:rsid w:val="00920867"/>
    <w:rsid w:val="00920F2A"/>
    <w:rsid w:val="00921838"/>
    <w:rsid w:val="00921B83"/>
    <w:rsid w:val="00921E9E"/>
    <w:rsid w:val="00922D98"/>
    <w:rsid w:val="00924BA1"/>
    <w:rsid w:val="009304AE"/>
    <w:rsid w:val="00934387"/>
    <w:rsid w:val="00934888"/>
    <w:rsid w:val="0093527F"/>
    <w:rsid w:val="00941B38"/>
    <w:rsid w:val="00942059"/>
    <w:rsid w:val="00942174"/>
    <w:rsid w:val="009430C1"/>
    <w:rsid w:val="00943F3F"/>
    <w:rsid w:val="00945D81"/>
    <w:rsid w:val="009571C8"/>
    <w:rsid w:val="0095764C"/>
    <w:rsid w:val="00960E3D"/>
    <w:rsid w:val="0096142F"/>
    <w:rsid w:val="00962EF0"/>
    <w:rsid w:val="009639FB"/>
    <w:rsid w:val="00965A6D"/>
    <w:rsid w:val="0097131C"/>
    <w:rsid w:val="00984450"/>
    <w:rsid w:val="00984C5A"/>
    <w:rsid w:val="00986E8C"/>
    <w:rsid w:val="009979A7"/>
    <w:rsid w:val="009A0557"/>
    <w:rsid w:val="009A194A"/>
    <w:rsid w:val="009A1F40"/>
    <w:rsid w:val="009B2AE9"/>
    <w:rsid w:val="009B2F59"/>
    <w:rsid w:val="009B307F"/>
    <w:rsid w:val="009B7761"/>
    <w:rsid w:val="009C0065"/>
    <w:rsid w:val="009C1419"/>
    <w:rsid w:val="009C21EB"/>
    <w:rsid w:val="009C3EA4"/>
    <w:rsid w:val="009C5117"/>
    <w:rsid w:val="009C530F"/>
    <w:rsid w:val="009C6DA5"/>
    <w:rsid w:val="009C6F26"/>
    <w:rsid w:val="009C75F5"/>
    <w:rsid w:val="009C7AAB"/>
    <w:rsid w:val="009D0AA2"/>
    <w:rsid w:val="009D1BCE"/>
    <w:rsid w:val="009D425A"/>
    <w:rsid w:val="009D477A"/>
    <w:rsid w:val="009E01E7"/>
    <w:rsid w:val="009E628C"/>
    <w:rsid w:val="009E75B1"/>
    <w:rsid w:val="009F0791"/>
    <w:rsid w:val="009F0C3E"/>
    <w:rsid w:val="009F1A7C"/>
    <w:rsid w:val="009F378B"/>
    <w:rsid w:val="009F392F"/>
    <w:rsid w:val="009F5A8B"/>
    <w:rsid w:val="009F5B85"/>
    <w:rsid w:val="009F6D94"/>
    <w:rsid w:val="00A06000"/>
    <w:rsid w:val="00A06676"/>
    <w:rsid w:val="00A06AF5"/>
    <w:rsid w:val="00A06FE9"/>
    <w:rsid w:val="00A115F5"/>
    <w:rsid w:val="00A12EA0"/>
    <w:rsid w:val="00A13023"/>
    <w:rsid w:val="00A13E2C"/>
    <w:rsid w:val="00A143AD"/>
    <w:rsid w:val="00A14C3C"/>
    <w:rsid w:val="00A178FB"/>
    <w:rsid w:val="00A21F96"/>
    <w:rsid w:val="00A232CD"/>
    <w:rsid w:val="00A256AB"/>
    <w:rsid w:val="00A30352"/>
    <w:rsid w:val="00A30FFC"/>
    <w:rsid w:val="00A31AAD"/>
    <w:rsid w:val="00A323C5"/>
    <w:rsid w:val="00A34777"/>
    <w:rsid w:val="00A34E6E"/>
    <w:rsid w:val="00A36552"/>
    <w:rsid w:val="00A374A9"/>
    <w:rsid w:val="00A40903"/>
    <w:rsid w:val="00A40ACF"/>
    <w:rsid w:val="00A42724"/>
    <w:rsid w:val="00A43369"/>
    <w:rsid w:val="00A5263A"/>
    <w:rsid w:val="00A52CAE"/>
    <w:rsid w:val="00A53F92"/>
    <w:rsid w:val="00A6149D"/>
    <w:rsid w:val="00A61635"/>
    <w:rsid w:val="00A61DEB"/>
    <w:rsid w:val="00A65508"/>
    <w:rsid w:val="00A67CD8"/>
    <w:rsid w:val="00A72B6B"/>
    <w:rsid w:val="00A734B5"/>
    <w:rsid w:val="00A74B2B"/>
    <w:rsid w:val="00A76B3D"/>
    <w:rsid w:val="00A81E45"/>
    <w:rsid w:val="00A840AC"/>
    <w:rsid w:val="00A851C2"/>
    <w:rsid w:val="00A86D6C"/>
    <w:rsid w:val="00A870BA"/>
    <w:rsid w:val="00A87E38"/>
    <w:rsid w:val="00A90B46"/>
    <w:rsid w:val="00A9203C"/>
    <w:rsid w:val="00A924FE"/>
    <w:rsid w:val="00A946F7"/>
    <w:rsid w:val="00A95E01"/>
    <w:rsid w:val="00A96D30"/>
    <w:rsid w:val="00A97B79"/>
    <w:rsid w:val="00AA2A7F"/>
    <w:rsid w:val="00AA2AE0"/>
    <w:rsid w:val="00AA7CBB"/>
    <w:rsid w:val="00AB0A11"/>
    <w:rsid w:val="00AB18ED"/>
    <w:rsid w:val="00AB2F71"/>
    <w:rsid w:val="00AB4DE4"/>
    <w:rsid w:val="00AB6CCE"/>
    <w:rsid w:val="00AB7175"/>
    <w:rsid w:val="00AB7642"/>
    <w:rsid w:val="00AB7A69"/>
    <w:rsid w:val="00AC29B0"/>
    <w:rsid w:val="00AC3A0C"/>
    <w:rsid w:val="00AC3D69"/>
    <w:rsid w:val="00AC4232"/>
    <w:rsid w:val="00AC60B0"/>
    <w:rsid w:val="00AC641C"/>
    <w:rsid w:val="00AC7246"/>
    <w:rsid w:val="00AC7FA2"/>
    <w:rsid w:val="00AD3A51"/>
    <w:rsid w:val="00AD4B7D"/>
    <w:rsid w:val="00AD6394"/>
    <w:rsid w:val="00AD72C9"/>
    <w:rsid w:val="00AE13AF"/>
    <w:rsid w:val="00AF06BC"/>
    <w:rsid w:val="00AF0C03"/>
    <w:rsid w:val="00AF3A9D"/>
    <w:rsid w:val="00AF4F16"/>
    <w:rsid w:val="00AF6E6F"/>
    <w:rsid w:val="00B10D70"/>
    <w:rsid w:val="00B11CDC"/>
    <w:rsid w:val="00B13750"/>
    <w:rsid w:val="00B16016"/>
    <w:rsid w:val="00B16BE4"/>
    <w:rsid w:val="00B1740A"/>
    <w:rsid w:val="00B2310F"/>
    <w:rsid w:val="00B234AF"/>
    <w:rsid w:val="00B27F1B"/>
    <w:rsid w:val="00B304D1"/>
    <w:rsid w:val="00B3069D"/>
    <w:rsid w:val="00B33F4A"/>
    <w:rsid w:val="00B37C1B"/>
    <w:rsid w:val="00B37D65"/>
    <w:rsid w:val="00B40DC8"/>
    <w:rsid w:val="00B41437"/>
    <w:rsid w:val="00B41F9C"/>
    <w:rsid w:val="00B430CF"/>
    <w:rsid w:val="00B43107"/>
    <w:rsid w:val="00B43169"/>
    <w:rsid w:val="00B439EC"/>
    <w:rsid w:val="00B47109"/>
    <w:rsid w:val="00B50945"/>
    <w:rsid w:val="00B5122D"/>
    <w:rsid w:val="00B53242"/>
    <w:rsid w:val="00B5382C"/>
    <w:rsid w:val="00B55A86"/>
    <w:rsid w:val="00B5781C"/>
    <w:rsid w:val="00B60F6F"/>
    <w:rsid w:val="00B624CF"/>
    <w:rsid w:val="00B638D0"/>
    <w:rsid w:val="00B63B4B"/>
    <w:rsid w:val="00B6694A"/>
    <w:rsid w:val="00B71785"/>
    <w:rsid w:val="00B73149"/>
    <w:rsid w:val="00B73384"/>
    <w:rsid w:val="00B739D0"/>
    <w:rsid w:val="00B8071C"/>
    <w:rsid w:val="00B8324F"/>
    <w:rsid w:val="00B847B7"/>
    <w:rsid w:val="00B86EA8"/>
    <w:rsid w:val="00B870A7"/>
    <w:rsid w:val="00B87211"/>
    <w:rsid w:val="00B90CD0"/>
    <w:rsid w:val="00B930C9"/>
    <w:rsid w:val="00B94C7D"/>
    <w:rsid w:val="00B97D8D"/>
    <w:rsid w:val="00BA0EED"/>
    <w:rsid w:val="00BA3604"/>
    <w:rsid w:val="00BA3A85"/>
    <w:rsid w:val="00BA5A33"/>
    <w:rsid w:val="00BB0341"/>
    <w:rsid w:val="00BB0755"/>
    <w:rsid w:val="00BB0A02"/>
    <w:rsid w:val="00BB4A78"/>
    <w:rsid w:val="00BB5E0B"/>
    <w:rsid w:val="00BB7135"/>
    <w:rsid w:val="00BC149E"/>
    <w:rsid w:val="00BC28DA"/>
    <w:rsid w:val="00BC3CED"/>
    <w:rsid w:val="00BC4E07"/>
    <w:rsid w:val="00BC5445"/>
    <w:rsid w:val="00BC6A7D"/>
    <w:rsid w:val="00BC6EAE"/>
    <w:rsid w:val="00BC78C5"/>
    <w:rsid w:val="00BC7B0E"/>
    <w:rsid w:val="00BD02EE"/>
    <w:rsid w:val="00BD2433"/>
    <w:rsid w:val="00BD4B3F"/>
    <w:rsid w:val="00BD6CF4"/>
    <w:rsid w:val="00BD6D0E"/>
    <w:rsid w:val="00BE0DFE"/>
    <w:rsid w:val="00BE2543"/>
    <w:rsid w:val="00BE3015"/>
    <w:rsid w:val="00BE629E"/>
    <w:rsid w:val="00BF1293"/>
    <w:rsid w:val="00BF2504"/>
    <w:rsid w:val="00BF3B28"/>
    <w:rsid w:val="00BF5B49"/>
    <w:rsid w:val="00C02DB7"/>
    <w:rsid w:val="00C02DEE"/>
    <w:rsid w:val="00C03EF7"/>
    <w:rsid w:val="00C05556"/>
    <w:rsid w:val="00C05F5D"/>
    <w:rsid w:val="00C11323"/>
    <w:rsid w:val="00C1307A"/>
    <w:rsid w:val="00C14A3E"/>
    <w:rsid w:val="00C15481"/>
    <w:rsid w:val="00C15EF3"/>
    <w:rsid w:val="00C20222"/>
    <w:rsid w:val="00C204A0"/>
    <w:rsid w:val="00C2226C"/>
    <w:rsid w:val="00C223D4"/>
    <w:rsid w:val="00C30643"/>
    <w:rsid w:val="00C3079C"/>
    <w:rsid w:val="00C35FD0"/>
    <w:rsid w:val="00C40395"/>
    <w:rsid w:val="00C41591"/>
    <w:rsid w:val="00C45F98"/>
    <w:rsid w:val="00C4655D"/>
    <w:rsid w:val="00C46BCF"/>
    <w:rsid w:val="00C47A8B"/>
    <w:rsid w:val="00C50089"/>
    <w:rsid w:val="00C506C6"/>
    <w:rsid w:val="00C51CEB"/>
    <w:rsid w:val="00C51DDA"/>
    <w:rsid w:val="00C52216"/>
    <w:rsid w:val="00C53DB0"/>
    <w:rsid w:val="00C607E3"/>
    <w:rsid w:val="00C611B0"/>
    <w:rsid w:val="00C61825"/>
    <w:rsid w:val="00C629B2"/>
    <w:rsid w:val="00C631B9"/>
    <w:rsid w:val="00C6456D"/>
    <w:rsid w:val="00C67644"/>
    <w:rsid w:val="00C70DA7"/>
    <w:rsid w:val="00C74344"/>
    <w:rsid w:val="00C7616A"/>
    <w:rsid w:val="00C804E8"/>
    <w:rsid w:val="00C81A83"/>
    <w:rsid w:val="00C83349"/>
    <w:rsid w:val="00C83518"/>
    <w:rsid w:val="00C83711"/>
    <w:rsid w:val="00C8384A"/>
    <w:rsid w:val="00C853F3"/>
    <w:rsid w:val="00C86998"/>
    <w:rsid w:val="00C86C6A"/>
    <w:rsid w:val="00C878A5"/>
    <w:rsid w:val="00C90BA2"/>
    <w:rsid w:val="00C92818"/>
    <w:rsid w:val="00C93D5F"/>
    <w:rsid w:val="00C962B2"/>
    <w:rsid w:val="00CA12D4"/>
    <w:rsid w:val="00CA2349"/>
    <w:rsid w:val="00CA266B"/>
    <w:rsid w:val="00CA3141"/>
    <w:rsid w:val="00CA7537"/>
    <w:rsid w:val="00CB046C"/>
    <w:rsid w:val="00CB0A35"/>
    <w:rsid w:val="00CB1E4F"/>
    <w:rsid w:val="00CB2F2F"/>
    <w:rsid w:val="00CB7811"/>
    <w:rsid w:val="00CB7C5C"/>
    <w:rsid w:val="00CC0341"/>
    <w:rsid w:val="00CC49AE"/>
    <w:rsid w:val="00CC550E"/>
    <w:rsid w:val="00CC5B7C"/>
    <w:rsid w:val="00CC7FAC"/>
    <w:rsid w:val="00CD3A0E"/>
    <w:rsid w:val="00CD3B89"/>
    <w:rsid w:val="00CD472D"/>
    <w:rsid w:val="00CD49CB"/>
    <w:rsid w:val="00CE26A3"/>
    <w:rsid w:val="00CE4110"/>
    <w:rsid w:val="00CE52EB"/>
    <w:rsid w:val="00CE6B61"/>
    <w:rsid w:val="00CF4554"/>
    <w:rsid w:val="00CF4D95"/>
    <w:rsid w:val="00CF5033"/>
    <w:rsid w:val="00CF629A"/>
    <w:rsid w:val="00CF6933"/>
    <w:rsid w:val="00CF6FDB"/>
    <w:rsid w:val="00D01F00"/>
    <w:rsid w:val="00D03F6F"/>
    <w:rsid w:val="00D042A5"/>
    <w:rsid w:val="00D059FA"/>
    <w:rsid w:val="00D07BD9"/>
    <w:rsid w:val="00D108CD"/>
    <w:rsid w:val="00D12A50"/>
    <w:rsid w:val="00D173F8"/>
    <w:rsid w:val="00D174B7"/>
    <w:rsid w:val="00D2028C"/>
    <w:rsid w:val="00D22FE3"/>
    <w:rsid w:val="00D25B4B"/>
    <w:rsid w:val="00D307BF"/>
    <w:rsid w:val="00D30A6A"/>
    <w:rsid w:val="00D3132C"/>
    <w:rsid w:val="00D31989"/>
    <w:rsid w:val="00D324C0"/>
    <w:rsid w:val="00D32A6A"/>
    <w:rsid w:val="00D370B3"/>
    <w:rsid w:val="00D41A87"/>
    <w:rsid w:val="00D51443"/>
    <w:rsid w:val="00D52F3D"/>
    <w:rsid w:val="00D57730"/>
    <w:rsid w:val="00D57E47"/>
    <w:rsid w:val="00D601B6"/>
    <w:rsid w:val="00D602AD"/>
    <w:rsid w:val="00D6069E"/>
    <w:rsid w:val="00D610E3"/>
    <w:rsid w:val="00D643E9"/>
    <w:rsid w:val="00D64EA6"/>
    <w:rsid w:val="00D66FA9"/>
    <w:rsid w:val="00D6766D"/>
    <w:rsid w:val="00D6769E"/>
    <w:rsid w:val="00D676CC"/>
    <w:rsid w:val="00D71ED9"/>
    <w:rsid w:val="00D80335"/>
    <w:rsid w:val="00D8251B"/>
    <w:rsid w:val="00D8755F"/>
    <w:rsid w:val="00D90E57"/>
    <w:rsid w:val="00D93A61"/>
    <w:rsid w:val="00D951E5"/>
    <w:rsid w:val="00D956FD"/>
    <w:rsid w:val="00D958A4"/>
    <w:rsid w:val="00DA3384"/>
    <w:rsid w:val="00DA390C"/>
    <w:rsid w:val="00DA3BBB"/>
    <w:rsid w:val="00DA4A8E"/>
    <w:rsid w:val="00DA67FE"/>
    <w:rsid w:val="00DB360D"/>
    <w:rsid w:val="00DB36EA"/>
    <w:rsid w:val="00DB3B6E"/>
    <w:rsid w:val="00DB4FF9"/>
    <w:rsid w:val="00DB57F5"/>
    <w:rsid w:val="00DB5D3D"/>
    <w:rsid w:val="00DC19D4"/>
    <w:rsid w:val="00DC24A9"/>
    <w:rsid w:val="00DC46A6"/>
    <w:rsid w:val="00DC4BF4"/>
    <w:rsid w:val="00DC520A"/>
    <w:rsid w:val="00DD0139"/>
    <w:rsid w:val="00DD0849"/>
    <w:rsid w:val="00DD0DD6"/>
    <w:rsid w:val="00DD14D2"/>
    <w:rsid w:val="00DD2D47"/>
    <w:rsid w:val="00DD45AE"/>
    <w:rsid w:val="00DD505E"/>
    <w:rsid w:val="00DE0405"/>
    <w:rsid w:val="00DE2DA4"/>
    <w:rsid w:val="00DE2EB1"/>
    <w:rsid w:val="00DE39A3"/>
    <w:rsid w:val="00DF12CD"/>
    <w:rsid w:val="00E0119A"/>
    <w:rsid w:val="00E0149A"/>
    <w:rsid w:val="00E030CA"/>
    <w:rsid w:val="00E03199"/>
    <w:rsid w:val="00E0378E"/>
    <w:rsid w:val="00E0439B"/>
    <w:rsid w:val="00E0528B"/>
    <w:rsid w:val="00E062C7"/>
    <w:rsid w:val="00E06590"/>
    <w:rsid w:val="00E072BE"/>
    <w:rsid w:val="00E115B5"/>
    <w:rsid w:val="00E1293F"/>
    <w:rsid w:val="00E12BDF"/>
    <w:rsid w:val="00E135E4"/>
    <w:rsid w:val="00E16177"/>
    <w:rsid w:val="00E1707C"/>
    <w:rsid w:val="00E209E8"/>
    <w:rsid w:val="00E23168"/>
    <w:rsid w:val="00E24237"/>
    <w:rsid w:val="00E24342"/>
    <w:rsid w:val="00E3284A"/>
    <w:rsid w:val="00E351A1"/>
    <w:rsid w:val="00E40079"/>
    <w:rsid w:val="00E40D0E"/>
    <w:rsid w:val="00E423A7"/>
    <w:rsid w:val="00E5027F"/>
    <w:rsid w:val="00E50C47"/>
    <w:rsid w:val="00E51CC2"/>
    <w:rsid w:val="00E55047"/>
    <w:rsid w:val="00E55725"/>
    <w:rsid w:val="00E55B8A"/>
    <w:rsid w:val="00E61585"/>
    <w:rsid w:val="00E62556"/>
    <w:rsid w:val="00E65892"/>
    <w:rsid w:val="00E75DF0"/>
    <w:rsid w:val="00E768B6"/>
    <w:rsid w:val="00E81A17"/>
    <w:rsid w:val="00E83BE7"/>
    <w:rsid w:val="00E90F30"/>
    <w:rsid w:val="00E946CB"/>
    <w:rsid w:val="00EA008C"/>
    <w:rsid w:val="00EA01A8"/>
    <w:rsid w:val="00EA7DE7"/>
    <w:rsid w:val="00EB09BC"/>
    <w:rsid w:val="00EB693B"/>
    <w:rsid w:val="00EB69E3"/>
    <w:rsid w:val="00EB7237"/>
    <w:rsid w:val="00EB7C4A"/>
    <w:rsid w:val="00EC00D8"/>
    <w:rsid w:val="00EC35C0"/>
    <w:rsid w:val="00EC4BFD"/>
    <w:rsid w:val="00EC4F03"/>
    <w:rsid w:val="00EC5E91"/>
    <w:rsid w:val="00EC7711"/>
    <w:rsid w:val="00ED2AF4"/>
    <w:rsid w:val="00ED2DE0"/>
    <w:rsid w:val="00ED43A1"/>
    <w:rsid w:val="00ED5D59"/>
    <w:rsid w:val="00ED7C6A"/>
    <w:rsid w:val="00ED7F6F"/>
    <w:rsid w:val="00EE1EC8"/>
    <w:rsid w:val="00EE29AE"/>
    <w:rsid w:val="00EE48C2"/>
    <w:rsid w:val="00EE4B48"/>
    <w:rsid w:val="00EE5066"/>
    <w:rsid w:val="00EE51B7"/>
    <w:rsid w:val="00EE7D67"/>
    <w:rsid w:val="00EF06AF"/>
    <w:rsid w:val="00EF382D"/>
    <w:rsid w:val="00EF4600"/>
    <w:rsid w:val="00EF494E"/>
    <w:rsid w:val="00EF5709"/>
    <w:rsid w:val="00EF6C5B"/>
    <w:rsid w:val="00EF76D9"/>
    <w:rsid w:val="00EF772D"/>
    <w:rsid w:val="00EF7F12"/>
    <w:rsid w:val="00F013A1"/>
    <w:rsid w:val="00F013AE"/>
    <w:rsid w:val="00F0248D"/>
    <w:rsid w:val="00F040F8"/>
    <w:rsid w:val="00F0479A"/>
    <w:rsid w:val="00F068C1"/>
    <w:rsid w:val="00F06E39"/>
    <w:rsid w:val="00F0712C"/>
    <w:rsid w:val="00F103CE"/>
    <w:rsid w:val="00F12D31"/>
    <w:rsid w:val="00F13039"/>
    <w:rsid w:val="00F139EA"/>
    <w:rsid w:val="00F213D6"/>
    <w:rsid w:val="00F23305"/>
    <w:rsid w:val="00F256C7"/>
    <w:rsid w:val="00F31B9A"/>
    <w:rsid w:val="00F34932"/>
    <w:rsid w:val="00F35272"/>
    <w:rsid w:val="00F35671"/>
    <w:rsid w:val="00F36B44"/>
    <w:rsid w:val="00F40E48"/>
    <w:rsid w:val="00F411E9"/>
    <w:rsid w:val="00F41616"/>
    <w:rsid w:val="00F416F7"/>
    <w:rsid w:val="00F41F0F"/>
    <w:rsid w:val="00F4735E"/>
    <w:rsid w:val="00F5197F"/>
    <w:rsid w:val="00F524DB"/>
    <w:rsid w:val="00F530B2"/>
    <w:rsid w:val="00F53223"/>
    <w:rsid w:val="00F5469A"/>
    <w:rsid w:val="00F56226"/>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607C"/>
    <w:rsid w:val="00FA61C9"/>
    <w:rsid w:val="00FA6A04"/>
    <w:rsid w:val="00FA771B"/>
    <w:rsid w:val="00FA7D08"/>
    <w:rsid w:val="00FB0853"/>
    <w:rsid w:val="00FB33AD"/>
    <w:rsid w:val="00FB46E8"/>
    <w:rsid w:val="00FB4770"/>
    <w:rsid w:val="00FB53DB"/>
    <w:rsid w:val="00FB6445"/>
    <w:rsid w:val="00FC0500"/>
    <w:rsid w:val="00FC0E93"/>
    <w:rsid w:val="00FC16EC"/>
    <w:rsid w:val="00FC715B"/>
    <w:rsid w:val="00FC73C7"/>
    <w:rsid w:val="00FD02D9"/>
    <w:rsid w:val="00FD3002"/>
    <w:rsid w:val="00FD4F65"/>
    <w:rsid w:val="00FD5B50"/>
    <w:rsid w:val="00FE1847"/>
    <w:rsid w:val="00FE24CB"/>
    <w:rsid w:val="00FE356F"/>
    <w:rsid w:val="00FE404F"/>
    <w:rsid w:val="00FE7AA0"/>
    <w:rsid w:val="00FE7F06"/>
    <w:rsid w:val="00FF2762"/>
    <w:rsid w:val="00FF4055"/>
    <w:rsid w:val="00FF4097"/>
    <w:rsid w:val="00FF48BA"/>
    <w:rsid w:val="00FF49E9"/>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link w:val="Refdenotaalpie"/>
    <w:uiPriority w:val="99"/>
    <w:qFormat/>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eastAsia="es-MX"/>
    </w:rPr>
  </w:style>
  <w:style w:type="character" w:customStyle="1" w:styleId="ListParagraphChar">
    <w:name w:val="List Paragraph Char"/>
    <w:basedOn w:val="DefaultParagraphFont"/>
    <w:link w:val="ListParagraph0"/>
    <w:uiPriority w:val="34"/>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eastAsia="es-MX"/>
    </w:rPr>
  </w:style>
  <w:style w:type="paragraph" w:customStyle="1" w:styleId="odd">
    <w:name w:val="odd"/>
    <w:basedOn w:val="Normal"/>
    <w:rsid w:val="00FA771B"/>
    <w:pPr>
      <w:spacing w:before="100" w:beforeAutospacing="1" w:after="100" w:afterAutospacing="1"/>
    </w:pPr>
    <w:rPr>
      <w:sz w:val="24"/>
      <w:szCs w:val="24"/>
      <w:lang w:eastAsia="es-MX"/>
    </w:rPr>
  </w:style>
  <w:style w:type="paragraph" w:customStyle="1" w:styleId="even">
    <w:name w:val="even"/>
    <w:basedOn w:val="Normal"/>
    <w:rsid w:val="00FA771B"/>
    <w:pPr>
      <w:spacing w:before="100" w:beforeAutospacing="1" w:after="100" w:afterAutospacing="1"/>
    </w:pPr>
    <w:rPr>
      <w:sz w:val="24"/>
      <w:szCs w:val="24"/>
      <w:lang w:eastAsia="es-MX"/>
    </w:rPr>
  </w:style>
  <w:style w:type="paragraph" w:customStyle="1" w:styleId="last">
    <w:name w:val="last"/>
    <w:basedOn w:val="Normal"/>
    <w:rsid w:val="00FA771B"/>
    <w:pPr>
      <w:spacing w:before="100" w:beforeAutospacing="1" w:after="100" w:afterAutospacing="1"/>
    </w:pPr>
    <w:rPr>
      <w:sz w:val="24"/>
      <w:szCs w:val="24"/>
      <w:lang w:eastAsia="es-MX"/>
    </w:rPr>
  </w:style>
  <w:style w:type="character" w:customStyle="1" w:styleId="UnresolvedMention1">
    <w:name w:val="Unresolved Mention1"/>
    <w:basedOn w:val="DefaultParagraphFont"/>
    <w:uiPriority w:val="99"/>
    <w:semiHidden/>
    <w:unhideWhenUsed/>
    <w:rsid w:val="00F139EA"/>
    <w:rPr>
      <w:color w:val="605E5C"/>
      <w:shd w:val="clear" w:color="auto" w:fill="E1DFDD"/>
    </w:rPr>
  </w:style>
  <w:style w:type="paragraph" w:customStyle="1" w:styleId="Refdenotaalpie">
    <w:name w:val="Ref. de nota al pie."/>
    <w:aliases w:val="Footnote,Ref. de nota al pi,f1"/>
    <w:basedOn w:val="Normal"/>
    <w:link w:val="FootnoteReference"/>
    <w:uiPriority w:val="99"/>
    <w:rsid w:val="00783F6F"/>
    <w:pPr>
      <w:spacing w:before="200" w:after="160" w:line="240" w:lineRule="exact"/>
    </w:pPr>
    <w:rPr>
      <w:vertAlign w:val="superscript"/>
    </w:rPr>
  </w:style>
  <w:style w:type="character" w:customStyle="1" w:styleId="UnresolvedMention2">
    <w:name w:val="Unresolved Mention2"/>
    <w:basedOn w:val="DefaultParagraphFont"/>
    <w:uiPriority w:val="99"/>
    <w:semiHidden/>
    <w:unhideWhenUsed/>
    <w:rsid w:val="002679AF"/>
    <w:rPr>
      <w:color w:val="605E5C"/>
      <w:shd w:val="clear" w:color="auto" w:fill="E1DFDD"/>
    </w:rPr>
  </w:style>
  <w:style w:type="table" w:styleId="TableGrid">
    <w:name w:val="Table Grid"/>
    <w:basedOn w:val="TableNormal"/>
    <w:rsid w:val="004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3424">
      <w:bodyDiv w:val="1"/>
      <w:marLeft w:val="0"/>
      <w:marRight w:val="0"/>
      <w:marTop w:val="0"/>
      <w:marBottom w:val="0"/>
      <w:divBdr>
        <w:top w:val="none" w:sz="0" w:space="0" w:color="auto"/>
        <w:left w:val="none" w:sz="0" w:space="0" w:color="auto"/>
        <w:bottom w:val="none" w:sz="0" w:space="0" w:color="auto"/>
        <w:right w:val="none" w:sz="0" w:space="0" w:color="auto"/>
      </w:divBdr>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mericasquarterly.org/article/the-summit-is-a-great-chance-for-better-cooperation-on-migr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68CA18C4-1EFF-451F-922F-FD13F120EA4B}">
  <ds:schemaRefs>
    <ds:schemaRef ds:uri="http://schemas.openxmlformats.org/officeDocument/2006/bibliography"/>
  </ds:schemaRefs>
</ds:datastoreItem>
</file>

<file path=customXml/itemProps4.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1662</Words>
  <Characters>9363</Characters>
  <Application>Microsoft Office Word</Application>
  <DocSecurity>0</DocSecurity>
  <Lines>179</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Victoria Larco</dc:creator>
  <cp:keywords/>
  <cp:lastModifiedBy>Palmer, Margaret</cp:lastModifiedBy>
  <cp:revision>7</cp:revision>
  <cp:lastPrinted>2021-06-15T17:56:00Z</cp:lastPrinted>
  <dcterms:created xsi:type="dcterms:W3CDTF">2022-05-25T20:25:00Z</dcterms:created>
  <dcterms:modified xsi:type="dcterms:W3CDTF">2022-05-25T20:53:00Z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