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54B1" w14:textId="77777777" w:rsidR="00722693" w:rsidRPr="00E03C21" w:rsidRDefault="00FA607C" w:rsidP="002D4050">
      <w:pPr>
        <w:tabs>
          <w:tab w:val="left" w:pos="7200"/>
        </w:tabs>
        <w:ind w:right="-1080"/>
        <w:rPr>
          <w:sz w:val="22"/>
          <w:szCs w:val="22"/>
          <w:lang w:val="pt-BR"/>
        </w:rPr>
      </w:pPr>
      <w:bookmarkStart w:id="0" w:name="_top"/>
      <w:bookmarkEnd w:id="0"/>
      <w:r w:rsidRPr="00E03C21">
        <w:rPr>
          <w:sz w:val="22"/>
          <w:szCs w:val="22"/>
          <w:lang w:val="fr-CA"/>
        </w:rPr>
        <w:tab/>
      </w:r>
      <w:r w:rsidRPr="00E03C21">
        <w:rPr>
          <w:sz w:val="22"/>
          <w:szCs w:val="22"/>
          <w:lang w:val="pt-BR"/>
        </w:rPr>
        <w:t>OEA/Ser.W</w:t>
      </w:r>
    </w:p>
    <w:p w14:paraId="08F1F7A0" w14:textId="0939DD6C" w:rsidR="00722693" w:rsidRPr="00E03C21" w:rsidRDefault="00FA607C" w:rsidP="002D4050">
      <w:pPr>
        <w:tabs>
          <w:tab w:val="left" w:pos="7200"/>
        </w:tabs>
        <w:ind w:right="-1080"/>
        <w:rPr>
          <w:sz w:val="22"/>
          <w:szCs w:val="22"/>
          <w:lang w:val="pt-BR"/>
        </w:rPr>
      </w:pPr>
      <w:r w:rsidRPr="00E03C21">
        <w:rPr>
          <w:sz w:val="22"/>
          <w:szCs w:val="22"/>
          <w:lang w:val="pt-BR"/>
        </w:rPr>
        <w:tab/>
        <w:t>CIDI/INF.</w:t>
      </w:r>
      <w:r w:rsidR="00FE0587" w:rsidRPr="00E03C21">
        <w:rPr>
          <w:sz w:val="22"/>
          <w:szCs w:val="22"/>
          <w:lang w:val="pt-BR"/>
        </w:rPr>
        <w:t>534</w:t>
      </w:r>
      <w:r w:rsidRPr="00E03C21">
        <w:rPr>
          <w:sz w:val="22"/>
          <w:szCs w:val="22"/>
          <w:lang w:val="pt-BR"/>
        </w:rPr>
        <w:t>/</w:t>
      </w:r>
      <w:r w:rsidR="000B6478" w:rsidRPr="00E03C21">
        <w:rPr>
          <w:sz w:val="22"/>
          <w:szCs w:val="22"/>
          <w:lang w:val="pt-BR"/>
        </w:rPr>
        <w:t>2</w:t>
      </w:r>
      <w:r w:rsidR="00E77C6D" w:rsidRPr="00E03C21">
        <w:rPr>
          <w:sz w:val="22"/>
          <w:szCs w:val="22"/>
          <w:lang w:val="pt-BR"/>
        </w:rPr>
        <w:t>3</w:t>
      </w:r>
    </w:p>
    <w:p w14:paraId="45B56933" w14:textId="77777777" w:rsidR="00921E9E" w:rsidRPr="00E03C21" w:rsidRDefault="00FA607C" w:rsidP="002D4050">
      <w:pPr>
        <w:pBdr>
          <w:bottom w:val="single" w:sz="12" w:space="1" w:color="auto"/>
        </w:pBdr>
        <w:tabs>
          <w:tab w:val="left" w:pos="7200"/>
        </w:tabs>
        <w:ind w:right="-389"/>
        <w:rPr>
          <w:sz w:val="22"/>
          <w:szCs w:val="22"/>
          <w:lang w:val="fr-CA"/>
        </w:rPr>
      </w:pPr>
      <w:r w:rsidRPr="00E03C21">
        <w:rPr>
          <w:sz w:val="22"/>
          <w:szCs w:val="22"/>
          <w:lang w:val="pt-BR"/>
        </w:rPr>
        <w:tab/>
      </w:r>
      <w:r w:rsidR="00FE0587" w:rsidRPr="00E03C21">
        <w:rPr>
          <w:sz w:val="22"/>
          <w:szCs w:val="22"/>
          <w:lang w:val="fr-CA"/>
        </w:rPr>
        <w:t xml:space="preserve">16 </w:t>
      </w:r>
      <w:r w:rsidR="00A20D1B" w:rsidRPr="00E03C21">
        <w:rPr>
          <w:sz w:val="22"/>
          <w:szCs w:val="22"/>
          <w:lang w:val="fr-CA"/>
        </w:rPr>
        <w:t xml:space="preserve">février </w:t>
      </w:r>
      <w:r w:rsidR="004A7C48" w:rsidRPr="00E03C21">
        <w:rPr>
          <w:sz w:val="22"/>
          <w:szCs w:val="22"/>
          <w:lang w:val="fr-CA"/>
        </w:rPr>
        <w:t>20</w:t>
      </w:r>
      <w:r w:rsidR="000B6478" w:rsidRPr="00E03C21">
        <w:rPr>
          <w:sz w:val="22"/>
          <w:szCs w:val="22"/>
          <w:lang w:val="fr-CA"/>
        </w:rPr>
        <w:t>2</w:t>
      </w:r>
      <w:r w:rsidR="00E77C6D" w:rsidRPr="00E03C21">
        <w:rPr>
          <w:sz w:val="22"/>
          <w:szCs w:val="22"/>
          <w:lang w:val="fr-CA"/>
        </w:rPr>
        <w:t>3</w:t>
      </w:r>
    </w:p>
    <w:p w14:paraId="5B91AC95" w14:textId="77777777" w:rsidR="00921E9E" w:rsidRPr="00E03C21" w:rsidRDefault="00FA607C" w:rsidP="002D4050">
      <w:pPr>
        <w:pBdr>
          <w:bottom w:val="single" w:sz="12" w:space="1" w:color="auto"/>
        </w:pBdr>
        <w:tabs>
          <w:tab w:val="left" w:pos="7200"/>
        </w:tabs>
        <w:ind w:right="-389"/>
        <w:rPr>
          <w:sz w:val="22"/>
          <w:szCs w:val="22"/>
          <w:lang w:val="fr-CA"/>
        </w:rPr>
      </w:pPr>
      <w:r w:rsidRPr="00E03C21">
        <w:rPr>
          <w:sz w:val="22"/>
          <w:szCs w:val="22"/>
          <w:lang w:val="fr-CA"/>
        </w:rPr>
        <w:tab/>
        <w:t xml:space="preserve">Original: </w:t>
      </w:r>
      <w:r w:rsidR="00A20D1B" w:rsidRPr="00E03C21">
        <w:rPr>
          <w:sz w:val="22"/>
          <w:szCs w:val="22"/>
          <w:lang w:val="fr-CA"/>
        </w:rPr>
        <w:t>anglais</w:t>
      </w:r>
    </w:p>
    <w:p w14:paraId="7E96AEE9" w14:textId="77777777" w:rsidR="00921E9E" w:rsidRPr="00E03C21" w:rsidRDefault="00921E9E" w:rsidP="002D4050">
      <w:pPr>
        <w:pBdr>
          <w:bottom w:val="single" w:sz="12" w:space="1" w:color="auto"/>
        </w:pBdr>
        <w:tabs>
          <w:tab w:val="left" w:pos="7200"/>
        </w:tabs>
        <w:ind w:right="-389"/>
        <w:rPr>
          <w:sz w:val="22"/>
          <w:szCs w:val="22"/>
          <w:lang w:val="fr-CA"/>
        </w:rPr>
      </w:pPr>
    </w:p>
    <w:p w14:paraId="75C1183A" w14:textId="77777777" w:rsidR="00722693" w:rsidRPr="00E03C21" w:rsidRDefault="00722693" w:rsidP="00155EF6">
      <w:pPr>
        <w:ind w:right="-1080"/>
        <w:rPr>
          <w:sz w:val="22"/>
          <w:szCs w:val="22"/>
          <w:lang w:val="fr-CA"/>
        </w:rPr>
      </w:pPr>
    </w:p>
    <w:p w14:paraId="0BCB6561" w14:textId="77777777" w:rsidR="00723DE2" w:rsidRPr="00E03C21" w:rsidRDefault="00723DE2" w:rsidP="00155EF6">
      <w:pPr>
        <w:rPr>
          <w:rFonts w:eastAsia="Calibri"/>
          <w:sz w:val="22"/>
          <w:szCs w:val="22"/>
          <w:lang w:val="fr-CA"/>
        </w:rPr>
      </w:pPr>
    </w:p>
    <w:p w14:paraId="14FCFAE8" w14:textId="77777777" w:rsidR="0069766D" w:rsidRPr="00E03C21" w:rsidRDefault="00A20D1B" w:rsidP="00155EF6">
      <w:pPr>
        <w:jc w:val="center"/>
        <w:rPr>
          <w:rFonts w:eastAsia="Calibri"/>
          <w:sz w:val="22"/>
          <w:szCs w:val="22"/>
          <w:lang w:val="fr-CA"/>
        </w:rPr>
      </w:pPr>
      <w:r w:rsidRPr="00E03C21">
        <w:rPr>
          <w:rFonts w:eastAsia="Calibri"/>
          <w:sz w:val="22"/>
          <w:szCs w:val="22"/>
          <w:lang w:val="fr-CA"/>
        </w:rPr>
        <w:t>DOCUMENT DE RÉFLEXION</w:t>
      </w:r>
      <w:r w:rsidR="0069766D" w:rsidRPr="00E03C21">
        <w:rPr>
          <w:rFonts w:eastAsia="Calibri"/>
          <w:sz w:val="22"/>
          <w:szCs w:val="22"/>
          <w:lang w:val="fr-CA"/>
        </w:rPr>
        <w:t xml:space="preserve"> </w:t>
      </w:r>
    </w:p>
    <w:p w14:paraId="48324064" w14:textId="77777777" w:rsidR="0069766D" w:rsidRPr="00E03C21" w:rsidRDefault="0069766D" w:rsidP="00AC773E">
      <w:pPr>
        <w:jc w:val="both"/>
        <w:rPr>
          <w:rFonts w:eastAsia="Calibri"/>
          <w:sz w:val="22"/>
          <w:szCs w:val="22"/>
          <w:lang w:val="fr-CA"/>
        </w:rPr>
      </w:pPr>
    </w:p>
    <w:p w14:paraId="4ADD1950" w14:textId="77777777" w:rsidR="0069766D" w:rsidRPr="00E03C21" w:rsidRDefault="00A20D1B" w:rsidP="00155EF6">
      <w:pPr>
        <w:jc w:val="center"/>
        <w:rPr>
          <w:rFonts w:eastAsia="Calibri"/>
          <w:caps/>
          <w:sz w:val="22"/>
          <w:szCs w:val="22"/>
          <w:lang w:val="fr-CA"/>
        </w:rPr>
      </w:pPr>
      <w:r w:rsidRPr="00E03C21">
        <w:rPr>
          <w:caps/>
          <w:sz w:val="22"/>
          <w:szCs w:val="22"/>
          <w:lang w:val="fr-CA"/>
        </w:rPr>
        <w:t>RÉUNION ORDINAIRE DU</w:t>
      </w:r>
      <w:r w:rsidR="0069766D" w:rsidRPr="00E03C21">
        <w:rPr>
          <w:caps/>
          <w:sz w:val="22"/>
          <w:szCs w:val="22"/>
          <w:lang w:val="fr-CA"/>
        </w:rPr>
        <w:t xml:space="preserve"> </w:t>
      </w:r>
    </w:p>
    <w:p w14:paraId="1F20FBDD" w14:textId="77777777" w:rsidR="0069766D" w:rsidRPr="00E03C21" w:rsidRDefault="00A20D1B" w:rsidP="00155EF6">
      <w:pPr>
        <w:jc w:val="center"/>
        <w:rPr>
          <w:rFonts w:eastAsia="Calibri"/>
          <w:caps/>
          <w:sz w:val="22"/>
          <w:szCs w:val="22"/>
          <w:lang w:val="fr-CA"/>
        </w:rPr>
      </w:pPr>
      <w:r w:rsidRPr="00E03C21">
        <w:rPr>
          <w:caps/>
          <w:sz w:val="22"/>
          <w:szCs w:val="22"/>
          <w:lang w:val="fr-CA"/>
        </w:rPr>
        <w:t xml:space="preserve">CONSEIL </w:t>
      </w:r>
      <w:r w:rsidR="0069766D" w:rsidRPr="00E03C21">
        <w:rPr>
          <w:caps/>
          <w:sz w:val="22"/>
          <w:szCs w:val="22"/>
          <w:lang w:val="fr-CA"/>
        </w:rPr>
        <w:t>InterAm</w:t>
      </w:r>
      <w:r w:rsidRPr="00E03C21">
        <w:rPr>
          <w:caps/>
          <w:sz w:val="22"/>
          <w:szCs w:val="22"/>
          <w:lang w:val="fr-CA"/>
        </w:rPr>
        <w:t>É</w:t>
      </w:r>
      <w:r w:rsidR="0069766D" w:rsidRPr="00E03C21">
        <w:rPr>
          <w:caps/>
          <w:sz w:val="22"/>
          <w:szCs w:val="22"/>
          <w:lang w:val="fr-CA"/>
        </w:rPr>
        <w:t>rica</w:t>
      </w:r>
      <w:r w:rsidRPr="00E03C21">
        <w:rPr>
          <w:caps/>
          <w:sz w:val="22"/>
          <w:szCs w:val="22"/>
          <w:lang w:val="fr-CA"/>
        </w:rPr>
        <w:t>I</w:t>
      </w:r>
      <w:r w:rsidR="0069766D" w:rsidRPr="00E03C21">
        <w:rPr>
          <w:caps/>
          <w:sz w:val="22"/>
          <w:szCs w:val="22"/>
          <w:lang w:val="fr-CA"/>
        </w:rPr>
        <w:t xml:space="preserve">n </w:t>
      </w:r>
      <w:r w:rsidRPr="00E03C21">
        <w:rPr>
          <w:caps/>
          <w:sz w:val="22"/>
          <w:szCs w:val="22"/>
          <w:lang w:val="fr-CA"/>
        </w:rPr>
        <w:t xml:space="preserve">POUR LE DÉVELOPPEMENT INTÉGRÉ </w:t>
      </w:r>
      <w:r w:rsidR="0069766D" w:rsidRPr="00E03C21">
        <w:rPr>
          <w:caps/>
          <w:sz w:val="22"/>
          <w:szCs w:val="22"/>
          <w:lang w:val="fr-CA"/>
        </w:rPr>
        <w:t xml:space="preserve">(CIDI) </w:t>
      </w:r>
    </w:p>
    <w:p w14:paraId="4F6B130B" w14:textId="77777777" w:rsidR="0069766D" w:rsidRPr="00E03C21" w:rsidRDefault="00A20D1B" w:rsidP="00155EF6">
      <w:pPr>
        <w:jc w:val="center"/>
        <w:rPr>
          <w:caps/>
          <w:sz w:val="22"/>
          <w:szCs w:val="22"/>
          <w:lang w:val="fr-CA"/>
        </w:rPr>
      </w:pPr>
      <w:r w:rsidRPr="00E03C21">
        <w:rPr>
          <w:caps/>
          <w:sz w:val="22"/>
          <w:szCs w:val="22"/>
          <w:lang w:val="fr-CA"/>
        </w:rPr>
        <w:t xml:space="preserve">28 FÉVRIER </w:t>
      </w:r>
      <w:r w:rsidR="0069766D" w:rsidRPr="00E03C21">
        <w:rPr>
          <w:caps/>
          <w:sz w:val="22"/>
          <w:szCs w:val="22"/>
          <w:lang w:val="fr-CA"/>
        </w:rPr>
        <w:t>202</w:t>
      </w:r>
      <w:r w:rsidR="00E77C6D" w:rsidRPr="00E03C21">
        <w:rPr>
          <w:caps/>
          <w:sz w:val="22"/>
          <w:szCs w:val="22"/>
          <w:lang w:val="fr-CA"/>
        </w:rPr>
        <w:t>3</w:t>
      </w:r>
    </w:p>
    <w:p w14:paraId="59C66AF4" w14:textId="77777777" w:rsidR="0069766D" w:rsidRPr="00AC773E" w:rsidRDefault="0069766D" w:rsidP="00AC773E">
      <w:pPr>
        <w:jc w:val="both"/>
        <w:rPr>
          <w:rFonts w:eastAsia="Calibri"/>
          <w:sz w:val="22"/>
          <w:szCs w:val="22"/>
          <w:lang w:val="fr-CA"/>
        </w:rPr>
      </w:pPr>
    </w:p>
    <w:p w14:paraId="2C020A4D" w14:textId="77777777" w:rsidR="0069766D" w:rsidRPr="00E03C21" w:rsidRDefault="0069766D" w:rsidP="00AC773E">
      <w:pPr>
        <w:jc w:val="both"/>
        <w:rPr>
          <w:rFonts w:eastAsia="Calibri"/>
          <w:sz w:val="22"/>
          <w:szCs w:val="22"/>
          <w:lang w:val="fr-CA"/>
        </w:rPr>
      </w:pPr>
    </w:p>
    <w:p w14:paraId="655208E2" w14:textId="77777777" w:rsidR="0069766D" w:rsidRPr="00E03C21" w:rsidRDefault="0069766D" w:rsidP="00155EF6">
      <w:pPr>
        <w:jc w:val="center"/>
        <w:rPr>
          <w:b/>
          <w:sz w:val="22"/>
          <w:szCs w:val="22"/>
          <w:lang w:val="fr-CA"/>
        </w:rPr>
      </w:pPr>
      <w:r w:rsidRPr="00E03C21">
        <w:rPr>
          <w:b/>
          <w:sz w:val="22"/>
          <w:szCs w:val="22"/>
          <w:lang w:val="fr-CA"/>
        </w:rPr>
        <w:t>TH</w:t>
      </w:r>
      <w:r w:rsidR="00A20D1B" w:rsidRPr="00E03C21">
        <w:rPr>
          <w:b/>
          <w:sz w:val="22"/>
          <w:szCs w:val="22"/>
          <w:lang w:val="fr-CA"/>
        </w:rPr>
        <w:t>È</w:t>
      </w:r>
      <w:r w:rsidRPr="00E03C21">
        <w:rPr>
          <w:b/>
          <w:sz w:val="22"/>
          <w:szCs w:val="22"/>
          <w:lang w:val="fr-CA"/>
        </w:rPr>
        <w:t xml:space="preserve">ME: </w:t>
      </w:r>
      <w:r w:rsidR="00A2574D" w:rsidRPr="00E03C21">
        <w:rPr>
          <w:b/>
          <w:sz w:val="22"/>
          <w:szCs w:val="22"/>
          <w:lang w:val="fr-CA"/>
        </w:rPr>
        <w:t xml:space="preserve">LA </w:t>
      </w:r>
      <w:r w:rsidR="00F54162" w:rsidRPr="00E03C21">
        <w:rPr>
          <w:b/>
          <w:sz w:val="22"/>
          <w:szCs w:val="22"/>
          <w:lang w:val="fr-CA"/>
        </w:rPr>
        <w:t>D</w:t>
      </w:r>
      <w:r w:rsidR="00A20D1B" w:rsidRPr="00E03C21">
        <w:rPr>
          <w:b/>
          <w:sz w:val="22"/>
          <w:szCs w:val="22"/>
          <w:lang w:val="fr-CA"/>
        </w:rPr>
        <w:t>É</w:t>
      </w:r>
      <w:r w:rsidR="00F54162" w:rsidRPr="00E03C21">
        <w:rPr>
          <w:b/>
          <w:sz w:val="22"/>
          <w:szCs w:val="22"/>
          <w:lang w:val="fr-CA"/>
        </w:rPr>
        <w:t>CARBON</w:t>
      </w:r>
      <w:r w:rsidR="00A20D1B" w:rsidRPr="00E03C21">
        <w:rPr>
          <w:b/>
          <w:sz w:val="22"/>
          <w:szCs w:val="22"/>
          <w:lang w:val="fr-CA"/>
        </w:rPr>
        <w:t>ATION DES AMÉRIQUES –</w:t>
      </w:r>
      <w:r w:rsidR="00AC317E" w:rsidRPr="00E03C21">
        <w:rPr>
          <w:b/>
          <w:sz w:val="22"/>
          <w:szCs w:val="22"/>
          <w:lang w:val="fr-CA"/>
        </w:rPr>
        <w:t xml:space="preserve"> </w:t>
      </w:r>
      <w:r w:rsidR="00A20D1B" w:rsidRPr="00E03C21">
        <w:rPr>
          <w:b/>
          <w:sz w:val="22"/>
          <w:szCs w:val="22"/>
          <w:lang w:val="fr-CA"/>
        </w:rPr>
        <w:t>SOLUTIONS</w:t>
      </w:r>
      <w:r w:rsidR="009C2ACB" w:rsidRPr="00E03C21">
        <w:rPr>
          <w:b/>
          <w:sz w:val="22"/>
          <w:szCs w:val="22"/>
          <w:lang w:val="fr-CA"/>
        </w:rPr>
        <w:t xml:space="preserve"> </w:t>
      </w:r>
      <w:r w:rsidR="00A20D1B" w:rsidRPr="00E03C21">
        <w:rPr>
          <w:b/>
          <w:sz w:val="22"/>
          <w:szCs w:val="22"/>
          <w:lang w:val="fr-CA"/>
        </w:rPr>
        <w:t xml:space="preserve">BASÉES SUR L’ÉNERGIE ET LA NATURE </w:t>
      </w:r>
    </w:p>
    <w:p w14:paraId="172BA8EF" w14:textId="77777777" w:rsidR="0069766D" w:rsidRPr="00E03C21" w:rsidRDefault="0069766D" w:rsidP="00AC773E">
      <w:pPr>
        <w:jc w:val="both"/>
        <w:rPr>
          <w:sz w:val="22"/>
          <w:szCs w:val="22"/>
          <w:lang w:val="fr-CA"/>
        </w:rPr>
      </w:pPr>
    </w:p>
    <w:p w14:paraId="00FCA2B5" w14:textId="77777777" w:rsidR="0069766D" w:rsidRPr="00E03C21" w:rsidRDefault="0069766D" w:rsidP="00155EF6">
      <w:pPr>
        <w:jc w:val="both"/>
        <w:rPr>
          <w:sz w:val="22"/>
          <w:szCs w:val="22"/>
          <w:lang w:val="fr-CA"/>
        </w:rPr>
      </w:pPr>
    </w:p>
    <w:p w14:paraId="76FAB0F9" w14:textId="77777777" w:rsidR="0069766D" w:rsidRPr="00E03C21" w:rsidRDefault="00A20D1B" w:rsidP="00155EF6">
      <w:pPr>
        <w:numPr>
          <w:ilvl w:val="0"/>
          <w:numId w:val="19"/>
        </w:numPr>
        <w:ind w:left="0" w:firstLine="0"/>
        <w:rPr>
          <w:b/>
          <w:sz w:val="22"/>
          <w:szCs w:val="22"/>
          <w:lang w:val="fr-CA"/>
        </w:rPr>
      </w:pPr>
      <w:r w:rsidRPr="00E03C21">
        <w:rPr>
          <w:b/>
          <w:sz w:val="22"/>
          <w:szCs w:val="22"/>
          <w:lang w:val="fr-CA"/>
        </w:rPr>
        <w:t>Antécédents</w:t>
      </w:r>
      <w:r w:rsidR="0069766D" w:rsidRPr="00E03C21">
        <w:rPr>
          <w:b/>
          <w:sz w:val="22"/>
          <w:szCs w:val="22"/>
          <w:lang w:val="fr-CA"/>
        </w:rPr>
        <w:t xml:space="preserve">/Justification </w:t>
      </w:r>
    </w:p>
    <w:p w14:paraId="0A643BA5" w14:textId="77777777" w:rsidR="0069766D" w:rsidRPr="00E03C21" w:rsidRDefault="0069766D" w:rsidP="00155EF6">
      <w:pPr>
        <w:rPr>
          <w:bCs/>
          <w:sz w:val="22"/>
          <w:szCs w:val="22"/>
          <w:lang w:val="fr-CA"/>
        </w:rPr>
      </w:pPr>
    </w:p>
    <w:p w14:paraId="4250D945" w14:textId="77777777" w:rsidR="002F397F" w:rsidRPr="00E03C21" w:rsidRDefault="00A20D1B" w:rsidP="00155EF6">
      <w:pPr>
        <w:ind w:firstLine="720"/>
        <w:jc w:val="both"/>
        <w:rPr>
          <w:sz w:val="22"/>
          <w:szCs w:val="22"/>
          <w:lang w:val="fr-CA"/>
        </w:rPr>
      </w:pPr>
      <w:r w:rsidRPr="00E03C21">
        <w:rPr>
          <w:sz w:val="22"/>
          <w:szCs w:val="22"/>
          <w:lang w:val="fr-CA"/>
        </w:rPr>
        <w:t xml:space="preserve">La production et la consommation d’électricité ainsi que les transports sont </w:t>
      </w:r>
      <w:r w:rsidR="00073B3C" w:rsidRPr="00E03C21">
        <w:rPr>
          <w:sz w:val="22"/>
          <w:szCs w:val="22"/>
          <w:lang w:val="fr-CA"/>
        </w:rPr>
        <w:t xml:space="preserve">des sources importantes d’émissions de gaz à effet de serre dans la région. Les pays qui cherchent à réduire leur empreinte carbone et à décarboner le secteur énergétique </w:t>
      </w:r>
      <w:r w:rsidR="00AC317E" w:rsidRPr="00E03C21">
        <w:rPr>
          <w:sz w:val="22"/>
          <w:szCs w:val="22"/>
          <w:lang w:val="fr-CA"/>
        </w:rPr>
        <w:t>disposent d’u</w:t>
      </w:r>
      <w:r w:rsidR="00073B3C" w:rsidRPr="00E03C21">
        <w:rPr>
          <w:sz w:val="22"/>
          <w:szCs w:val="22"/>
          <w:lang w:val="fr-CA"/>
        </w:rPr>
        <w:t xml:space="preserve">ne multitude de politiques qui, si elles sont </w:t>
      </w:r>
      <w:r w:rsidR="00A2574D" w:rsidRPr="00E03C21">
        <w:rPr>
          <w:sz w:val="22"/>
          <w:szCs w:val="22"/>
          <w:lang w:val="fr-CA"/>
        </w:rPr>
        <w:t xml:space="preserve">mises en œuvre </w:t>
      </w:r>
      <w:r w:rsidR="00073B3C" w:rsidRPr="00E03C21">
        <w:rPr>
          <w:sz w:val="22"/>
          <w:szCs w:val="22"/>
          <w:lang w:val="fr-CA"/>
        </w:rPr>
        <w:t xml:space="preserve">avec succès, sont susceptibles de réduire considérablement les émissions de gaz à effet de serre. </w:t>
      </w:r>
    </w:p>
    <w:p w14:paraId="32AC0BFA" w14:textId="77777777" w:rsidR="002F397F" w:rsidRPr="00E03C21" w:rsidRDefault="002F397F" w:rsidP="00155EF6">
      <w:pPr>
        <w:rPr>
          <w:sz w:val="22"/>
          <w:szCs w:val="22"/>
          <w:lang w:val="fr-CA"/>
        </w:rPr>
      </w:pPr>
    </w:p>
    <w:p w14:paraId="0D543C7B" w14:textId="1FCF7E55" w:rsidR="002F397F" w:rsidRPr="00E03C21" w:rsidRDefault="00AC317E" w:rsidP="00155EF6">
      <w:pPr>
        <w:ind w:firstLine="720"/>
        <w:jc w:val="both"/>
        <w:rPr>
          <w:sz w:val="22"/>
          <w:szCs w:val="22"/>
          <w:lang w:val="fr-CA"/>
        </w:rPr>
      </w:pPr>
      <w:r w:rsidRPr="00E03C21">
        <w:rPr>
          <w:sz w:val="22"/>
          <w:szCs w:val="22"/>
          <w:lang w:val="fr-CA"/>
        </w:rPr>
        <w:t xml:space="preserve">Même si </w:t>
      </w:r>
      <w:r w:rsidR="00073B3C" w:rsidRPr="00E03C21">
        <w:rPr>
          <w:sz w:val="22"/>
          <w:szCs w:val="22"/>
          <w:lang w:val="fr-CA"/>
        </w:rPr>
        <w:t xml:space="preserve">des pays des Amériques </w:t>
      </w:r>
      <w:r w:rsidRPr="00E03C21">
        <w:rPr>
          <w:sz w:val="22"/>
          <w:szCs w:val="22"/>
          <w:lang w:val="fr-CA"/>
        </w:rPr>
        <w:t xml:space="preserve">ont </w:t>
      </w:r>
      <w:r w:rsidR="00073B3C" w:rsidRPr="00E03C21">
        <w:rPr>
          <w:sz w:val="22"/>
          <w:szCs w:val="22"/>
          <w:lang w:val="fr-CA"/>
        </w:rPr>
        <w:t>réalisé de</w:t>
      </w:r>
      <w:r w:rsidR="00A2574D" w:rsidRPr="00E03C21">
        <w:rPr>
          <w:sz w:val="22"/>
          <w:szCs w:val="22"/>
          <w:lang w:val="fr-CA"/>
        </w:rPr>
        <w:t>s</w:t>
      </w:r>
      <w:r w:rsidR="00073B3C" w:rsidRPr="00E03C21">
        <w:rPr>
          <w:sz w:val="22"/>
          <w:szCs w:val="22"/>
          <w:lang w:val="fr-CA"/>
        </w:rPr>
        <w:t xml:space="preserve"> progrès important</w:t>
      </w:r>
      <w:r w:rsidR="00A2574D" w:rsidRPr="00E03C21">
        <w:rPr>
          <w:sz w:val="22"/>
          <w:szCs w:val="22"/>
          <w:lang w:val="fr-CA"/>
        </w:rPr>
        <w:t>s</w:t>
      </w:r>
      <w:r w:rsidR="00073B3C" w:rsidRPr="00E03C21">
        <w:rPr>
          <w:sz w:val="22"/>
          <w:szCs w:val="22"/>
          <w:lang w:val="fr-CA"/>
        </w:rPr>
        <w:t xml:space="preserve"> en matière de décarbonation du secteur énergétique, le continent continue à dépendre fortement des marchés pétroliers extrêmement volatiles et des subventions aux carburants. </w:t>
      </w:r>
      <w:r w:rsidRPr="00E03C21">
        <w:rPr>
          <w:sz w:val="22"/>
          <w:szCs w:val="22"/>
          <w:lang w:val="fr-CA"/>
        </w:rPr>
        <w:t>Au cours des vingt prochaines années, l</w:t>
      </w:r>
      <w:r w:rsidR="00073B3C" w:rsidRPr="00E03C21">
        <w:rPr>
          <w:sz w:val="22"/>
          <w:szCs w:val="22"/>
          <w:lang w:val="fr-CA"/>
        </w:rPr>
        <w:t>a région va avoir besoin de nouvelles technologies et d</w:t>
      </w:r>
      <w:r w:rsidR="00E57285" w:rsidRPr="00E03C21">
        <w:rPr>
          <w:sz w:val="22"/>
          <w:szCs w:val="22"/>
          <w:lang w:val="fr-CA"/>
        </w:rPr>
        <w:t xml:space="preserve">e </w:t>
      </w:r>
      <w:r w:rsidR="00073B3C" w:rsidRPr="00E03C21">
        <w:rPr>
          <w:sz w:val="22"/>
          <w:szCs w:val="22"/>
          <w:lang w:val="fr-CA"/>
        </w:rPr>
        <w:t>montant</w:t>
      </w:r>
      <w:r w:rsidR="00E57285" w:rsidRPr="00E03C21">
        <w:rPr>
          <w:sz w:val="22"/>
          <w:szCs w:val="22"/>
          <w:lang w:val="fr-CA"/>
        </w:rPr>
        <w:t>s</w:t>
      </w:r>
      <w:r w:rsidR="00073B3C" w:rsidRPr="00E03C21">
        <w:rPr>
          <w:sz w:val="22"/>
          <w:szCs w:val="22"/>
          <w:lang w:val="fr-CA"/>
        </w:rPr>
        <w:t xml:space="preserve"> faramineux </w:t>
      </w:r>
      <w:r w:rsidR="00E57285" w:rsidRPr="00E03C21">
        <w:rPr>
          <w:sz w:val="22"/>
          <w:szCs w:val="22"/>
          <w:lang w:val="fr-CA"/>
        </w:rPr>
        <w:t>d</w:t>
      </w:r>
      <w:r w:rsidR="00073B3C" w:rsidRPr="00E03C21">
        <w:rPr>
          <w:sz w:val="22"/>
          <w:szCs w:val="22"/>
          <w:lang w:val="fr-CA"/>
        </w:rPr>
        <w:t xml:space="preserve">e </w:t>
      </w:r>
      <w:r w:rsidR="00E57285" w:rsidRPr="00E03C21">
        <w:rPr>
          <w:sz w:val="22"/>
          <w:szCs w:val="22"/>
          <w:lang w:val="fr-CA"/>
        </w:rPr>
        <w:t>capitaux  pour satisfaire la demande</w:t>
      </w:r>
      <w:r w:rsidR="00A2574D" w:rsidRPr="00E03C21">
        <w:rPr>
          <w:sz w:val="22"/>
          <w:szCs w:val="22"/>
          <w:lang w:val="fr-CA"/>
        </w:rPr>
        <w:t xml:space="preserve"> </w:t>
      </w:r>
      <w:r w:rsidRPr="00E03C21">
        <w:rPr>
          <w:sz w:val="22"/>
          <w:szCs w:val="22"/>
          <w:lang w:val="fr-CA"/>
        </w:rPr>
        <w:t xml:space="preserve">croissante </w:t>
      </w:r>
      <w:r w:rsidR="00A2574D" w:rsidRPr="00E03C21">
        <w:rPr>
          <w:sz w:val="22"/>
          <w:szCs w:val="22"/>
          <w:lang w:val="fr-CA"/>
        </w:rPr>
        <w:t xml:space="preserve">en énergie, renforcer </w:t>
      </w:r>
      <w:r w:rsidRPr="00E03C21">
        <w:rPr>
          <w:sz w:val="22"/>
          <w:szCs w:val="22"/>
          <w:lang w:val="fr-CA"/>
        </w:rPr>
        <w:t>s</w:t>
      </w:r>
      <w:r w:rsidR="00A2574D" w:rsidRPr="00E03C21">
        <w:rPr>
          <w:sz w:val="22"/>
          <w:szCs w:val="22"/>
          <w:lang w:val="fr-CA"/>
        </w:rPr>
        <w:t xml:space="preserve">a sécurité énergétique et concrétiser les engagements pris dans </w:t>
      </w:r>
      <w:r w:rsidR="00E57285" w:rsidRPr="00E03C21">
        <w:rPr>
          <w:sz w:val="22"/>
          <w:szCs w:val="22"/>
          <w:lang w:val="fr-CA"/>
        </w:rPr>
        <w:t>le cadre de l’Accord de Paris</w:t>
      </w:r>
      <w:r w:rsidR="00A2574D" w:rsidRPr="00E03C21">
        <w:rPr>
          <w:sz w:val="22"/>
          <w:szCs w:val="22"/>
          <w:lang w:val="fr-CA"/>
        </w:rPr>
        <w:t xml:space="preserve"> en matière de lutte contre le changement climatique. </w:t>
      </w:r>
      <w:r w:rsidR="00E57285" w:rsidRPr="00E03C21">
        <w:rPr>
          <w:sz w:val="22"/>
          <w:szCs w:val="22"/>
          <w:lang w:val="fr-CA"/>
        </w:rPr>
        <w:t>Selon l’</w:t>
      </w:r>
      <w:r w:rsidR="00E77C6D" w:rsidRPr="00E03C21">
        <w:rPr>
          <w:sz w:val="22"/>
          <w:szCs w:val="22"/>
          <w:lang w:val="fr-CA"/>
        </w:rPr>
        <w:t>A</w:t>
      </w:r>
      <w:r w:rsidR="00E57285" w:rsidRPr="00E03C21">
        <w:rPr>
          <w:sz w:val="22"/>
          <w:szCs w:val="22"/>
          <w:lang w:val="fr-CA"/>
        </w:rPr>
        <w:t xml:space="preserve">gence internationale de l’énergie (AIE), </w:t>
      </w:r>
      <w:r w:rsidR="009834FB" w:rsidRPr="00E03C21">
        <w:rPr>
          <w:sz w:val="22"/>
          <w:szCs w:val="22"/>
          <w:lang w:val="fr-CA"/>
        </w:rPr>
        <w:t xml:space="preserve">d’ici </w:t>
      </w:r>
      <w:r w:rsidR="002F397F" w:rsidRPr="00E03C21">
        <w:rPr>
          <w:sz w:val="22"/>
          <w:szCs w:val="22"/>
          <w:lang w:val="fr-CA"/>
        </w:rPr>
        <w:t>2040</w:t>
      </w:r>
      <w:r w:rsidR="00A2574D" w:rsidRPr="00E03C21">
        <w:rPr>
          <w:sz w:val="22"/>
          <w:szCs w:val="22"/>
          <w:lang w:val="fr-CA"/>
        </w:rPr>
        <w:t>,</w:t>
      </w:r>
      <w:r w:rsidR="009834FB" w:rsidRPr="00E03C21">
        <w:rPr>
          <w:sz w:val="22"/>
          <w:szCs w:val="22"/>
          <w:lang w:val="fr-CA"/>
        </w:rPr>
        <w:t xml:space="preserve"> la demande d’électricité </w:t>
      </w:r>
      <w:r w:rsidRPr="00E03C21">
        <w:rPr>
          <w:sz w:val="22"/>
          <w:szCs w:val="22"/>
          <w:lang w:val="fr-CA"/>
        </w:rPr>
        <w:t>v</w:t>
      </w:r>
      <w:r w:rsidR="009834FB" w:rsidRPr="00E03C21">
        <w:rPr>
          <w:sz w:val="22"/>
          <w:szCs w:val="22"/>
          <w:lang w:val="fr-CA"/>
        </w:rPr>
        <w:t>a doubl</w:t>
      </w:r>
      <w:r w:rsidRPr="00E03C21">
        <w:rPr>
          <w:sz w:val="22"/>
          <w:szCs w:val="22"/>
          <w:lang w:val="fr-CA"/>
        </w:rPr>
        <w:t>er</w:t>
      </w:r>
      <w:r w:rsidR="009834FB" w:rsidRPr="00E03C21">
        <w:rPr>
          <w:sz w:val="22"/>
          <w:szCs w:val="22"/>
          <w:lang w:val="fr-CA"/>
        </w:rPr>
        <w:t xml:space="preserve">, l’énergie hydraulique et le gaz naturel resteront prédominants dans la matrice de production, </w:t>
      </w:r>
      <w:r w:rsidRPr="00E03C21">
        <w:rPr>
          <w:sz w:val="22"/>
          <w:szCs w:val="22"/>
          <w:lang w:val="fr-CA"/>
        </w:rPr>
        <w:t xml:space="preserve">la </w:t>
      </w:r>
      <w:r w:rsidR="009834FB" w:rsidRPr="00E03C21">
        <w:rPr>
          <w:sz w:val="22"/>
          <w:szCs w:val="22"/>
          <w:lang w:val="fr-CA"/>
        </w:rPr>
        <w:t>participation des différentes énergies renouvelables</w:t>
      </w:r>
      <w:r w:rsidRPr="00E03C21">
        <w:rPr>
          <w:sz w:val="22"/>
          <w:szCs w:val="22"/>
          <w:lang w:val="fr-CA"/>
        </w:rPr>
        <w:t xml:space="preserve"> sera plus importante</w:t>
      </w:r>
      <w:r w:rsidR="009834FB" w:rsidRPr="00E03C21">
        <w:rPr>
          <w:sz w:val="22"/>
          <w:szCs w:val="22"/>
          <w:lang w:val="fr-CA"/>
        </w:rPr>
        <w:t xml:space="preserve"> (</w:t>
      </w:r>
      <w:r w:rsidRPr="00E03C21">
        <w:rPr>
          <w:sz w:val="22"/>
          <w:szCs w:val="22"/>
          <w:lang w:val="fr-CA"/>
        </w:rPr>
        <w:t xml:space="preserve">elle </w:t>
      </w:r>
      <w:r w:rsidR="009834FB" w:rsidRPr="00E03C21">
        <w:rPr>
          <w:sz w:val="22"/>
          <w:szCs w:val="22"/>
          <w:lang w:val="fr-CA"/>
        </w:rPr>
        <w:t xml:space="preserve">passera de 2% en 2014 à 11% en 2040) et le </w:t>
      </w:r>
      <w:r w:rsidRPr="00E03C21">
        <w:rPr>
          <w:sz w:val="22"/>
          <w:szCs w:val="22"/>
          <w:lang w:val="fr-CA"/>
        </w:rPr>
        <w:t xml:space="preserve">mazout </w:t>
      </w:r>
      <w:r w:rsidR="009834FB" w:rsidRPr="00E03C21">
        <w:rPr>
          <w:sz w:val="22"/>
          <w:szCs w:val="22"/>
          <w:lang w:val="fr-CA"/>
        </w:rPr>
        <w:t xml:space="preserve">et le charbon continueront à jouer un rôle dans le mix énergétique. En outre, des données de la Banque interaméricaine de développement indiquent que la région va avoir besoin d’une capacité </w:t>
      </w:r>
      <w:r w:rsidR="00A2574D" w:rsidRPr="00E03C21">
        <w:rPr>
          <w:sz w:val="22"/>
          <w:szCs w:val="22"/>
          <w:lang w:val="fr-CA"/>
        </w:rPr>
        <w:t xml:space="preserve">supplémentaire </w:t>
      </w:r>
      <w:r w:rsidR="009834FB" w:rsidRPr="00E03C21">
        <w:rPr>
          <w:sz w:val="22"/>
          <w:szCs w:val="22"/>
          <w:lang w:val="fr-CA"/>
        </w:rPr>
        <w:t>de 408 gigawatts au cours des deux prochaines décennies (</w:t>
      </w:r>
      <w:r w:rsidR="002F397F" w:rsidRPr="00E03C21">
        <w:rPr>
          <w:sz w:val="22"/>
          <w:szCs w:val="22"/>
          <w:lang w:val="fr-CA"/>
        </w:rPr>
        <w:t xml:space="preserve">138 gigawatts </w:t>
      </w:r>
      <w:r w:rsidR="009834FB" w:rsidRPr="00E03C21">
        <w:rPr>
          <w:sz w:val="22"/>
          <w:szCs w:val="22"/>
          <w:lang w:val="fr-CA"/>
        </w:rPr>
        <w:t xml:space="preserve">provenant du gaz naturel et </w:t>
      </w:r>
      <w:r w:rsidR="002F397F" w:rsidRPr="00E03C21">
        <w:rPr>
          <w:sz w:val="22"/>
          <w:szCs w:val="22"/>
          <w:lang w:val="fr-CA"/>
        </w:rPr>
        <w:t xml:space="preserve">270 gigawatts </w:t>
      </w:r>
      <w:r w:rsidR="009834FB" w:rsidRPr="00E03C21">
        <w:rPr>
          <w:sz w:val="22"/>
          <w:szCs w:val="22"/>
          <w:lang w:val="fr-CA"/>
        </w:rPr>
        <w:t>provenant de sources renouvelables)</w:t>
      </w:r>
      <w:r w:rsidRPr="00E03C21">
        <w:rPr>
          <w:sz w:val="22"/>
          <w:szCs w:val="22"/>
          <w:lang w:val="fr-CA"/>
        </w:rPr>
        <w:t xml:space="preserve">, ce qui représente </w:t>
      </w:r>
      <w:r w:rsidR="009834FB" w:rsidRPr="00E03C21">
        <w:rPr>
          <w:sz w:val="22"/>
          <w:szCs w:val="22"/>
          <w:lang w:val="fr-CA"/>
        </w:rPr>
        <w:t xml:space="preserve">un coût </w:t>
      </w:r>
      <w:r w:rsidR="000E65A6" w:rsidRPr="00E03C21">
        <w:rPr>
          <w:sz w:val="22"/>
          <w:szCs w:val="22"/>
          <w:lang w:val="fr-CA"/>
        </w:rPr>
        <w:t xml:space="preserve">moyen de 24 milliards de dollars </w:t>
      </w:r>
      <w:r w:rsidRPr="00E03C21">
        <w:rPr>
          <w:sz w:val="22"/>
          <w:szCs w:val="22"/>
          <w:lang w:val="fr-CA"/>
        </w:rPr>
        <w:t>chaque année</w:t>
      </w:r>
      <w:r w:rsidR="000E65A6" w:rsidRPr="00E03C21">
        <w:rPr>
          <w:sz w:val="22"/>
          <w:szCs w:val="22"/>
          <w:lang w:val="fr-CA"/>
        </w:rPr>
        <w:t xml:space="preserve">. Par ailleurs, d’ici </w:t>
      </w:r>
      <w:r w:rsidR="002F397F" w:rsidRPr="00E03C21">
        <w:rPr>
          <w:sz w:val="22"/>
          <w:szCs w:val="22"/>
          <w:lang w:val="fr-CA"/>
        </w:rPr>
        <w:t>2040</w:t>
      </w:r>
      <w:r w:rsidR="00A2574D" w:rsidRPr="00E03C21">
        <w:rPr>
          <w:sz w:val="22"/>
          <w:szCs w:val="22"/>
          <w:lang w:val="fr-CA"/>
        </w:rPr>
        <w:t>,</w:t>
      </w:r>
      <w:r w:rsidR="002F397F" w:rsidRPr="00E03C21">
        <w:rPr>
          <w:sz w:val="22"/>
          <w:szCs w:val="22"/>
          <w:lang w:val="fr-CA"/>
        </w:rPr>
        <w:t xml:space="preserve"> </w:t>
      </w:r>
      <w:r w:rsidR="000E65A6" w:rsidRPr="00E03C21">
        <w:rPr>
          <w:sz w:val="22"/>
          <w:szCs w:val="22"/>
          <w:lang w:val="fr-CA"/>
        </w:rPr>
        <w:t>plusieurs actifs énergétiques qui arrive</w:t>
      </w:r>
      <w:r w:rsidR="00A2574D" w:rsidRPr="00E03C21">
        <w:rPr>
          <w:sz w:val="22"/>
          <w:szCs w:val="22"/>
          <w:lang w:val="fr-CA"/>
        </w:rPr>
        <w:t>ro</w:t>
      </w:r>
      <w:r w:rsidR="000E65A6" w:rsidRPr="00E03C21">
        <w:rPr>
          <w:sz w:val="22"/>
          <w:szCs w:val="22"/>
          <w:lang w:val="fr-CA"/>
        </w:rPr>
        <w:t xml:space="preserve">nt à la fin de leur cycle de vie devront être remplacés, </w:t>
      </w:r>
      <w:r w:rsidRPr="00E03C21">
        <w:rPr>
          <w:sz w:val="22"/>
          <w:szCs w:val="22"/>
          <w:lang w:val="fr-CA"/>
        </w:rPr>
        <w:t xml:space="preserve">pour </w:t>
      </w:r>
      <w:r w:rsidR="000E65A6" w:rsidRPr="00E03C21">
        <w:rPr>
          <w:sz w:val="22"/>
          <w:szCs w:val="22"/>
          <w:lang w:val="fr-CA"/>
        </w:rPr>
        <w:t xml:space="preserve">un coût estimé de 177 milliards de dollars. D’autre part, l’expansion et la rénovation des réseaux électriques </w:t>
      </w:r>
      <w:r w:rsidRPr="00E03C21">
        <w:rPr>
          <w:sz w:val="22"/>
          <w:szCs w:val="22"/>
          <w:lang w:val="fr-CA"/>
        </w:rPr>
        <w:t xml:space="preserve">pour </w:t>
      </w:r>
      <w:r w:rsidR="000E65A6" w:rsidRPr="00E03C21">
        <w:rPr>
          <w:sz w:val="22"/>
          <w:szCs w:val="22"/>
          <w:lang w:val="fr-CA"/>
        </w:rPr>
        <w:t xml:space="preserve">approvisionner en électricité de nouveaux utilisateurs finals et répondre aux besoins de la mobilité électrique </w:t>
      </w:r>
      <w:r w:rsidRPr="00E03C21">
        <w:rPr>
          <w:sz w:val="22"/>
          <w:szCs w:val="22"/>
          <w:lang w:val="fr-CA"/>
        </w:rPr>
        <w:t xml:space="preserve">vont </w:t>
      </w:r>
      <w:r w:rsidR="000E65A6" w:rsidRPr="00E03C21">
        <w:rPr>
          <w:sz w:val="22"/>
          <w:szCs w:val="22"/>
          <w:lang w:val="fr-CA"/>
        </w:rPr>
        <w:t xml:space="preserve">nécessiter près de </w:t>
      </w:r>
      <w:r w:rsidR="001D2334" w:rsidRPr="00E03C21">
        <w:rPr>
          <w:sz w:val="22"/>
          <w:szCs w:val="22"/>
          <w:lang w:val="fr-CA"/>
        </w:rPr>
        <w:t>8</w:t>
      </w:r>
      <w:r w:rsidR="000E65A6" w:rsidRPr="00E03C21">
        <w:rPr>
          <w:sz w:val="22"/>
          <w:szCs w:val="22"/>
          <w:lang w:val="fr-CA"/>
        </w:rPr>
        <w:t xml:space="preserve">0 milliards de dollars. Sur la base de ces estimations, </w:t>
      </w:r>
      <w:r w:rsidR="000577F0" w:rsidRPr="00E03C21">
        <w:rPr>
          <w:sz w:val="22"/>
          <w:szCs w:val="22"/>
          <w:lang w:val="fr-CA"/>
        </w:rPr>
        <w:t xml:space="preserve">de 2023 à 2040, </w:t>
      </w:r>
      <w:r w:rsidR="000E65A6" w:rsidRPr="00E03C21">
        <w:rPr>
          <w:sz w:val="22"/>
          <w:szCs w:val="22"/>
          <w:lang w:val="fr-CA"/>
        </w:rPr>
        <w:t xml:space="preserve">la région </w:t>
      </w:r>
      <w:r w:rsidR="001D2334" w:rsidRPr="00E03C21">
        <w:rPr>
          <w:sz w:val="22"/>
          <w:szCs w:val="22"/>
          <w:lang w:val="fr-CA"/>
        </w:rPr>
        <w:t>a</w:t>
      </w:r>
      <w:r w:rsidRPr="00E03C21">
        <w:rPr>
          <w:sz w:val="22"/>
          <w:szCs w:val="22"/>
          <w:lang w:val="fr-CA"/>
        </w:rPr>
        <w:t>ura</w:t>
      </w:r>
      <w:r w:rsidR="001D2334" w:rsidRPr="00E03C21">
        <w:rPr>
          <w:sz w:val="22"/>
          <w:szCs w:val="22"/>
          <w:lang w:val="fr-CA"/>
        </w:rPr>
        <w:t xml:space="preserve"> des besoins annuels </w:t>
      </w:r>
      <w:r w:rsidRPr="00E03C21">
        <w:rPr>
          <w:sz w:val="22"/>
          <w:szCs w:val="22"/>
          <w:lang w:val="fr-CA"/>
        </w:rPr>
        <w:t xml:space="preserve">en matière </w:t>
      </w:r>
      <w:r w:rsidR="001D2334" w:rsidRPr="00E03C21">
        <w:rPr>
          <w:sz w:val="22"/>
          <w:szCs w:val="22"/>
          <w:lang w:val="fr-CA"/>
        </w:rPr>
        <w:t>d’investissements en infrastructures énergétiques durables de l’ordre de 36,85 milliards de dollars pour mettre en œuvre des transitions énergétiques</w:t>
      </w:r>
      <w:r w:rsidR="000577F0" w:rsidRPr="00E03C21">
        <w:rPr>
          <w:sz w:val="22"/>
          <w:szCs w:val="22"/>
          <w:lang w:val="fr-CA"/>
        </w:rPr>
        <w:t xml:space="preserve"> pour la seule production d’électricité.</w:t>
      </w:r>
    </w:p>
    <w:p w14:paraId="73A0F92C" w14:textId="77777777" w:rsidR="002F397F" w:rsidRPr="00E03C21" w:rsidRDefault="002F397F" w:rsidP="00155EF6">
      <w:pPr>
        <w:rPr>
          <w:sz w:val="22"/>
          <w:szCs w:val="22"/>
          <w:lang w:val="fr-CA"/>
        </w:rPr>
      </w:pPr>
    </w:p>
    <w:p w14:paraId="0183F98F" w14:textId="485D0E66" w:rsidR="00B70E51" w:rsidRPr="00E03C21" w:rsidRDefault="001D2334" w:rsidP="00155EF6">
      <w:pPr>
        <w:ind w:firstLine="720"/>
        <w:jc w:val="both"/>
        <w:rPr>
          <w:sz w:val="22"/>
          <w:szCs w:val="22"/>
          <w:lang w:val="fr-CA"/>
        </w:rPr>
      </w:pPr>
      <w:r w:rsidRPr="00E03C21">
        <w:rPr>
          <w:sz w:val="22"/>
          <w:szCs w:val="22"/>
          <w:lang w:val="fr-CA"/>
        </w:rPr>
        <w:lastRenderedPageBreak/>
        <w:t xml:space="preserve">Les pays peuvent renforcer leur sécurité énergétique, améliorer leur balance des paiements et parvenir à une meilleure gestion </w:t>
      </w:r>
      <w:r w:rsidR="00AC317E" w:rsidRPr="00E03C21">
        <w:rPr>
          <w:sz w:val="22"/>
          <w:szCs w:val="22"/>
          <w:lang w:val="fr-CA"/>
        </w:rPr>
        <w:t xml:space="preserve">budgétaire </w:t>
      </w:r>
      <w:r w:rsidRPr="00E03C21">
        <w:rPr>
          <w:sz w:val="22"/>
          <w:szCs w:val="22"/>
          <w:lang w:val="fr-CA"/>
        </w:rPr>
        <w:t xml:space="preserve">en augmentant la part des énergies renouvelables dans la matrice énergétique nationale. </w:t>
      </w:r>
      <w:r w:rsidR="0059543B" w:rsidRPr="00E03C21">
        <w:rPr>
          <w:sz w:val="22"/>
          <w:szCs w:val="22"/>
          <w:lang w:val="fr-CA"/>
        </w:rPr>
        <w:t>Accélérer l’adoption des technologies d’énergie</w:t>
      </w:r>
      <w:r w:rsidR="000577F0" w:rsidRPr="00E03C21">
        <w:rPr>
          <w:sz w:val="22"/>
          <w:szCs w:val="22"/>
          <w:lang w:val="fr-CA"/>
        </w:rPr>
        <w:t>s</w:t>
      </w:r>
      <w:r w:rsidR="0059543B" w:rsidRPr="00E03C21">
        <w:rPr>
          <w:sz w:val="22"/>
          <w:szCs w:val="22"/>
          <w:lang w:val="fr-CA"/>
        </w:rPr>
        <w:t xml:space="preserve"> renouvelable</w:t>
      </w:r>
      <w:r w:rsidR="000577F0" w:rsidRPr="00E03C21">
        <w:rPr>
          <w:sz w:val="22"/>
          <w:szCs w:val="22"/>
          <w:lang w:val="fr-CA"/>
        </w:rPr>
        <w:t>s</w:t>
      </w:r>
      <w:r w:rsidR="0059543B" w:rsidRPr="00E03C21">
        <w:rPr>
          <w:sz w:val="22"/>
          <w:szCs w:val="22"/>
          <w:lang w:val="fr-CA"/>
        </w:rPr>
        <w:t xml:space="preserve"> diminue la dépendance des importations de pétrole, crée de nouvelles offres d’emplois et réduit les émissions de gaz à effet de serre. Cependant, les budgets des gouvernements ne disposent pas de la marge de manœuvre nécessaire pour fournir le niveau de soutien financier requis pour financer la décarbonation à grande échelle du secteur énergétique. Qui plus est, la forte baisse financière résultant de la pandémie de </w:t>
      </w:r>
      <w:r w:rsidR="002F397F" w:rsidRPr="00E03C21">
        <w:rPr>
          <w:sz w:val="22"/>
          <w:szCs w:val="22"/>
          <w:lang w:val="fr-CA"/>
        </w:rPr>
        <w:t>COVID-19</w:t>
      </w:r>
      <w:r w:rsidR="002E61F5" w:rsidRPr="00E03C21">
        <w:rPr>
          <w:sz w:val="22"/>
          <w:szCs w:val="22"/>
          <w:lang w:val="fr-CA"/>
        </w:rPr>
        <w:t xml:space="preserve">, </w:t>
      </w:r>
      <w:r w:rsidR="002F397F" w:rsidRPr="00E03C21">
        <w:rPr>
          <w:sz w:val="22"/>
          <w:szCs w:val="22"/>
          <w:lang w:val="fr-CA"/>
        </w:rPr>
        <w:t>combin</w:t>
      </w:r>
      <w:r w:rsidR="0059543B" w:rsidRPr="00E03C21">
        <w:rPr>
          <w:sz w:val="22"/>
          <w:szCs w:val="22"/>
          <w:lang w:val="fr-CA"/>
        </w:rPr>
        <w:t>ée au conflit armé entre la Russie et l’Ukraine</w:t>
      </w:r>
      <w:r w:rsidR="00644E77" w:rsidRPr="00E03C21">
        <w:rPr>
          <w:sz w:val="22"/>
          <w:szCs w:val="22"/>
          <w:lang w:val="fr-CA"/>
        </w:rPr>
        <w:t>,</w:t>
      </w:r>
      <w:r w:rsidR="0059543B" w:rsidRPr="00E03C21">
        <w:rPr>
          <w:sz w:val="22"/>
          <w:szCs w:val="22"/>
          <w:lang w:val="fr-CA"/>
        </w:rPr>
        <w:t xml:space="preserve"> </w:t>
      </w:r>
      <w:r w:rsidR="002E61F5" w:rsidRPr="00E03C21">
        <w:rPr>
          <w:sz w:val="22"/>
          <w:szCs w:val="22"/>
          <w:lang w:val="fr-CA"/>
        </w:rPr>
        <w:t xml:space="preserve">rend nécessaire la mise en œuvre d’une approche pangouvernementale de nature à garantir que tous les secteurs économiques </w:t>
      </w:r>
      <w:r w:rsidR="000577F0" w:rsidRPr="00E03C21">
        <w:rPr>
          <w:sz w:val="22"/>
          <w:szCs w:val="22"/>
          <w:lang w:val="fr-CA"/>
        </w:rPr>
        <w:t xml:space="preserve">sont en mesure de </w:t>
      </w:r>
      <w:r w:rsidR="002E61F5" w:rsidRPr="00E03C21">
        <w:rPr>
          <w:sz w:val="22"/>
          <w:szCs w:val="22"/>
          <w:lang w:val="fr-CA"/>
        </w:rPr>
        <w:t>contribuer au re</w:t>
      </w:r>
      <w:r w:rsidR="00644E77" w:rsidRPr="00E03C21">
        <w:rPr>
          <w:sz w:val="22"/>
          <w:szCs w:val="22"/>
          <w:lang w:val="fr-CA"/>
        </w:rPr>
        <w:t xml:space="preserve">dressement </w:t>
      </w:r>
      <w:r w:rsidR="002E61F5" w:rsidRPr="00E03C21">
        <w:rPr>
          <w:sz w:val="22"/>
          <w:szCs w:val="22"/>
          <w:lang w:val="fr-CA"/>
        </w:rPr>
        <w:t xml:space="preserve">de l’économie. </w:t>
      </w:r>
    </w:p>
    <w:p w14:paraId="3F099E11" w14:textId="77777777" w:rsidR="00B70E51" w:rsidRPr="00E03C21" w:rsidRDefault="00B70E51" w:rsidP="00155EF6">
      <w:pPr>
        <w:jc w:val="both"/>
        <w:rPr>
          <w:sz w:val="22"/>
          <w:szCs w:val="22"/>
          <w:lang w:val="fr-CA"/>
        </w:rPr>
      </w:pPr>
    </w:p>
    <w:p w14:paraId="6F01D814" w14:textId="19FE822A" w:rsidR="00B70E51" w:rsidRPr="00E03C21" w:rsidRDefault="00FA0955" w:rsidP="00155EF6">
      <w:pPr>
        <w:ind w:firstLine="720"/>
        <w:jc w:val="both"/>
        <w:rPr>
          <w:sz w:val="22"/>
          <w:szCs w:val="22"/>
          <w:lang w:val="fr-CA"/>
        </w:rPr>
      </w:pPr>
      <w:r w:rsidRPr="00E03C21">
        <w:rPr>
          <w:sz w:val="22"/>
          <w:szCs w:val="22"/>
          <w:lang w:val="fr-CA"/>
        </w:rPr>
        <w:t xml:space="preserve">Les capitaux du secteur privé et les solutions technologiques sont cruciales pour réussir les transitions énergétiques dans les Amériques. Il est à la fois nécessaire et possible pour le secteur privé de contribuer à faire de la transition énergétique de la région un paradis pour des investissements </w:t>
      </w:r>
      <w:r w:rsidR="000F3F02" w:rsidRPr="00E03C21">
        <w:rPr>
          <w:sz w:val="22"/>
          <w:szCs w:val="22"/>
          <w:lang w:val="fr-CA"/>
        </w:rPr>
        <w:t>judicieux du point de vue climat</w:t>
      </w:r>
      <w:r w:rsidR="00644E77" w:rsidRPr="00E03C21">
        <w:rPr>
          <w:sz w:val="22"/>
          <w:szCs w:val="22"/>
          <w:lang w:val="fr-CA"/>
        </w:rPr>
        <w:t>ique</w:t>
      </w:r>
      <w:r w:rsidR="000F3F02" w:rsidRPr="00E03C21">
        <w:rPr>
          <w:sz w:val="22"/>
          <w:szCs w:val="22"/>
          <w:lang w:val="fr-CA"/>
        </w:rPr>
        <w:t xml:space="preserve"> et qui auront un impact social. </w:t>
      </w:r>
      <w:r w:rsidR="00B70E51" w:rsidRPr="00E03C21">
        <w:rPr>
          <w:sz w:val="22"/>
          <w:szCs w:val="22"/>
          <w:lang w:val="fr-CA"/>
        </w:rPr>
        <w:t>A</w:t>
      </w:r>
      <w:r w:rsidR="000F3F02" w:rsidRPr="00E03C21">
        <w:rPr>
          <w:sz w:val="22"/>
          <w:szCs w:val="22"/>
          <w:lang w:val="fr-CA"/>
        </w:rPr>
        <w:t>insi, résoudre la crise du changement climatique va requérir un partenariat public-privé de premier ordre et les chefs d’entreprises devraient participer à la conversation en cours sur la manière d</w:t>
      </w:r>
      <w:r w:rsidR="00644E77" w:rsidRPr="00E03C21">
        <w:rPr>
          <w:sz w:val="22"/>
          <w:szCs w:val="22"/>
          <w:lang w:val="fr-CA"/>
        </w:rPr>
        <w:t xml:space="preserve">e </w:t>
      </w:r>
      <w:r w:rsidR="000F3F02" w:rsidRPr="00E03C21">
        <w:rPr>
          <w:sz w:val="22"/>
          <w:szCs w:val="22"/>
          <w:lang w:val="fr-CA"/>
        </w:rPr>
        <w:t xml:space="preserve">mettre en </w:t>
      </w:r>
      <w:r w:rsidR="00696314" w:rsidRPr="00E03C21">
        <w:rPr>
          <w:sz w:val="22"/>
          <w:szCs w:val="22"/>
          <w:lang w:val="fr-CA"/>
        </w:rPr>
        <w:t xml:space="preserve">adéquation les finances et l’innovation avec la transition vers un secteur énergétique durable et </w:t>
      </w:r>
      <w:r w:rsidR="00F42A62" w:rsidRPr="00E03C21">
        <w:rPr>
          <w:sz w:val="22"/>
          <w:szCs w:val="22"/>
          <w:lang w:val="fr-CA"/>
        </w:rPr>
        <w:t>net</w:t>
      </w:r>
      <w:r w:rsidR="00696314" w:rsidRPr="00E03C21">
        <w:rPr>
          <w:sz w:val="22"/>
          <w:szCs w:val="22"/>
          <w:lang w:val="fr-CA"/>
        </w:rPr>
        <w:t xml:space="preserve"> zéro</w:t>
      </w:r>
      <w:r w:rsidR="00F42A62" w:rsidRPr="00E03C21">
        <w:rPr>
          <w:sz w:val="22"/>
          <w:szCs w:val="22"/>
          <w:lang w:val="fr-CA"/>
        </w:rPr>
        <w:t>.</w:t>
      </w:r>
    </w:p>
    <w:p w14:paraId="34CB5DC5" w14:textId="77777777" w:rsidR="002F397F" w:rsidRPr="00E03C21" w:rsidRDefault="002F397F" w:rsidP="00155EF6">
      <w:pPr>
        <w:jc w:val="both"/>
        <w:rPr>
          <w:sz w:val="22"/>
          <w:szCs w:val="22"/>
          <w:lang w:val="fr-CA"/>
        </w:rPr>
      </w:pPr>
    </w:p>
    <w:p w14:paraId="78D9149F" w14:textId="77777777" w:rsidR="002F397F" w:rsidRPr="00E03C21" w:rsidRDefault="00696314" w:rsidP="00155EF6">
      <w:pPr>
        <w:ind w:firstLine="720"/>
        <w:jc w:val="both"/>
        <w:rPr>
          <w:sz w:val="22"/>
          <w:szCs w:val="22"/>
          <w:lang w:val="fr-CA"/>
        </w:rPr>
      </w:pPr>
      <w:r w:rsidRPr="00E03C21">
        <w:rPr>
          <w:sz w:val="22"/>
          <w:szCs w:val="22"/>
          <w:lang w:val="fr-CA"/>
        </w:rPr>
        <w:t xml:space="preserve">Outre le fait de </w:t>
      </w:r>
      <w:r w:rsidR="000577F0" w:rsidRPr="00E03C21">
        <w:rPr>
          <w:sz w:val="22"/>
          <w:szCs w:val="22"/>
          <w:lang w:val="fr-CA"/>
        </w:rPr>
        <w:t xml:space="preserve">mettre en œuvre </w:t>
      </w:r>
      <w:r w:rsidRPr="00E03C21">
        <w:rPr>
          <w:sz w:val="22"/>
          <w:szCs w:val="22"/>
          <w:lang w:val="fr-CA"/>
        </w:rPr>
        <w:t>des solutions d</w:t>
      </w:r>
      <w:r w:rsidR="000577F0" w:rsidRPr="00E03C21">
        <w:rPr>
          <w:sz w:val="22"/>
          <w:szCs w:val="22"/>
          <w:lang w:val="fr-CA"/>
        </w:rPr>
        <w:t xml:space="preserve">ans le domaine des </w:t>
      </w:r>
      <w:r w:rsidRPr="00E03C21">
        <w:rPr>
          <w:sz w:val="22"/>
          <w:szCs w:val="22"/>
          <w:lang w:val="fr-CA"/>
        </w:rPr>
        <w:t>énergie</w:t>
      </w:r>
      <w:r w:rsidR="000577F0" w:rsidRPr="00E03C21">
        <w:rPr>
          <w:sz w:val="22"/>
          <w:szCs w:val="22"/>
          <w:lang w:val="fr-CA"/>
        </w:rPr>
        <w:t>s</w:t>
      </w:r>
      <w:r w:rsidRPr="00E03C21">
        <w:rPr>
          <w:sz w:val="22"/>
          <w:szCs w:val="22"/>
          <w:lang w:val="fr-CA"/>
        </w:rPr>
        <w:t xml:space="preserve"> renouvelable</w:t>
      </w:r>
      <w:r w:rsidR="000577F0" w:rsidRPr="00E03C21">
        <w:rPr>
          <w:sz w:val="22"/>
          <w:szCs w:val="22"/>
          <w:lang w:val="fr-CA"/>
        </w:rPr>
        <w:t>s</w:t>
      </w:r>
      <w:r w:rsidRPr="00E03C21">
        <w:rPr>
          <w:sz w:val="22"/>
          <w:szCs w:val="22"/>
          <w:lang w:val="fr-CA"/>
        </w:rPr>
        <w:t xml:space="preserve">, la décarbonation effective de l’économie exige des efforts considérables pour améliorer l’efficacité énergétique dans les foyers, les entreprises et les industries. L’efficacité énergétique est une manière rentable sur le plan économique de lutter contre le changement climatique, de réduire le </w:t>
      </w:r>
      <w:r w:rsidR="00644E77" w:rsidRPr="00E03C21">
        <w:rPr>
          <w:sz w:val="22"/>
          <w:szCs w:val="22"/>
          <w:lang w:val="fr-CA"/>
        </w:rPr>
        <w:t xml:space="preserve">prix </w:t>
      </w:r>
      <w:r w:rsidRPr="00E03C21">
        <w:rPr>
          <w:sz w:val="22"/>
          <w:szCs w:val="22"/>
          <w:lang w:val="fr-CA"/>
        </w:rPr>
        <w:t xml:space="preserve">de l’énergie et d’améliorer la compétitivité. L’efficacité énergétique est également cruciale pour parvenir à zéro émissions nettes. </w:t>
      </w:r>
      <w:r w:rsidR="00F42A62" w:rsidRPr="00E03C21">
        <w:rPr>
          <w:sz w:val="22"/>
          <w:szCs w:val="22"/>
          <w:lang w:val="fr-CA"/>
        </w:rPr>
        <w:t xml:space="preserve">Les économies d’énergie réduisent le besoin d’investissements futurs, libèrent des capitaux et protègent </w:t>
      </w:r>
      <w:r w:rsidR="008C1BE1" w:rsidRPr="00E03C21">
        <w:rPr>
          <w:sz w:val="22"/>
          <w:szCs w:val="22"/>
          <w:lang w:val="fr-CA"/>
        </w:rPr>
        <w:t xml:space="preserve">des </w:t>
      </w:r>
      <w:r w:rsidR="00F42A62" w:rsidRPr="00E03C21">
        <w:rPr>
          <w:sz w:val="22"/>
          <w:szCs w:val="22"/>
          <w:lang w:val="fr-CA"/>
        </w:rPr>
        <w:t>risques liés aux c</w:t>
      </w:r>
      <w:r w:rsidR="000577F0" w:rsidRPr="00E03C21">
        <w:rPr>
          <w:sz w:val="22"/>
          <w:szCs w:val="22"/>
          <w:lang w:val="fr-CA"/>
        </w:rPr>
        <w:t xml:space="preserve">arburants, </w:t>
      </w:r>
      <w:r w:rsidR="00F42A62" w:rsidRPr="00E03C21">
        <w:rPr>
          <w:sz w:val="22"/>
          <w:szCs w:val="22"/>
          <w:lang w:val="fr-CA"/>
        </w:rPr>
        <w:t xml:space="preserve">améliorent la compétitivité et soutiennent la planification des ressources à long terme. La plupart des pays latino-américains et caribéens prévoient des objectifs en matière d’efficacité énergétique dans le cadre de leurs contributions déterminées au niveau national (CDN) </w:t>
      </w:r>
      <w:r w:rsidR="004F2F8B" w:rsidRPr="00E03C21">
        <w:rPr>
          <w:sz w:val="22"/>
          <w:szCs w:val="22"/>
          <w:lang w:val="fr-CA"/>
        </w:rPr>
        <w:t>au titre de l’Accord de Paris</w:t>
      </w:r>
      <w:r w:rsidR="00CF0B71" w:rsidRPr="00E03C21">
        <w:rPr>
          <w:sz w:val="22"/>
          <w:szCs w:val="22"/>
          <w:lang w:val="fr-CA"/>
        </w:rPr>
        <w:t>.</w:t>
      </w:r>
    </w:p>
    <w:p w14:paraId="3AF91199" w14:textId="77777777" w:rsidR="004F2F8B" w:rsidRPr="00E03C21" w:rsidRDefault="004F2F8B" w:rsidP="00155EF6">
      <w:pPr>
        <w:jc w:val="both"/>
        <w:rPr>
          <w:sz w:val="22"/>
          <w:szCs w:val="22"/>
          <w:lang w:val="fr-CA"/>
        </w:rPr>
      </w:pPr>
    </w:p>
    <w:p w14:paraId="0024DB8D" w14:textId="77777777" w:rsidR="002F397F" w:rsidRPr="00E03C21" w:rsidRDefault="004F2F8B" w:rsidP="00155EF6">
      <w:pPr>
        <w:ind w:firstLine="720"/>
        <w:jc w:val="both"/>
        <w:rPr>
          <w:sz w:val="22"/>
          <w:szCs w:val="22"/>
          <w:lang w:val="fr-CA"/>
        </w:rPr>
      </w:pPr>
      <w:r w:rsidRPr="00E03C21">
        <w:rPr>
          <w:sz w:val="22"/>
          <w:szCs w:val="22"/>
          <w:lang w:val="fr-CA"/>
        </w:rPr>
        <w:t>Concernant le secteur des transports, les données de la Banque mondiale montrent que, en Amérique latine et dans les Caraïbes, 35% des émissions de gaz à effet de serre liées à la combustion de</w:t>
      </w:r>
      <w:r w:rsidR="008C1BE1" w:rsidRPr="00E03C21">
        <w:rPr>
          <w:sz w:val="22"/>
          <w:szCs w:val="22"/>
          <w:lang w:val="fr-CA"/>
        </w:rPr>
        <w:t>s</w:t>
      </w:r>
      <w:r w:rsidRPr="00E03C21">
        <w:rPr>
          <w:sz w:val="22"/>
          <w:szCs w:val="22"/>
          <w:lang w:val="fr-CA"/>
        </w:rPr>
        <w:t xml:space="preserve"> carburants proviennent des véhicules à moteur à combustion interne – beaucoup plus que la moyenne mondiale qui est de 22%. Par ailleurs, le nombre d’usagers des transports public de la région est l’un des plus élevé au monde. L’électrification des transports publics </w:t>
      </w:r>
      <w:r w:rsidR="00EF14E5" w:rsidRPr="00E03C21">
        <w:rPr>
          <w:sz w:val="22"/>
          <w:szCs w:val="22"/>
          <w:lang w:val="fr-CA"/>
        </w:rPr>
        <w:t xml:space="preserve">permettrait de réaliser d’énormes avancées en matière de transformation en réduisant les émissions à effet de serre tout en aidant les pays à concrétiser leurs contributions déterminées au niveau national au titre de l’Accord de Paris. </w:t>
      </w:r>
    </w:p>
    <w:p w14:paraId="21074FD8" w14:textId="77777777" w:rsidR="002F397F" w:rsidRPr="00E03C21" w:rsidRDefault="002F397F" w:rsidP="00155EF6">
      <w:pPr>
        <w:jc w:val="both"/>
        <w:rPr>
          <w:sz w:val="22"/>
          <w:szCs w:val="22"/>
          <w:lang w:val="fr-CA"/>
        </w:rPr>
      </w:pPr>
    </w:p>
    <w:p w14:paraId="308EDDF9" w14:textId="77777777" w:rsidR="002F397F" w:rsidRPr="00E03C21" w:rsidRDefault="00EF14E5" w:rsidP="00155EF6">
      <w:pPr>
        <w:ind w:firstLine="720"/>
        <w:jc w:val="both"/>
        <w:rPr>
          <w:sz w:val="22"/>
          <w:szCs w:val="22"/>
          <w:lang w:val="fr-CA"/>
        </w:rPr>
      </w:pPr>
      <w:r w:rsidRPr="00E03C21">
        <w:rPr>
          <w:sz w:val="22"/>
          <w:szCs w:val="22"/>
          <w:lang w:val="fr-CA"/>
        </w:rPr>
        <w:t>Du point de vue de l’innovation technologique, l’hydrogène vert est très prometteur car un nombre croissant de pays de la région, stimulés par leurs abondantes ressources en énergie renouvelable, la nécessité de décarboner leurs économies et l’énorme potentiel des exportations d’hydrogène, s</w:t>
      </w:r>
      <w:r w:rsidR="00CF0B71" w:rsidRPr="00E03C21">
        <w:rPr>
          <w:sz w:val="22"/>
          <w:szCs w:val="22"/>
          <w:lang w:val="fr-CA"/>
        </w:rPr>
        <w:t xml:space="preserve">e prépare à </w:t>
      </w:r>
      <w:r w:rsidRPr="00E03C21">
        <w:rPr>
          <w:sz w:val="22"/>
          <w:szCs w:val="22"/>
          <w:lang w:val="fr-CA"/>
        </w:rPr>
        <w:t xml:space="preserve">produire de l’hydrogène propre. </w:t>
      </w:r>
    </w:p>
    <w:p w14:paraId="73E66CC6" w14:textId="77777777" w:rsidR="00EF14E5" w:rsidRPr="00E03C21" w:rsidRDefault="00EF14E5" w:rsidP="00155EF6">
      <w:pPr>
        <w:jc w:val="both"/>
        <w:rPr>
          <w:sz w:val="22"/>
          <w:szCs w:val="22"/>
          <w:lang w:val="fr-CA"/>
        </w:rPr>
      </w:pPr>
    </w:p>
    <w:p w14:paraId="69E7E788" w14:textId="77777777" w:rsidR="002F397F" w:rsidRPr="00E03C21" w:rsidRDefault="00EF14E5" w:rsidP="00155EF6">
      <w:pPr>
        <w:ind w:firstLine="720"/>
        <w:jc w:val="both"/>
        <w:rPr>
          <w:sz w:val="22"/>
          <w:szCs w:val="22"/>
          <w:lang w:val="fr-CA"/>
        </w:rPr>
      </w:pPr>
      <w:r w:rsidRPr="00E03C21">
        <w:rPr>
          <w:sz w:val="22"/>
          <w:szCs w:val="22"/>
          <w:lang w:val="fr-CA"/>
        </w:rPr>
        <w:t xml:space="preserve">De plus, les solutions basées sur la nature sont la gestion durable et les pratiques </w:t>
      </w:r>
      <w:r w:rsidR="00F050F6" w:rsidRPr="00E03C21">
        <w:rPr>
          <w:sz w:val="22"/>
          <w:szCs w:val="22"/>
          <w:lang w:val="fr-CA"/>
        </w:rPr>
        <w:t xml:space="preserve">d’ingénierie qui </w:t>
      </w:r>
      <w:r w:rsidR="00CF0B71" w:rsidRPr="00E03C21">
        <w:rPr>
          <w:sz w:val="22"/>
          <w:szCs w:val="22"/>
          <w:lang w:val="fr-CA"/>
        </w:rPr>
        <w:t xml:space="preserve">combinent </w:t>
      </w:r>
      <w:r w:rsidR="00F050F6" w:rsidRPr="00E03C21">
        <w:rPr>
          <w:sz w:val="22"/>
          <w:szCs w:val="22"/>
          <w:lang w:val="fr-CA"/>
        </w:rPr>
        <w:t xml:space="preserve">les processus naturels </w:t>
      </w:r>
      <w:r w:rsidR="00CF0B71" w:rsidRPr="00E03C21">
        <w:rPr>
          <w:sz w:val="22"/>
          <w:szCs w:val="22"/>
          <w:lang w:val="fr-CA"/>
        </w:rPr>
        <w:t xml:space="preserve">et </w:t>
      </w:r>
      <w:r w:rsidR="00F050F6" w:rsidRPr="00E03C21">
        <w:rPr>
          <w:sz w:val="22"/>
          <w:szCs w:val="22"/>
          <w:lang w:val="fr-CA"/>
        </w:rPr>
        <w:t xml:space="preserve">l’environnement construit pour réduire les émissions de gaz à effet de serre. Les forêts capturent le carbone et le stockent, les océans absorbent la chaleur provenant du réchauffement anthropique, les zones humides créent des barrières naturelles contre </w:t>
      </w:r>
      <w:r w:rsidR="008C1BE1" w:rsidRPr="00E03C21">
        <w:rPr>
          <w:sz w:val="22"/>
          <w:szCs w:val="22"/>
          <w:lang w:val="fr-CA"/>
        </w:rPr>
        <w:t>l</w:t>
      </w:r>
      <w:r w:rsidR="00F050F6" w:rsidRPr="00E03C21">
        <w:rPr>
          <w:sz w:val="22"/>
          <w:szCs w:val="22"/>
          <w:lang w:val="fr-CA"/>
        </w:rPr>
        <w:t xml:space="preserve">es tempêtes </w:t>
      </w:r>
      <w:r w:rsidR="00F050F6" w:rsidRPr="00E03C21">
        <w:rPr>
          <w:sz w:val="22"/>
          <w:szCs w:val="22"/>
          <w:lang w:val="fr-CA"/>
        </w:rPr>
        <w:lastRenderedPageBreak/>
        <w:t xml:space="preserve">plus fréquentes et plus violentes et les communautés dépendent des ressources de la Terre </w:t>
      </w:r>
      <w:r w:rsidR="008D4CBB" w:rsidRPr="00E03C21">
        <w:rPr>
          <w:sz w:val="22"/>
          <w:szCs w:val="22"/>
          <w:lang w:val="fr-CA"/>
        </w:rPr>
        <w:t xml:space="preserve">pour prospérer. Des recherches récentes indiquent que les solutions basées sur la nature pourraient fournir « environ 30% des mesures </w:t>
      </w:r>
      <w:r w:rsidR="00CF0B71" w:rsidRPr="00E03C21">
        <w:rPr>
          <w:sz w:val="22"/>
          <w:szCs w:val="22"/>
          <w:lang w:val="fr-CA"/>
        </w:rPr>
        <w:t xml:space="preserve">efficaces et </w:t>
      </w:r>
      <w:r w:rsidR="008D4CBB" w:rsidRPr="00E03C21">
        <w:rPr>
          <w:sz w:val="22"/>
          <w:szCs w:val="22"/>
          <w:lang w:val="fr-CA"/>
        </w:rPr>
        <w:t>économiques</w:t>
      </w:r>
      <w:r w:rsidR="00CF0B71" w:rsidRPr="00E03C21">
        <w:rPr>
          <w:sz w:val="22"/>
          <w:szCs w:val="22"/>
          <w:lang w:val="fr-CA"/>
        </w:rPr>
        <w:t xml:space="preserve"> d’atténuation du changement climatique</w:t>
      </w:r>
      <w:r w:rsidR="008D4CBB" w:rsidRPr="00E03C21">
        <w:rPr>
          <w:sz w:val="22"/>
          <w:szCs w:val="22"/>
          <w:lang w:val="fr-CA"/>
        </w:rPr>
        <w:t xml:space="preserve"> » qui sont </w:t>
      </w:r>
      <w:r w:rsidR="008C1BE1" w:rsidRPr="00E03C21">
        <w:rPr>
          <w:sz w:val="22"/>
          <w:szCs w:val="22"/>
          <w:lang w:val="fr-CA"/>
        </w:rPr>
        <w:t xml:space="preserve">indispensables </w:t>
      </w:r>
      <w:r w:rsidR="008D4CBB" w:rsidRPr="00E03C21">
        <w:rPr>
          <w:sz w:val="22"/>
          <w:szCs w:val="22"/>
          <w:lang w:val="fr-CA"/>
        </w:rPr>
        <w:t xml:space="preserve">d’ici 2030 pour </w:t>
      </w:r>
      <w:r w:rsidR="00F32DD3" w:rsidRPr="00E03C21">
        <w:rPr>
          <w:sz w:val="22"/>
          <w:szCs w:val="22"/>
          <w:lang w:val="fr-CA"/>
        </w:rPr>
        <w:t xml:space="preserve">maintenir </w:t>
      </w:r>
      <w:r w:rsidR="008D4CBB" w:rsidRPr="00E03C21">
        <w:rPr>
          <w:sz w:val="22"/>
          <w:szCs w:val="22"/>
          <w:lang w:val="fr-CA"/>
        </w:rPr>
        <w:t>le réchauffement de la planète en</w:t>
      </w:r>
      <w:r w:rsidR="00CF0B71" w:rsidRPr="00E03C21">
        <w:rPr>
          <w:sz w:val="22"/>
          <w:szCs w:val="22"/>
          <w:lang w:val="fr-CA"/>
        </w:rPr>
        <w:t>-</w:t>
      </w:r>
      <w:r w:rsidR="008D4CBB" w:rsidRPr="00E03C21">
        <w:rPr>
          <w:sz w:val="22"/>
          <w:szCs w:val="22"/>
          <w:lang w:val="fr-CA"/>
        </w:rPr>
        <w:t xml:space="preserve">dessous des </w:t>
      </w:r>
      <w:r w:rsidR="002F397F" w:rsidRPr="00E03C21">
        <w:rPr>
          <w:sz w:val="22"/>
          <w:szCs w:val="22"/>
          <w:lang w:val="fr-CA"/>
        </w:rPr>
        <w:t xml:space="preserve">2°C.  </w:t>
      </w:r>
    </w:p>
    <w:p w14:paraId="00AA3323" w14:textId="77777777" w:rsidR="002F397F" w:rsidRPr="00E03C21" w:rsidRDefault="002F397F" w:rsidP="00155EF6">
      <w:pPr>
        <w:jc w:val="both"/>
        <w:rPr>
          <w:sz w:val="22"/>
          <w:szCs w:val="22"/>
          <w:lang w:val="fr-CA"/>
        </w:rPr>
      </w:pPr>
    </w:p>
    <w:p w14:paraId="1C787A51" w14:textId="77777777" w:rsidR="0069766D" w:rsidRPr="00E03C21" w:rsidRDefault="008D4CBB" w:rsidP="00155EF6">
      <w:pPr>
        <w:numPr>
          <w:ilvl w:val="0"/>
          <w:numId w:val="19"/>
        </w:numPr>
        <w:ind w:left="0" w:firstLine="0"/>
        <w:jc w:val="both"/>
        <w:rPr>
          <w:b/>
          <w:sz w:val="22"/>
          <w:szCs w:val="22"/>
          <w:lang w:val="fr-CA"/>
        </w:rPr>
      </w:pPr>
      <w:r w:rsidRPr="00E03C21">
        <w:rPr>
          <w:b/>
          <w:sz w:val="22"/>
          <w:szCs w:val="22"/>
          <w:lang w:val="fr-CA"/>
        </w:rPr>
        <w:t>Objectif de la réunion</w:t>
      </w:r>
    </w:p>
    <w:p w14:paraId="54F93C88" w14:textId="77777777" w:rsidR="0069766D" w:rsidRPr="00E03C21" w:rsidRDefault="0069766D" w:rsidP="00155EF6">
      <w:pPr>
        <w:jc w:val="both"/>
        <w:rPr>
          <w:sz w:val="22"/>
          <w:szCs w:val="22"/>
          <w:lang w:val="fr-CA"/>
        </w:rPr>
      </w:pPr>
    </w:p>
    <w:p w14:paraId="78942134" w14:textId="77777777" w:rsidR="00C36F27" w:rsidRPr="00E03C21" w:rsidRDefault="008D4CBB" w:rsidP="00155EF6">
      <w:pPr>
        <w:ind w:firstLine="720"/>
        <w:jc w:val="both"/>
        <w:rPr>
          <w:sz w:val="22"/>
          <w:szCs w:val="22"/>
          <w:lang w:val="fr-CA"/>
        </w:rPr>
      </w:pPr>
      <w:r w:rsidRPr="00E03C21">
        <w:rPr>
          <w:sz w:val="22"/>
          <w:szCs w:val="22"/>
          <w:lang w:val="fr-CA"/>
        </w:rPr>
        <w:t xml:space="preserve">La réunion sera ciblée sur les mesures cruciales prises par les gouvernements de la région </w:t>
      </w:r>
      <w:r w:rsidR="008C1BE1" w:rsidRPr="00E03C21">
        <w:rPr>
          <w:sz w:val="22"/>
          <w:szCs w:val="22"/>
          <w:lang w:val="fr-CA"/>
        </w:rPr>
        <w:t xml:space="preserve">dans le but de </w:t>
      </w:r>
      <w:r w:rsidRPr="00E03C21">
        <w:rPr>
          <w:sz w:val="22"/>
          <w:szCs w:val="22"/>
          <w:lang w:val="fr-CA"/>
        </w:rPr>
        <w:t xml:space="preserve">soutenir les transitions énergétiques nationales. Les </w:t>
      </w:r>
      <w:r w:rsidR="00F32DD3" w:rsidRPr="00E03C21">
        <w:rPr>
          <w:sz w:val="22"/>
          <w:szCs w:val="22"/>
          <w:lang w:val="fr-CA"/>
        </w:rPr>
        <w:t xml:space="preserve">points </w:t>
      </w:r>
      <w:r w:rsidRPr="00E03C21">
        <w:rPr>
          <w:sz w:val="22"/>
          <w:szCs w:val="22"/>
          <w:lang w:val="fr-CA"/>
        </w:rPr>
        <w:t>précis qui feront l’objet d</w:t>
      </w:r>
      <w:r w:rsidR="008C1BE1" w:rsidRPr="00E03C21">
        <w:rPr>
          <w:sz w:val="22"/>
          <w:szCs w:val="22"/>
          <w:lang w:val="fr-CA"/>
        </w:rPr>
        <w:t>e l’</w:t>
      </w:r>
      <w:r w:rsidRPr="00E03C21">
        <w:rPr>
          <w:sz w:val="22"/>
          <w:szCs w:val="22"/>
          <w:lang w:val="fr-CA"/>
        </w:rPr>
        <w:t>examen incluent les stratégies, les politiques et les investissements visant à décarboner le secteur énergétique et les solutions basées sur la nature</w:t>
      </w:r>
      <w:r w:rsidR="008C1BE1" w:rsidRPr="00E03C21">
        <w:rPr>
          <w:sz w:val="22"/>
          <w:szCs w:val="22"/>
          <w:lang w:val="fr-CA"/>
        </w:rPr>
        <w:t>.</w:t>
      </w:r>
    </w:p>
    <w:p w14:paraId="65CAD0B5" w14:textId="77777777" w:rsidR="00086B35" w:rsidRPr="00E03C21" w:rsidRDefault="00086B35" w:rsidP="00155EF6">
      <w:pPr>
        <w:jc w:val="both"/>
        <w:rPr>
          <w:sz w:val="22"/>
          <w:szCs w:val="22"/>
          <w:lang w:val="fr-CA"/>
        </w:rPr>
      </w:pPr>
    </w:p>
    <w:p w14:paraId="30B5A3AB" w14:textId="77777777" w:rsidR="00B70E51" w:rsidRPr="00E03C21" w:rsidRDefault="008D4CBB" w:rsidP="00C71F1F">
      <w:pPr>
        <w:ind w:firstLine="720"/>
        <w:jc w:val="both"/>
        <w:rPr>
          <w:sz w:val="22"/>
          <w:szCs w:val="22"/>
          <w:lang w:val="fr-CA"/>
        </w:rPr>
      </w:pPr>
      <w:r w:rsidRPr="00E03C21">
        <w:rPr>
          <w:sz w:val="22"/>
          <w:szCs w:val="22"/>
          <w:lang w:val="fr-CA"/>
        </w:rPr>
        <w:t>Les q</w:t>
      </w:r>
      <w:r w:rsidR="00B70E51" w:rsidRPr="00E03C21">
        <w:rPr>
          <w:sz w:val="22"/>
          <w:szCs w:val="22"/>
          <w:lang w:val="fr-CA"/>
        </w:rPr>
        <w:t xml:space="preserve">uestions </w:t>
      </w:r>
      <w:r w:rsidRPr="00E03C21">
        <w:rPr>
          <w:sz w:val="22"/>
          <w:szCs w:val="22"/>
          <w:lang w:val="fr-CA"/>
        </w:rPr>
        <w:t xml:space="preserve">posées aux États membres seront </w:t>
      </w:r>
      <w:r w:rsidR="00824A76" w:rsidRPr="00E03C21">
        <w:rPr>
          <w:sz w:val="22"/>
          <w:szCs w:val="22"/>
          <w:lang w:val="fr-CA"/>
        </w:rPr>
        <w:t xml:space="preserve">notamment : </w:t>
      </w:r>
      <w:r w:rsidR="00B70E51" w:rsidRPr="00E03C21">
        <w:rPr>
          <w:sz w:val="22"/>
          <w:szCs w:val="22"/>
          <w:lang w:val="fr-CA"/>
        </w:rPr>
        <w:t xml:space="preserve"> </w:t>
      </w:r>
    </w:p>
    <w:p w14:paraId="4354B0E3" w14:textId="77777777" w:rsidR="00B70E51" w:rsidRPr="00E03C21" w:rsidRDefault="00B70E51" w:rsidP="00155EF6">
      <w:pPr>
        <w:jc w:val="both"/>
        <w:rPr>
          <w:sz w:val="22"/>
          <w:szCs w:val="22"/>
          <w:lang w:val="fr-CA"/>
        </w:rPr>
      </w:pPr>
    </w:p>
    <w:p w14:paraId="2312BF2C" w14:textId="77777777" w:rsidR="00B70E51" w:rsidRPr="00E03C21" w:rsidRDefault="00824A76" w:rsidP="00155EF6">
      <w:pPr>
        <w:pStyle w:val="ListParagraph0"/>
        <w:numPr>
          <w:ilvl w:val="0"/>
          <w:numId w:val="25"/>
        </w:numPr>
        <w:ind w:left="1440"/>
        <w:jc w:val="both"/>
        <w:rPr>
          <w:sz w:val="22"/>
          <w:szCs w:val="22"/>
          <w:lang w:val="fr-CA"/>
        </w:rPr>
      </w:pPr>
      <w:r w:rsidRPr="00E03C21">
        <w:rPr>
          <w:sz w:val="22"/>
          <w:szCs w:val="22"/>
          <w:lang w:val="fr-CA"/>
        </w:rPr>
        <w:t xml:space="preserve">Quelles </w:t>
      </w:r>
      <w:r w:rsidR="002B76ED" w:rsidRPr="00E03C21">
        <w:rPr>
          <w:sz w:val="22"/>
          <w:szCs w:val="22"/>
          <w:lang w:val="fr-CA"/>
        </w:rPr>
        <w:t>strat</w:t>
      </w:r>
      <w:r w:rsidRPr="00E03C21">
        <w:rPr>
          <w:sz w:val="22"/>
          <w:szCs w:val="22"/>
          <w:lang w:val="fr-CA"/>
        </w:rPr>
        <w:t>é</w:t>
      </w:r>
      <w:r w:rsidR="002B76ED" w:rsidRPr="00E03C21">
        <w:rPr>
          <w:sz w:val="22"/>
          <w:szCs w:val="22"/>
          <w:lang w:val="fr-CA"/>
        </w:rPr>
        <w:t xml:space="preserve">gies </w:t>
      </w:r>
      <w:r w:rsidRPr="00E03C21">
        <w:rPr>
          <w:sz w:val="22"/>
          <w:szCs w:val="22"/>
          <w:lang w:val="fr-CA"/>
        </w:rPr>
        <w:t xml:space="preserve">sont efficaces pour accélérer la transition vers une énergie propre? </w:t>
      </w:r>
    </w:p>
    <w:p w14:paraId="213CB222" w14:textId="77777777" w:rsidR="00B70E51" w:rsidRPr="00E03C21" w:rsidRDefault="00824A76" w:rsidP="00155EF6">
      <w:pPr>
        <w:pStyle w:val="ListParagraph0"/>
        <w:numPr>
          <w:ilvl w:val="0"/>
          <w:numId w:val="25"/>
        </w:numPr>
        <w:ind w:left="1440"/>
        <w:jc w:val="both"/>
        <w:rPr>
          <w:sz w:val="22"/>
          <w:szCs w:val="22"/>
          <w:lang w:val="fr-CA"/>
        </w:rPr>
      </w:pPr>
      <w:r w:rsidRPr="00E03C21">
        <w:rPr>
          <w:sz w:val="22"/>
          <w:szCs w:val="22"/>
          <w:lang w:val="fr-CA"/>
        </w:rPr>
        <w:t>Quel</w:t>
      </w:r>
      <w:r w:rsidR="00F32DD3" w:rsidRPr="00E03C21">
        <w:rPr>
          <w:sz w:val="22"/>
          <w:szCs w:val="22"/>
          <w:lang w:val="fr-CA"/>
        </w:rPr>
        <w:t>les mesures d’incitation ou quel</w:t>
      </w:r>
      <w:r w:rsidRPr="00E03C21">
        <w:rPr>
          <w:sz w:val="22"/>
          <w:szCs w:val="22"/>
          <w:lang w:val="fr-CA"/>
        </w:rPr>
        <w:t>s ty</w:t>
      </w:r>
      <w:r w:rsidR="00B70E51" w:rsidRPr="00E03C21">
        <w:rPr>
          <w:sz w:val="22"/>
          <w:szCs w:val="22"/>
          <w:lang w:val="fr-CA"/>
        </w:rPr>
        <w:t xml:space="preserve">pes </w:t>
      </w:r>
      <w:r w:rsidRPr="00E03C21">
        <w:rPr>
          <w:sz w:val="22"/>
          <w:szCs w:val="22"/>
          <w:lang w:val="fr-CA"/>
        </w:rPr>
        <w:t xml:space="preserve">de partenariats peuvent être mis en œuvre pour accélérer la mobilité électrique? </w:t>
      </w:r>
    </w:p>
    <w:p w14:paraId="308A9034" w14:textId="77777777" w:rsidR="00330088" w:rsidRPr="00E03C21" w:rsidRDefault="00824A76" w:rsidP="00155EF6">
      <w:pPr>
        <w:pStyle w:val="ListParagraph0"/>
        <w:numPr>
          <w:ilvl w:val="0"/>
          <w:numId w:val="25"/>
        </w:numPr>
        <w:ind w:left="1440"/>
        <w:jc w:val="both"/>
        <w:rPr>
          <w:sz w:val="22"/>
          <w:szCs w:val="22"/>
          <w:lang w:val="fr-CA"/>
        </w:rPr>
      </w:pPr>
      <w:r w:rsidRPr="00E03C21">
        <w:rPr>
          <w:sz w:val="22"/>
          <w:szCs w:val="22"/>
          <w:lang w:val="fr-CA"/>
        </w:rPr>
        <w:t xml:space="preserve">La production d’hydrogène et son exportation vers l’Europe et l’Asie peuvent-elles devenir une source de revenus? La technologie de l’hydrogène peut-elle devenir l’avenir de l’intégration énergétique dans les Amériques? </w:t>
      </w:r>
    </w:p>
    <w:p w14:paraId="4ECAEA2A" w14:textId="77777777" w:rsidR="0063216D" w:rsidRPr="00E03C21" w:rsidRDefault="00824A76" w:rsidP="00155EF6">
      <w:pPr>
        <w:pStyle w:val="ListParagraph0"/>
        <w:numPr>
          <w:ilvl w:val="0"/>
          <w:numId w:val="25"/>
        </w:numPr>
        <w:ind w:left="1440"/>
        <w:jc w:val="both"/>
        <w:rPr>
          <w:sz w:val="22"/>
          <w:szCs w:val="22"/>
          <w:lang w:val="fr-CA"/>
        </w:rPr>
      </w:pPr>
      <w:r w:rsidRPr="00E03C21">
        <w:rPr>
          <w:sz w:val="22"/>
          <w:szCs w:val="22"/>
          <w:lang w:val="fr-CA"/>
        </w:rPr>
        <w:t xml:space="preserve">Quelles solutions basées sur la nature peuvent contribuer à lutter contre le changement climatique? </w:t>
      </w:r>
    </w:p>
    <w:p w14:paraId="59862DD7" w14:textId="77777777" w:rsidR="0063216D" w:rsidRPr="00E03C21" w:rsidRDefault="0063216D" w:rsidP="00C71F1F">
      <w:pPr>
        <w:jc w:val="both"/>
        <w:rPr>
          <w:sz w:val="22"/>
          <w:szCs w:val="22"/>
          <w:lang w:val="fr-CA"/>
        </w:rPr>
      </w:pPr>
    </w:p>
    <w:p w14:paraId="0B99701E" w14:textId="77777777" w:rsidR="0069766D" w:rsidRPr="00E03C21" w:rsidRDefault="00824A76" w:rsidP="00155EF6">
      <w:pPr>
        <w:numPr>
          <w:ilvl w:val="0"/>
          <w:numId w:val="19"/>
        </w:numPr>
        <w:ind w:left="0" w:firstLine="0"/>
        <w:jc w:val="both"/>
        <w:rPr>
          <w:b/>
          <w:sz w:val="22"/>
          <w:szCs w:val="22"/>
          <w:lang w:val="fr-CA"/>
        </w:rPr>
      </w:pPr>
      <w:r w:rsidRPr="00E03C21">
        <w:rPr>
          <w:b/>
          <w:sz w:val="22"/>
          <w:szCs w:val="22"/>
          <w:lang w:val="fr-CA"/>
        </w:rPr>
        <w:t xml:space="preserve">Pertinence pour le </w:t>
      </w:r>
      <w:r w:rsidR="0069766D" w:rsidRPr="00E03C21">
        <w:rPr>
          <w:b/>
          <w:sz w:val="22"/>
          <w:szCs w:val="22"/>
          <w:lang w:val="fr-CA"/>
        </w:rPr>
        <w:t xml:space="preserve">SEDI </w:t>
      </w:r>
    </w:p>
    <w:p w14:paraId="186EEEAA" w14:textId="77777777" w:rsidR="0069766D" w:rsidRPr="00E03C21" w:rsidRDefault="0069766D" w:rsidP="00155EF6">
      <w:pPr>
        <w:jc w:val="both"/>
        <w:rPr>
          <w:sz w:val="22"/>
          <w:szCs w:val="22"/>
          <w:lang w:val="fr-CA"/>
        </w:rPr>
      </w:pPr>
    </w:p>
    <w:p w14:paraId="72C6B956" w14:textId="77777777" w:rsidR="00C36F27" w:rsidRPr="00E03C21" w:rsidRDefault="00C36F27" w:rsidP="00155EF6">
      <w:pPr>
        <w:ind w:left="1440" w:hanging="720"/>
        <w:jc w:val="both"/>
        <w:rPr>
          <w:sz w:val="22"/>
          <w:szCs w:val="22"/>
          <w:lang w:val="fr-CA"/>
        </w:rPr>
      </w:pPr>
      <w:r w:rsidRPr="00E03C21">
        <w:rPr>
          <w:sz w:val="22"/>
          <w:szCs w:val="22"/>
          <w:lang w:val="fr-CA"/>
        </w:rPr>
        <w:t>-</w:t>
      </w:r>
      <w:r w:rsidRPr="00E03C21">
        <w:rPr>
          <w:sz w:val="22"/>
          <w:szCs w:val="22"/>
          <w:lang w:val="fr-CA"/>
        </w:rPr>
        <w:tab/>
      </w:r>
      <w:r w:rsidR="00824A76" w:rsidRPr="00E03C21">
        <w:rPr>
          <w:sz w:val="22"/>
          <w:szCs w:val="22"/>
          <w:lang w:val="fr-CA"/>
        </w:rPr>
        <w:t>Renforcer la mise en œuvre des Objectifs de développement durable (ODD)</w:t>
      </w:r>
      <w:r w:rsidR="0069766D" w:rsidRPr="00E03C21">
        <w:rPr>
          <w:sz w:val="22"/>
          <w:szCs w:val="22"/>
          <w:lang w:val="fr-CA"/>
        </w:rPr>
        <w:t>.</w:t>
      </w:r>
    </w:p>
    <w:p w14:paraId="4CC10051" w14:textId="77777777" w:rsidR="00327C07" w:rsidRPr="00E03C21" w:rsidRDefault="00C36F27" w:rsidP="00155EF6">
      <w:pPr>
        <w:ind w:left="1440" w:hanging="720"/>
        <w:jc w:val="both"/>
        <w:rPr>
          <w:sz w:val="22"/>
          <w:szCs w:val="22"/>
          <w:lang w:val="fr-CA"/>
        </w:rPr>
      </w:pPr>
      <w:r w:rsidRPr="00E03C21">
        <w:rPr>
          <w:sz w:val="22"/>
          <w:szCs w:val="22"/>
          <w:lang w:val="fr-CA"/>
        </w:rPr>
        <w:t>-</w:t>
      </w:r>
      <w:r w:rsidRPr="00E03C21">
        <w:rPr>
          <w:sz w:val="22"/>
          <w:szCs w:val="22"/>
          <w:lang w:val="fr-CA"/>
        </w:rPr>
        <w:tab/>
      </w:r>
      <w:r w:rsidR="00824A76" w:rsidRPr="00E03C21">
        <w:rPr>
          <w:sz w:val="22"/>
          <w:szCs w:val="22"/>
          <w:lang w:val="fr-CA"/>
        </w:rPr>
        <w:t xml:space="preserve">Soutenir les efforts déployés par les États membres afin de réaliser leurs CDN. </w:t>
      </w:r>
    </w:p>
    <w:p w14:paraId="233608CE" w14:textId="77777777" w:rsidR="008A611F" w:rsidRPr="00E03C21" w:rsidRDefault="00330088" w:rsidP="00155EF6">
      <w:pPr>
        <w:ind w:left="1440" w:hanging="720"/>
        <w:jc w:val="both"/>
        <w:rPr>
          <w:sz w:val="22"/>
          <w:szCs w:val="22"/>
          <w:lang w:val="fr-CA"/>
        </w:rPr>
      </w:pPr>
      <w:r w:rsidRPr="00E03C21">
        <w:rPr>
          <w:sz w:val="22"/>
          <w:szCs w:val="22"/>
          <w:lang w:val="fr-CA"/>
        </w:rPr>
        <w:t>-</w:t>
      </w:r>
      <w:r w:rsidRPr="00E03C21">
        <w:rPr>
          <w:sz w:val="22"/>
          <w:szCs w:val="22"/>
          <w:lang w:val="fr-CA"/>
        </w:rPr>
        <w:tab/>
      </w:r>
      <w:r w:rsidR="002B76ED" w:rsidRPr="00E03C21">
        <w:rPr>
          <w:sz w:val="22"/>
          <w:szCs w:val="22"/>
          <w:lang w:val="fr-CA"/>
        </w:rPr>
        <w:t>Rec</w:t>
      </w:r>
      <w:r w:rsidR="00824A76" w:rsidRPr="00E03C21">
        <w:rPr>
          <w:sz w:val="22"/>
          <w:szCs w:val="22"/>
          <w:lang w:val="fr-CA"/>
        </w:rPr>
        <w:t xml:space="preserve">ueillir des informations des gouvernements en vue d’une future Réunion interaméricaine des ministres et hauts fonctionnaires chargés du développement durable. </w:t>
      </w:r>
    </w:p>
    <w:p w14:paraId="6AFC9775" w14:textId="77777777" w:rsidR="008A611F" w:rsidRPr="00E03C21" w:rsidRDefault="008A611F" w:rsidP="00155EF6">
      <w:pPr>
        <w:jc w:val="both"/>
        <w:rPr>
          <w:sz w:val="22"/>
          <w:szCs w:val="22"/>
          <w:lang w:val="fr-CA"/>
        </w:rPr>
      </w:pPr>
    </w:p>
    <w:p w14:paraId="774B4E6C" w14:textId="77777777" w:rsidR="00DD2121" w:rsidRPr="00E03C21" w:rsidRDefault="00824A76" w:rsidP="00155EF6">
      <w:pPr>
        <w:numPr>
          <w:ilvl w:val="0"/>
          <w:numId w:val="19"/>
        </w:numPr>
        <w:ind w:left="0" w:firstLine="0"/>
        <w:jc w:val="both"/>
        <w:rPr>
          <w:b/>
          <w:sz w:val="22"/>
          <w:szCs w:val="22"/>
          <w:lang w:val="fr-CA"/>
        </w:rPr>
      </w:pPr>
      <w:r w:rsidRPr="00E03C21">
        <w:rPr>
          <w:b/>
          <w:sz w:val="22"/>
          <w:szCs w:val="22"/>
          <w:lang w:val="fr-CA"/>
        </w:rPr>
        <w:t>Mandats de l’OEA</w:t>
      </w:r>
    </w:p>
    <w:p w14:paraId="1F0C8D3B" w14:textId="77777777" w:rsidR="00512AA5" w:rsidRPr="00E03C21" w:rsidRDefault="00512AA5" w:rsidP="00155EF6">
      <w:pPr>
        <w:jc w:val="both"/>
        <w:rPr>
          <w:sz w:val="22"/>
          <w:szCs w:val="22"/>
          <w:lang w:val="fr-CA"/>
        </w:rPr>
      </w:pPr>
    </w:p>
    <w:p w14:paraId="3F92DDFC" w14:textId="77777777" w:rsidR="002454A9" w:rsidRPr="00E03C21" w:rsidRDefault="00512AA5" w:rsidP="00155EF6">
      <w:pPr>
        <w:jc w:val="both"/>
        <w:rPr>
          <w:sz w:val="22"/>
          <w:szCs w:val="22"/>
          <w:lang w:val="fr-CA"/>
        </w:rPr>
      </w:pPr>
      <w:r w:rsidRPr="00E03C21">
        <w:rPr>
          <w:sz w:val="22"/>
          <w:szCs w:val="22"/>
          <w:lang w:val="fr-CA"/>
        </w:rPr>
        <w:tab/>
      </w:r>
      <w:r w:rsidR="00DB29A6" w:rsidRPr="00E03C21">
        <w:rPr>
          <w:sz w:val="22"/>
          <w:szCs w:val="22"/>
          <w:lang w:val="fr-CA"/>
        </w:rPr>
        <w:t>A</w:t>
      </w:r>
      <w:r w:rsidR="00824A76" w:rsidRPr="00E03C21">
        <w:rPr>
          <w:sz w:val="22"/>
          <w:szCs w:val="22"/>
          <w:lang w:val="fr-CA"/>
        </w:rPr>
        <w:t xml:space="preserve">u </w:t>
      </w:r>
      <w:r w:rsidR="002454A9" w:rsidRPr="00E03C21">
        <w:rPr>
          <w:sz w:val="22"/>
          <w:szCs w:val="22"/>
          <w:lang w:val="fr-CA"/>
        </w:rPr>
        <w:t xml:space="preserve">neuvième Sommet des Amériques, tenu à </w:t>
      </w:r>
      <w:r w:rsidR="00DB29A6" w:rsidRPr="00E03C21">
        <w:rPr>
          <w:sz w:val="22"/>
          <w:szCs w:val="22"/>
          <w:lang w:val="fr-CA"/>
        </w:rPr>
        <w:t>Los Angeles</w:t>
      </w:r>
      <w:r w:rsidR="002454A9" w:rsidRPr="00E03C21">
        <w:rPr>
          <w:sz w:val="22"/>
          <w:szCs w:val="22"/>
          <w:lang w:val="fr-CA"/>
        </w:rPr>
        <w:t xml:space="preserve"> (États-Unis d’Amérique) du 8 au 10 juin 2022, les Chefs d’État et de gouvernements se sont engagés à « Promouvoir la coopération multilatérale pour accroître l’utilisation de toutes les formes et de tous les types d’énergie renouvelable dans les pays du continent américain, y compris des programmes comme ceux de la Banque interaméricaine de développement (BID), de la Banque de développement des Caraïbes (BDC), de la Banque de développement de l’Amérique latine (CAF)</w:t>
      </w:r>
      <w:r w:rsidR="008C1BE1" w:rsidRPr="00E03C21">
        <w:rPr>
          <w:sz w:val="22"/>
          <w:szCs w:val="22"/>
          <w:lang w:val="fr-CA"/>
        </w:rPr>
        <w:t xml:space="preserve">, </w:t>
      </w:r>
      <w:r w:rsidR="002454A9" w:rsidRPr="00E03C21">
        <w:rPr>
          <w:sz w:val="22"/>
          <w:szCs w:val="22"/>
          <w:lang w:val="fr-CA"/>
        </w:rPr>
        <w:t>de la Banque centraméricaine d’intégration économique (BCIE), de l’initiative Énergies renouvelables en Amérique latine et dans les Caraïbes (RELAC) et du Partenariat des Amériques pour l’énergie et le climat (ECPA), entre autres, pour inclure la participation de tous les États, le cas échéant ».</w:t>
      </w:r>
    </w:p>
    <w:p w14:paraId="005AE651" w14:textId="77777777" w:rsidR="00DB29A6" w:rsidRPr="00E03C21" w:rsidRDefault="00DB29A6" w:rsidP="00155EF6">
      <w:pPr>
        <w:jc w:val="both"/>
        <w:rPr>
          <w:sz w:val="22"/>
          <w:szCs w:val="22"/>
          <w:lang w:val="fr-CA"/>
        </w:rPr>
      </w:pPr>
    </w:p>
    <w:p w14:paraId="3A4255C4" w14:textId="77777777" w:rsidR="002C1CE8" w:rsidRPr="00E03C21" w:rsidRDefault="002454A9" w:rsidP="00155EF6">
      <w:pPr>
        <w:suppressAutoHyphens/>
        <w:ind w:firstLine="720"/>
        <w:jc w:val="both"/>
        <w:rPr>
          <w:color w:val="000000"/>
          <w:sz w:val="22"/>
          <w:szCs w:val="22"/>
          <w:lang w:val="fr-CA"/>
        </w:rPr>
      </w:pPr>
      <w:r w:rsidRPr="00E03C21">
        <w:rPr>
          <w:sz w:val="22"/>
          <w:szCs w:val="22"/>
          <w:lang w:val="fr-CA"/>
        </w:rPr>
        <w:t xml:space="preserve">La résolution </w:t>
      </w:r>
      <w:r w:rsidR="00B17520" w:rsidRPr="00E03C21">
        <w:rPr>
          <w:sz w:val="22"/>
          <w:szCs w:val="22"/>
          <w:lang w:val="fr-CA"/>
        </w:rPr>
        <w:t xml:space="preserve">AG/RES. 2955 (L-O/20) </w:t>
      </w:r>
      <w:r w:rsidRPr="00E03C21">
        <w:rPr>
          <w:sz w:val="22"/>
          <w:szCs w:val="22"/>
          <w:lang w:val="fr-CA"/>
        </w:rPr>
        <w:t xml:space="preserve">a chargé le </w:t>
      </w:r>
      <w:r w:rsidR="00776B3C" w:rsidRPr="00E03C21">
        <w:rPr>
          <w:sz w:val="22"/>
          <w:szCs w:val="22"/>
          <w:lang w:val="fr-CA"/>
        </w:rPr>
        <w:t xml:space="preserve">SEDI </w:t>
      </w:r>
      <w:r w:rsidR="002C1CE8" w:rsidRPr="00E03C21">
        <w:rPr>
          <w:sz w:val="22"/>
          <w:szCs w:val="22"/>
          <w:lang w:val="fr-CA"/>
        </w:rPr>
        <w:t>« </w:t>
      </w:r>
      <w:r w:rsidR="002C1CE8" w:rsidRPr="00E03C21">
        <w:rPr>
          <w:color w:val="000000"/>
          <w:sz w:val="22"/>
          <w:szCs w:val="22"/>
          <w:lang w:val="fr-CA"/>
        </w:rPr>
        <w:t xml:space="preserve">de continuer à aider l’ECPA dans les efforts qu’il déploie pour soutenir les États membres dans le développement des énergies renouvelables et du gaz naturel ainsi que d’options possibles pour mettre en place des infrastructures transfrontalières et intersectorielles ainsi que des services énergétiques, en diversifiant les sources et </w:t>
      </w:r>
      <w:r w:rsidR="002C1CE8" w:rsidRPr="00E03C21">
        <w:rPr>
          <w:color w:val="000000"/>
          <w:sz w:val="22"/>
          <w:szCs w:val="22"/>
          <w:lang w:val="fr-CA"/>
        </w:rPr>
        <w:lastRenderedPageBreak/>
        <w:t>la distribution géographique pour produire l’électricité et protéger les communautés contre les défaillances du réseau électrique causées par des catastrophes ».</w:t>
      </w:r>
    </w:p>
    <w:p w14:paraId="1DE11DB8" w14:textId="77777777" w:rsidR="004D6E2B" w:rsidRPr="00E03C21" w:rsidRDefault="004D6E2B" w:rsidP="00155EF6">
      <w:pPr>
        <w:jc w:val="both"/>
        <w:rPr>
          <w:sz w:val="22"/>
          <w:szCs w:val="22"/>
          <w:lang w:val="fr-CA"/>
        </w:rPr>
      </w:pPr>
    </w:p>
    <w:p w14:paraId="603DD1B7" w14:textId="77777777" w:rsidR="00A65D71" w:rsidRPr="00E03C21" w:rsidRDefault="00AD62E4" w:rsidP="00155EF6">
      <w:pPr>
        <w:ind w:firstLine="720"/>
        <w:jc w:val="both"/>
        <w:rPr>
          <w:sz w:val="22"/>
          <w:szCs w:val="22"/>
          <w:lang w:val="fr-CA"/>
        </w:rPr>
      </w:pPr>
      <w:r w:rsidRPr="00E03C21">
        <w:rPr>
          <w:sz w:val="22"/>
          <w:szCs w:val="22"/>
          <w:lang w:val="fr-CA"/>
        </w:rPr>
        <w:t xml:space="preserve">La résolution </w:t>
      </w:r>
      <w:r w:rsidR="004234FB" w:rsidRPr="00E03C21">
        <w:rPr>
          <w:sz w:val="22"/>
          <w:szCs w:val="22"/>
          <w:lang w:val="fr-CA"/>
        </w:rPr>
        <w:t xml:space="preserve">AG/RES. 2904 (XLVII-O/17) </w:t>
      </w:r>
      <w:r w:rsidRPr="00E03C21">
        <w:rPr>
          <w:sz w:val="22"/>
          <w:szCs w:val="22"/>
          <w:lang w:val="fr-CA"/>
        </w:rPr>
        <w:t xml:space="preserve">charge le </w:t>
      </w:r>
      <w:r w:rsidR="00A65D71" w:rsidRPr="00E03C21">
        <w:rPr>
          <w:sz w:val="22"/>
          <w:szCs w:val="22"/>
          <w:lang w:val="fr-CA"/>
        </w:rPr>
        <w:t>Secr</w:t>
      </w:r>
      <w:r w:rsidRPr="00E03C21">
        <w:rPr>
          <w:sz w:val="22"/>
          <w:szCs w:val="22"/>
          <w:lang w:val="fr-CA"/>
        </w:rPr>
        <w:t>é</w:t>
      </w:r>
      <w:r w:rsidR="00A65D71" w:rsidRPr="00E03C21">
        <w:rPr>
          <w:sz w:val="22"/>
          <w:szCs w:val="22"/>
          <w:lang w:val="fr-CA"/>
        </w:rPr>
        <w:t>tariat</w:t>
      </w:r>
      <w:r w:rsidRPr="00E03C21">
        <w:rPr>
          <w:sz w:val="22"/>
          <w:szCs w:val="22"/>
          <w:lang w:val="fr-CA"/>
        </w:rPr>
        <w:t xml:space="preserve"> général « </w:t>
      </w:r>
      <w:r w:rsidR="00CA611F" w:rsidRPr="00E03C21">
        <w:rPr>
          <w:color w:val="000000"/>
          <w:sz w:val="22"/>
          <w:szCs w:val="22"/>
          <w:lang w:val="fr-CA"/>
        </w:rPr>
        <w:t>de continuer à promouvoir, dans la mesure où les ressources le permettent, le dialogue régional entre les États membres et entre les secteurs public et privé en vue de créer des systèmes énergétiques fiables, moins polluants, plus abordables, renouvelables et durables, qui facilitent l’accès à l’énergie et à des technologies et pratiques à haut rendement énergétique, ainsi que de continuer à encourager des partenariats qui favorisent une coordination accrue entre bailleurs de fonds, un accès volontaire à l’information et un échange de connaissances à des conditions et modalités convenues d’un commun accord, pour une mise en œuvre plus efficace des stratégies régionales en matière d’énergie renouvelable ».</w:t>
      </w:r>
      <w:r w:rsidR="00A65D71" w:rsidRPr="00E03C21">
        <w:rPr>
          <w:sz w:val="22"/>
          <w:szCs w:val="22"/>
          <w:lang w:val="fr-CA"/>
        </w:rPr>
        <w:t xml:space="preserve"> </w:t>
      </w:r>
    </w:p>
    <w:p w14:paraId="3EA34A53" w14:textId="77777777" w:rsidR="004D6E2B" w:rsidRPr="00E03C21" w:rsidRDefault="004D6E2B" w:rsidP="00155EF6">
      <w:pPr>
        <w:jc w:val="both"/>
        <w:rPr>
          <w:sz w:val="22"/>
          <w:szCs w:val="22"/>
          <w:lang w:val="fr-CA"/>
        </w:rPr>
      </w:pPr>
    </w:p>
    <w:p w14:paraId="19671AC3" w14:textId="77777777" w:rsidR="00DD2121" w:rsidRPr="00E03C21" w:rsidRDefault="0074309C" w:rsidP="00155EF6">
      <w:pPr>
        <w:jc w:val="both"/>
        <w:rPr>
          <w:sz w:val="22"/>
          <w:szCs w:val="22"/>
          <w:lang w:val="fr-CA"/>
        </w:rPr>
      </w:pPr>
      <w:r w:rsidRPr="00E03C21">
        <w:rPr>
          <w:sz w:val="22"/>
          <w:szCs w:val="22"/>
          <w:lang w:val="fr-CA"/>
        </w:rPr>
        <w:tab/>
      </w:r>
      <w:r w:rsidR="00CA611F" w:rsidRPr="00E03C21">
        <w:rPr>
          <w:sz w:val="22"/>
          <w:szCs w:val="22"/>
          <w:lang w:val="fr-CA"/>
        </w:rPr>
        <w:t xml:space="preserve">La Charte de l’OEA ordonne au </w:t>
      </w:r>
      <w:r w:rsidR="00DD2121" w:rsidRPr="00E03C21">
        <w:rPr>
          <w:sz w:val="22"/>
          <w:szCs w:val="22"/>
          <w:lang w:val="fr-CA"/>
        </w:rPr>
        <w:t xml:space="preserve">CIDI </w:t>
      </w:r>
      <w:r w:rsidR="00CA611F" w:rsidRPr="00E03C21">
        <w:rPr>
          <w:sz w:val="22"/>
          <w:szCs w:val="22"/>
          <w:lang w:val="fr-CA"/>
        </w:rPr>
        <w:t>de promouvoir la coopé</w:t>
      </w:r>
      <w:r w:rsidR="00DD2121" w:rsidRPr="00E03C21">
        <w:rPr>
          <w:sz w:val="22"/>
          <w:szCs w:val="22"/>
          <w:lang w:val="fr-CA"/>
        </w:rPr>
        <w:t xml:space="preserve">ration </w:t>
      </w:r>
      <w:r w:rsidR="00CA611F" w:rsidRPr="00E03C21">
        <w:rPr>
          <w:sz w:val="22"/>
          <w:szCs w:val="22"/>
          <w:lang w:val="fr-CA"/>
        </w:rPr>
        <w:t xml:space="preserve">entre les États membres de l’OEA afin de parvenir au développement intégré et, en particulier, de contribuer à l’élimination de la pauvreté absolue. La Charte demande également au CIDI de « promouvoir, </w:t>
      </w:r>
      <w:r w:rsidR="009F62F9" w:rsidRPr="00E03C21">
        <w:rPr>
          <w:sz w:val="22"/>
          <w:szCs w:val="22"/>
          <w:lang w:val="fr-CA"/>
        </w:rPr>
        <w:t xml:space="preserve">coordonner et confier l'exécution des programmes et projets de développement aux organes subsidiaires et aux organismes pertinents, en s'inspirant des priorités fixées par les </w:t>
      </w:r>
      <w:r w:rsidR="00207B6C" w:rsidRPr="00E03C21">
        <w:rPr>
          <w:sz w:val="22"/>
          <w:szCs w:val="22"/>
          <w:lang w:val="fr-CA"/>
        </w:rPr>
        <w:t>É</w:t>
      </w:r>
      <w:r w:rsidR="009F62F9" w:rsidRPr="00E03C21">
        <w:rPr>
          <w:sz w:val="22"/>
          <w:szCs w:val="22"/>
          <w:lang w:val="fr-CA"/>
        </w:rPr>
        <w:t>tats membres dans des domaines tels que le développement économique et social y compris le commerce, le tourisme, l'intégration et l'environnement</w:t>
      </w:r>
      <w:r w:rsidR="00207B6C" w:rsidRPr="00E03C21">
        <w:rPr>
          <w:sz w:val="22"/>
          <w:szCs w:val="22"/>
          <w:lang w:val="fr-CA"/>
        </w:rPr>
        <w:t xml:space="preserve"> ».  </w:t>
      </w:r>
    </w:p>
    <w:p w14:paraId="237A5EB1" w14:textId="77777777" w:rsidR="008A611F" w:rsidRPr="00E03C21" w:rsidRDefault="008A611F" w:rsidP="00155EF6">
      <w:pPr>
        <w:jc w:val="both"/>
        <w:rPr>
          <w:sz w:val="22"/>
          <w:szCs w:val="22"/>
          <w:lang w:val="fr-CA"/>
        </w:rPr>
      </w:pPr>
    </w:p>
    <w:p w14:paraId="288F7A74" w14:textId="55289812" w:rsidR="00DD2121" w:rsidRPr="00E03C21" w:rsidRDefault="00D02EFD" w:rsidP="00155EF6">
      <w:pPr>
        <w:jc w:val="both"/>
        <w:rPr>
          <w:sz w:val="22"/>
          <w:szCs w:val="22"/>
          <w:lang w:val="fr-CA"/>
        </w:rPr>
      </w:pPr>
      <w:r w:rsidRPr="00E03C21">
        <w:rPr>
          <w:sz w:val="22"/>
          <w:szCs w:val="22"/>
          <w:lang w:val="fr-CA"/>
        </w:rPr>
        <w:tab/>
      </w:r>
      <w:r w:rsidR="00207B6C" w:rsidRPr="00E03C21">
        <w:rPr>
          <w:sz w:val="22"/>
          <w:szCs w:val="22"/>
          <w:lang w:val="fr-CA"/>
        </w:rPr>
        <w:t xml:space="preserve">Le Programme interaméricain de développement durable </w:t>
      </w:r>
      <w:r w:rsidR="00DD2121" w:rsidRPr="00E03C21">
        <w:rPr>
          <w:sz w:val="22"/>
          <w:szCs w:val="22"/>
          <w:lang w:val="fr-CA"/>
        </w:rPr>
        <w:t xml:space="preserve">(PIDS) </w:t>
      </w:r>
      <w:r w:rsidR="00207B6C" w:rsidRPr="00E03C21">
        <w:rPr>
          <w:sz w:val="22"/>
          <w:szCs w:val="22"/>
          <w:lang w:val="fr-CA"/>
        </w:rPr>
        <w:t>charge l</w:t>
      </w:r>
      <w:r w:rsidR="00E03C21">
        <w:rPr>
          <w:sz w:val="22"/>
          <w:szCs w:val="22"/>
          <w:lang w:val="fr-CA"/>
        </w:rPr>
        <w:t xml:space="preserve">e Secrétariat général </w:t>
      </w:r>
      <w:r w:rsidR="00207B6C" w:rsidRPr="00E03C21">
        <w:rPr>
          <w:sz w:val="22"/>
          <w:szCs w:val="22"/>
          <w:lang w:val="fr-CA"/>
        </w:rPr>
        <w:t>de l’OEA</w:t>
      </w:r>
      <w:r w:rsidR="008C1BE1" w:rsidRPr="00E03C21">
        <w:rPr>
          <w:sz w:val="22"/>
          <w:szCs w:val="22"/>
          <w:lang w:val="fr-CA"/>
        </w:rPr>
        <w:t>,</w:t>
      </w:r>
      <w:r w:rsidR="00207B6C" w:rsidRPr="00E03C21">
        <w:rPr>
          <w:sz w:val="22"/>
          <w:szCs w:val="22"/>
          <w:lang w:val="fr-CA"/>
        </w:rPr>
        <w:t xml:space="preserve"> par l’intermédiaire du </w:t>
      </w:r>
      <w:r w:rsidR="00DD2121" w:rsidRPr="00E03C21">
        <w:rPr>
          <w:sz w:val="22"/>
          <w:szCs w:val="22"/>
          <w:lang w:val="fr-CA"/>
        </w:rPr>
        <w:t>SEDI</w:t>
      </w:r>
      <w:r w:rsidR="008C1BE1" w:rsidRPr="00E03C21">
        <w:rPr>
          <w:sz w:val="22"/>
          <w:szCs w:val="22"/>
          <w:lang w:val="fr-CA"/>
        </w:rPr>
        <w:t>,</w:t>
      </w:r>
      <w:r w:rsidR="00DD2121" w:rsidRPr="00E03C21">
        <w:rPr>
          <w:sz w:val="22"/>
          <w:szCs w:val="22"/>
          <w:lang w:val="fr-CA"/>
        </w:rPr>
        <w:t xml:space="preserve"> </w:t>
      </w:r>
      <w:r w:rsidR="00207B6C" w:rsidRPr="00E03C21">
        <w:rPr>
          <w:sz w:val="22"/>
          <w:szCs w:val="22"/>
          <w:lang w:val="fr-CA"/>
        </w:rPr>
        <w:t>de collaborer avec les autorités chargées du développement durable dans les États membres et d</w:t>
      </w:r>
      <w:r w:rsidR="00F32DD3" w:rsidRPr="00E03C21">
        <w:rPr>
          <w:sz w:val="22"/>
          <w:szCs w:val="22"/>
          <w:lang w:val="fr-CA"/>
        </w:rPr>
        <w:t xml:space="preserve">e mettre en place une coordination </w:t>
      </w:r>
      <w:r w:rsidR="00207B6C" w:rsidRPr="00E03C21">
        <w:rPr>
          <w:sz w:val="22"/>
          <w:szCs w:val="22"/>
          <w:lang w:val="fr-CA"/>
        </w:rPr>
        <w:t xml:space="preserve">avec d’autres instances et organisations internationales. Le PIDS établit des actions stratégiques visant à garantir que les activités du Secrétariat général en matière de développement durable </w:t>
      </w:r>
      <w:r w:rsidR="00F32DD3" w:rsidRPr="00E03C21">
        <w:rPr>
          <w:sz w:val="22"/>
          <w:szCs w:val="22"/>
          <w:lang w:val="fr-CA"/>
        </w:rPr>
        <w:t xml:space="preserve">sont </w:t>
      </w:r>
      <w:r w:rsidR="00207B6C" w:rsidRPr="00E03C21">
        <w:rPr>
          <w:sz w:val="22"/>
          <w:szCs w:val="22"/>
          <w:lang w:val="fr-CA"/>
        </w:rPr>
        <w:t xml:space="preserve">en </w:t>
      </w:r>
      <w:r w:rsidR="008C1BE1" w:rsidRPr="00E03C21">
        <w:rPr>
          <w:sz w:val="22"/>
          <w:szCs w:val="22"/>
          <w:lang w:val="fr-CA"/>
        </w:rPr>
        <w:t xml:space="preserve">harmonie </w:t>
      </w:r>
      <w:r w:rsidR="00207B6C" w:rsidRPr="00E03C21">
        <w:rPr>
          <w:sz w:val="22"/>
          <w:szCs w:val="22"/>
          <w:lang w:val="fr-CA"/>
        </w:rPr>
        <w:t xml:space="preserve">avec la mise en œuvre du Programme de développement durable à l’horizon 2030 et avec l’Accord de Paris sur le climat et que ses objectifs et ses résultats sont </w:t>
      </w:r>
      <w:r w:rsidR="009D3443" w:rsidRPr="00E03C21">
        <w:rPr>
          <w:sz w:val="22"/>
          <w:szCs w:val="22"/>
          <w:lang w:val="fr-CA"/>
        </w:rPr>
        <w:t xml:space="preserve">guidés par les ODD approuvés par les États membres et contribuent à leur réalisation. </w:t>
      </w:r>
    </w:p>
    <w:p w14:paraId="235978ED" w14:textId="77777777" w:rsidR="00DD2121" w:rsidRPr="00E03C21" w:rsidRDefault="00DD2121" w:rsidP="00155EF6">
      <w:pPr>
        <w:jc w:val="both"/>
        <w:rPr>
          <w:sz w:val="22"/>
          <w:szCs w:val="22"/>
          <w:lang w:val="fr-CA"/>
        </w:rPr>
      </w:pPr>
    </w:p>
    <w:p w14:paraId="3A80EC32" w14:textId="77777777" w:rsidR="00AB240C" w:rsidRPr="00E03C21" w:rsidRDefault="00567152" w:rsidP="00155EF6">
      <w:pPr>
        <w:jc w:val="both"/>
        <w:rPr>
          <w:sz w:val="22"/>
          <w:szCs w:val="22"/>
          <w:lang w:val="fr-CA"/>
        </w:rPr>
      </w:pPr>
      <w:r w:rsidRPr="00E03C21">
        <w:rPr>
          <w:sz w:val="22"/>
          <w:szCs w:val="22"/>
          <w:lang w:val="fr-CA"/>
        </w:rPr>
        <w:tab/>
      </w:r>
      <w:r w:rsidR="009D3443" w:rsidRPr="00E03C21">
        <w:rPr>
          <w:sz w:val="22"/>
          <w:szCs w:val="22"/>
          <w:lang w:val="fr-CA"/>
        </w:rPr>
        <w:t xml:space="preserve">Aux termes du </w:t>
      </w:r>
      <w:r w:rsidR="00DD2121" w:rsidRPr="00E03C21">
        <w:rPr>
          <w:sz w:val="22"/>
          <w:szCs w:val="22"/>
          <w:lang w:val="fr-CA"/>
        </w:rPr>
        <w:t xml:space="preserve">PIDS, </w:t>
      </w:r>
      <w:r w:rsidR="009D3443" w:rsidRPr="00E03C21">
        <w:rPr>
          <w:sz w:val="22"/>
          <w:szCs w:val="22"/>
          <w:lang w:val="fr-CA"/>
        </w:rPr>
        <w:t>les activités du Secrétariat général devrai</w:t>
      </w:r>
      <w:r w:rsidR="00F32DD3" w:rsidRPr="00E03C21">
        <w:rPr>
          <w:sz w:val="22"/>
          <w:szCs w:val="22"/>
          <w:lang w:val="fr-CA"/>
        </w:rPr>
        <w:t>en</w:t>
      </w:r>
      <w:r w:rsidR="009D3443" w:rsidRPr="00E03C21">
        <w:rPr>
          <w:sz w:val="22"/>
          <w:szCs w:val="22"/>
          <w:lang w:val="fr-CA"/>
        </w:rPr>
        <w:t xml:space="preserve">t contribuer directement à soutenir les efforts que déploient les États membres pour réaliser l’ODD 7 : « Garantir l’accès de tous à des services énergétiques fiables, durables et modernes à un coût abordable » ainsi que les cibles apparentées d’autres ODD du Programme de développement durable à l’horizon 2030 et leurs composantes intersectorielles. </w:t>
      </w:r>
    </w:p>
    <w:p w14:paraId="7EF21AAB" w14:textId="77777777" w:rsidR="00DE0DD6" w:rsidRPr="00E03C21" w:rsidRDefault="00DE0DD6" w:rsidP="00155EF6">
      <w:pPr>
        <w:jc w:val="both"/>
        <w:rPr>
          <w:sz w:val="22"/>
          <w:szCs w:val="22"/>
          <w:lang w:val="fr-CA"/>
        </w:rPr>
      </w:pPr>
    </w:p>
    <w:p w14:paraId="28F61087" w14:textId="77777777" w:rsidR="0069766D" w:rsidRPr="00E03C21" w:rsidRDefault="0069766D" w:rsidP="00E03C21">
      <w:pPr>
        <w:numPr>
          <w:ilvl w:val="0"/>
          <w:numId w:val="19"/>
        </w:numPr>
        <w:ind w:left="0" w:firstLine="0"/>
        <w:jc w:val="both"/>
        <w:rPr>
          <w:b/>
          <w:sz w:val="22"/>
          <w:szCs w:val="22"/>
          <w:lang w:val="fr-CA"/>
        </w:rPr>
      </w:pPr>
      <w:r w:rsidRPr="00E03C21">
        <w:rPr>
          <w:b/>
          <w:sz w:val="22"/>
          <w:szCs w:val="22"/>
          <w:lang w:val="fr-CA"/>
        </w:rPr>
        <w:t xml:space="preserve">Structure </w:t>
      </w:r>
      <w:r w:rsidR="009D3443" w:rsidRPr="00E03C21">
        <w:rPr>
          <w:b/>
          <w:sz w:val="22"/>
          <w:szCs w:val="22"/>
          <w:lang w:val="fr-CA"/>
        </w:rPr>
        <w:t>de la réunion</w:t>
      </w:r>
      <w:r w:rsidRPr="00E03C21">
        <w:rPr>
          <w:b/>
          <w:sz w:val="22"/>
          <w:szCs w:val="22"/>
          <w:lang w:val="fr-CA"/>
        </w:rPr>
        <w:t xml:space="preserve"> </w:t>
      </w:r>
    </w:p>
    <w:p w14:paraId="02E4CF02" w14:textId="77777777" w:rsidR="0069766D" w:rsidRPr="00E03C21" w:rsidRDefault="0069766D" w:rsidP="00E03C21">
      <w:pPr>
        <w:jc w:val="both"/>
        <w:rPr>
          <w:sz w:val="22"/>
          <w:szCs w:val="22"/>
          <w:lang w:val="fr-CA"/>
        </w:rPr>
      </w:pPr>
    </w:p>
    <w:p w14:paraId="1EE6298A" w14:textId="77777777" w:rsidR="00B70E51" w:rsidRPr="00E03C21" w:rsidRDefault="0069766D" w:rsidP="00E03C21">
      <w:pPr>
        <w:jc w:val="both"/>
        <w:rPr>
          <w:sz w:val="22"/>
          <w:szCs w:val="22"/>
          <w:lang w:val="fr-CA"/>
        </w:rPr>
      </w:pPr>
      <w:r w:rsidRPr="00E03C21">
        <w:rPr>
          <w:sz w:val="22"/>
          <w:szCs w:val="22"/>
          <w:lang w:val="fr-CA"/>
        </w:rPr>
        <w:tab/>
      </w:r>
      <w:r w:rsidR="009D3443" w:rsidRPr="00E03C21">
        <w:rPr>
          <w:sz w:val="22"/>
          <w:szCs w:val="22"/>
          <w:lang w:val="fr-CA"/>
        </w:rPr>
        <w:t>Intervenants invités</w:t>
      </w:r>
      <w:r w:rsidRPr="00E03C21">
        <w:rPr>
          <w:sz w:val="22"/>
          <w:szCs w:val="22"/>
          <w:lang w:val="fr-CA"/>
        </w:rPr>
        <w:t>:</w:t>
      </w:r>
    </w:p>
    <w:p w14:paraId="7ED4543F" w14:textId="77777777" w:rsidR="008A611F" w:rsidRPr="00E03C21" w:rsidRDefault="008A611F" w:rsidP="00E03C21">
      <w:pPr>
        <w:jc w:val="both"/>
        <w:rPr>
          <w:sz w:val="22"/>
          <w:szCs w:val="22"/>
          <w:lang w:val="fr-CA"/>
        </w:rPr>
      </w:pPr>
    </w:p>
    <w:p w14:paraId="32B0DFCF" w14:textId="77777777" w:rsidR="00B70E51" w:rsidRPr="00E03C21" w:rsidRDefault="00330088" w:rsidP="00E03C21">
      <w:pPr>
        <w:ind w:firstLine="720"/>
        <w:jc w:val="both"/>
        <w:rPr>
          <w:sz w:val="22"/>
          <w:szCs w:val="22"/>
          <w:lang w:val="fr-CA"/>
        </w:rPr>
      </w:pPr>
      <w:r w:rsidRPr="00E03C21">
        <w:rPr>
          <w:sz w:val="22"/>
          <w:szCs w:val="22"/>
          <w:lang w:val="fr-CA"/>
        </w:rPr>
        <w:t>-</w:t>
      </w:r>
      <w:r w:rsidRPr="00E03C21">
        <w:rPr>
          <w:sz w:val="22"/>
          <w:szCs w:val="22"/>
          <w:lang w:val="fr-CA"/>
        </w:rPr>
        <w:tab/>
      </w:r>
      <w:r w:rsidR="009D3443" w:rsidRPr="00E03C21">
        <w:rPr>
          <w:sz w:val="22"/>
          <w:szCs w:val="22"/>
          <w:lang w:val="fr-CA"/>
        </w:rPr>
        <w:t xml:space="preserve">Un haut fonctionnaire du gouvernement des </w:t>
      </w:r>
      <w:r w:rsidRPr="00E03C21">
        <w:rPr>
          <w:sz w:val="22"/>
          <w:szCs w:val="22"/>
          <w:lang w:val="fr-CA"/>
        </w:rPr>
        <w:t>Bahamas</w:t>
      </w:r>
    </w:p>
    <w:p w14:paraId="4686E9D5" w14:textId="77777777" w:rsidR="00330088" w:rsidRPr="00E03C21" w:rsidRDefault="00330088" w:rsidP="00E03C21">
      <w:pPr>
        <w:ind w:firstLine="720"/>
        <w:jc w:val="both"/>
        <w:rPr>
          <w:sz w:val="22"/>
          <w:szCs w:val="22"/>
          <w:lang w:val="fr-CA"/>
        </w:rPr>
      </w:pPr>
      <w:r w:rsidRPr="00E03C21">
        <w:rPr>
          <w:sz w:val="22"/>
          <w:szCs w:val="22"/>
          <w:lang w:val="fr-CA"/>
        </w:rPr>
        <w:t>-</w:t>
      </w:r>
      <w:r w:rsidRPr="00E03C21">
        <w:rPr>
          <w:sz w:val="22"/>
          <w:szCs w:val="22"/>
          <w:lang w:val="fr-CA"/>
        </w:rPr>
        <w:tab/>
      </w:r>
      <w:r w:rsidR="009D3443" w:rsidRPr="00E03C21">
        <w:rPr>
          <w:sz w:val="22"/>
          <w:szCs w:val="22"/>
          <w:lang w:val="fr-CA"/>
        </w:rPr>
        <w:t>Un haut fonctionnaire du gouvernement du Chili</w:t>
      </w:r>
    </w:p>
    <w:p w14:paraId="40C55DDB" w14:textId="77777777" w:rsidR="00330088" w:rsidRPr="00E03C21" w:rsidRDefault="00330088" w:rsidP="00E03C21">
      <w:pPr>
        <w:ind w:firstLine="720"/>
        <w:jc w:val="both"/>
        <w:rPr>
          <w:sz w:val="22"/>
          <w:szCs w:val="22"/>
          <w:lang w:val="fr-CA"/>
        </w:rPr>
      </w:pPr>
      <w:r w:rsidRPr="00E03C21">
        <w:rPr>
          <w:sz w:val="22"/>
          <w:szCs w:val="22"/>
          <w:lang w:val="fr-CA"/>
        </w:rPr>
        <w:t>-</w:t>
      </w:r>
      <w:r w:rsidRPr="00E03C21">
        <w:rPr>
          <w:sz w:val="22"/>
          <w:szCs w:val="22"/>
          <w:lang w:val="fr-CA"/>
        </w:rPr>
        <w:tab/>
      </w:r>
      <w:r w:rsidR="009D3443" w:rsidRPr="00E03C21">
        <w:rPr>
          <w:sz w:val="22"/>
          <w:szCs w:val="22"/>
          <w:lang w:val="fr-CA"/>
        </w:rPr>
        <w:t>Un haut fonctionnaire du gouvernement du P</w:t>
      </w:r>
      <w:r w:rsidRPr="00E03C21">
        <w:rPr>
          <w:sz w:val="22"/>
          <w:szCs w:val="22"/>
          <w:lang w:val="fr-CA"/>
        </w:rPr>
        <w:t>anama</w:t>
      </w:r>
    </w:p>
    <w:p w14:paraId="6EAE6D5A" w14:textId="77777777" w:rsidR="0063216D" w:rsidRPr="00E03C21" w:rsidRDefault="0063216D" w:rsidP="00E03C21">
      <w:pPr>
        <w:ind w:firstLine="720"/>
        <w:jc w:val="both"/>
        <w:rPr>
          <w:sz w:val="22"/>
          <w:szCs w:val="22"/>
          <w:lang w:val="fr-CA"/>
        </w:rPr>
      </w:pPr>
      <w:r w:rsidRPr="00E03C21">
        <w:rPr>
          <w:sz w:val="22"/>
          <w:szCs w:val="22"/>
          <w:lang w:val="fr-CA"/>
        </w:rPr>
        <w:t>-</w:t>
      </w:r>
      <w:r w:rsidR="002D4050" w:rsidRPr="00E03C21">
        <w:rPr>
          <w:sz w:val="22"/>
          <w:szCs w:val="22"/>
          <w:lang w:val="fr-CA"/>
        </w:rPr>
        <w:tab/>
      </w:r>
      <w:r w:rsidR="009D3443" w:rsidRPr="00E03C21">
        <w:rPr>
          <w:sz w:val="22"/>
          <w:szCs w:val="22"/>
          <w:lang w:val="fr-CA"/>
        </w:rPr>
        <w:t>Un haut fonctionnaire du gouvernement des États-Unis d’Amérique</w:t>
      </w:r>
    </w:p>
    <w:p w14:paraId="34A60AE2" w14:textId="77777777" w:rsidR="002D4050" w:rsidRPr="00E03C21" w:rsidRDefault="002D4050" w:rsidP="00E03C21">
      <w:pPr>
        <w:jc w:val="both"/>
        <w:rPr>
          <w:bCs/>
          <w:sz w:val="22"/>
          <w:szCs w:val="22"/>
          <w:lang w:val="fr-CA"/>
        </w:rPr>
      </w:pPr>
    </w:p>
    <w:p w14:paraId="60FC5D3C" w14:textId="77777777" w:rsidR="0069766D" w:rsidRPr="00E03C21" w:rsidRDefault="009D3443" w:rsidP="00E03C21">
      <w:pPr>
        <w:keepNext/>
        <w:numPr>
          <w:ilvl w:val="0"/>
          <w:numId w:val="19"/>
        </w:numPr>
        <w:ind w:left="0" w:firstLine="0"/>
        <w:jc w:val="both"/>
        <w:rPr>
          <w:b/>
          <w:sz w:val="22"/>
          <w:szCs w:val="22"/>
          <w:lang w:val="fr-CA"/>
        </w:rPr>
      </w:pPr>
      <w:r w:rsidRPr="00E03C21">
        <w:rPr>
          <w:b/>
          <w:sz w:val="22"/>
          <w:szCs w:val="22"/>
          <w:lang w:val="fr-CA"/>
        </w:rPr>
        <w:lastRenderedPageBreak/>
        <w:t>Résultats de la réunion</w:t>
      </w:r>
      <w:r w:rsidR="0069766D" w:rsidRPr="00E03C21">
        <w:rPr>
          <w:b/>
          <w:sz w:val="22"/>
          <w:szCs w:val="22"/>
          <w:lang w:val="fr-CA"/>
        </w:rPr>
        <w:t xml:space="preserve"> </w:t>
      </w:r>
    </w:p>
    <w:p w14:paraId="4C91BE88" w14:textId="77777777" w:rsidR="0069766D" w:rsidRPr="00E03C21" w:rsidRDefault="0069766D" w:rsidP="00E03C21">
      <w:pPr>
        <w:keepNext/>
        <w:jc w:val="both"/>
        <w:rPr>
          <w:sz w:val="22"/>
          <w:szCs w:val="22"/>
          <w:lang w:val="fr-CA"/>
        </w:rPr>
      </w:pPr>
    </w:p>
    <w:p w14:paraId="0E474B4A" w14:textId="77777777" w:rsidR="00B70E51" w:rsidRPr="00E03C21" w:rsidRDefault="009D3443" w:rsidP="00155EF6">
      <w:pPr>
        <w:pStyle w:val="ListParagraph0"/>
        <w:numPr>
          <w:ilvl w:val="0"/>
          <w:numId w:val="21"/>
        </w:numPr>
        <w:ind w:left="1440" w:hanging="720"/>
        <w:jc w:val="both"/>
        <w:rPr>
          <w:sz w:val="22"/>
          <w:szCs w:val="22"/>
          <w:lang w:val="fr-CA"/>
        </w:rPr>
      </w:pPr>
      <w:r w:rsidRPr="00E03C21">
        <w:rPr>
          <w:sz w:val="22"/>
          <w:szCs w:val="22"/>
          <w:lang w:val="fr-CA"/>
        </w:rPr>
        <w:t xml:space="preserve">Des stratégies performantes des </w:t>
      </w:r>
      <w:r w:rsidR="006B6491" w:rsidRPr="00E03C21">
        <w:rPr>
          <w:sz w:val="22"/>
          <w:szCs w:val="22"/>
          <w:lang w:val="fr-CA"/>
        </w:rPr>
        <w:t xml:space="preserve">États membres propres à accélérer la transition énergétique dans leurs pays respectifs. </w:t>
      </w:r>
    </w:p>
    <w:p w14:paraId="60200E3A" w14:textId="77777777" w:rsidR="00B70E51" w:rsidRPr="00E03C21" w:rsidRDefault="006B6491" w:rsidP="00155EF6">
      <w:pPr>
        <w:pStyle w:val="ListParagraph0"/>
        <w:numPr>
          <w:ilvl w:val="0"/>
          <w:numId w:val="21"/>
        </w:numPr>
        <w:ind w:left="1440" w:hanging="720"/>
        <w:jc w:val="both"/>
        <w:rPr>
          <w:sz w:val="22"/>
          <w:szCs w:val="22"/>
          <w:lang w:val="fr-CA"/>
        </w:rPr>
      </w:pPr>
      <w:r w:rsidRPr="00E03C21">
        <w:rPr>
          <w:sz w:val="22"/>
          <w:szCs w:val="22"/>
          <w:lang w:val="fr-CA"/>
        </w:rPr>
        <w:t>Des recommandations précises concernant l’objectif de devenir une région neutre en carbone d’ici 2050</w:t>
      </w:r>
      <w:r w:rsidR="00B70E51" w:rsidRPr="00E03C21">
        <w:rPr>
          <w:sz w:val="22"/>
          <w:szCs w:val="22"/>
          <w:lang w:val="fr-CA"/>
        </w:rPr>
        <w:t>.</w:t>
      </w:r>
    </w:p>
    <w:p w14:paraId="48CEB7B0" w14:textId="77777777" w:rsidR="00B14604" w:rsidRPr="00E03C21" w:rsidRDefault="006B6491" w:rsidP="00155EF6">
      <w:pPr>
        <w:pStyle w:val="ListParagraph0"/>
        <w:numPr>
          <w:ilvl w:val="0"/>
          <w:numId w:val="21"/>
        </w:numPr>
        <w:ind w:left="1440" w:hanging="720"/>
        <w:jc w:val="both"/>
        <w:rPr>
          <w:sz w:val="22"/>
          <w:szCs w:val="22"/>
          <w:lang w:val="fr-CA"/>
        </w:rPr>
      </w:pPr>
      <w:r w:rsidRPr="00E03C21">
        <w:rPr>
          <w:sz w:val="22"/>
          <w:szCs w:val="22"/>
          <w:lang w:val="fr-CA"/>
        </w:rPr>
        <w:t>Des informations des États membres concernant le financement de la lutte contre le changement climatique et l</w:t>
      </w:r>
      <w:r w:rsidR="008C1BE1" w:rsidRPr="00E03C21">
        <w:rPr>
          <w:sz w:val="22"/>
          <w:szCs w:val="22"/>
          <w:lang w:val="fr-CA"/>
        </w:rPr>
        <w:t xml:space="preserve">a nécessité </w:t>
      </w:r>
      <w:r w:rsidRPr="00E03C21">
        <w:rPr>
          <w:sz w:val="22"/>
          <w:szCs w:val="22"/>
          <w:lang w:val="fr-CA"/>
        </w:rPr>
        <w:t>d’</w:t>
      </w:r>
      <w:r w:rsidR="00F3757E" w:rsidRPr="00E03C21">
        <w:rPr>
          <w:sz w:val="22"/>
          <w:szCs w:val="22"/>
          <w:lang w:val="fr-CA"/>
        </w:rPr>
        <w:t xml:space="preserve">un </w:t>
      </w:r>
      <w:r w:rsidRPr="00E03C21">
        <w:rPr>
          <w:sz w:val="22"/>
          <w:szCs w:val="22"/>
          <w:lang w:val="fr-CA"/>
        </w:rPr>
        <w:t>engagement d</w:t>
      </w:r>
      <w:r w:rsidR="00F32DD3" w:rsidRPr="00E03C21">
        <w:rPr>
          <w:sz w:val="22"/>
          <w:szCs w:val="22"/>
          <w:lang w:val="fr-CA"/>
        </w:rPr>
        <w:t xml:space="preserve">u </w:t>
      </w:r>
      <w:r w:rsidRPr="00E03C21">
        <w:rPr>
          <w:sz w:val="22"/>
          <w:szCs w:val="22"/>
          <w:lang w:val="fr-CA"/>
        </w:rPr>
        <w:t xml:space="preserve">secteur privé. </w:t>
      </w:r>
      <w:r w:rsidR="00B70E51" w:rsidRPr="00E03C21">
        <w:rPr>
          <w:sz w:val="22"/>
          <w:szCs w:val="22"/>
          <w:lang w:val="fr-CA"/>
        </w:rPr>
        <w:t xml:space="preserve"> </w:t>
      </w:r>
    </w:p>
    <w:p w14:paraId="3D69B500" w14:textId="77777777" w:rsidR="00FB2A63" w:rsidRPr="00E03C21" w:rsidRDefault="008C1BE1" w:rsidP="00155EF6">
      <w:pPr>
        <w:pStyle w:val="ListParagraph0"/>
        <w:numPr>
          <w:ilvl w:val="0"/>
          <w:numId w:val="21"/>
        </w:numPr>
        <w:ind w:left="1440" w:hanging="720"/>
        <w:jc w:val="both"/>
        <w:rPr>
          <w:sz w:val="22"/>
          <w:szCs w:val="22"/>
          <w:lang w:val="fr-CA"/>
        </w:rPr>
      </w:pPr>
      <w:r w:rsidRPr="00E03C21">
        <w:rPr>
          <w:sz w:val="22"/>
          <w:szCs w:val="22"/>
          <w:lang w:val="fr-CA"/>
        </w:rPr>
        <w:t>Les p</w:t>
      </w:r>
      <w:r w:rsidR="006B6491" w:rsidRPr="00E03C21">
        <w:rPr>
          <w:sz w:val="22"/>
          <w:szCs w:val="22"/>
          <w:lang w:val="fr-CA"/>
        </w:rPr>
        <w:t>oints importants à retenir</w:t>
      </w:r>
      <w:r w:rsidR="00BD3B65" w:rsidRPr="00E03C21">
        <w:rPr>
          <w:sz w:val="22"/>
          <w:szCs w:val="22"/>
          <w:lang w:val="fr-CA"/>
        </w:rPr>
        <w:t xml:space="preserve">, lesquels </w:t>
      </w:r>
      <w:r w:rsidRPr="00E03C21">
        <w:rPr>
          <w:sz w:val="22"/>
          <w:szCs w:val="22"/>
          <w:lang w:val="fr-CA"/>
        </w:rPr>
        <w:t xml:space="preserve">contribueront à </w:t>
      </w:r>
      <w:r w:rsidR="006B6491" w:rsidRPr="00E03C21">
        <w:rPr>
          <w:sz w:val="22"/>
          <w:szCs w:val="22"/>
          <w:lang w:val="fr-CA"/>
        </w:rPr>
        <w:t xml:space="preserve">l’élaboration de l’ordre du jour de la quatrième Réunion interaméricaine des ministres et hauts fonctionnaires chargés du développement durable. </w:t>
      </w:r>
    </w:p>
    <w:p w14:paraId="7C632C17" w14:textId="77777777" w:rsidR="002D4050" w:rsidRPr="00E03C21" w:rsidRDefault="00AC773E" w:rsidP="00155EF6">
      <w:pPr>
        <w:jc w:val="both"/>
        <w:rPr>
          <w:sz w:val="22"/>
          <w:szCs w:val="22"/>
          <w:lang w:val="fr-CA"/>
        </w:rPr>
      </w:pPr>
      <w:r w:rsidRPr="00E03C21">
        <w:rPr>
          <w:noProof/>
          <w:sz w:val="22"/>
          <w:szCs w:val="22"/>
          <w:lang w:val="fr-CA"/>
        </w:rPr>
        <w:pict w14:anchorId="039F7C46">
          <v:shapetype id="_x0000_t202" coordsize="21600,21600" o:spt="202" path="m,l,21600r21600,l21600,xe">
            <v:stroke joinstyle="miter"/>
            <v:path gradientshapeok="t" o:connecttype="rect"/>
          </v:shapetype>
          <v:shape id="Text Box 5" o:spid="_x0000_s2050" type="#_x0000_t202" style="position:absolute;left:0;text-align:left;margin-left:-7.2pt;margin-top:10in;width:266.4pt;height:18pt;z-index:251659264;visibility:visibl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386A121" w14:textId="20BD21D6" w:rsidR="005D7D68" w:rsidRPr="005D7D68" w:rsidRDefault="00AC773E">
                  <w:pPr>
                    <w:rPr>
                      <w:sz w:val="18"/>
                    </w:rPr>
                  </w:pPr>
                  <w:r>
                    <w:fldChar w:fldCharType="begin"/>
                  </w:r>
                  <w:r>
                    <w:instrText xml:space="preserve"> FILENAME  \* MERGEFORMAT </w:instrText>
                  </w:r>
                  <w:r>
                    <w:fldChar w:fldCharType="separate"/>
                  </w:r>
                  <w:r w:rsidR="005D7D68">
                    <w:rPr>
                      <w:noProof/>
                      <w:sz w:val="18"/>
                    </w:rPr>
                    <w:t>CIDRP03767</w:t>
                  </w:r>
                  <w:r w:rsidR="006B6491">
                    <w:rPr>
                      <w:noProof/>
                      <w:sz w:val="18"/>
                    </w:rPr>
                    <w:t>F</w:t>
                  </w:r>
                  <w:r w:rsidR="005D7D68">
                    <w:rPr>
                      <w:noProof/>
                      <w:sz w:val="18"/>
                    </w:rPr>
                    <w:t>0</w:t>
                  </w:r>
                  <w:r w:rsidR="00E03C21">
                    <w:rPr>
                      <w:noProof/>
                      <w:sz w:val="18"/>
                    </w:rPr>
                    <w:t>4</w:t>
                  </w:r>
                  <w:r>
                    <w:rPr>
                      <w:noProof/>
                      <w:sz w:val="18"/>
                    </w:rPr>
                    <w:fldChar w:fldCharType="end"/>
                  </w:r>
                </w:p>
              </w:txbxContent>
            </v:textbox>
            <w10:wrap anchory="page"/>
            <w10:anchorlock/>
          </v:shape>
        </w:pict>
      </w:r>
    </w:p>
    <w:sectPr w:rsidR="002D4050" w:rsidRPr="00E03C21"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B5E2" w14:textId="77777777" w:rsidR="0033761B" w:rsidRDefault="0033761B">
      <w:r>
        <w:separator/>
      </w:r>
    </w:p>
  </w:endnote>
  <w:endnote w:type="continuationSeparator" w:id="0">
    <w:p w14:paraId="2CC225BF" w14:textId="77777777" w:rsidR="0033761B" w:rsidRDefault="0033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3E1B" w14:textId="77777777" w:rsidR="0033761B" w:rsidRDefault="0033761B">
      <w:r>
        <w:separator/>
      </w:r>
    </w:p>
  </w:footnote>
  <w:footnote w:type="continuationSeparator" w:id="0">
    <w:p w14:paraId="02A14549" w14:textId="77777777" w:rsidR="0033761B" w:rsidRDefault="0033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B032" w14:textId="77777777" w:rsidR="0073480E" w:rsidRPr="009C75F5" w:rsidRDefault="00C97045">
    <w:pPr>
      <w:pStyle w:val="Header"/>
      <w:jc w:val="center"/>
      <w:rPr>
        <w:sz w:val="22"/>
        <w:szCs w:val="22"/>
      </w:rPr>
    </w:pPr>
    <w:r w:rsidRPr="009C75F5">
      <w:rPr>
        <w:sz w:val="22"/>
        <w:szCs w:val="22"/>
      </w:rPr>
      <w:fldChar w:fldCharType="begin"/>
    </w:r>
    <w:r w:rsidR="00FA607C" w:rsidRPr="009C75F5">
      <w:rPr>
        <w:sz w:val="22"/>
        <w:szCs w:val="22"/>
      </w:rPr>
      <w:instrText xml:space="preserve"> PAGE   \* MERGEFORMAT </w:instrText>
    </w:r>
    <w:r w:rsidRPr="009C75F5">
      <w:rPr>
        <w:sz w:val="22"/>
        <w:szCs w:val="22"/>
      </w:rPr>
      <w:fldChar w:fldCharType="separate"/>
    </w:r>
    <w:r w:rsidR="009C2ACB">
      <w:rPr>
        <w:noProof/>
        <w:sz w:val="22"/>
        <w:szCs w:val="22"/>
      </w:rPr>
      <w:t>- 5 -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DA9A" w14:textId="77777777" w:rsidR="0073480E" w:rsidRDefault="00AC773E">
    <w:pPr>
      <w:pStyle w:val="Header"/>
    </w:pPr>
    <w:r>
      <w:rPr>
        <w:noProof/>
      </w:rPr>
      <w:pict w14:anchorId="157E5401">
        <v:shapetype id="_x0000_t202" coordsize="21600,21600" o:spt="202" path="m,l,21600r21600,l21600,xe">
          <v:stroke joinstyle="miter"/>
          <v:path gradientshapeok="t" o:connecttype="rect"/>
        </v:shapetype>
        <v:shape id="Text Box 1" o:spid="_x0000_s1026" type="#_x0000_t202" style="position:absolute;margin-left:34.7pt;margin-top:-23.95pt;width:372.35pt;height:55.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32CBD4A6" w14:textId="26E6E710" w:rsidR="00921E9E" w:rsidRPr="00417AD4" w:rsidRDefault="00FA607C" w:rsidP="00921E9E">
                <w:pPr>
                  <w:pStyle w:val="Header"/>
                  <w:tabs>
                    <w:tab w:val="left" w:pos="900"/>
                  </w:tabs>
                  <w:spacing w:line="0" w:lineRule="atLeast"/>
                  <w:jc w:val="center"/>
                  <w:rPr>
                    <w:rFonts w:ascii="Garamond" w:hAnsi="Garamond"/>
                    <w:b/>
                    <w:sz w:val="28"/>
                    <w:szCs w:val="28"/>
                    <w:lang w:val="fr-FR"/>
                  </w:rPr>
                </w:pPr>
                <w:r w:rsidRPr="00417AD4">
                  <w:rPr>
                    <w:rFonts w:ascii="Garamond" w:hAnsi="Garamond"/>
                    <w:b/>
                    <w:sz w:val="28"/>
                    <w:szCs w:val="28"/>
                    <w:lang w:val="fr-FR"/>
                  </w:rPr>
                  <w:t>ORGANI</w:t>
                </w:r>
                <w:r w:rsidR="00E03C21" w:rsidRPr="00417AD4">
                  <w:rPr>
                    <w:rFonts w:ascii="Garamond" w:hAnsi="Garamond"/>
                    <w:b/>
                    <w:sz w:val="28"/>
                    <w:szCs w:val="28"/>
                    <w:lang w:val="fr-FR"/>
                  </w:rPr>
                  <w:t>S</w:t>
                </w:r>
                <w:r w:rsidRPr="00417AD4">
                  <w:rPr>
                    <w:rFonts w:ascii="Garamond" w:hAnsi="Garamond"/>
                    <w:b/>
                    <w:sz w:val="28"/>
                    <w:szCs w:val="28"/>
                    <w:lang w:val="fr-FR"/>
                  </w:rPr>
                  <w:t xml:space="preserve">ATION </w:t>
                </w:r>
                <w:r w:rsidR="00E03C21" w:rsidRPr="00417AD4">
                  <w:rPr>
                    <w:rFonts w:ascii="Garamond" w:hAnsi="Garamond"/>
                    <w:b/>
                    <w:sz w:val="28"/>
                    <w:szCs w:val="28"/>
                    <w:lang w:val="fr-FR"/>
                  </w:rPr>
                  <w:t>DES ÉTATS</w:t>
                </w:r>
                <w:r w:rsidRPr="00417AD4">
                  <w:rPr>
                    <w:rFonts w:ascii="Garamond" w:hAnsi="Garamond"/>
                    <w:b/>
                    <w:sz w:val="28"/>
                    <w:szCs w:val="28"/>
                    <w:lang w:val="fr-FR"/>
                  </w:rPr>
                  <w:t xml:space="preserve"> AM</w:t>
                </w:r>
                <w:r w:rsidR="00E03C21" w:rsidRPr="00417AD4">
                  <w:rPr>
                    <w:rFonts w:ascii="Garamond" w:hAnsi="Garamond"/>
                    <w:b/>
                    <w:sz w:val="28"/>
                    <w:szCs w:val="28"/>
                    <w:lang w:val="fr-FR"/>
                  </w:rPr>
                  <w:t>É</w:t>
                </w:r>
                <w:r w:rsidRPr="00417AD4">
                  <w:rPr>
                    <w:rFonts w:ascii="Garamond" w:hAnsi="Garamond"/>
                    <w:b/>
                    <w:sz w:val="28"/>
                    <w:szCs w:val="28"/>
                    <w:lang w:val="fr-FR"/>
                  </w:rPr>
                  <w:t>RICA</w:t>
                </w:r>
                <w:r w:rsidR="00E03C21" w:rsidRPr="00417AD4">
                  <w:rPr>
                    <w:rFonts w:ascii="Garamond" w:hAnsi="Garamond"/>
                    <w:b/>
                    <w:sz w:val="28"/>
                    <w:szCs w:val="28"/>
                    <w:lang w:val="fr-FR"/>
                  </w:rPr>
                  <w:t>I</w:t>
                </w:r>
                <w:r w:rsidRPr="00417AD4">
                  <w:rPr>
                    <w:rFonts w:ascii="Garamond" w:hAnsi="Garamond"/>
                    <w:b/>
                    <w:sz w:val="28"/>
                    <w:szCs w:val="28"/>
                    <w:lang w:val="fr-FR"/>
                  </w:rPr>
                  <w:t xml:space="preserve">NS </w:t>
                </w:r>
              </w:p>
              <w:p w14:paraId="50A9B1B4" w14:textId="1E8E9D7B" w:rsidR="00921E9E" w:rsidRPr="00417AD4" w:rsidRDefault="00E03C21" w:rsidP="00921E9E">
                <w:pPr>
                  <w:pStyle w:val="Header"/>
                  <w:tabs>
                    <w:tab w:val="left" w:pos="900"/>
                  </w:tabs>
                  <w:spacing w:line="0" w:lineRule="atLeast"/>
                  <w:jc w:val="center"/>
                  <w:rPr>
                    <w:rFonts w:ascii="Garamond" w:hAnsi="Garamond"/>
                    <w:b/>
                    <w:sz w:val="28"/>
                    <w:szCs w:val="28"/>
                    <w:lang w:val="fr-FR"/>
                  </w:rPr>
                </w:pPr>
                <w:r w:rsidRPr="00417AD4">
                  <w:rPr>
                    <w:rFonts w:ascii="Garamond" w:hAnsi="Garamond"/>
                    <w:b/>
                    <w:sz w:val="28"/>
                    <w:szCs w:val="28"/>
                    <w:lang w:val="fr-FR"/>
                  </w:rPr>
                  <w:t xml:space="preserve">Conseil </w:t>
                </w:r>
                <w:r w:rsidR="00417AD4" w:rsidRPr="00417AD4">
                  <w:rPr>
                    <w:rFonts w:ascii="Garamond" w:hAnsi="Garamond"/>
                    <w:b/>
                    <w:sz w:val="28"/>
                    <w:szCs w:val="28"/>
                    <w:lang w:val="fr-FR"/>
                  </w:rPr>
                  <w:t>interaméricain</w:t>
                </w:r>
                <w:r w:rsidR="00FA607C" w:rsidRPr="00417AD4">
                  <w:rPr>
                    <w:rFonts w:ascii="Garamond" w:hAnsi="Garamond"/>
                    <w:b/>
                    <w:sz w:val="28"/>
                    <w:szCs w:val="28"/>
                    <w:lang w:val="fr-FR"/>
                  </w:rPr>
                  <w:t xml:space="preserve"> </w:t>
                </w:r>
                <w:r w:rsidR="00417AD4">
                  <w:rPr>
                    <w:rFonts w:ascii="Garamond" w:hAnsi="Garamond"/>
                    <w:b/>
                    <w:sz w:val="28"/>
                    <w:szCs w:val="28"/>
                    <w:lang w:val="fr-FR"/>
                  </w:rPr>
                  <w:t>pour le développement intégré</w:t>
                </w:r>
                <w:r w:rsidR="00FA607C" w:rsidRPr="00417AD4">
                  <w:rPr>
                    <w:rFonts w:ascii="Garamond" w:hAnsi="Garamond"/>
                    <w:b/>
                    <w:sz w:val="28"/>
                    <w:szCs w:val="28"/>
                    <w:lang w:val="fr-FR"/>
                  </w:rPr>
                  <w:t xml:space="preserve"> </w:t>
                </w:r>
              </w:p>
              <w:p w14:paraId="19133896" w14:textId="77777777" w:rsidR="00921E9E" w:rsidRPr="002D4050" w:rsidRDefault="00FA607C" w:rsidP="00921E9E">
                <w:pPr>
                  <w:pStyle w:val="Header"/>
                  <w:tabs>
                    <w:tab w:val="left" w:pos="900"/>
                  </w:tabs>
                  <w:spacing w:line="0" w:lineRule="atLeast"/>
                  <w:jc w:val="center"/>
                  <w:rPr>
                    <w:b/>
                    <w:sz w:val="28"/>
                    <w:szCs w:val="28"/>
                  </w:rPr>
                </w:pPr>
                <w:r w:rsidRPr="002D4050">
                  <w:rPr>
                    <w:rFonts w:ascii="Garamond" w:hAnsi="Garamond"/>
                    <w:b/>
                    <w:sz w:val="28"/>
                    <w:szCs w:val="28"/>
                  </w:rPr>
                  <w:t>(CIDI)</w:t>
                </w:r>
              </w:p>
            </w:txbxContent>
          </v:textbox>
        </v:shape>
      </w:pict>
    </w:r>
    <w:r>
      <w:rPr>
        <w:noProof/>
      </w:rPr>
      <w:pict w14:anchorId="2A6966D5">
        <v:shape id="Text Box 2" o:spid="_x0000_s1027" type="#_x0000_t202" style="position:absolute;margin-left:400pt;margin-top:-38.05pt;width:101.4pt;height:67.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570DD8AA" w14:textId="77777777" w:rsidR="0073480E" w:rsidRDefault="00FB2A63" w:rsidP="00AB7175">
                <w:pPr>
                  <w:ind w:right="-130"/>
                </w:pPr>
                <w:r>
                  <w:rPr>
                    <w:rFonts w:ascii="News Gothic MT" w:hAnsi="News Gothic MT"/>
                    <w:noProof/>
                    <w:color w:val="000000"/>
                  </w:rPr>
                  <w:drawing>
                    <wp:inline distT="0" distB="0" distL="0" distR="0" wp14:anchorId="6CA91037" wp14:editId="2CE01035">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w:r>
    <w:r w:rsidR="00FB2A63">
      <w:rPr>
        <w:noProof/>
      </w:rPr>
      <w:drawing>
        <wp:anchor distT="0" distB="0" distL="114300" distR="114300" simplePos="0" relativeHeight="251656704" behindDoc="0" locked="0" layoutInCell="1" allowOverlap="1" wp14:anchorId="289AC343" wp14:editId="54419890">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anchor>
      </w:drawing>
    </w:r>
  </w:p>
  <w:p w14:paraId="27043212"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C7205"/>
    <w:multiLevelType w:val="hybridMultilevel"/>
    <w:tmpl w:val="042679C0"/>
    <w:lvl w:ilvl="0" w:tplc="9AB221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4"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625E03"/>
    <w:multiLevelType w:val="hybridMultilevel"/>
    <w:tmpl w:val="BC9AFE14"/>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37D01"/>
    <w:multiLevelType w:val="hybridMultilevel"/>
    <w:tmpl w:val="E792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2D4BC3"/>
    <w:multiLevelType w:val="hybridMultilevel"/>
    <w:tmpl w:val="915E3AD6"/>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04D2D"/>
    <w:multiLevelType w:val="hybridMultilevel"/>
    <w:tmpl w:val="6046B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EC0E48"/>
    <w:multiLevelType w:val="hybridMultilevel"/>
    <w:tmpl w:val="3168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6B23DE"/>
    <w:multiLevelType w:val="hybridMultilevel"/>
    <w:tmpl w:val="5C269BB2"/>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55409"/>
    <w:multiLevelType w:val="hybridMultilevel"/>
    <w:tmpl w:val="4BE646EE"/>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4204285"/>
    <w:multiLevelType w:val="hybridMultilevel"/>
    <w:tmpl w:val="53BCD4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847EBA"/>
    <w:multiLevelType w:val="hybridMultilevel"/>
    <w:tmpl w:val="DAE07D28"/>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741A7"/>
    <w:multiLevelType w:val="hybridMultilevel"/>
    <w:tmpl w:val="EAEAB438"/>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23" w15:restartNumberingAfterBreak="0">
    <w:nsid w:val="6B173079"/>
    <w:multiLevelType w:val="hybridMultilevel"/>
    <w:tmpl w:val="B22A847C"/>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26"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7452386">
    <w:abstractNumId w:val="22"/>
  </w:num>
  <w:num w:numId="2" w16cid:durableId="551890667">
    <w:abstractNumId w:val="11"/>
  </w:num>
  <w:num w:numId="3" w16cid:durableId="550581007">
    <w:abstractNumId w:val="3"/>
  </w:num>
  <w:num w:numId="4" w16cid:durableId="946808535">
    <w:abstractNumId w:val="25"/>
  </w:num>
  <w:num w:numId="5" w16cid:durableId="1345131325">
    <w:abstractNumId w:val="12"/>
  </w:num>
  <w:num w:numId="6" w16cid:durableId="1265068403">
    <w:abstractNumId w:val="11"/>
  </w:num>
  <w:num w:numId="7" w16cid:durableId="1231843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1499815">
    <w:abstractNumId w:val="22"/>
  </w:num>
  <w:num w:numId="9" w16cid:durableId="1928876609">
    <w:abstractNumId w:val="0"/>
  </w:num>
  <w:num w:numId="10" w16cid:durableId="1992319792">
    <w:abstractNumId w:val="17"/>
  </w:num>
  <w:num w:numId="11" w16cid:durableId="463885080">
    <w:abstractNumId w:val="19"/>
  </w:num>
  <w:num w:numId="12" w16cid:durableId="759181493">
    <w:abstractNumId w:val="26"/>
  </w:num>
  <w:num w:numId="13" w16cid:durableId="3171311">
    <w:abstractNumId w:val="5"/>
  </w:num>
  <w:num w:numId="14" w16cid:durableId="513686198">
    <w:abstractNumId w:val="24"/>
  </w:num>
  <w:num w:numId="15" w16cid:durableId="1967656089">
    <w:abstractNumId w:val="14"/>
  </w:num>
  <w:num w:numId="16" w16cid:durableId="1879511847">
    <w:abstractNumId w:val="4"/>
  </w:num>
  <w:num w:numId="17" w16cid:durableId="483737958">
    <w:abstractNumId w:val="27"/>
  </w:num>
  <w:num w:numId="18" w16cid:durableId="444429910">
    <w:abstractNumId w:val="2"/>
  </w:num>
  <w:num w:numId="19" w16cid:durableId="20691817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35837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6038564">
    <w:abstractNumId w:val="8"/>
  </w:num>
  <w:num w:numId="22" w16cid:durableId="778568901">
    <w:abstractNumId w:val="7"/>
  </w:num>
  <w:num w:numId="23" w16cid:durableId="1626303549">
    <w:abstractNumId w:val="18"/>
  </w:num>
  <w:num w:numId="24" w16cid:durableId="697899278">
    <w:abstractNumId w:val="13"/>
  </w:num>
  <w:num w:numId="25" w16cid:durableId="1058751118">
    <w:abstractNumId w:val="1"/>
  </w:num>
  <w:num w:numId="26" w16cid:durableId="950824948">
    <w:abstractNumId w:val="9"/>
  </w:num>
  <w:num w:numId="27" w16cid:durableId="724568227">
    <w:abstractNumId w:val="6"/>
  </w:num>
  <w:num w:numId="28" w16cid:durableId="1405569693">
    <w:abstractNumId w:val="23"/>
  </w:num>
  <w:num w:numId="29" w16cid:durableId="2066105968">
    <w:abstractNumId w:val="21"/>
  </w:num>
  <w:num w:numId="30" w16cid:durableId="472335778">
    <w:abstractNumId w:val="20"/>
  </w:num>
  <w:num w:numId="31" w16cid:durableId="572934898">
    <w:abstractNumId w:val="15"/>
  </w:num>
  <w:num w:numId="32" w16cid:durableId="9653521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docVars>
    <w:docVar w:name="dgnword-docGUID" w:val="{D3737D5B-8688-4836-905C-7B9ECD5EB404}"/>
    <w:docVar w:name="dgnword-eventsink" w:val="100576536"/>
  </w:docVars>
  <w:rsids>
    <w:rsidRoot w:val="007F2774"/>
    <w:rsid w:val="00004AC6"/>
    <w:rsid w:val="00011272"/>
    <w:rsid w:val="000129E8"/>
    <w:rsid w:val="000205EC"/>
    <w:rsid w:val="00032E3E"/>
    <w:rsid w:val="000427B5"/>
    <w:rsid w:val="00044808"/>
    <w:rsid w:val="00050886"/>
    <w:rsid w:val="000546DE"/>
    <w:rsid w:val="00056200"/>
    <w:rsid w:val="000577F0"/>
    <w:rsid w:val="00061861"/>
    <w:rsid w:val="00064A6B"/>
    <w:rsid w:val="00064DCC"/>
    <w:rsid w:val="000661F4"/>
    <w:rsid w:val="00066D87"/>
    <w:rsid w:val="00070537"/>
    <w:rsid w:val="000717C2"/>
    <w:rsid w:val="000736AA"/>
    <w:rsid w:val="00073B3C"/>
    <w:rsid w:val="00073CCC"/>
    <w:rsid w:val="00074325"/>
    <w:rsid w:val="00074E66"/>
    <w:rsid w:val="000767EC"/>
    <w:rsid w:val="00086B35"/>
    <w:rsid w:val="000969F9"/>
    <w:rsid w:val="00097899"/>
    <w:rsid w:val="000A18DF"/>
    <w:rsid w:val="000A1DDC"/>
    <w:rsid w:val="000A67FD"/>
    <w:rsid w:val="000A72E3"/>
    <w:rsid w:val="000B1FCF"/>
    <w:rsid w:val="000B43F5"/>
    <w:rsid w:val="000B6478"/>
    <w:rsid w:val="000C3438"/>
    <w:rsid w:val="000C344F"/>
    <w:rsid w:val="000D4368"/>
    <w:rsid w:val="000D540D"/>
    <w:rsid w:val="000D6070"/>
    <w:rsid w:val="000D7601"/>
    <w:rsid w:val="000E313E"/>
    <w:rsid w:val="000E439E"/>
    <w:rsid w:val="000E5242"/>
    <w:rsid w:val="000E65A6"/>
    <w:rsid w:val="000E6C8E"/>
    <w:rsid w:val="000F3F02"/>
    <w:rsid w:val="00100FE1"/>
    <w:rsid w:val="001069A4"/>
    <w:rsid w:val="00106D57"/>
    <w:rsid w:val="00124219"/>
    <w:rsid w:val="001259E2"/>
    <w:rsid w:val="0012611C"/>
    <w:rsid w:val="0013037E"/>
    <w:rsid w:val="00133A15"/>
    <w:rsid w:val="001405C9"/>
    <w:rsid w:val="00142D34"/>
    <w:rsid w:val="001467B5"/>
    <w:rsid w:val="00146FB1"/>
    <w:rsid w:val="00150AE4"/>
    <w:rsid w:val="00152D2E"/>
    <w:rsid w:val="00153DD8"/>
    <w:rsid w:val="00155EF6"/>
    <w:rsid w:val="0016660D"/>
    <w:rsid w:val="00166C73"/>
    <w:rsid w:val="00171B89"/>
    <w:rsid w:val="00180746"/>
    <w:rsid w:val="00183C2C"/>
    <w:rsid w:val="001842C2"/>
    <w:rsid w:val="00187D59"/>
    <w:rsid w:val="001A09CE"/>
    <w:rsid w:val="001B0828"/>
    <w:rsid w:val="001B0AB0"/>
    <w:rsid w:val="001C52B3"/>
    <w:rsid w:val="001C6DC5"/>
    <w:rsid w:val="001C74F1"/>
    <w:rsid w:val="001D0221"/>
    <w:rsid w:val="001D2334"/>
    <w:rsid w:val="001D738C"/>
    <w:rsid w:val="001E29E7"/>
    <w:rsid w:val="001E3150"/>
    <w:rsid w:val="001E3438"/>
    <w:rsid w:val="001E3C78"/>
    <w:rsid w:val="001F2739"/>
    <w:rsid w:val="002001DE"/>
    <w:rsid w:val="00201D8D"/>
    <w:rsid w:val="0020227F"/>
    <w:rsid w:val="002024FE"/>
    <w:rsid w:val="00203839"/>
    <w:rsid w:val="0020460C"/>
    <w:rsid w:val="002050F0"/>
    <w:rsid w:val="00207B6C"/>
    <w:rsid w:val="002135EF"/>
    <w:rsid w:val="00217F89"/>
    <w:rsid w:val="00222AFE"/>
    <w:rsid w:val="00223E5C"/>
    <w:rsid w:val="00223FF7"/>
    <w:rsid w:val="00224C3F"/>
    <w:rsid w:val="00225597"/>
    <w:rsid w:val="0023460B"/>
    <w:rsid w:val="00234996"/>
    <w:rsid w:val="00235CB9"/>
    <w:rsid w:val="00237037"/>
    <w:rsid w:val="002454A9"/>
    <w:rsid w:val="00264202"/>
    <w:rsid w:val="0026449A"/>
    <w:rsid w:val="002678ED"/>
    <w:rsid w:val="00267E1B"/>
    <w:rsid w:val="002706D3"/>
    <w:rsid w:val="0027412E"/>
    <w:rsid w:val="00277682"/>
    <w:rsid w:val="002777A5"/>
    <w:rsid w:val="002822E7"/>
    <w:rsid w:val="0028278B"/>
    <w:rsid w:val="00282ED9"/>
    <w:rsid w:val="0028696A"/>
    <w:rsid w:val="00286D8C"/>
    <w:rsid w:val="002A03E9"/>
    <w:rsid w:val="002A0CE5"/>
    <w:rsid w:val="002A1985"/>
    <w:rsid w:val="002A1CB2"/>
    <w:rsid w:val="002A3CB5"/>
    <w:rsid w:val="002A5885"/>
    <w:rsid w:val="002A63EC"/>
    <w:rsid w:val="002B2DE0"/>
    <w:rsid w:val="002B76ED"/>
    <w:rsid w:val="002C12FB"/>
    <w:rsid w:val="002C1CE8"/>
    <w:rsid w:val="002C6142"/>
    <w:rsid w:val="002C6B0D"/>
    <w:rsid w:val="002D4050"/>
    <w:rsid w:val="002D412D"/>
    <w:rsid w:val="002E2CC7"/>
    <w:rsid w:val="002E609F"/>
    <w:rsid w:val="002E61F5"/>
    <w:rsid w:val="002F0A27"/>
    <w:rsid w:val="002F0AF9"/>
    <w:rsid w:val="002F25F2"/>
    <w:rsid w:val="002F36D8"/>
    <w:rsid w:val="002F397F"/>
    <w:rsid w:val="002F5352"/>
    <w:rsid w:val="00305E93"/>
    <w:rsid w:val="0031130C"/>
    <w:rsid w:val="003116AC"/>
    <w:rsid w:val="00312748"/>
    <w:rsid w:val="0032713A"/>
    <w:rsid w:val="00327C07"/>
    <w:rsid w:val="00330088"/>
    <w:rsid w:val="003302CF"/>
    <w:rsid w:val="00335ABE"/>
    <w:rsid w:val="003366D5"/>
    <w:rsid w:val="0033761B"/>
    <w:rsid w:val="00337A39"/>
    <w:rsid w:val="00345C27"/>
    <w:rsid w:val="00345DCF"/>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A5B70"/>
    <w:rsid w:val="003B0B19"/>
    <w:rsid w:val="003B40C4"/>
    <w:rsid w:val="003C2402"/>
    <w:rsid w:val="003C332F"/>
    <w:rsid w:val="003C448A"/>
    <w:rsid w:val="003D0721"/>
    <w:rsid w:val="003D13AD"/>
    <w:rsid w:val="003D4305"/>
    <w:rsid w:val="003E687F"/>
    <w:rsid w:val="003F023D"/>
    <w:rsid w:val="003F09DF"/>
    <w:rsid w:val="003F4FA0"/>
    <w:rsid w:val="003F6FF7"/>
    <w:rsid w:val="00413FE5"/>
    <w:rsid w:val="00414A9D"/>
    <w:rsid w:val="00415C84"/>
    <w:rsid w:val="00417AD4"/>
    <w:rsid w:val="00420AA2"/>
    <w:rsid w:val="00421AA1"/>
    <w:rsid w:val="004227D9"/>
    <w:rsid w:val="004234FB"/>
    <w:rsid w:val="00427879"/>
    <w:rsid w:val="004279F5"/>
    <w:rsid w:val="00435ACA"/>
    <w:rsid w:val="00457B19"/>
    <w:rsid w:val="0046163D"/>
    <w:rsid w:val="00461F49"/>
    <w:rsid w:val="0046301C"/>
    <w:rsid w:val="00463A6B"/>
    <w:rsid w:val="0046512F"/>
    <w:rsid w:val="00467A8F"/>
    <w:rsid w:val="00476255"/>
    <w:rsid w:val="00476E68"/>
    <w:rsid w:val="00490731"/>
    <w:rsid w:val="00493B12"/>
    <w:rsid w:val="00496190"/>
    <w:rsid w:val="00496643"/>
    <w:rsid w:val="00496BBC"/>
    <w:rsid w:val="00497443"/>
    <w:rsid w:val="004A1D26"/>
    <w:rsid w:val="004A6065"/>
    <w:rsid w:val="004A7C48"/>
    <w:rsid w:val="004B2B39"/>
    <w:rsid w:val="004B387B"/>
    <w:rsid w:val="004B5C41"/>
    <w:rsid w:val="004D2279"/>
    <w:rsid w:val="004D44C9"/>
    <w:rsid w:val="004D6937"/>
    <w:rsid w:val="004D6E2B"/>
    <w:rsid w:val="004F0EF3"/>
    <w:rsid w:val="004F2F8B"/>
    <w:rsid w:val="004F4571"/>
    <w:rsid w:val="004F6805"/>
    <w:rsid w:val="0050011F"/>
    <w:rsid w:val="00502854"/>
    <w:rsid w:val="0050667F"/>
    <w:rsid w:val="005112C3"/>
    <w:rsid w:val="00512AA5"/>
    <w:rsid w:val="00513B4E"/>
    <w:rsid w:val="00514812"/>
    <w:rsid w:val="00514EDB"/>
    <w:rsid w:val="005336D0"/>
    <w:rsid w:val="0053678B"/>
    <w:rsid w:val="00540938"/>
    <w:rsid w:val="005462E3"/>
    <w:rsid w:val="00551063"/>
    <w:rsid w:val="00551805"/>
    <w:rsid w:val="0055186F"/>
    <w:rsid w:val="00560C7A"/>
    <w:rsid w:val="00564C90"/>
    <w:rsid w:val="00564FA3"/>
    <w:rsid w:val="00567152"/>
    <w:rsid w:val="00567200"/>
    <w:rsid w:val="005679D8"/>
    <w:rsid w:val="00572067"/>
    <w:rsid w:val="00575511"/>
    <w:rsid w:val="00575576"/>
    <w:rsid w:val="00577517"/>
    <w:rsid w:val="00577B48"/>
    <w:rsid w:val="0058420A"/>
    <w:rsid w:val="0058459D"/>
    <w:rsid w:val="00591B36"/>
    <w:rsid w:val="00594069"/>
    <w:rsid w:val="0059543B"/>
    <w:rsid w:val="005A5372"/>
    <w:rsid w:val="005B0464"/>
    <w:rsid w:val="005B5F61"/>
    <w:rsid w:val="005B7D03"/>
    <w:rsid w:val="005C20AF"/>
    <w:rsid w:val="005D1365"/>
    <w:rsid w:val="005D44CE"/>
    <w:rsid w:val="005D4508"/>
    <w:rsid w:val="005D74F2"/>
    <w:rsid w:val="005D7D68"/>
    <w:rsid w:val="005E004D"/>
    <w:rsid w:val="005E085B"/>
    <w:rsid w:val="005F1964"/>
    <w:rsid w:val="005F29C1"/>
    <w:rsid w:val="005F78BB"/>
    <w:rsid w:val="00602980"/>
    <w:rsid w:val="0060547A"/>
    <w:rsid w:val="006123C5"/>
    <w:rsid w:val="00612E0C"/>
    <w:rsid w:val="00622F41"/>
    <w:rsid w:val="00624DA5"/>
    <w:rsid w:val="006251D4"/>
    <w:rsid w:val="0063216D"/>
    <w:rsid w:val="00633E20"/>
    <w:rsid w:val="00634DFE"/>
    <w:rsid w:val="00634E7B"/>
    <w:rsid w:val="006374D0"/>
    <w:rsid w:val="00642E66"/>
    <w:rsid w:val="00644E77"/>
    <w:rsid w:val="0064648A"/>
    <w:rsid w:val="00655B90"/>
    <w:rsid w:val="00663D49"/>
    <w:rsid w:val="00665985"/>
    <w:rsid w:val="00666B25"/>
    <w:rsid w:val="00670E8A"/>
    <w:rsid w:val="006711F3"/>
    <w:rsid w:val="00675F54"/>
    <w:rsid w:val="00676A69"/>
    <w:rsid w:val="00680EA5"/>
    <w:rsid w:val="006839FF"/>
    <w:rsid w:val="00685580"/>
    <w:rsid w:val="00686FEA"/>
    <w:rsid w:val="00691B9D"/>
    <w:rsid w:val="00691C3A"/>
    <w:rsid w:val="006949BA"/>
    <w:rsid w:val="00696314"/>
    <w:rsid w:val="0069766D"/>
    <w:rsid w:val="006A1A6B"/>
    <w:rsid w:val="006A483E"/>
    <w:rsid w:val="006A545B"/>
    <w:rsid w:val="006A6025"/>
    <w:rsid w:val="006A67F9"/>
    <w:rsid w:val="006B12C0"/>
    <w:rsid w:val="006B21AD"/>
    <w:rsid w:val="006B3BA2"/>
    <w:rsid w:val="006B6491"/>
    <w:rsid w:val="006B68E2"/>
    <w:rsid w:val="006B710A"/>
    <w:rsid w:val="006C2539"/>
    <w:rsid w:val="006C6F0E"/>
    <w:rsid w:val="006D11BB"/>
    <w:rsid w:val="006D7239"/>
    <w:rsid w:val="006E4145"/>
    <w:rsid w:val="006F0712"/>
    <w:rsid w:val="006F4488"/>
    <w:rsid w:val="006F619F"/>
    <w:rsid w:val="00721843"/>
    <w:rsid w:val="00722693"/>
    <w:rsid w:val="00723DE2"/>
    <w:rsid w:val="00723EE9"/>
    <w:rsid w:val="0072562F"/>
    <w:rsid w:val="00730E0A"/>
    <w:rsid w:val="00731A03"/>
    <w:rsid w:val="007325A6"/>
    <w:rsid w:val="0073480E"/>
    <w:rsid w:val="0073522A"/>
    <w:rsid w:val="0074309C"/>
    <w:rsid w:val="00743DD7"/>
    <w:rsid w:val="007443E9"/>
    <w:rsid w:val="007458B8"/>
    <w:rsid w:val="00756232"/>
    <w:rsid w:val="007648E4"/>
    <w:rsid w:val="00767DA1"/>
    <w:rsid w:val="007703A2"/>
    <w:rsid w:val="00772F05"/>
    <w:rsid w:val="00776B3C"/>
    <w:rsid w:val="00781CB8"/>
    <w:rsid w:val="00781D3F"/>
    <w:rsid w:val="00783204"/>
    <w:rsid w:val="00783480"/>
    <w:rsid w:val="00787435"/>
    <w:rsid w:val="00791916"/>
    <w:rsid w:val="00794A66"/>
    <w:rsid w:val="00794BF4"/>
    <w:rsid w:val="00796149"/>
    <w:rsid w:val="00797260"/>
    <w:rsid w:val="007A307C"/>
    <w:rsid w:val="007B08BF"/>
    <w:rsid w:val="007B0E4C"/>
    <w:rsid w:val="007B1C71"/>
    <w:rsid w:val="007B2DE5"/>
    <w:rsid w:val="007B51C0"/>
    <w:rsid w:val="007B5591"/>
    <w:rsid w:val="007B6A70"/>
    <w:rsid w:val="007B6AD7"/>
    <w:rsid w:val="007B7D90"/>
    <w:rsid w:val="007C252B"/>
    <w:rsid w:val="007C2A94"/>
    <w:rsid w:val="007C565B"/>
    <w:rsid w:val="007C6CAB"/>
    <w:rsid w:val="007D0B50"/>
    <w:rsid w:val="007D2223"/>
    <w:rsid w:val="007D3DC1"/>
    <w:rsid w:val="007D5C3E"/>
    <w:rsid w:val="007D764E"/>
    <w:rsid w:val="007E3B33"/>
    <w:rsid w:val="007E4931"/>
    <w:rsid w:val="007E4BB3"/>
    <w:rsid w:val="007E57B0"/>
    <w:rsid w:val="007E6D06"/>
    <w:rsid w:val="007F13AB"/>
    <w:rsid w:val="007F22EF"/>
    <w:rsid w:val="007F2774"/>
    <w:rsid w:val="007F764A"/>
    <w:rsid w:val="00801C23"/>
    <w:rsid w:val="008023AC"/>
    <w:rsid w:val="008026FE"/>
    <w:rsid w:val="00804AEC"/>
    <w:rsid w:val="00815A1F"/>
    <w:rsid w:val="00820F66"/>
    <w:rsid w:val="00821E7C"/>
    <w:rsid w:val="00824A76"/>
    <w:rsid w:val="00827358"/>
    <w:rsid w:val="00835438"/>
    <w:rsid w:val="00836CCC"/>
    <w:rsid w:val="0084046A"/>
    <w:rsid w:val="00844D1E"/>
    <w:rsid w:val="00857B08"/>
    <w:rsid w:val="00860083"/>
    <w:rsid w:val="00860DE1"/>
    <w:rsid w:val="00865686"/>
    <w:rsid w:val="00865B5C"/>
    <w:rsid w:val="00870AC5"/>
    <w:rsid w:val="00873BBB"/>
    <w:rsid w:val="008814B8"/>
    <w:rsid w:val="008819DA"/>
    <w:rsid w:val="00887873"/>
    <w:rsid w:val="00887A65"/>
    <w:rsid w:val="00887DA5"/>
    <w:rsid w:val="0089063B"/>
    <w:rsid w:val="00890C34"/>
    <w:rsid w:val="008917B9"/>
    <w:rsid w:val="00896014"/>
    <w:rsid w:val="008A2F14"/>
    <w:rsid w:val="008A34DC"/>
    <w:rsid w:val="008A611F"/>
    <w:rsid w:val="008A6F94"/>
    <w:rsid w:val="008B4134"/>
    <w:rsid w:val="008B4353"/>
    <w:rsid w:val="008B4457"/>
    <w:rsid w:val="008B5AF8"/>
    <w:rsid w:val="008C0F2B"/>
    <w:rsid w:val="008C1BE1"/>
    <w:rsid w:val="008C254E"/>
    <w:rsid w:val="008D2C52"/>
    <w:rsid w:val="008D4CBB"/>
    <w:rsid w:val="008D57AD"/>
    <w:rsid w:val="008E37DB"/>
    <w:rsid w:val="008F747C"/>
    <w:rsid w:val="009003CB"/>
    <w:rsid w:val="0090209F"/>
    <w:rsid w:val="009054CB"/>
    <w:rsid w:val="00906DF9"/>
    <w:rsid w:val="00910645"/>
    <w:rsid w:val="00917040"/>
    <w:rsid w:val="00920867"/>
    <w:rsid w:val="00920F2A"/>
    <w:rsid w:val="00921B83"/>
    <w:rsid w:val="00921E9E"/>
    <w:rsid w:val="00922D98"/>
    <w:rsid w:val="00924613"/>
    <w:rsid w:val="00924BA1"/>
    <w:rsid w:val="009304AE"/>
    <w:rsid w:val="00934888"/>
    <w:rsid w:val="0093527F"/>
    <w:rsid w:val="00942059"/>
    <w:rsid w:val="00942174"/>
    <w:rsid w:val="00942F2F"/>
    <w:rsid w:val="00943F3F"/>
    <w:rsid w:val="00945D81"/>
    <w:rsid w:val="00954D9D"/>
    <w:rsid w:val="009571C8"/>
    <w:rsid w:val="0096142F"/>
    <w:rsid w:val="00962EF0"/>
    <w:rsid w:val="00965A6D"/>
    <w:rsid w:val="0097131C"/>
    <w:rsid w:val="00973211"/>
    <w:rsid w:val="009834FB"/>
    <w:rsid w:val="00986E8C"/>
    <w:rsid w:val="00987797"/>
    <w:rsid w:val="009979A7"/>
    <w:rsid w:val="009A194A"/>
    <w:rsid w:val="009A19EC"/>
    <w:rsid w:val="009B2AE9"/>
    <w:rsid w:val="009B2F59"/>
    <w:rsid w:val="009B307F"/>
    <w:rsid w:val="009C2ACB"/>
    <w:rsid w:val="009C2F5A"/>
    <w:rsid w:val="009C3EA4"/>
    <w:rsid w:val="009C6F26"/>
    <w:rsid w:val="009C75F5"/>
    <w:rsid w:val="009C7AAB"/>
    <w:rsid w:val="009D0913"/>
    <w:rsid w:val="009D3443"/>
    <w:rsid w:val="009E1F42"/>
    <w:rsid w:val="009E628C"/>
    <w:rsid w:val="009F0791"/>
    <w:rsid w:val="009F62F9"/>
    <w:rsid w:val="00A06676"/>
    <w:rsid w:val="00A06AF5"/>
    <w:rsid w:val="00A06FE9"/>
    <w:rsid w:val="00A115F5"/>
    <w:rsid w:val="00A12EA0"/>
    <w:rsid w:val="00A13E2C"/>
    <w:rsid w:val="00A20D1B"/>
    <w:rsid w:val="00A232CD"/>
    <w:rsid w:val="00A256AB"/>
    <w:rsid w:val="00A2574D"/>
    <w:rsid w:val="00A323C5"/>
    <w:rsid w:val="00A34777"/>
    <w:rsid w:val="00A36552"/>
    <w:rsid w:val="00A45877"/>
    <w:rsid w:val="00A47F5A"/>
    <w:rsid w:val="00A5263A"/>
    <w:rsid w:val="00A52CAE"/>
    <w:rsid w:val="00A61635"/>
    <w:rsid w:val="00A65508"/>
    <w:rsid w:val="00A65BDE"/>
    <w:rsid w:val="00A65D71"/>
    <w:rsid w:val="00A67CD8"/>
    <w:rsid w:val="00A74B2B"/>
    <w:rsid w:val="00A82B49"/>
    <w:rsid w:val="00A840AC"/>
    <w:rsid w:val="00A851C2"/>
    <w:rsid w:val="00A86D6C"/>
    <w:rsid w:val="00A870BA"/>
    <w:rsid w:val="00A9203C"/>
    <w:rsid w:val="00A946F7"/>
    <w:rsid w:val="00A96D30"/>
    <w:rsid w:val="00A9780D"/>
    <w:rsid w:val="00A97B79"/>
    <w:rsid w:val="00AA2AE0"/>
    <w:rsid w:val="00AA5EF8"/>
    <w:rsid w:val="00AA7CBB"/>
    <w:rsid w:val="00AB240C"/>
    <w:rsid w:val="00AB37B9"/>
    <w:rsid w:val="00AB7175"/>
    <w:rsid w:val="00AC317E"/>
    <w:rsid w:val="00AC3A0C"/>
    <w:rsid w:val="00AC4232"/>
    <w:rsid w:val="00AC773E"/>
    <w:rsid w:val="00AC7FA2"/>
    <w:rsid w:val="00AD4B7D"/>
    <w:rsid w:val="00AD62E4"/>
    <w:rsid w:val="00AD6394"/>
    <w:rsid w:val="00AE13AF"/>
    <w:rsid w:val="00AF06BC"/>
    <w:rsid w:val="00AF0C03"/>
    <w:rsid w:val="00B058E9"/>
    <w:rsid w:val="00B10489"/>
    <w:rsid w:val="00B12B15"/>
    <w:rsid w:val="00B14604"/>
    <w:rsid w:val="00B16016"/>
    <w:rsid w:val="00B17520"/>
    <w:rsid w:val="00B2189B"/>
    <w:rsid w:val="00B234AF"/>
    <w:rsid w:val="00B27F1B"/>
    <w:rsid w:val="00B43107"/>
    <w:rsid w:val="00B439EC"/>
    <w:rsid w:val="00B47109"/>
    <w:rsid w:val="00B47655"/>
    <w:rsid w:val="00B50945"/>
    <w:rsid w:val="00B5122D"/>
    <w:rsid w:val="00B52813"/>
    <w:rsid w:val="00B53242"/>
    <w:rsid w:val="00B5382C"/>
    <w:rsid w:val="00B5781C"/>
    <w:rsid w:val="00B624CF"/>
    <w:rsid w:val="00B63B4B"/>
    <w:rsid w:val="00B6694A"/>
    <w:rsid w:val="00B70E51"/>
    <w:rsid w:val="00B824FD"/>
    <w:rsid w:val="00B847B7"/>
    <w:rsid w:val="00B86E88"/>
    <w:rsid w:val="00B90CD0"/>
    <w:rsid w:val="00B930C9"/>
    <w:rsid w:val="00B94C7D"/>
    <w:rsid w:val="00B97A29"/>
    <w:rsid w:val="00B97D8D"/>
    <w:rsid w:val="00BA3604"/>
    <w:rsid w:val="00BB0341"/>
    <w:rsid w:val="00BB0755"/>
    <w:rsid w:val="00BB3F05"/>
    <w:rsid w:val="00BB4A78"/>
    <w:rsid w:val="00BB7135"/>
    <w:rsid w:val="00BC0115"/>
    <w:rsid w:val="00BC5445"/>
    <w:rsid w:val="00BC7B0E"/>
    <w:rsid w:val="00BD2433"/>
    <w:rsid w:val="00BD3B65"/>
    <w:rsid w:val="00BD4B3F"/>
    <w:rsid w:val="00BD6CF4"/>
    <w:rsid w:val="00BE0DFE"/>
    <w:rsid w:val="00BE3015"/>
    <w:rsid w:val="00BF1293"/>
    <w:rsid w:val="00C02DB7"/>
    <w:rsid w:val="00C02DEE"/>
    <w:rsid w:val="00C05556"/>
    <w:rsid w:val="00C11323"/>
    <w:rsid w:val="00C12989"/>
    <w:rsid w:val="00C14F5D"/>
    <w:rsid w:val="00C223D4"/>
    <w:rsid w:val="00C36F27"/>
    <w:rsid w:val="00C41591"/>
    <w:rsid w:val="00C43947"/>
    <w:rsid w:val="00C45F98"/>
    <w:rsid w:val="00C46BCF"/>
    <w:rsid w:val="00C51DDA"/>
    <w:rsid w:val="00C52216"/>
    <w:rsid w:val="00C607E3"/>
    <w:rsid w:val="00C61825"/>
    <w:rsid w:val="00C6456D"/>
    <w:rsid w:val="00C65A4B"/>
    <w:rsid w:val="00C67169"/>
    <w:rsid w:val="00C71F1F"/>
    <w:rsid w:val="00C81A83"/>
    <w:rsid w:val="00C83711"/>
    <w:rsid w:val="00C8384A"/>
    <w:rsid w:val="00C878A5"/>
    <w:rsid w:val="00C90BA2"/>
    <w:rsid w:val="00C92818"/>
    <w:rsid w:val="00C962B2"/>
    <w:rsid w:val="00C97045"/>
    <w:rsid w:val="00CA12D4"/>
    <w:rsid w:val="00CA2349"/>
    <w:rsid w:val="00CA611F"/>
    <w:rsid w:val="00CB0A35"/>
    <w:rsid w:val="00CB2F2F"/>
    <w:rsid w:val="00CC195B"/>
    <w:rsid w:val="00CC49AE"/>
    <w:rsid w:val="00CC550E"/>
    <w:rsid w:val="00CC7FAC"/>
    <w:rsid w:val="00CD3A0E"/>
    <w:rsid w:val="00CD3B89"/>
    <w:rsid w:val="00CD472D"/>
    <w:rsid w:val="00CD611F"/>
    <w:rsid w:val="00CE52EB"/>
    <w:rsid w:val="00CF0B71"/>
    <w:rsid w:val="00CF4554"/>
    <w:rsid w:val="00CF4D95"/>
    <w:rsid w:val="00CF629A"/>
    <w:rsid w:val="00CF6933"/>
    <w:rsid w:val="00CF6FDB"/>
    <w:rsid w:val="00D02797"/>
    <w:rsid w:val="00D02EFD"/>
    <w:rsid w:val="00D07BD9"/>
    <w:rsid w:val="00D108CD"/>
    <w:rsid w:val="00D12A50"/>
    <w:rsid w:val="00D13BBD"/>
    <w:rsid w:val="00D24197"/>
    <w:rsid w:val="00D307BF"/>
    <w:rsid w:val="00D307EB"/>
    <w:rsid w:val="00D31989"/>
    <w:rsid w:val="00D324C0"/>
    <w:rsid w:val="00D32A6A"/>
    <w:rsid w:val="00D42ACE"/>
    <w:rsid w:val="00D4500E"/>
    <w:rsid w:val="00D57730"/>
    <w:rsid w:val="00D61F56"/>
    <w:rsid w:val="00D643E9"/>
    <w:rsid w:val="00D64EA6"/>
    <w:rsid w:val="00D65715"/>
    <w:rsid w:val="00D6769E"/>
    <w:rsid w:val="00D676CC"/>
    <w:rsid w:val="00D80335"/>
    <w:rsid w:val="00D8755F"/>
    <w:rsid w:val="00DA67FE"/>
    <w:rsid w:val="00DB29A6"/>
    <w:rsid w:val="00DB360D"/>
    <w:rsid w:val="00DB36EA"/>
    <w:rsid w:val="00DB3B6E"/>
    <w:rsid w:val="00DB5D3D"/>
    <w:rsid w:val="00DB715D"/>
    <w:rsid w:val="00DC24A9"/>
    <w:rsid w:val="00DC4BF4"/>
    <w:rsid w:val="00DC520A"/>
    <w:rsid w:val="00DC5436"/>
    <w:rsid w:val="00DD0139"/>
    <w:rsid w:val="00DD0DD6"/>
    <w:rsid w:val="00DD2121"/>
    <w:rsid w:val="00DD2E39"/>
    <w:rsid w:val="00DE0DD6"/>
    <w:rsid w:val="00DE2DA4"/>
    <w:rsid w:val="00DF12CD"/>
    <w:rsid w:val="00E0149A"/>
    <w:rsid w:val="00E0217F"/>
    <w:rsid w:val="00E0378E"/>
    <w:rsid w:val="00E03C21"/>
    <w:rsid w:val="00E0439B"/>
    <w:rsid w:val="00E0528B"/>
    <w:rsid w:val="00E06590"/>
    <w:rsid w:val="00E072BE"/>
    <w:rsid w:val="00E16177"/>
    <w:rsid w:val="00E209E8"/>
    <w:rsid w:val="00E23168"/>
    <w:rsid w:val="00E3284A"/>
    <w:rsid w:val="00E3574F"/>
    <w:rsid w:val="00E40079"/>
    <w:rsid w:val="00E423A7"/>
    <w:rsid w:val="00E50C47"/>
    <w:rsid w:val="00E51CC2"/>
    <w:rsid w:val="00E55047"/>
    <w:rsid w:val="00E55B8A"/>
    <w:rsid w:val="00E57285"/>
    <w:rsid w:val="00E61585"/>
    <w:rsid w:val="00E74AE3"/>
    <w:rsid w:val="00E770B0"/>
    <w:rsid w:val="00E77C6D"/>
    <w:rsid w:val="00E83BE7"/>
    <w:rsid w:val="00E90F30"/>
    <w:rsid w:val="00E946CB"/>
    <w:rsid w:val="00EA0458"/>
    <w:rsid w:val="00EA188D"/>
    <w:rsid w:val="00EA6A13"/>
    <w:rsid w:val="00EA7DE7"/>
    <w:rsid w:val="00EB09BC"/>
    <w:rsid w:val="00EB69E3"/>
    <w:rsid w:val="00EB7237"/>
    <w:rsid w:val="00EB7C4A"/>
    <w:rsid w:val="00EC00D8"/>
    <w:rsid w:val="00EC5E91"/>
    <w:rsid w:val="00EC7711"/>
    <w:rsid w:val="00ED10E0"/>
    <w:rsid w:val="00ED2AF4"/>
    <w:rsid w:val="00ED2DE0"/>
    <w:rsid w:val="00ED7C6A"/>
    <w:rsid w:val="00EE29AE"/>
    <w:rsid w:val="00EE51B7"/>
    <w:rsid w:val="00EE7A49"/>
    <w:rsid w:val="00EE7D67"/>
    <w:rsid w:val="00EF14E5"/>
    <w:rsid w:val="00EF5709"/>
    <w:rsid w:val="00F013AE"/>
    <w:rsid w:val="00F0248D"/>
    <w:rsid w:val="00F0479A"/>
    <w:rsid w:val="00F050F6"/>
    <w:rsid w:val="00F103CE"/>
    <w:rsid w:val="00F1187D"/>
    <w:rsid w:val="00F2051F"/>
    <w:rsid w:val="00F213D6"/>
    <w:rsid w:val="00F256C7"/>
    <w:rsid w:val="00F31B9A"/>
    <w:rsid w:val="00F32DD3"/>
    <w:rsid w:val="00F349DE"/>
    <w:rsid w:val="00F3757E"/>
    <w:rsid w:val="00F421C6"/>
    <w:rsid w:val="00F42A62"/>
    <w:rsid w:val="00F4735E"/>
    <w:rsid w:val="00F5197F"/>
    <w:rsid w:val="00F524DB"/>
    <w:rsid w:val="00F52523"/>
    <w:rsid w:val="00F530B2"/>
    <w:rsid w:val="00F53223"/>
    <w:rsid w:val="00F54162"/>
    <w:rsid w:val="00F64176"/>
    <w:rsid w:val="00F663E8"/>
    <w:rsid w:val="00F71307"/>
    <w:rsid w:val="00F76DC9"/>
    <w:rsid w:val="00F773E4"/>
    <w:rsid w:val="00F8041D"/>
    <w:rsid w:val="00F8105E"/>
    <w:rsid w:val="00F87541"/>
    <w:rsid w:val="00F91F7C"/>
    <w:rsid w:val="00F9546F"/>
    <w:rsid w:val="00FA0955"/>
    <w:rsid w:val="00FA607C"/>
    <w:rsid w:val="00FA61C9"/>
    <w:rsid w:val="00FA6A04"/>
    <w:rsid w:val="00FB0853"/>
    <w:rsid w:val="00FB2A63"/>
    <w:rsid w:val="00FB6445"/>
    <w:rsid w:val="00FC14EE"/>
    <w:rsid w:val="00FC16EC"/>
    <w:rsid w:val="00FC73C7"/>
    <w:rsid w:val="00FD02D9"/>
    <w:rsid w:val="00FD0C6F"/>
    <w:rsid w:val="00FD4F65"/>
    <w:rsid w:val="00FE0587"/>
    <w:rsid w:val="00FE0EB3"/>
    <w:rsid w:val="00FE356F"/>
    <w:rsid w:val="00FE404F"/>
    <w:rsid w:val="00FE7AA0"/>
    <w:rsid w:val="00FE7CC0"/>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DBC4D91"/>
  <w15:docId w15:val="{53C6A2BF-F960-4630-9ADF-E0A4261D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3CB"/>
  </w:style>
  <w:style w:type="paragraph" w:styleId="Heading1">
    <w:name w:val="heading 1"/>
    <w:basedOn w:val="Normal"/>
    <w:next w:val="Normal"/>
    <w:qFormat/>
    <w:rsid w:val="009003CB"/>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9003CB"/>
    <w:pPr>
      <w:tabs>
        <w:tab w:val="center" w:pos="4320"/>
        <w:tab w:val="right" w:pos="8640"/>
      </w:tabs>
    </w:pPr>
  </w:style>
  <w:style w:type="paragraph" w:styleId="Footer">
    <w:name w:val="footer"/>
    <w:basedOn w:val="Normal"/>
    <w:link w:val="FooterChar"/>
    <w:uiPriority w:val="99"/>
    <w:rsid w:val="009003CB"/>
    <w:pPr>
      <w:tabs>
        <w:tab w:val="center" w:pos="4320"/>
        <w:tab w:val="right" w:pos="8640"/>
      </w:tabs>
    </w:pPr>
  </w:style>
  <w:style w:type="character" w:styleId="PageNumber">
    <w:name w:val="page number"/>
    <w:basedOn w:val="DefaultParagraphFont"/>
    <w:rsid w:val="009003CB"/>
  </w:style>
  <w:style w:type="paragraph" w:styleId="BodyText">
    <w:name w:val="Body Text"/>
    <w:basedOn w:val="Normal"/>
    <w:rsid w:val="009003CB"/>
    <w:pPr>
      <w:jc w:val="center"/>
    </w:pPr>
    <w:rPr>
      <w:rFonts w:ascii="Arial" w:hAnsi="Arial"/>
      <w:b/>
      <w:bCs/>
      <w:sz w:val="22"/>
    </w:rPr>
  </w:style>
  <w:style w:type="paragraph" w:styleId="BodyText2">
    <w:name w:val="Body Text 2"/>
    <w:basedOn w:val="Normal"/>
    <w:rsid w:val="009003CB"/>
    <w:pPr>
      <w:spacing w:before="180"/>
    </w:pPr>
    <w:rPr>
      <w:rFonts w:ascii="Arial" w:hAnsi="Arial"/>
      <w:sz w:val="22"/>
    </w:rPr>
  </w:style>
  <w:style w:type="paragraph" w:styleId="BodyTextIndent">
    <w:name w:val="Body Text Indent"/>
    <w:basedOn w:val="Normal"/>
    <w:rsid w:val="009003CB"/>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66DF-EF5B-4FF7-8225-95C439B6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60</TotalTime>
  <Pages>5</Pages>
  <Words>1984</Words>
  <Characters>11349</Characters>
  <Application>Microsoft Office Word</Application>
  <DocSecurity>0</DocSecurity>
  <Lines>202</Lines>
  <Paragraphs>55</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Company>Organization of American States</Company>
  <LinksUpToDate>false</LinksUpToDate>
  <CharactersWithSpaces>13278</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creator>Juan Cruz Monticelli</dc:creator>
  <cp:lastModifiedBy>Palmer, Margaret</cp:lastModifiedBy>
  <cp:revision>5</cp:revision>
  <cp:lastPrinted>2023-02-16T20:28:00Z</cp:lastPrinted>
  <dcterms:created xsi:type="dcterms:W3CDTF">2023-02-18T14:30:00Z</dcterms:created>
  <dcterms:modified xsi:type="dcterms:W3CDTF">2023-02-21T19:44:00Z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