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642E4A" w:rsidRDefault="00AB7175" w:rsidP="004C64CD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bookmarkStart w:id="0" w:name="_top"/>
      <w:bookmarkEnd w:id="0"/>
      <w:r w:rsidRPr="00642E4A">
        <w:rPr>
          <w:b/>
          <w:noProof/>
          <w:sz w:val="22"/>
          <w:szCs w:val="22"/>
          <w:lang w:val="pt-BR"/>
        </w:rPr>
        <w:tab/>
      </w:r>
      <w:r w:rsidR="00722693" w:rsidRPr="00642E4A">
        <w:rPr>
          <w:noProof/>
          <w:sz w:val="22"/>
          <w:szCs w:val="22"/>
          <w:lang w:val="pt-BR"/>
        </w:rPr>
        <w:t>OEA/Ser.W</w:t>
      </w:r>
    </w:p>
    <w:p w14:paraId="54C24899" w14:textId="5E500375" w:rsidR="00722693" w:rsidRPr="00642E4A" w:rsidRDefault="00722693" w:rsidP="004C64CD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642E4A">
        <w:rPr>
          <w:b/>
          <w:noProof/>
          <w:sz w:val="22"/>
          <w:szCs w:val="22"/>
          <w:lang w:val="pt-BR"/>
        </w:rPr>
        <w:tab/>
      </w:r>
      <w:r w:rsidRPr="00642E4A">
        <w:rPr>
          <w:noProof/>
          <w:sz w:val="22"/>
          <w:szCs w:val="22"/>
          <w:lang w:val="pt-BR"/>
        </w:rPr>
        <w:t>CIDI/INF.</w:t>
      </w:r>
      <w:r w:rsidR="00930A84" w:rsidRPr="00642E4A">
        <w:rPr>
          <w:noProof/>
          <w:sz w:val="22"/>
          <w:szCs w:val="22"/>
          <w:lang w:val="pt-BR"/>
        </w:rPr>
        <w:t xml:space="preserve"> </w:t>
      </w:r>
      <w:r w:rsidR="003248CA" w:rsidRPr="00642E4A">
        <w:rPr>
          <w:noProof/>
          <w:sz w:val="22"/>
          <w:szCs w:val="22"/>
          <w:lang w:val="pt-BR"/>
        </w:rPr>
        <w:t>542</w:t>
      </w:r>
      <w:r w:rsidRPr="00642E4A">
        <w:rPr>
          <w:noProof/>
          <w:sz w:val="22"/>
          <w:szCs w:val="22"/>
          <w:lang w:val="pt-BR"/>
        </w:rPr>
        <w:t>/</w:t>
      </w:r>
      <w:r w:rsidR="0016283A" w:rsidRPr="00642E4A">
        <w:rPr>
          <w:noProof/>
          <w:sz w:val="22"/>
          <w:szCs w:val="22"/>
          <w:lang w:val="pt-BR"/>
        </w:rPr>
        <w:t>2</w:t>
      </w:r>
      <w:r w:rsidR="00925C19" w:rsidRPr="00642E4A">
        <w:rPr>
          <w:noProof/>
          <w:sz w:val="22"/>
          <w:szCs w:val="22"/>
          <w:lang w:val="pt-BR"/>
        </w:rPr>
        <w:t>3</w:t>
      </w:r>
    </w:p>
    <w:p w14:paraId="3C67EFF2" w14:textId="3B62A4A8" w:rsidR="00722693" w:rsidRPr="00642E4A" w:rsidRDefault="00A52FAA" w:rsidP="004C64CD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642E4A">
        <w:rPr>
          <w:noProof/>
          <w:sz w:val="22"/>
          <w:szCs w:val="22"/>
          <w:lang w:val="pt-BR"/>
        </w:rPr>
        <w:tab/>
      </w:r>
      <w:r w:rsidR="00842E89" w:rsidRPr="00642E4A">
        <w:rPr>
          <w:noProof/>
          <w:sz w:val="22"/>
          <w:szCs w:val="22"/>
          <w:lang w:val="pt-BR"/>
        </w:rPr>
        <w:t xml:space="preserve">30 </w:t>
      </w:r>
      <w:r w:rsidR="00C63C8F">
        <w:rPr>
          <w:noProof/>
          <w:sz w:val="22"/>
          <w:szCs w:val="22"/>
          <w:lang w:val="pt-BR"/>
        </w:rPr>
        <w:t xml:space="preserve">março </w:t>
      </w:r>
      <w:r w:rsidR="0016283A" w:rsidRPr="00642E4A">
        <w:rPr>
          <w:noProof/>
          <w:sz w:val="22"/>
          <w:szCs w:val="22"/>
          <w:lang w:val="pt-BR"/>
        </w:rPr>
        <w:t>202</w:t>
      </w:r>
      <w:r w:rsidR="00925C19" w:rsidRPr="00642E4A">
        <w:rPr>
          <w:noProof/>
          <w:sz w:val="22"/>
          <w:szCs w:val="22"/>
          <w:lang w:val="pt-BR"/>
        </w:rPr>
        <w:t>3</w:t>
      </w:r>
    </w:p>
    <w:p w14:paraId="7A6CF2FF" w14:textId="2B0E2FFA" w:rsidR="00722693" w:rsidRPr="00642E4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  <w:lang w:val="pt-BR"/>
        </w:rPr>
      </w:pPr>
      <w:r w:rsidRPr="00642E4A">
        <w:rPr>
          <w:noProof/>
          <w:sz w:val="22"/>
          <w:szCs w:val="22"/>
          <w:lang w:val="pt-BR"/>
        </w:rPr>
        <w:tab/>
      </w:r>
      <w:r w:rsidR="00842E89" w:rsidRPr="00642E4A">
        <w:rPr>
          <w:noProof/>
          <w:sz w:val="22"/>
          <w:szCs w:val="22"/>
          <w:lang w:val="pt-BR"/>
        </w:rPr>
        <w:t xml:space="preserve">Original: </w:t>
      </w:r>
      <w:r w:rsidR="00C63C8F">
        <w:rPr>
          <w:noProof/>
          <w:sz w:val="22"/>
          <w:szCs w:val="22"/>
          <w:lang w:val="pt-BR"/>
        </w:rPr>
        <w:t>inglês</w:t>
      </w:r>
    </w:p>
    <w:p w14:paraId="40B329E8" w14:textId="77777777" w:rsidR="00722693" w:rsidRPr="00642E4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  <w:lang w:val="pt-BR"/>
        </w:rPr>
      </w:pPr>
    </w:p>
    <w:p w14:paraId="345B7A21" w14:textId="77777777" w:rsidR="00AB7175" w:rsidRPr="00642E4A" w:rsidRDefault="00AB7175" w:rsidP="004C64CD">
      <w:pPr>
        <w:jc w:val="both"/>
        <w:outlineLvl w:val="0"/>
        <w:rPr>
          <w:noProof/>
          <w:sz w:val="22"/>
          <w:szCs w:val="22"/>
          <w:lang w:val="pt-BR"/>
        </w:rPr>
      </w:pPr>
    </w:p>
    <w:p w14:paraId="34691D74" w14:textId="77777777" w:rsidR="00CF3068" w:rsidRPr="00642E4A" w:rsidRDefault="00CF3068" w:rsidP="004C64CD">
      <w:pPr>
        <w:jc w:val="both"/>
        <w:outlineLvl w:val="0"/>
        <w:rPr>
          <w:noProof/>
          <w:sz w:val="22"/>
          <w:szCs w:val="22"/>
          <w:lang w:val="pt-BR"/>
        </w:rPr>
      </w:pPr>
    </w:p>
    <w:p w14:paraId="3F9BC056" w14:textId="77777777" w:rsidR="00CF3068" w:rsidRPr="00642E4A" w:rsidRDefault="00CF3068" w:rsidP="004C64CD">
      <w:pPr>
        <w:jc w:val="both"/>
        <w:outlineLvl w:val="0"/>
        <w:rPr>
          <w:noProof/>
          <w:sz w:val="22"/>
          <w:szCs w:val="22"/>
          <w:lang w:val="pt-BR"/>
        </w:rPr>
      </w:pPr>
    </w:p>
    <w:p w14:paraId="552E6ADF" w14:textId="77777777" w:rsidR="00CF3068" w:rsidRPr="00642E4A" w:rsidRDefault="00CF3068" w:rsidP="004C64CD">
      <w:pPr>
        <w:jc w:val="both"/>
        <w:outlineLvl w:val="0"/>
        <w:rPr>
          <w:noProof/>
          <w:sz w:val="22"/>
          <w:szCs w:val="22"/>
          <w:lang w:val="pt-BR"/>
        </w:rPr>
      </w:pPr>
    </w:p>
    <w:p w14:paraId="70C6DFB9" w14:textId="77777777" w:rsidR="00CF3068" w:rsidRPr="00642E4A" w:rsidRDefault="00CF3068" w:rsidP="004C64CD">
      <w:pPr>
        <w:jc w:val="both"/>
        <w:outlineLvl w:val="0"/>
        <w:rPr>
          <w:noProof/>
          <w:sz w:val="22"/>
          <w:szCs w:val="22"/>
          <w:lang w:val="pt-BR"/>
        </w:rPr>
      </w:pPr>
    </w:p>
    <w:p w14:paraId="1881BFEF" w14:textId="77777777" w:rsidR="00CF3068" w:rsidRPr="00642E4A" w:rsidRDefault="00CF3068" w:rsidP="004C64CD">
      <w:pPr>
        <w:jc w:val="center"/>
        <w:outlineLvl w:val="0"/>
        <w:rPr>
          <w:noProof/>
          <w:color w:val="000000"/>
          <w:sz w:val="22"/>
          <w:szCs w:val="22"/>
          <w:lang w:val="pt-BR"/>
        </w:rPr>
      </w:pPr>
    </w:p>
    <w:p w14:paraId="44ACF3E3" w14:textId="19F6BF6A" w:rsidR="00CF3068" w:rsidRPr="00642E4A" w:rsidRDefault="00CF3068" w:rsidP="004C64CD">
      <w:pPr>
        <w:jc w:val="center"/>
        <w:outlineLvl w:val="0"/>
        <w:rPr>
          <w:noProof/>
          <w:color w:val="000000"/>
          <w:sz w:val="22"/>
          <w:szCs w:val="22"/>
          <w:lang w:val="pt-BR"/>
        </w:rPr>
      </w:pPr>
    </w:p>
    <w:p w14:paraId="2A19FAC9" w14:textId="41B6AA1D" w:rsidR="00D201EC" w:rsidRPr="00642E4A" w:rsidRDefault="00D201EC" w:rsidP="004C64CD">
      <w:pPr>
        <w:jc w:val="center"/>
        <w:outlineLvl w:val="0"/>
        <w:rPr>
          <w:noProof/>
          <w:color w:val="000000"/>
          <w:sz w:val="22"/>
          <w:szCs w:val="22"/>
          <w:lang w:val="pt-BR"/>
        </w:rPr>
      </w:pPr>
    </w:p>
    <w:p w14:paraId="17A9041D" w14:textId="4A0F7D63" w:rsidR="00D201EC" w:rsidRPr="00642E4A" w:rsidRDefault="00D201EC" w:rsidP="004C64CD">
      <w:pPr>
        <w:jc w:val="center"/>
        <w:outlineLvl w:val="0"/>
        <w:rPr>
          <w:noProof/>
          <w:color w:val="000000"/>
          <w:sz w:val="22"/>
          <w:szCs w:val="22"/>
          <w:lang w:val="pt-BR"/>
        </w:rPr>
      </w:pPr>
    </w:p>
    <w:p w14:paraId="4F4A294A" w14:textId="6B1ECC0E" w:rsidR="00D201EC" w:rsidRPr="00642E4A" w:rsidRDefault="00D201EC" w:rsidP="004C64CD">
      <w:pPr>
        <w:jc w:val="center"/>
        <w:outlineLvl w:val="0"/>
        <w:rPr>
          <w:noProof/>
          <w:color w:val="000000"/>
          <w:sz w:val="22"/>
          <w:szCs w:val="22"/>
          <w:lang w:val="pt-BR"/>
        </w:rPr>
      </w:pPr>
    </w:p>
    <w:p w14:paraId="2EC965EE" w14:textId="7F581D05" w:rsidR="00D201EC" w:rsidRPr="00642E4A" w:rsidRDefault="00D201EC" w:rsidP="004C64CD">
      <w:pPr>
        <w:jc w:val="center"/>
        <w:outlineLvl w:val="0"/>
        <w:rPr>
          <w:noProof/>
          <w:color w:val="000000"/>
          <w:sz w:val="22"/>
          <w:szCs w:val="22"/>
          <w:lang w:val="pt-BR"/>
        </w:rPr>
      </w:pPr>
    </w:p>
    <w:p w14:paraId="03CCB0D3" w14:textId="0079F6F6" w:rsidR="00642BA0" w:rsidRDefault="00642BA0" w:rsidP="00642BA0">
      <w:pPr>
        <w:jc w:val="center"/>
        <w:outlineLvl w:val="0"/>
        <w:rPr>
          <w:color w:val="000000"/>
          <w:sz w:val="22"/>
          <w:szCs w:val="22"/>
          <w:lang w:val="pt-BR"/>
        </w:rPr>
      </w:pPr>
    </w:p>
    <w:p w14:paraId="6203E639" w14:textId="4AA41504" w:rsidR="00857157" w:rsidRDefault="00857157" w:rsidP="00642BA0">
      <w:pPr>
        <w:jc w:val="center"/>
        <w:outlineLvl w:val="0"/>
        <w:rPr>
          <w:color w:val="000000"/>
          <w:sz w:val="22"/>
          <w:szCs w:val="22"/>
          <w:lang w:val="pt-BR"/>
        </w:rPr>
      </w:pPr>
    </w:p>
    <w:p w14:paraId="13C70682" w14:textId="77777777" w:rsidR="00857157" w:rsidRPr="00182453" w:rsidRDefault="00857157" w:rsidP="00642BA0">
      <w:pPr>
        <w:jc w:val="center"/>
        <w:outlineLvl w:val="0"/>
        <w:rPr>
          <w:color w:val="000000"/>
          <w:sz w:val="22"/>
          <w:szCs w:val="22"/>
          <w:lang w:val="pt-BR"/>
        </w:rPr>
      </w:pPr>
    </w:p>
    <w:p w14:paraId="5EA84127" w14:textId="6C7FDD4E" w:rsidR="00642BA0" w:rsidRPr="00182453" w:rsidRDefault="00642BA0" w:rsidP="00642BA0">
      <w:pPr>
        <w:jc w:val="center"/>
        <w:rPr>
          <w:b/>
          <w:sz w:val="22"/>
          <w:szCs w:val="22"/>
          <w:lang w:val="pt-BR"/>
        </w:rPr>
      </w:pPr>
      <w:r w:rsidRPr="00182453">
        <w:rPr>
          <w:b/>
          <w:sz w:val="22"/>
          <w:szCs w:val="22"/>
          <w:lang w:val="pt-BR"/>
        </w:rPr>
        <w:t xml:space="preserve">RELATÓRIO </w:t>
      </w:r>
      <w:r w:rsidR="007414F6">
        <w:rPr>
          <w:b/>
          <w:sz w:val="22"/>
          <w:szCs w:val="22"/>
          <w:lang w:val="pt-BR"/>
        </w:rPr>
        <w:t xml:space="preserve">PARA </w:t>
      </w:r>
      <w:r w:rsidRPr="00182453">
        <w:rPr>
          <w:b/>
          <w:sz w:val="22"/>
          <w:szCs w:val="22"/>
          <w:lang w:val="pt-BR"/>
        </w:rPr>
        <w:t>A</w:t>
      </w:r>
    </w:p>
    <w:p w14:paraId="77D85F57" w14:textId="77777777" w:rsidR="00642BA0" w:rsidRPr="00182453" w:rsidRDefault="00642BA0" w:rsidP="00642BA0">
      <w:pPr>
        <w:jc w:val="center"/>
        <w:rPr>
          <w:b/>
          <w:sz w:val="22"/>
          <w:szCs w:val="22"/>
          <w:lang w:val="pt-BR"/>
        </w:rPr>
      </w:pPr>
    </w:p>
    <w:p w14:paraId="42CE7535" w14:textId="6359BAF1" w:rsidR="00642BA0" w:rsidRPr="00182453" w:rsidRDefault="00642BA0" w:rsidP="00642BA0">
      <w:pPr>
        <w:jc w:val="center"/>
        <w:rPr>
          <w:b/>
          <w:sz w:val="22"/>
          <w:szCs w:val="22"/>
          <w:lang w:val="pt-BR"/>
        </w:rPr>
      </w:pPr>
      <w:r w:rsidRPr="00182453">
        <w:rPr>
          <w:b/>
          <w:sz w:val="22"/>
          <w:szCs w:val="22"/>
          <w:lang w:val="pt-BR"/>
        </w:rPr>
        <w:t xml:space="preserve">QUARTA REUNIÃO INTERAMERICANA DE MINISTROS E ALTAS AUTORIDADES </w:t>
      </w:r>
      <w:r w:rsidR="00C63C8F">
        <w:rPr>
          <w:b/>
          <w:sz w:val="22"/>
          <w:szCs w:val="22"/>
          <w:lang w:val="pt-BR"/>
        </w:rPr>
        <w:t>D</w:t>
      </w:r>
      <w:r w:rsidRPr="00182453">
        <w:rPr>
          <w:b/>
          <w:sz w:val="22"/>
          <w:szCs w:val="22"/>
          <w:lang w:val="pt-BR"/>
        </w:rPr>
        <w:t xml:space="preserve">E DESENVOLVIMENTO </w:t>
      </w:r>
      <w:r>
        <w:rPr>
          <w:b/>
          <w:sz w:val="22"/>
          <w:szCs w:val="22"/>
          <w:lang w:val="pt-BR"/>
        </w:rPr>
        <w:t>SUSTENTÁ</w:t>
      </w:r>
      <w:r w:rsidRPr="00182453">
        <w:rPr>
          <w:b/>
          <w:sz w:val="22"/>
          <w:szCs w:val="22"/>
          <w:lang w:val="pt-BR"/>
        </w:rPr>
        <w:t>VEL</w:t>
      </w:r>
    </w:p>
    <w:p w14:paraId="05733B9D" w14:textId="77777777" w:rsidR="00642BA0" w:rsidRPr="00182453" w:rsidRDefault="00642BA0" w:rsidP="00642BA0">
      <w:pPr>
        <w:jc w:val="center"/>
        <w:rPr>
          <w:b/>
          <w:sz w:val="22"/>
          <w:szCs w:val="22"/>
          <w:lang w:val="pt-BR"/>
        </w:rPr>
      </w:pPr>
    </w:p>
    <w:p w14:paraId="30C2A2D8" w14:textId="71F4EE48" w:rsidR="00642BA0" w:rsidRPr="00182453" w:rsidRDefault="00642BA0" w:rsidP="00642BA0">
      <w:pPr>
        <w:jc w:val="center"/>
        <w:rPr>
          <w:b/>
          <w:sz w:val="22"/>
          <w:szCs w:val="22"/>
          <w:lang w:val="pt-BR"/>
        </w:rPr>
      </w:pPr>
      <w:r w:rsidRPr="00182453">
        <w:rPr>
          <w:b/>
          <w:sz w:val="22"/>
          <w:szCs w:val="22"/>
          <w:lang w:val="pt-BR"/>
        </w:rPr>
        <w:t>“AÇÃO CLIM</w:t>
      </w:r>
      <w:r>
        <w:rPr>
          <w:b/>
          <w:sz w:val="22"/>
          <w:szCs w:val="22"/>
          <w:lang w:val="pt-BR"/>
        </w:rPr>
        <w:t>Á</w:t>
      </w:r>
      <w:r w:rsidRPr="00182453">
        <w:rPr>
          <w:b/>
          <w:sz w:val="22"/>
          <w:szCs w:val="22"/>
          <w:lang w:val="pt-BR"/>
        </w:rPr>
        <w:t xml:space="preserve">TICA: </w:t>
      </w:r>
      <w:r w:rsidR="00C63C8F">
        <w:rPr>
          <w:b/>
          <w:sz w:val="22"/>
          <w:szCs w:val="22"/>
          <w:lang w:val="pt-BR"/>
        </w:rPr>
        <w:t>CONSTRUI</w:t>
      </w:r>
      <w:r w:rsidRPr="00182453">
        <w:rPr>
          <w:b/>
          <w:sz w:val="22"/>
          <w:szCs w:val="22"/>
          <w:lang w:val="pt-BR"/>
        </w:rPr>
        <w:t>NDO UMA AGENDA REGIONAL PARA GARANTIR NOSSO FUTURO”</w:t>
      </w:r>
    </w:p>
    <w:p w14:paraId="35EE03C6" w14:textId="77777777" w:rsidR="00642BA0" w:rsidRPr="00182453" w:rsidRDefault="00642BA0" w:rsidP="00642BA0">
      <w:pPr>
        <w:jc w:val="center"/>
        <w:outlineLvl w:val="0"/>
        <w:rPr>
          <w:color w:val="000000"/>
          <w:sz w:val="22"/>
          <w:szCs w:val="22"/>
          <w:lang w:val="pt-BR"/>
        </w:rPr>
      </w:pPr>
    </w:p>
    <w:p w14:paraId="07138B77" w14:textId="77777777" w:rsidR="00642BA0" w:rsidRPr="00182453" w:rsidRDefault="00642BA0" w:rsidP="00642BA0">
      <w:pPr>
        <w:jc w:val="center"/>
        <w:outlineLvl w:val="0"/>
        <w:rPr>
          <w:color w:val="000000"/>
          <w:sz w:val="22"/>
          <w:szCs w:val="22"/>
          <w:lang w:val="pt-BR"/>
        </w:rPr>
      </w:pPr>
    </w:p>
    <w:p w14:paraId="13DA011E" w14:textId="77777777" w:rsidR="00642BA0" w:rsidRPr="00182453" w:rsidRDefault="00642BA0" w:rsidP="00642BA0">
      <w:pPr>
        <w:jc w:val="center"/>
        <w:outlineLvl w:val="0"/>
        <w:rPr>
          <w:color w:val="000000"/>
          <w:sz w:val="22"/>
          <w:szCs w:val="22"/>
          <w:lang w:val="pt-BR"/>
        </w:rPr>
      </w:pPr>
    </w:p>
    <w:p w14:paraId="2D6987CF" w14:textId="77777777" w:rsidR="00642BA0" w:rsidRPr="00182453" w:rsidRDefault="00642BA0" w:rsidP="00642BA0">
      <w:pPr>
        <w:jc w:val="center"/>
        <w:outlineLvl w:val="0"/>
        <w:rPr>
          <w:color w:val="000000"/>
          <w:sz w:val="22"/>
          <w:szCs w:val="22"/>
          <w:lang w:val="pt-BR"/>
        </w:rPr>
      </w:pPr>
    </w:p>
    <w:p w14:paraId="448BD49C" w14:textId="77777777" w:rsidR="00642BA0" w:rsidRPr="00182453" w:rsidRDefault="00642BA0" w:rsidP="00642BA0">
      <w:pPr>
        <w:jc w:val="center"/>
        <w:outlineLvl w:val="0"/>
        <w:rPr>
          <w:color w:val="000000"/>
          <w:sz w:val="22"/>
          <w:szCs w:val="22"/>
          <w:lang w:val="pt-BR"/>
        </w:rPr>
      </w:pPr>
    </w:p>
    <w:p w14:paraId="4368384B" w14:textId="77777777" w:rsidR="00642BA0" w:rsidRPr="00182453" w:rsidRDefault="00642BA0" w:rsidP="00642BA0">
      <w:pPr>
        <w:jc w:val="center"/>
        <w:outlineLvl w:val="0"/>
        <w:rPr>
          <w:caps/>
          <w:color w:val="000000"/>
          <w:sz w:val="22"/>
          <w:szCs w:val="22"/>
          <w:lang w:val="pt-BR"/>
        </w:rPr>
      </w:pPr>
    </w:p>
    <w:p w14:paraId="10446400" w14:textId="77777777" w:rsidR="00642BA0" w:rsidRPr="00182453" w:rsidRDefault="00642BA0" w:rsidP="00642BA0">
      <w:pPr>
        <w:snapToGrid w:val="0"/>
        <w:jc w:val="center"/>
        <w:rPr>
          <w:caps/>
          <w:color w:val="000000"/>
          <w:sz w:val="22"/>
          <w:szCs w:val="22"/>
          <w:lang w:val="pt-BR"/>
        </w:rPr>
      </w:pPr>
    </w:p>
    <w:p w14:paraId="3695EBB3" w14:textId="77777777" w:rsidR="00D04605" w:rsidRDefault="00D04605" w:rsidP="00642BA0">
      <w:pPr>
        <w:jc w:val="center"/>
        <w:outlineLvl w:val="0"/>
        <w:rPr>
          <w:color w:val="000000"/>
          <w:sz w:val="22"/>
          <w:szCs w:val="22"/>
          <w:lang w:val="pt-BR"/>
        </w:rPr>
        <w:sectPr w:rsidR="00D04605" w:rsidSect="00C464AA">
          <w:headerReference w:type="default" r:id="rId8"/>
          <w:headerReference w:type="first" r:id="rId9"/>
          <w:type w:val="continuous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2ABD03CE" w14:textId="77777777" w:rsidR="00642BA0" w:rsidRPr="00182453" w:rsidRDefault="00642BA0" w:rsidP="00642BA0">
      <w:pPr>
        <w:jc w:val="center"/>
        <w:outlineLvl w:val="0"/>
        <w:rPr>
          <w:color w:val="000000"/>
          <w:sz w:val="22"/>
          <w:szCs w:val="22"/>
          <w:lang w:val="pt-BR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val="pt-BR"/>
        </w:rPr>
        <w:id w:val="1539551627"/>
        <w:docPartObj>
          <w:docPartGallery w:val="Table of Contents"/>
          <w:docPartUnique/>
        </w:docPartObj>
      </w:sdtPr>
      <w:sdtEndPr>
        <w:rPr>
          <w:rFonts w:eastAsia="Times New Roman"/>
        </w:rPr>
      </w:sdtEndPr>
      <w:sdtContent>
        <w:p w14:paraId="4D503905" w14:textId="77777777" w:rsidR="00642BA0" w:rsidRPr="00182453" w:rsidRDefault="00642BA0" w:rsidP="00642BA0">
          <w:pPr>
            <w:pStyle w:val="TOCHeading"/>
            <w:tabs>
              <w:tab w:val="right" w:pos="9360"/>
            </w:tabs>
            <w:spacing w:before="0" w:line="240" w:lineRule="auto"/>
            <w:rPr>
              <w:rFonts w:ascii="Times New Roman" w:eastAsia="Calibri" w:hAnsi="Times New Roman" w:cs="Times New Roman"/>
              <w:b w:val="0"/>
              <w:bCs w:val="0"/>
              <w:color w:val="auto"/>
              <w:sz w:val="22"/>
              <w:szCs w:val="22"/>
              <w:lang w:val="pt-BR"/>
            </w:rPr>
          </w:pPr>
        </w:p>
        <w:p w14:paraId="19A8570D" w14:textId="77777777" w:rsidR="00642BA0" w:rsidRPr="00182453" w:rsidRDefault="00642BA0" w:rsidP="00642BA0">
          <w:pPr>
            <w:pStyle w:val="TOCHeading"/>
            <w:tabs>
              <w:tab w:val="right" w:pos="9360"/>
            </w:tabs>
            <w:spacing w:before="0" w:line="240" w:lineRule="auto"/>
            <w:rPr>
              <w:rFonts w:ascii="Times New Roman" w:eastAsia="Calibri" w:hAnsi="Times New Roman" w:cs="Times New Roman"/>
              <w:b w:val="0"/>
              <w:bCs w:val="0"/>
              <w:color w:val="auto"/>
              <w:sz w:val="22"/>
              <w:szCs w:val="22"/>
              <w:lang w:val="pt-BR"/>
            </w:rPr>
          </w:pPr>
        </w:p>
        <w:p w14:paraId="6A204637" w14:textId="39F526DB" w:rsidR="00642BA0" w:rsidRPr="00182453" w:rsidRDefault="00C63C8F" w:rsidP="00642BA0">
          <w:pPr>
            <w:pStyle w:val="TOCHeading"/>
            <w:tabs>
              <w:tab w:val="right" w:pos="9360"/>
            </w:tabs>
            <w:spacing w:before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pt-BR"/>
            </w:rPr>
          </w:pPr>
          <w:r>
            <w:rPr>
              <w:rFonts w:ascii="Times New Roman" w:hAnsi="Times New Roman" w:cs="Times New Roman"/>
              <w:sz w:val="24"/>
              <w:szCs w:val="24"/>
              <w:lang w:val="pt-BR"/>
            </w:rPr>
            <w:t>SUMÁRIO</w:t>
          </w:r>
        </w:p>
        <w:p w14:paraId="7332AA88" w14:textId="4C14CD64" w:rsidR="00642BA0" w:rsidRPr="00182453" w:rsidRDefault="00642BA0" w:rsidP="00642BA0">
          <w:pPr>
            <w:pStyle w:val="TOCHeading"/>
            <w:tabs>
              <w:tab w:val="right" w:pos="9360"/>
            </w:tabs>
            <w:spacing w:before="0" w:line="240" w:lineRule="auto"/>
            <w:jc w:val="right"/>
            <w:rPr>
              <w:rFonts w:ascii="Times New Roman" w:hAnsi="Times New Roman" w:cs="Times New Roman"/>
              <w:sz w:val="22"/>
              <w:szCs w:val="22"/>
              <w:lang w:val="pt-BR"/>
            </w:rPr>
          </w:pPr>
          <w:r w:rsidRPr="00182453">
            <w:rPr>
              <w:rFonts w:ascii="Times New Roman" w:hAnsi="Times New Roman" w:cs="Times New Roman"/>
              <w:sz w:val="22"/>
              <w:szCs w:val="22"/>
              <w:lang w:val="pt-BR"/>
            </w:rPr>
            <w:t>P</w:t>
          </w:r>
          <w:r w:rsidR="00C63C8F">
            <w:rPr>
              <w:rFonts w:ascii="Times New Roman" w:hAnsi="Times New Roman" w:cs="Times New Roman"/>
              <w:sz w:val="22"/>
              <w:szCs w:val="22"/>
              <w:lang w:val="pt-BR"/>
            </w:rPr>
            <w:t>á</w:t>
          </w:r>
          <w:r w:rsidRPr="00182453">
            <w:rPr>
              <w:rFonts w:ascii="Times New Roman" w:hAnsi="Times New Roman" w:cs="Times New Roman"/>
              <w:sz w:val="22"/>
              <w:szCs w:val="22"/>
              <w:lang w:val="pt-BR"/>
            </w:rPr>
            <w:t>g</w:t>
          </w:r>
          <w:r w:rsidR="00C63C8F">
            <w:rPr>
              <w:rFonts w:ascii="Times New Roman" w:hAnsi="Times New Roman" w:cs="Times New Roman"/>
              <w:sz w:val="22"/>
              <w:szCs w:val="22"/>
              <w:lang w:val="pt-BR"/>
            </w:rPr>
            <w:t>ina</w:t>
          </w:r>
        </w:p>
        <w:p w14:paraId="197F6583" w14:textId="4C7C57A7" w:rsidR="005D0CB8" w:rsidRPr="00857157" w:rsidRDefault="00642BA0" w:rsidP="00857157">
          <w:pPr>
            <w:pStyle w:val="TOC1"/>
            <w:rPr>
              <w:rFonts w:eastAsiaTheme="minorEastAsia"/>
            </w:rPr>
          </w:pPr>
          <w:r w:rsidRPr="00182453">
            <w:rPr>
              <w:rFonts w:eastAsiaTheme="majorEastAsia"/>
              <w:i/>
              <w:iCs/>
              <w:noProof w:val="0"/>
              <w:color w:val="2E74B5" w:themeColor="accent1" w:themeShade="BF"/>
              <w:lang w:val="pt-BR"/>
            </w:rPr>
            <w:fldChar w:fldCharType="begin"/>
          </w:r>
          <w:r w:rsidRPr="00182453">
            <w:rPr>
              <w:rFonts w:eastAsiaTheme="majorEastAsia"/>
              <w:i/>
              <w:iCs/>
              <w:noProof w:val="0"/>
              <w:color w:val="2E74B5" w:themeColor="accent1" w:themeShade="BF"/>
              <w:lang w:val="pt-BR"/>
            </w:rPr>
            <w:instrText xml:space="preserve"> TOC \o "1-3" \h \z \u </w:instrText>
          </w:r>
          <w:r w:rsidRPr="00182453">
            <w:rPr>
              <w:rFonts w:eastAsiaTheme="majorEastAsia"/>
              <w:i/>
              <w:iCs/>
              <w:noProof w:val="0"/>
              <w:color w:val="2E74B5" w:themeColor="accent1" w:themeShade="BF"/>
              <w:lang w:val="pt-BR"/>
            </w:rPr>
            <w:fldChar w:fldCharType="separate"/>
          </w:r>
          <w:hyperlink w:anchor="_Toc131518803" w:history="1">
            <w:r w:rsidR="005D0CB8" w:rsidRPr="00857157">
              <w:rPr>
                <w:rStyle w:val="Hyperlink"/>
                <w:sz w:val="22"/>
                <w:szCs w:val="22"/>
                <w:lang w:val="pt-BR"/>
              </w:rPr>
              <w:t>ANTECEDENTES</w:t>
            </w:r>
            <w:r w:rsidR="005D0CB8" w:rsidRPr="00857157">
              <w:rPr>
                <w:webHidden/>
              </w:rPr>
              <w:tab/>
            </w:r>
            <w:r w:rsidR="005D0CB8" w:rsidRPr="00857157">
              <w:rPr>
                <w:webHidden/>
              </w:rPr>
              <w:fldChar w:fldCharType="begin"/>
            </w:r>
            <w:r w:rsidR="005D0CB8" w:rsidRPr="00857157">
              <w:rPr>
                <w:webHidden/>
              </w:rPr>
              <w:instrText xml:space="preserve"> PAGEREF _Toc131518803 \h </w:instrText>
            </w:r>
            <w:r w:rsidR="005D0CB8" w:rsidRPr="00857157">
              <w:rPr>
                <w:webHidden/>
              </w:rPr>
            </w:r>
            <w:r w:rsidR="005D0CB8" w:rsidRPr="00857157">
              <w:rPr>
                <w:webHidden/>
              </w:rPr>
              <w:fldChar w:fldCharType="separate"/>
            </w:r>
            <w:r w:rsidR="00A76B89">
              <w:rPr>
                <w:webHidden/>
              </w:rPr>
              <w:t xml:space="preserve">1 </w:t>
            </w:r>
            <w:r w:rsidR="005D0CB8" w:rsidRPr="00857157">
              <w:rPr>
                <w:webHidden/>
              </w:rPr>
              <w:fldChar w:fldCharType="end"/>
            </w:r>
          </w:hyperlink>
        </w:p>
        <w:p w14:paraId="47660D69" w14:textId="79273758" w:rsidR="005D0CB8" w:rsidRPr="00857157" w:rsidRDefault="005D0CB8" w:rsidP="005D0CB8">
          <w:pPr>
            <w:pStyle w:val="TOC2"/>
            <w:tabs>
              <w:tab w:val="right" w:leader="dot" w:pos="8550"/>
              <w:tab w:val="right" w:leader="dot" w:pos="8990"/>
            </w:tabs>
            <w:ind w:right="1080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131518804" w:history="1">
            <w:r w:rsidRPr="00857157">
              <w:rPr>
                <w:rStyle w:val="Hyperlink"/>
                <w:noProof/>
                <w:lang w:val="pt-BR"/>
              </w:rPr>
              <w:t>Análise da Situação: Estado da Mudança Climática nas Américas</w:t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instrText xml:space="preserve"> PAGEREF _Toc131518804 \h </w:instrText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76B89">
              <w:rPr>
                <w:rFonts w:ascii="Times New Roman" w:hAnsi="Times New Roman" w:cs="Times New Roman"/>
                <w:noProof/>
                <w:webHidden/>
              </w:rPr>
              <w:t xml:space="preserve">2 </w:t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1D3F2D" w14:textId="28866FFF" w:rsidR="005D0CB8" w:rsidRPr="00857157" w:rsidRDefault="005D0CB8" w:rsidP="005D0CB8">
          <w:pPr>
            <w:pStyle w:val="TOC2"/>
            <w:tabs>
              <w:tab w:val="right" w:leader="dot" w:pos="8550"/>
              <w:tab w:val="right" w:leader="dot" w:pos="8990"/>
            </w:tabs>
            <w:ind w:right="1080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131518805" w:history="1">
            <w:r w:rsidRPr="00857157">
              <w:rPr>
                <w:rStyle w:val="Hyperlink"/>
                <w:noProof/>
                <w:lang w:val="pt-BR"/>
              </w:rPr>
              <w:t>Economia da Mudança Climática</w:t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instrText xml:space="preserve"> PAGEREF _Toc131518805 \h </w:instrText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76B89">
              <w:rPr>
                <w:rFonts w:ascii="Times New Roman" w:hAnsi="Times New Roman" w:cs="Times New Roman"/>
                <w:noProof/>
                <w:webHidden/>
              </w:rPr>
              <w:t xml:space="preserve">4 </w:t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0D6682" w14:textId="3FC4A045" w:rsidR="005D0CB8" w:rsidRPr="00857157" w:rsidRDefault="005D0CB8" w:rsidP="00857157">
          <w:pPr>
            <w:pStyle w:val="TOC1"/>
            <w:rPr>
              <w:rFonts w:eastAsiaTheme="minorEastAsia"/>
            </w:rPr>
          </w:pPr>
          <w:hyperlink w:anchor="_Toc131518806" w:history="1">
            <w:r w:rsidRPr="00857157">
              <w:rPr>
                <w:rStyle w:val="Hyperlink"/>
                <w:sz w:val="22"/>
                <w:szCs w:val="22"/>
                <w:lang w:val="pt-BR"/>
              </w:rPr>
              <w:t>LACUNAS, NECESSIDADES E OPORTUNIDADES DE AÇÃO CLIMÁTICA</w:t>
            </w:r>
            <w:r w:rsidRPr="00857157">
              <w:rPr>
                <w:webHidden/>
              </w:rPr>
              <w:tab/>
            </w:r>
            <w:r w:rsidRPr="00857157">
              <w:rPr>
                <w:webHidden/>
              </w:rPr>
              <w:fldChar w:fldCharType="begin"/>
            </w:r>
            <w:r w:rsidRPr="00857157">
              <w:rPr>
                <w:webHidden/>
              </w:rPr>
              <w:instrText xml:space="preserve"> PAGEREF _Toc131518806 \h </w:instrText>
            </w:r>
            <w:r w:rsidRPr="00857157">
              <w:rPr>
                <w:webHidden/>
              </w:rPr>
            </w:r>
            <w:r w:rsidRPr="00857157">
              <w:rPr>
                <w:webHidden/>
              </w:rPr>
              <w:fldChar w:fldCharType="separate"/>
            </w:r>
            <w:r w:rsidR="00A76B89">
              <w:rPr>
                <w:webHidden/>
              </w:rPr>
              <w:t xml:space="preserve">6 </w:t>
            </w:r>
            <w:r w:rsidRPr="00857157">
              <w:rPr>
                <w:webHidden/>
              </w:rPr>
              <w:fldChar w:fldCharType="end"/>
            </w:r>
          </w:hyperlink>
        </w:p>
        <w:p w14:paraId="7F2255CD" w14:textId="7C2935BD" w:rsidR="005D0CB8" w:rsidRPr="00857157" w:rsidRDefault="005D0CB8" w:rsidP="005D0CB8">
          <w:pPr>
            <w:pStyle w:val="TOC2"/>
            <w:tabs>
              <w:tab w:val="right" w:leader="dot" w:pos="8550"/>
              <w:tab w:val="right" w:leader="dot" w:pos="8990"/>
            </w:tabs>
            <w:ind w:right="1080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131518807" w:history="1">
            <w:r w:rsidRPr="00857157">
              <w:rPr>
                <w:rStyle w:val="Hyperlink"/>
                <w:noProof/>
                <w:lang w:val="pt-BR"/>
              </w:rPr>
              <w:t>Mitigação</w:t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instrText xml:space="preserve"> PAGEREF _Toc131518807 \h </w:instrText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76B89">
              <w:rPr>
                <w:rFonts w:ascii="Times New Roman" w:hAnsi="Times New Roman" w:cs="Times New Roman"/>
                <w:noProof/>
                <w:webHidden/>
              </w:rPr>
              <w:t xml:space="preserve"> 7 </w:t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428BBD" w14:textId="5849DAA2" w:rsidR="005D0CB8" w:rsidRPr="00857157" w:rsidRDefault="005D0CB8" w:rsidP="005D0CB8">
          <w:pPr>
            <w:pStyle w:val="TOC3"/>
            <w:tabs>
              <w:tab w:val="right" w:leader="dot" w:pos="8550"/>
              <w:tab w:val="right" w:leader="dot" w:pos="8990"/>
            </w:tabs>
            <w:ind w:right="1080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131518808" w:history="1">
            <w:r w:rsidRPr="00857157">
              <w:rPr>
                <w:rStyle w:val="Hyperlink"/>
                <w:noProof/>
                <w:sz w:val="22"/>
                <w:szCs w:val="22"/>
                <w:lang w:val="pt-BR"/>
              </w:rPr>
              <w:t>Energia</w: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_Toc131518808 \h </w:instrTex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A76B89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 xml:space="preserve"> 8 </w: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F7ABA7" w14:textId="5A1A3B3D" w:rsidR="005D0CB8" w:rsidRPr="00857157" w:rsidRDefault="005D0CB8" w:rsidP="005D0CB8">
          <w:pPr>
            <w:pStyle w:val="TOC3"/>
            <w:tabs>
              <w:tab w:val="right" w:leader="dot" w:pos="8550"/>
              <w:tab w:val="right" w:leader="dot" w:pos="8990"/>
            </w:tabs>
            <w:ind w:right="1080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131518809" w:history="1">
            <w:r w:rsidRPr="00857157">
              <w:rPr>
                <w:rStyle w:val="Hyperlink"/>
                <w:noProof/>
                <w:sz w:val="22"/>
                <w:szCs w:val="22"/>
                <w:lang w:val="pt-BR"/>
              </w:rPr>
              <w:t>Sequestro de Carbono</w: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_Toc131518809 \h </w:instrTex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A76B89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 xml:space="preserve">10 </w: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80DEE9" w14:textId="112E7492" w:rsidR="005D0CB8" w:rsidRPr="00857157" w:rsidRDefault="005D0CB8" w:rsidP="005D0CB8">
          <w:pPr>
            <w:pStyle w:val="TOC3"/>
            <w:tabs>
              <w:tab w:val="right" w:leader="dot" w:pos="8550"/>
              <w:tab w:val="right" w:leader="dot" w:pos="8990"/>
            </w:tabs>
            <w:ind w:right="1080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131518810" w:history="1">
            <w:r w:rsidRPr="00857157">
              <w:rPr>
                <w:rStyle w:val="Hyperlink"/>
                <w:noProof/>
                <w:sz w:val="22"/>
                <w:szCs w:val="22"/>
                <w:lang w:val="pt-BR"/>
              </w:rPr>
              <w:t>Soluções baseadas na natureza</w: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_Toc131518810 \h </w:instrTex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A76B89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 xml:space="preserve">11 </w: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F48828" w14:textId="7AFD3ADA" w:rsidR="005D0CB8" w:rsidRPr="00857157" w:rsidRDefault="005D0CB8" w:rsidP="005D0CB8">
          <w:pPr>
            <w:pStyle w:val="TOC2"/>
            <w:tabs>
              <w:tab w:val="right" w:leader="dot" w:pos="8550"/>
              <w:tab w:val="right" w:leader="dot" w:pos="8990"/>
            </w:tabs>
            <w:ind w:right="1080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131518811" w:history="1">
            <w:r w:rsidRPr="00857157">
              <w:rPr>
                <w:rStyle w:val="Hyperlink"/>
                <w:noProof/>
                <w:lang w:val="pt-BR"/>
              </w:rPr>
              <w:t>Adaptação</w:t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instrText xml:space="preserve"> PAGEREF _Toc131518811 \h </w:instrText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76B89">
              <w:rPr>
                <w:rFonts w:ascii="Times New Roman" w:hAnsi="Times New Roman" w:cs="Times New Roman"/>
                <w:noProof/>
                <w:webHidden/>
              </w:rPr>
              <w:t xml:space="preserve"> 11 </w:t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183581" w14:textId="69F1801D" w:rsidR="005D0CB8" w:rsidRPr="00857157" w:rsidRDefault="005D0CB8" w:rsidP="005D0CB8">
          <w:pPr>
            <w:pStyle w:val="TOC3"/>
            <w:tabs>
              <w:tab w:val="right" w:leader="dot" w:pos="8550"/>
              <w:tab w:val="right" w:leader="dot" w:pos="8990"/>
            </w:tabs>
            <w:ind w:right="1080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131518812" w:history="1">
            <w:r w:rsidRPr="00857157">
              <w:rPr>
                <w:rStyle w:val="Hyperlink"/>
                <w:noProof/>
                <w:sz w:val="22"/>
                <w:szCs w:val="22"/>
                <w:lang w:val="pt-BR"/>
              </w:rPr>
              <w:t>Água</w: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_Toc131518812 \h </w:instrTex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A76B89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12</w: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C980EF" w14:textId="517DC340" w:rsidR="005D0CB8" w:rsidRPr="00857157" w:rsidRDefault="005D0CB8" w:rsidP="005D0CB8">
          <w:pPr>
            <w:pStyle w:val="TOC3"/>
            <w:tabs>
              <w:tab w:val="right" w:leader="dot" w:pos="8550"/>
              <w:tab w:val="right" w:leader="dot" w:pos="8990"/>
            </w:tabs>
            <w:ind w:right="1080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131518813" w:history="1">
            <w:r w:rsidRPr="00857157">
              <w:rPr>
                <w:rStyle w:val="Hyperlink"/>
                <w:noProof/>
                <w:sz w:val="22"/>
                <w:szCs w:val="22"/>
                <w:lang w:val="pt-BR"/>
              </w:rPr>
              <w:t>Desastres Naturais</w: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_Toc131518813 \h </w:instrTex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A76B89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 xml:space="preserve"> 13 </w: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644065" w14:textId="7121B66E" w:rsidR="005D0CB8" w:rsidRPr="00857157" w:rsidRDefault="005D0CB8" w:rsidP="005D0CB8">
          <w:pPr>
            <w:pStyle w:val="TOC2"/>
            <w:tabs>
              <w:tab w:val="right" w:leader="dot" w:pos="8550"/>
              <w:tab w:val="right" w:leader="dot" w:pos="8990"/>
            </w:tabs>
            <w:ind w:right="1080"/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131518814" w:history="1">
            <w:r w:rsidRPr="00857157">
              <w:rPr>
                <w:rStyle w:val="Hyperlink"/>
                <w:noProof/>
                <w:lang w:val="pt-BR"/>
              </w:rPr>
              <w:t>Oportunidades estratégicas para a Ação Climática</w:t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instrText xml:space="preserve"> PAGEREF _Toc131518814 \h </w:instrText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76B89">
              <w:rPr>
                <w:rFonts w:ascii="Times New Roman" w:hAnsi="Times New Roman" w:cs="Times New Roman"/>
                <w:noProof/>
                <w:webHidden/>
              </w:rPr>
              <w:t xml:space="preserve">13 </w:t>
            </w:r>
            <w:r w:rsidRPr="008571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072801" w14:textId="3EFAB18A" w:rsidR="005D0CB8" w:rsidRPr="00857157" w:rsidRDefault="005D0CB8" w:rsidP="005D0CB8">
          <w:pPr>
            <w:pStyle w:val="TOC3"/>
            <w:tabs>
              <w:tab w:val="right" w:leader="dot" w:pos="8550"/>
            </w:tabs>
            <w:ind w:right="1080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131518815" w:history="1">
            <w:r w:rsidRPr="00857157">
              <w:rPr>
                <w:rStyle w:val="Hyperlink"/>
                <w:noProof/>
                <w:sz w:val="22"/>
                <w:szCs w:val="22"/>
                <w:lang w:val="pt-BR"/>
              </w:rPr>
              <w:t>ESTRATÉGIA 1 – Adaptação à Mudança Climática: Ações para uma Região Mais Resiliente e Inclusiva</w: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_Toc131518815 \h </w:instrTex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A76B89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14</w: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966283" w14:textId="26D14088" w:rsidR="005D0CB8" w:rsidRPr="00857157" w:rsidRDefault="005D0CB8" w:rsidP="005D0CB8">
          <w:pPr>
            <w:pStyle w:val="TOC3"/>
            <w:tabs>
              <w:tab w:val="right" w:leader="dot" w:pos="8550"/>
            </w:tabs>
            <w:ind w:right="1080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131518816" w:history="1">
            <w:r w:rsidRPr="00857157">
              <w:rPr>
                <w:rStyle w:val="Hyperlink"/>
                <w:noProof/>
                <w:sz w:val="22"/>
                <w:szCs w:val="22"/>
                <w:lang w:val="pt-BR"/>
              </w:rPr>
              <w:t>ESTRATÉGIA 2 – Mitigação da Mudança Climática:  Ações para Reduzir e Sequestrar Emissões de Gases de Efeito Estufa</w: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_Toc131518816 \h </w:instrTex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A76B89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 xml:space="preserve">15 </w: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4E259E" w14:textId="0FE861FF" w:rsidR="005D0CB8" w:rsidRPr="00857157" w:rsidRDefault="005D0CB8" w:rsidP="005D0CB8">
          <w:pPr>
            <w:pStyle w:val="TOC3"/>
            <w:tabs>
              <w:tab w:val="right" w:leader="dot" w:pos="8550"/>
            </w:tabs>
            <w:ind w:right="1080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131518817" w:history="1">
            <w:r w:rsidRPr="00857157">
              <w:rPr>
                <w:rStyle w:val="Hyperlink"/>
                <w:noProof/>
                <w:sz w:val="22"/>
                <w:szCs w:val="22"/>
                <w:lang w:val="pt-BR"/>
              </w:rPr>
              <w:t>ESTRATÉGIA 3 – Financiamento Climático: Ações para Atender às Necessidades de Financiamento</w: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_Toc131518817 \h </w:instrTex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A76B89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>16</w: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05D2C5" w14:textId="315A0DE6" w:rsidR="005D0CB8" w:rsidRPr="00857157" w:rsidRDefault="005D0CB8" w:rsidP="005D0CB8">
          <w:pPr>
            <w:pStyle w:val="TOC3"/>
            <w:tabs>
              <w:tab w:val="right" w:leader="dot" w:pos="8550"/>
            </w:tabs>
            <w:ind w:right="1080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131518818" w:history="1">
            <w:r w:rsidRPr="00857157">
              <w:rPr>
                <w:rStyle w:val="Hyperlink"/>
                <w:noProof/>
                <w:sz w:val="22"/>
                <w:szCs w:val="22"/>
                <w:lang w:val="pt-BR"/>
              </w:rPr>
              <w:t>ESTRATÉGIA 4 – Cooperação Regional e Integração para Enfrentar a Crise Climática e Garantir o Desenvolvimento Sustentável no Longo Prazo</w: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ab/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begin"/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instrText xml:space="preserve"> PAGEREF _Toc131518818 \h </w:instrTex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separate"/>
            </w:r>
            <w:r w:rsidR="00A76B89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t xml:space="preserve">17 </w:t>
            </w:r>
            <w:r w:rsidRPr="00857157">
              <w:rPr>
                <w:rFonts w:ascii="Times New Roman" w:hAnsi="Times New Roman" w:cs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573CE7E" w14:textId="59EB945E" w:rsidR="005D0CB8" w:rsidRPr="00857157" w:rsidRDefault="005D0CB8" w:rsidP="00857157">
          <w:pPr>
            <w:pStyle w:val="TOC1"/>
            <w:rPr>
              <w:rFonts w:eastAsiaTheme="minorEastAsia"/>
            </w:rPr>
          </w:pPr>
          <w:hyperlink w:anchor="_Toc131518819" w:history="1">
            <w:r w:rsidRPr="00857157">
              <w:rPr>
                <w:rStyle w:val="Hyperlink"/>
                <w:sz w:val="22"/>
                <w:szCs w:val="22"/>
                <w:lang w:val="pt-BR"/>
              </w:rPr>
              <w:t>MANDATOS DE DESENVOLVIMENTO SUSTENTÁVEL DA OEA</w:t>
            </w:r>
            <w:r w:rsidRPr="00857157">
              <w:rPr>
                <w:webHidden/>
              </w:rPr>
              <w:tab/>
            </w:r>
            <w:r w:rsidRPr="00857157">
              <w:rPr>
                <w:webHidden/>
              </w:rPr>
              <w:fldChar w:fldCharType="begin"/>
            </w:r>
            <w:r w:rsidRPr="00857157">
              <w:rPr>
                <w:webHidden/>
              </w:rPr>
              <w:instrText xml:space="preserve"> PAGEREF _Toc131518819 \h </w:instrText>
            </w:r>
            <w:r w:rsidRPr="00857157">
              <w:rPr>
                <w:webHidden/>
              </w:rPr>
            </w:r>
            <w:r w:rsidRPr="00857157">
              <w:rPr>
                <w:webHidden/>
              </w:rPr>
              <w:fldChar w:fldCharType="separate"/>
            </w:r>
            <w:r w:rsidR="00A76B89">
              <w:rPr>
                <w:webHidden/>
              </w:rPr>
              <w:t xml:space="preserve">18 </w:t>
            </w:r>
            <w:r w:rsidRPr="00857157">
              <w:rPr>
                <w:webHidden/>
              </w:rPr>
              <w:fldChar w:fldCharType="end"/>
            </w:r>
          </w:hyperlink>
        </w:p>
        <w:p w14:paraId="26C5AC70" w14:textId="7E065745" w:rsidR="005D0CB8" w:rsidRPr="00857157" w:rsidRDefault="005D0CB8" w:rsidP="00857157">
          <w:pPr>
            <w:pStyle w:val="TOC1"/>
            <w:rPr>
              <w:rFonts w:eastAsiaTheme="minorEastAsia"/>
            </w:rPr>
          </w:pPr>
          <w:hyperlink w:anchor="_Toc131518820" w:history="1">
            <w:r w:rsidRPr="00857157">
              <w:rPr>
                <w:rStyle w:val="Hyperlink"/>
                <w:sz w:val="22"/>
                <w:szCs w:val="22"/>
                <w:lang w:val="pt-BR"/>
              </w:rPr>
              <w:t>QUARTA REUNIÃO INTERAMERICANA DE MINISTROS E ALTAS AUTORIDADES DE DESENVOLVIMENTO SUSTENTÁVEL</w:t>
            </w:r>
            <w:r w:rsidRPr="00857157">
              <w:rPr>
                <w:webHidden/>
              </w:rPr>
              <w:tab/>
            </w:r>
            <w:r w:rsidRPr="00857157">
              <w:rPr>
                <w:webHidden/>
              </w:rPr>
              <w:fldChar w:fldCharType="begin"/>
            </w:r>
            <w:r w:rsidRPr="00857157">
              <w:rPr>
                <w:webHidden/>
              </w:rPr>
              <w:instrText xml:space="preserve"> PAGEREF _Toc131518820 \h </w:instrText>
            </w:r>
            <w:r w:rsidRPr="00857157">
              <w:rPr>
                <w:webHidden/>
              </w:rPr>
            </w:r>
            <w:r w:rsidRPr="00857157">
              <w:rPr>
                <w:webHidden/>
              </w:rPr>
              <w:fldChar w:fldCharType="separate"/>
            </w:r>
            <w:r w:rsidR="00A76B89">
              <w:rPr>
                <w:webHidden/>
              </w:rPr>
              <w:t xml:space="preserve">19 </w:t>
            </w:r>
            <w:r w:rsidRPr="00857157">
              <w:rPr>
                <w:webHidden/>
              </w:rPr>
              <w:fldChar w:fldCharType="end"/>
            </w:r>
          </w:hyperlink>
        </w:p>
        <w:p w14:paraId="08751769" w14:textId="4A317EE2" w:rsidR="005D0CB8" w:rsidRPr="00857157" w:rsidRDefault="005D0CB8" w:rsidP="00857157">
          <w:pPr>
            <w:pStyle w:val="TOC1"/>
          </w:pPr>
        </w:p>
        <w:p w14:paraId="50C59C1E" w14:textId="0F0FDF01" w:rsidR="00642BA0" w:rsidRPr="00182453" w:rsidRDefault="00642BA0" w:rsidP="00642BA0">
          <w:pPr>
            <w:rPr>
              <w:sz w:val="22"/>
              <w:szCs w:val="22"/>
              <w:lang w:val="pt-BR"/>
            </w:rPr>
          </w:pPr>
          <w:r w:rsidRPr="00182453">
            <w:rPr>
              <w:rFonts w:eastAsiaTheme="majorEastAsia"/>
              <w:b/>
              <w:bCs/>
              <w:i/>
              <w:iCs/>
              <w:color w:val="2E74B5" w:themeColor="accent1" w:themeShade="BF"/>
              <w:sz w:val="22"/>
              <w:szCs w:val="22"/>
              <w:lang w:val="pt-BR"/>
            </w:rPr>
            <w:fldChar w:fldCharType="end"/>
          </w:r>
        </w:p>
      </w:sdtContent>
    </w:sdt>
    <w:p w14:paraId="7563458E" w14:textId="77777777" w:rsidR="005D0CB8" w:rsidRDefault="005D0CB8" w:rsidP="00642BA0">
      <w:pPr>
        <w:pStyle w:val="Heading1"/>
        <w:rPr>
          <w:rFonts w:ascii="Times New Roman" w:hAnsi="Times New Roman"/>
          <w:szCs w:val="22"/>
          <w:lang w:val="pt-BR"/>
        </w:rPr>
        <w:sectPr w:rsidR="005D0CB8" w:rsidSect="00D04605">
          <w:headerReference w:type="first" r:id="rId10"/>
          <w:type w:val="oddPage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27E14FA1" w14:textId="77777777" w:rsidR="00857157" w:rsidRPr="00182453" w:rsidRDefault="00857157" w:rsidP="00857157">
      <w:pPr>
        <w:jc w:val="center"/>
        <w:rPr>
          <w:b/>
          <w:sz w:val="22"/>
          <w:szCs w:val="22"/>
          <w:lang w:val="pt-BR"/>
        </w:rPr>
      </w:pPr>
      <w:bookmarkStart w:id="1" w:name="_Toc131518803"/>
      <w:r w:rsidRPr="00182453">
        <w:rPr>
          <w:b/>
          <w:sz w:val="22"/>
          <w:szCs w:val="22"/>
          <w:lang w:val="pt-BR"/>
        </w:rPr>
        <w:lastRenderedPageBreak/>
        <w:t xml:space="preserve">RELATÓRIO </w:t>
      </w:r>
      <w:r>
        <w:rPr>
          <w:b/>
          <w:sz w:val="22"/>
          <w:szCs w:val="22"/>
          <w:lang w:val="pt-BR"/>
        </w:rPr>
        <w:t xml:space="preserve">PARA </w:t>
      </w:r>
      <w:r w:rsidRPr="00182453">
        <w:rPr>
          <w:b/>
          <w:sz w:val="22"/>
          <w:szCs w:val="22"/>
          <w:lang w:val="pt-BR"/>
        </w:rPr>
        <w:t>A</w:t>
      </w:r>
    </w:p>
    <w:p w14:paraId="09B89774" w14:textId="77777777" w:rsidR="00857157" w:rsidRPr="00182453" w:rsidRDefault="00857157" w:rsidP="00857157">
      <w:pPr>
        <w:rPr>
          <w:b/>
          <w:sz w:val="22"/>
          <w:szCs w:val="22"/>
          <w:lang w:val="pt-BR"/>
        </w:rPr>
      </w:pPr>
    </w:p>
    <w:p w14:paraId="0996E6F4" w14:textId="77777777" w:rsidR="00857157" w:rsidRPr="00182453" w:rsidRDefault="00857157" w:rsidP="00857157">
      <w:pPr>
        <w:jc w:val="center"/>
        <w:rPr>
          <w:b/>
          <w:sz w:val="22"/>
          <w:szCs w:val="22"/>
          <w:lang w:val="pt-BR"/>
        </w:rPr>
      </w:pPr>
      <w:r w:rsidRPr="00182453">
        <w:rPr>
          <w:b/>
          <w:sz w:val="22"/>
          <w:szCs w:val="22"/>
          <w:lang w:val="pt-BR"/>
        </w:rPr>
        <w:t xml:space="preserve">QUARTA REUNIÃO INTERAMERICANA DE MINISTROS E ALTAS AUTORIDADES </w:t>
      </w:r>
      <w:r>
        <w:rPr>
          <w:b/>
          <w:sz w:val="22"/>
          <w:szCs w:val="22"/>
          <w:lang w:val="pt-BR"/>
        </w:rPr>
        <w:t>D</w:t>
      </w:r>
      <w:r w:rsidRPr="00182453">
        <w:rPr>
          <w:b/>
          <w:sz w:val="22"/>
          <w:szCs w:val="22"/>
          <w:lang w:val="pt-BR"/>
        </w:rPr>
        <w:t xml:space="preserve">E DESENVOLVIMENTO </w:t>
      </w:r>
      <w:r>
        <w:rPr>
          <w:b/>
          <w:sz w:val="22"/>
          <w:szCs w:val="22"/>
          <w:lang w:val="pt-BR"/>
        </w:rPr>
        <w:t>SUSTENTÁ</w:t>
      </w:r>
      <w:r w:rsidRPr="00182453">
        <w:rPr>
          <w:b/>
          <w:sz w:val="22"/>
          <w:szCs w:val="22"/>
          <w:lang w:val="pt-BR"/>
        </w:rPr>
        <w:t>VEL</w:t>
      </w:r>
    </w:p>
    <w:p w14:paraId="7D26DFC0" w14:textId="77777777" w:rsidR="00857157" w:rsidRPr="00182453" w:rsidRDefault="00857157" w:rsidP="00857157">
      <w:pPr>
        <w:rPr>
          <w:b/>
          <w:sz w:val="22"/>
          <w:szCs w:val="22"/>
          <w:lang w:val="pt-BR"/>
        </w:rPr>
      </w:pPr>
    </w:p>
    <w:p w14:paraId="5762C308" w14:textId="77777777" w:rsidR="00857157" w:rsidRPr="00182453" w:rsidRDefault="00857157" w:rsidP="00857157">
      <w:pPr>
        <w:jc w:val="center"/>
        <w:rPr>
          <w:b/>
          <w:sz w:val="22"/>
          <w:szCs w:val="22"/>
          <w:lang w:val="pt-BR"/>
        </w:rPr>
      </w:pPr>
      <w:r w:rsidRPr="00182453">
        <w:rPr>
          <w:b/>
          <w:sz w:val="22"/>
          <w:szCs w:val="22"/>
          <w:lang w:val="pt-BR"/>
        </w:rPr>
        <w:t>“AÇÃO CLIM</w:t>
      </w:r>
      <w:r>
        <w:rPr>
          <w:b/>
          <w:sz w:val="22"/>
          <w:szCs w:val="22"/>
          <w:lang w:val="pt-BR"/>
        </w:rPr>
        <w:t>Á</w:t>
      </w:r>
      <w:r w:rsidRPr="00182453">
        <w:rPr>
          <w:b/>
          <w:sz w:val="22"/>
          <w:szCs w:val="22"/>
          <w:lang w:val="pt-BR"/>
        </w:rPr>
        <w:t xml:space="preserve">TICA: </w:t>
      </w:r>
      <w:r>
        <w:rPr>
          <w:b/>
          <w:sz w:val="22"/>
          <w:szCs w:val="22"/>
          <w:lang w:val="pt-BR"/>
        </w:rPr>
        <w:t>CONSTRUI</w:t>
      </w:r>
      <w:r w:rsidRPr="00182453">
        <w:rPr>
          <w:b/>
          <w:sz w:val="22"/>
          <w:szCs w:val="22"/>
          <w:lang w:val="pt-BR"/>
        </w:rPr>
        <w:t>NDO UMA AGENDA REGIONAL PARA GARANTIR NOSSO FUTURO”</w:t>
      </w:r>
    </w:p>
    <w:p w14:paraId="1DC3B2B6" w14:textId="77777777" w:rsidR="00857157" w:rsidRDefault="00857157" w:rsidP="00642BA0">
      <w:pPr>
        <w:pStyle w:val="Heading1"/>
        <w:rPr>
          <w:rFonts w:ascii="Times New Roman" w:hAnsi="Times New Roman"/>
          <w:szCs w:val="22"/>
          <w:lang w:val="pt-BR"/>
        </w:rPr>
      </w:pPr>
    </w:p>
    <w:p w14:paraId="6F68F08D" w14:textId="77777777" w:rsidR="00857157" w:rsidRDefault="00857157" w:rsidP="00642BA0">
      <w:pPr>
        <w:pStyle w:val="Heading1"/>
        <w:rPr>
          <w:rFonts w:ascii="Times New Roman" w:hAnsi="Times New Roman"/>
          <w:szCs w:val="22"/>
          <w:lang w:val="pt-BR"/>
        </w:rPr>
      </w:pPr>
    </w:p>
    <w:p w14:paraId="60BAB82F" w14:textId="6E2DD59E" w:rsidR="00642BA0" w:rsidRPr="005C5064" w:rsidRDefault="00642BA0" w:rsidP="00642BA0">
      <w:pPr>
        <w:pStyle w:val="Heading1"/>
        <w:rPr>
          <w:rFonts w:ascii="Times New Roman" w:eastAsiaTheme="majorEastAsia" w:hAnsi="Times New Roman"/>
          <w:color w:val="2E74B5" w:themeColor="accent1" w:themeShade="BF"/>
          <w:lang w:val="pt-BR"/>
        </w:rPr>
      </w:pPr>
      <w:r w:rsidRPr="005C5064">
        <w:rPr>
          <w:rFonts w:ascii="Times New Roman" w:hAnsi="Times New Roman"/>
          <w:szCs w:val="22"/>
          <w:lang w:val="pt-BR"/>
        </w:rPr>
        <w:t>ANTECEDENTES</w:t>
      </w:r>
      <w:bookmarkEnd w:id="1"/>
    </w:p>
    <w:p w14:paraId="7638D530" w14:textId="77777777" w:rsidR="00642BA0" w:rsidRPr="005C5064" w:rsidRDefault="00642BA0" w:rsidP="00642BA0">
      <w:pPr>
        <w:rPr>
          <w:lang w:val="pt-BR"/>
        </w:rPr>
      </w:pPr>
    </w:p>
    <w:p w14:paraId="7D5784C6" w14:textId="058C0725" w:rsidR="00642BA0" w:rsidRPr="005C5064" w:rsidRDefault="00642BA0" w:rsidP="00642BA0">
      <w:pPr>
        <w:tabs>
          <w:tab w:val="left" w:pos="720"/>
        </w:tabs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ab/>
        <w:t xml:space="preserve">Os Ministros e Altas Autoridades de Desenvolvimento Sustentável irão se reunir em Nassau, Bahamas, em outubro de 2023 para </w:t>
      </w:r>
      <w:r w:rsidR="004C76F3" w:rsidRPr="005C5064">
        <w:rPr>
          <w:sz w:val="22"/>
          <w:szCs w:val="22"/>
          <w:lang w:val="pt-BR"/>
        </w:rPr>
        <w:t xml:space="preserve">abordar </w:t>
      </w:r>
      <w:r w:rsidR="007519B3" w:rsidRPr="005C5064">
        <w:rPr>
          <w:sz w:val="22"/>
          <w:szCs w:val="22"/>
          <w:lang w:val="pt-BR"/>
        </w:rPr>
        <w:t xml:space="preserve">o </w:t>
      </w:r>
      <w:r w:rsidRPr="005C5064">
        <w:rPr>
          <w:sz w:val="22"/>
          <w:szCs w:val="22"/>
          <w:lang w:val="pt-BR"/>
        </w:rPr>
        <w:t>tema d</w:t>
      </w:r>
      <w:r w:rsidR="007519B3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 xml:space="preserve"> “Ação Climática” com o objetivo de definir políticas, atividades, projetos e outros resultados orientados p</w:t>
      </w:r>
      <w:r w:rsidR="007519B3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>r</w:t>
      </w:r>
      <w:r w:rsidR="007519B3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 xml:space="preserve"> soluções que colocam as Américas no caminho para melhor abordar as causas e resiliência aos impactos da mudança climática. Na preparação para esse evento </w:t>
      </w:r>
      <w:r w:rsidR="007519B3" w:rsidRPr="005C5064">
        <w:rPr>
          <w:sz w:val="22"/>
          <w:szCs w:val="22"/>
          <w:lang w:val="pt-BR"/>
        </w:rPr>
        <w:t>m</w:t>
      </w:r>
      <w:r w:rsidRPr="005C5064">
        <w:rPr>
          <w:sz w:val="22"/>
          <w:szCs w:val="22"/>
          <w:lang w:val="pt-BR"/>
        </w:rPr>
        <w:t>inisterial, es</w:t>
      </w:r>
      <w:r w:rsidR="007519B3" w:rsidRPr="005C5064">
        <w:rPr>
          <w:sz w:val="22"/>
          <w:szCs w:val="22"/>
          <w:lang w:val="pt-BR"/>
        </w:rPr>
        <w:t>t</w:t>
      </w:r>
      <w:r w:rsidRPr="005C5064">
        <w:rPr>
          <w:sz w:val="22"/>
          <w:szCs w:val="22"/>
          <w:lang w:val="pt-BR"/>
        </w:rPr>
        <w:t>e documento resum</w:t>
      </w:r>
      <w:r w:rsidR="007519B3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 xml:space="preserve"> os principais temas, desafios, lacunas, oportunidades e outros assuntos cruciais enfrentados pelos países das Américas </w:t>
      </w:r>
      <w:r w:rsidR="007519B3" w:rsidRPr="005C5064">
        <w:rPr>
          <w:sz w:val="22"/>
          <w:szCs w:val="22"/>
          <w:lang w:val="pt-BR"/>
        </w:rPr>
        <w:t xml:space="preserve">nos </w:t>
      </w:r>
      <w:r w:rsidRPr="005C5064">
        <w:rPr>
          <w:sz w:val="22"/>
          <w:szCs w:val="22"/>
          <w:lang w:val="pt-BR"/>
        </w:rPr>
        <w:t xml:space="preserve">esforços para mitigar as causas da mudança </w:t>
      </w:r>
      <w:r w:rsidR="000152CA" w:rsidRPr="005C5064">
        <w:rPr>
          <w:sz w:val="22"/>
          <w:szCs w:val="22"/>
          <w:lang w:val="pt-BR"/>
        </w:rPr>
        <w:t>climát</w:t>
      </w:r>
      <w:r w:rsidRPr="005C5064">
        <w:rPr>
          <w:sz w:val="22"/>
          <w:szCs w:val="22"/>
          <w:lang w:val="pt-BR"/>
        </w:rPr>
        <w:t xml:space="preserve">ica </w:t>
      </w:r>
      <w:r w:rsidR="007519B3" w:rsidRPr="005C5064">
        <w:rPr>
          <w:sz w:val="22"/>
          <w:szCs w:val="22"/>
          <w:lang w:val="pt-BR"/>
        </w:rPr>
        <w:t xml:space="preserve">e </w:t>
      </w:r>
      <w:r w:rsidRPr="005C5064">
        <w:rPr>
          <w:sz w:val="22"/>
          <w:szCs w:val="22"/>
          <w:lang w:val="pt-BR"/>
        </w:rPr>
        <w:t>adapta</w:t>
      </w:r>
      <w:r w:rsidR="007519B3" w:rsidRPr="005C5064">
        <w:rPr>
          <w:sz w:val="22"/>
          <w:szCs w:val="22"/>
          <w:lang w:val="pt-BR"/>
        </w:rPr>
        <w:t>r-se</w:t>
      </w:r>
      <w:r w:rsidRPr="005C5064">
        <w:rPr>
          <w:sz w:val="22"/>
          <w:szCs w:val="22"/>
          <w:lang w:val="pt-BR"/>
        </w:rPr>
        <w:t xml:space="preserve"> aos seus impactos.</w:t>
      </w:r>
    </w:p>
    <w:p w14:paraId="218DA754" w14:textId="77777777" w:rsidR="00642BA0" w:rsidRPr="005C5064" w:rsidRDefault="00642BA0" w:rsidP="00642BA0">
      <w:pPr>
        <w:jc w:val="both"/>
        <w:rPr>
          <w:sz w:val="22"/>
          <w:szCs w:val="22"/>
          <w:lang w:val="pt-BR"/>
        </w:rPr>
      </w:pPr>
    </w:p>
    <w:p w14:paraId="5258FDAF" w14:textId="4DE458A5" w:rsidR="00642BA0" w:rsidRPr="005C5064" w:rsidRDefault="00642BA0" w:rsidP="00642BA0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ab/>
        <w:t>No dia 25 de setembro de 2015, as Nações Unidas aprovaram a Agenda de Desenvolvimento Sustentável 2030,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1"/>
      </w:r>
      <w:r w:rsidRPr="005C5064">
        <w:rPr>
          <w:sz w:val="22"/>
          <w:szCs w:val="22"/>
          <w:vertAlign w:val="superscript"/>
          <w:lang w:val="pt-BR"/>
        </w:rPr>
        <w:t xml:space="preserve">/ </w:t>
      </w:r>
      <w:r w:rsidRPr="005C5064">
        <w:rPr>
          <w:sz w:val="22"/>
          <w:szCs w:val="22"/>
          <w:lang w:val="pt-BR"/>
        </w:rPr>
        <w:t xml:space="preserve">estabelecendo de forma eficaz 17 Objetivos de Desenvolvimento Sustentável e 169 metas. Esses </w:t>
      </w:r>
      <w:r w:rsidR="007519B3" w:rsidRPr="005C5064">
        <w:rPr>
          <w:sz w:val="22"/>
          <w:szCs w:val="22"/>
          <w:lang w:val="pt-BR"/>
        </w:rPr>
        <w:t>o</w:t>
      </w:r>
      <w:r w:rsidRPr="005C5064">
        <w:rPr>
          <w:sz w:val="22"/>
          <w:szCs w:val="22"/>
          <w:lang w:val="pt-BR"/>
        </w:rPr>
        <w:t xml:space="preserve">bjetivos e metas </w:t>
      </w:r>
      <w:r w:rsidR="007519B3" w:rsidRPr="005C5064">
        <w:rPr>
          <w:sz w:val="22"/>
          <w:szCs w:val="22"/>
          <w:lang w:val="pt-BR"/>
        </w:rPr>
        <w:t>procur</w:t>
      </w:r>
      <w:r w:rsidRPr="005C5064">
        <w:rPr>
          <w:sz w:val="22"/>
          <w:szCs w:val="22"/>
          <w:lang w:val="pt-BR"/>
        </w:rPr>
        <w:t xml:space="preserve">am estimular </w:t>
      </w:r>
      <w:r w:rsidR="007519B3" w:rsidRPr="005C5064">
        <w:rPr>
          <w:sz w:val="22"/>
          <w:szCs w:val="22"/>
          <w:lang w:val="pt-BR"/>
        </w:rPr>
        <w:t xml:space="preserve">a </w:t>
      </w:r>
      <w:r w:rsidRPr="005C5064">
        <w:rPr>
          <w:sz w:val="22"/>
          <w:szCs w:val="22"/>
          <w:lang w:val="pt-BR"/>
        </w:rPr>
        <w:t>ação em áreas de importância crítica para a humanidade e o planeta, com foco no crescimento econômico sustentado, inclusivo e sustentável e no trabalho decente para todos</w:t>
      </w:r>
      <w:r w:rsidR="007519B3" w:rsidRPr="005C5064">
        <w:rPr>
          <w:sz w:val="22"/>
          <w:szCs w:val="22"/>
          <w:lang w:val="pt-BR"/>
        </w:rPr>
        <w:t>,</w:t>
      </w:r>
      <w:r w:rsidRPr="005C5064">
        <w:rPr>
          <w:sz w:val="22"/>
          <w:szCs w:val="22"/>
          <w:lang w:val="pt-BR"/>
        </w:rPr>
        <w:t xml:space="preserve"> padrões de consumo e produção sustentável e uso de todos os recursos naturais</w:t>
      </w:r>
      <w:r w:rsidR="007519B3" w:rsidRPr="005C5064">
        <w:rPr>
          <w:sz w:val="22"/>
          <w:szCs w:val="22"/>
          <w:lang w:val="pt-BR"/>
        </w:rPr>
        <w:t>,</w:t>
      </w:r>
      <w:r w:rsidRPr="005C5064">
        <w:rPr>
          <w:sz w:val="22"/>
          <w:szCs w:val="22"/>
          <w:lang w:val="pt-BR"/>
        </w:rPr>
        <w:t xml:space="preserve"> democracia, boa governança e o estado de direito como ingredientes essenciais para o desenvolvimento sustentável e a aplicação de tecnologias que sejam sensíveis com relação ao clima, respeitem a biodiversidade e sejam resilientes. </w:t>
      </w:r>
    </w:p>
    <w:p w14:paraId="3B08F6F2" w14:textId="77777777" w:rsidR="00642BA0" w:rsidRPr="005C5064" w:rsidRDefault="00642BA0" w:rsidP="00642BA0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61F6699E" w14:textId="0DE442FE" w:rsidR="00642BA0" w:rsidRPr="005C5064" w:rsidRDefault="00642BA0" w:rsidP="00642BA0">
      <w:pPr>
        <w:tabs>
          <w:tab w:val="left" w:pos="630"/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ab/>
      </w:r>
      <w:r w:rsidR="002249EC" w:rsidRPr="005C5064">
        <w:rPr>
          <w:sz w:val="22"/>
          <w:szCs w:val="22"/>
          <w:lang w:val="pt-BR"/>
        </w:rPr>
        <w:t xml:space="preserve">Tendo em mente </w:t>
      </w:r>
      <w:r w:rsidRPr="005C5064">
        <w:rPr>
          <w:sz w:val="22"/>
          <w:szCs w:val="22"/>
          <w:lang w:val="pt-BR"/>
        </w:rPr>
        <w:t>esses objetivos, na Nona Cúpula das Américas realizada em Los Angeles no dia 9 de junho de 2022, os Chefes de Estado e Governo das Américas concordaram em buscar o “Nosso Futuro Verde Sustentável.”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2"/>
      </w:r>
      <w:r w:rsidRPr="005C5064">
        <w:rPr>
          <w:sz w:val="22"/>
          <w:szCs w:val="22"/>
          <w:vertAlign w:val="superscript"/>
          <w:lang w:val="pt-BR"/>
        </w:rPr>
        <w:t xml:space="preserve">/ </w:t>
      </w:r>
      <w:r w:rsidR="00A04E71" w:rsidRPr="005C5064">
        <w:rPr>
          <w:sz w:val="22"/>
          <w:szCs w:val="22"/>
          <w:lang w:val="pt-BR"/>
        </w:rPr>
        <w:t>Ess</w:t>
      </w:r>
      <w:r w:rsidRPr="005C5064">
        <w:rPr>
          <w:sz w:val="22"/>
          <w:szCs w:val="22"/>
          <w:lang w:val="pt-BR"/>
        </w:rPr>
        <w:t xml:space="preserve">e compromisso </w:t>
      </w:r>
      <w:r w:rsidR="00A04E71" w:rsidRPr="005C5064">
        <w:rPr>
          <w:sz w:val="22"/>
          <w:szCs w:val="22"/>
          <w:lang w:val="pt-BR"/>
        </w:rPr>
        <w:t>baseia-se</w:t>
      </w:r>
      <w:r w:rsidR="007519B3" w:rsidRPr="005C5064">
        <w:rPr>
          <w:sz w:val="22"/>
          <w:szCs w:val="22"/>
          <w:lang w:val="pt-BR"/>
        </w:rPr>
        <w:t xml:space="preserve"> </w:t>
      </w:r>
      <w:r w:rsidR="00A04E71" w:rsidRPr="005C5064">
        <w:rPr>
          <w:sz w:val="22"/>
          <w:szCs w:val="22"/>
          <w:lang w:val="pt-BR"/>
        </w:rPr>
        <w:t>n</w:t>
      </w:r>
      <w:r w:rsidRPr="005C5064">
        <w:rPr>
          <w:sz w:val="22"/>
          <w:szCs w:val="22"/>
          <w:lang w:val="pt-BR"/>
        </w:rPr>
        <w:t>a Declaração dos L</w:t>
      </w:r>
      <w:r w:rsidR="007519B3" w:rsidRPr="005C5064">
        <w:rPr>
          <w:sz w:val="22"/>
          <w:szCs w:val="22"/>
          <w:lang w:val="pt-BR"/>
        </w:rPr>
        <w:t>í</w:t>
      </w:r>
      <w:r w:rsidRPr="005C5064">
        <w:rPr>
          <w:sz w:val="22"/>
          <w:szCs w:val="22"/>
          <w:lang w:val="pt-BR"/>
        </w:rPr>
        <w:t>deres de Glasgow sobre Floresta</w:t>
      </w:r>
      <w:r w:rsidR="007519B3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 xml:space="preserve"> e Uso da Terra</w:t>
      </w:r>
      <w:r w:rsidR="007519B3" w:rsidRPr="005C5064">
        <w:rPr>
          <w:sz w:val="22"/>
          <w:szCs w:val="22"/>
          <w:lang w:val="pt-BR"/>
        </w:rPr>
        <w:t xml:space="preserve"> da Conferência da ONU sobre Mudança Climática realizada no Reino Unido em 2021 (COP26) </w:t>
      </w:r>
      <w:r w:rsidRPr="005C5064">
        <w:rPr>
          <w:sz w:val="22"/>
          <w:szCs w:val="22"/>
          <w:lang w:val="pt-BR"/>
        </w:rPr>
        <w:t xml:space="preserve">e é um </w:t>
      </w:r>
      <w:r w:rsidR="007519B3" w:rsidRPr="005C5064">
        <w:rPr>
          <w:sz w:val="22"/>
          <w:szCs w:val="22"/>
          <w:lang w:val="pt-BR"/>
        </w:rPr>
        <w:t>apel</w:t>
      </w:r>
      <w:r w:rsidRPr="005C5064">
        <w:rPr>
          <w:sz w:val="22"/>
          <w:szCs w:val="22"/>
          <w:lang w:val="pt-BR"/>
        </w:rPr>
        <w:t xml:space="preserve">o enfático para </w:t>
      </w:r>
      <w:r w:rsidR="007519B3" w:rsidRPr="005C5064">
        <w:rPr>
          <w:sz w:val="22"/>
          <w:szCs w:val="22"/>
          <w:lang w:val="pt-BR"/>
        </w:rPr>
        <w:t>reduzi</w:t>
      </w:r>
      <w:r w:rsidRPr="005C5064">
        <w:rPr>
          <w:sz w:val="22"/>
          <w:szCs w:val="22"/>
          <w:lang w:val="pt-BR"/>
        </w:rPr>
        <w:t>r as emissões de g</w:t>
      </w:r>
      <w:r w:rsidR="007519B3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>s</w:t>
      </w:r>
      <w:r w:rsidR="007519B3" w:rsidRPr="005C5064">
        <w:rPr>
          <w:sz w:val="22"/>
          <w:szCs w:val="22"/>
          <w:lang w:val="pt-BR"/>
        </w:rPr>
        <w:t>es</w:t>
      </w:r>
      <w:r w:rsidRPr="005C5064">
        <w:rPr>
          <w:sz w:val="22"/>
          <w:szCs w:val="22"/>
          <w:lang w:val="pt-BR"/>
        </w:rPr>
        <w:t xml:space="preserve"> do efeito estufa, aproveitar o papel dos oceanos e outros corpos de água para mitiga</w:t>
      </w:r>
      <w:r w:rsidR="007519B3" w:rsidRPr="005C5064">
        <w:rPr>
          <w:sz w:val="22"/>
          <w:szCs w:val="22"/>
          <w:lang w:val="pt-BR"/>
        </w:rPr>
        <w:t>ção</w:t>
      </w:r>
      <w:r w:rsidRPr="005C5064">
        <w:rPr>
          <w:sz w:val="22"/>
          <w:szCs w:val="22"/>
          <w:lang w:val="pt-BR"/>
        </w:rPr>
        <w:t xml:space="preserve"> e adapta</w:t>
      </w:r>
      <w:r w:rsidR="007519B3" w:rsidRPr="005C5064">
        <w:rPr>
          <w:sz w:val="22"/>
          <w:szCs w:val="22"/>
          <w:lang w:val="pt-BR"/>
        </w:rPr>
        <w:t>ção à</w:t>
      </w:r>
      <w:r w:rsidRPr="005C5064">
        <w:rPr>
          <w:sz w:val="22"/>
          <w:szCs w:val="22"/>
          <w:lang w:val="pt-BR"/>
        </w:rPr>
        <w:t xml:space="preserve"> mudança </w:t>
      </w:r>
      <w:r w:rsidR="000152CA" w:rsidRPr="005C5064">
        <w:rPr>
          <w:sz w:val="22"/>
          <w:szCs w:val="22"/>
          <w:lang w:val="pt-BR"/>
        </w:rPr>
        <w:t>climát</w:t>
      </w:r>
      <w:r w:rsidRPr="005C5064">
        <w:rPr>
          <w:sz w:val="22"/>
          <w:szCs w:val="22"/>
          <w:lang w:val="pt-BR"/>
        </w:rPr>
        <w:t xml:space="preserve">ica, acelerar a adaptação à mudança </w:t>
      </w:r>
      <w:r w:rsidR="000152CA" w:rsidRPr="005C5064">
        <w:rPr>
          <w:sz w:val="22"/>
          <w:szCs w:val="22"/>
          <w:lang w:val="pt-BR"/>
        </w:rPr>
        <w:t>climát</w:t>
      </w:r>
      <w:r w:rsidRPr="005C5064">
        <w:rPr>
          <w:sz w:val="22"/>
          <w:szCs w:val="22"/>
          <w:lang w:val="pt-BR"/>
        </w:rPr>
        <w:t>ica, fortalecer a cooperação regional para ajudar os governos a formar resiliência e promover a produção e o consumo responsável e sustentável.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3"/>
      </w:r>
      <w:r w:rsidRPr="005C5064">
        <w:rPr>
          <w:sz w:val="22"/>
          <w:szCs w:val="22"/>
          <w:vertAlign w:val="superscript"/>
          <w:lang w:val="pt-BR"/>
        </w:rPr>
        <w:t>/</w:t>
      </w:r>
      <w:r w:rsidRPr="005C5064">
        <w:rPr>
          <w:sz w:val="22"/>
          <w:szCs w:val="22"/>
          <w:lang w:val="pt-BR"/>
        </w:rPr>
        <w:t xml:space="preserve"> Do mesmo </w:t>
      </w:r>
      <w:r w:rsidR="00A04E71" w:rsidRPr="005C5064">
        <w:rPr>
          <w:sz w:val="22"/>
          <w:szCs w:val="22"/>
          <w:lang w:val="pt-BR"/>
        </w:rPr>
        <w:t>mod</w:t>
      </w:r>
      <w:r w:rsidRPr="005C5064">
        <w:rPr>
          <w:sz w:val="22"/>
          <w:szCs w:val="22"/>
          <w:lang w:val="pt-BR"/>
        </w:rPr>
        <w:t xml:space="preserve">o, os Chefes de Estado e Governo das Américas reunidos em Los Angeles também se comprometeram </w:t>
      </w:r>
      <w:r w:rsidR="00A04E71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>m “Acelera</w:t>
      </w:r>
      <w:r w:rsidR="00A04E71" w:rsidRPr="005C5064">
        <w:rPr>
          <w:sz w:val="22"/>
          <w:szCs w:val="22"/>
          <w:lang w:val="pt-BR"/>
        </w:rPr>
        <w:t>r</w:t>
      </w:r>
      <w:r w:rsidRPr="005C5064">
        <w:rPr>
          <w:sz w:val="22"/>
          <w:szCs w:val="22"/>
          <w:lang w:val="pt-BR"/>
        </w:rPr>
        <w:t xml:space="preserve"> a Transição Justa para a Energia Limpa, Sustentável e Renovável”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4"/>
      </w:r>
      <w:r w:rsidRPr="005C5064">
        <w:rPr>
          <w:sz w:val="22"/>
          <w:szCs w:val="22"/>
          <w:vertAlign w:val="superscript"/>
          <w:lang w:val="pt-BR"/>
        </w:rPr>
        <w:t>/</w:t>
      </w:r>
      <w:r w:rsidRPr="005C5064">
        <w:rPr>
          <w:sz w:val="22"/>
          <w:szCs w:val="22"/>
          <w:lang w:val="pt-BR"/>
        </w:rPr>
        <w:t xml:space="preserve"> como ação mais eficaz para manter o aumento da temperatura média mundial </w:t>
      </w:r>
      <w:r w:rsidR="00D44534" w:rsidRPr="005C5064">
        <w:rPr>
          <w:sz w:val="22"/>
          <w:szCs w:val="22"/>
          <w:lang w:val="pt-BR"/>
        </w:rPr>
        <w:t xml:space="preserve">em </w:t>
      </w:r>
      <w:r w:rsidRPr="005C5064">
        <w:rPr>
          <w:sz w:val="22"/>
          <w:szCs w:val="22"/>
          <w:lang w:val="pt-BR"/>
        </w:rPr>
        <w:t xml:space="preserve">bem </w:t>
      </w:r>
      <w:r w:rsidR="00D44534" w:rsidRPr="005C5064">
        <w:rPr>
          <w:sz w:val="22"/>
          <w:szCs w:val="22"/>
          <w:lang w:val="pt-BR"/>
        </w:rPr>
        <w:t>menos</w:t>
      </w:r>
      <w:r w:rsidRPr="005C5064">
        <w:rPr>
          <w:sz w:val="22"/>
          <w:szCs w:val="22"/>
          <w:lang w:val="pt-BR"/>
        </w:rPr>
        <w:t xml:space="preserve"> d</w:t>
      </w:r>
      <w:r w:rsidR="00A04E71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 xml:space="preserve"> 2°C acima dos níveis pré-industriais e </w:t>
      </w:r>
      <w:r w:rsidR="00A04E71" w:rsidRPr="005C5064">
        <w:rPr>
          <w:sz w:val="22"/>
          <w:szCs w:val="22"/>
          <w:lang w:val="pt-BR"/>
        </w:rPr>
        <w:t>envid</w:t>
      </w:r>
      <w:r w:rsidRPr="005C5064">
        <w:rPr>
          <w:sz w:val="22"/>
          <w:szCs w:val="22"/>
          <w:lang w:val="pt-BR"/>
        </w:rPr>
        <w:t>ar esforços para limitar o aumento da temperatura a 1,5°C acima dos níveis pré-industriais.</w:t>
      </w:r>
    </w:p>
    <w:p w14:paraId="15281ADF" w14:textId="12895409" w:rsidR="00642BA0" w:rsidRPr="005C5064" w:rsidRDefault="00642BA0" w:rsidP="00642BA0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lastRenderedPageBreak/>
        <w:tab/>
      </w:r>
      <w:r w:rsidR="00A04E71" w:rsidRPr="005C5064">
        <w:rPr>
          <w:sz w:val="22"/>
          <w:szCs w:val="22"/>
          <w:lang w:val="pt-BR"/>
        </w:rPr>
        <w:t xml:space="preserve">Em conformidade </w:t>
      </w:r>
      <w:r w:rsidRPr="005C5064">
        <w:rPr>
          <w:sz w:val="22"/>
          <w:szCs w:val="22"/>
          <w:lang w:val="pt-BR"/>
        </w:rPr>
        <w:t>com esse enfoque, em 20 de novembro de 2022, na Vigésima</w:t>
      </w:r>
      <w:r w:rsidR="00A04E71" w:rsidRPr="005C5064">
        <w:rPr>
          <w:sz w:val="22"/>
          <w:szCs w:val="22"/>
          <w:lang w:val="pt-BR"/>
        </w:rPr>
        <w:t xml:space="preserve"> S</w:t>
      </w:r>
      <w:r w:rsidRPr="005C5064">
        <w:rPr>
          <w:sz w:val="22"/>
          <w:szCs w:val="22"/>
          <w:lang w:val="pt-BR"/>
        </w:rPr>
        <w:t>étima Confer</w:t>
      </w:r>
      <w:r w:rsidR="00A04E71" w:rsidRPr="005C5064">
        <w:rPr>
          <w:sz w:val="22"/>
          <w:szCs w:val="22"/>
          <w:lang w:val="pt-BR"/>
        </w:rPr>
        <w:t>ê</w:t>
      </w:r>
      <w:r w:rsidRPr="005C5064">
        <w:rPr>
          <w:sz w:val="22"/>
          <w:szCs w:val="22"/>
          <w:lang w:val="pt-BR"/>
        </w:rPr>
        <w:t>ncia d</w:t>
      </w:r>
      <w:r w:rsidR="00A04E71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>s Part</w:t>
      </w:r>
      <w:r w:rsidR="00A04E71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 xml:space="preserve">s </w:t>
      </w:r>
      <w:r w:rsidR="00A04E71" w:rsidRPr="005C5064">
        <w:rPr>
          <w:sz w:val="22"/>
          <w:szCs w:val="22"/>
          <w:lang w:val="pt-BR"/>
        </w:rPr>
        <w:t>n</w:t>
      </w:r>
      <w:r w:rsidRPr="005C5064">
        <w:rPr>
          <w:sz w:val="22"/>
          <w:szCs w:val="22"/>
          <w:lang w:val="pt-BR"/>
        </w:rPr>
        <w:t>a Convenção</w:t>
      </w:r>
      <w:r w:rsidR="00A04E71" w:rsidRPr="005C5064">
        <w:rPr>
          <w:sz w:val="22"/>
          <w:szCs w:val="22"/>
          <w:lang w:val="pt-BR"/>
        </w:rPr>
        <w:t>-</w:t>
      </w:r>
      <w:r w:rsidRPr="005C5064">
        <w:rPr>
          <w:sz w:val="22"/>
          <w:szCs w:val="22"/>
          <w:lang w:val="pt-BR"/>
        </w:rPr>
        <w:t xml:space="preserve">Quadro das Nações Unidas sobre Mudança Climática (COP 27), </w:t>
      </w:r>
      <w:r w:rsidR="00A04E71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>s part</w:t>
      </w:r>
      <w:r w:rsidR="00A04E71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>s reconheceram “a necessidade urgente e imediata de recursos financeiros novos, adicionais, predizíeis e adequados para ajudar os países em desenvolvimento que são particularmente vulneráveis aos efeitos adversos da mudança climática na resposta a ‘per</w:t>
      </w:r>
      <w:r w:rsidR="002249EC" w:rsidRPr="005C5064">
        <w:rPr>
          <w:sz w:val="22"/>
          <w:szCs w:val="22"/>
          <w:lang w:val="pt-BR"/>
        </w:rPr>
        <w:t>d</w:t>
      </w:r>
      <w:r w:rsidRPr="005C5064">
        <w:rPr>
          <w:sz w:val="22"/>
          <w:szCs w:val="22"/>
          <w:lang w:val="pt-BR"/>
        </w:rPr>
        <w:t>as e danos’ econômicos e não econômicos associados aos efeitos adversos da mudança climática, inclu</w:t>
      </w:r>
      <w:r w:rsidR="002249EC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>i</w:t>
      </w:r>
      <w:r w:rsidR="002249EC" w:rsidRPr="005C5064">
        <w:rPr>
          <w:sz w:val="22"/>
          <w:szCs w:val="22"/>
          <w:lang w:val="pt-BR"/>
        </w:rPr>
        <w:t>ve</w:t>
      </w:r>
      <w:r w:rsidRPr="005C5064">
        <w:rPr>
          <w:sz w:val="22"/>
          <w:szCs w:val="22"/>
          <w:lang w:val="pt-BR"/>
        </w:rPr>
        <w:t xml:space="preserve"> eventos climáticos extremos e eventos de </w:t>
      </w:r>
      <w:r w:rsidR="002249EC" w:rsidRPr="005C5064">
        <w:rPr>
          <w:sz w:val="22"/>
          <w:szCs w:val="22"/>
          <w:lang w:val="pt-BR"/>
        </w:rPr>
        <w:t>início</w:t>
      </w:r>
      <w:r w:rsidRPr="005C5064">
        <w:rPr>
          <w:sz w:val="22"/>
          <w:szCs w:val="22"/>
          <w:lang w:val="pt-BR"/>
        </w:rPr>
        <w:t xml:space="preserve"> lent</w:t>
      </w:r>
      <w:r w:rsidR="002249EC" w:rsidRPr="005C5064">
        <w:rPr>
          <w:sz w:val="22"/>
          <w:szCs w:val="22"/>
          <w:lang w:val="pt-BR"/>
        </w:rPr>
        <w:t>o</w:t>
      </w:r>
      <w:r w:rsidRPr="005C5064">
        <w:rPr>
          <w:sz w:val="22"/>
          <w:szCs w:val="22"/>
          <w:lang w:val="pt-BR"/>
        </w:rPr>
        <w:t xml:space="preserve">, especialmente no contexto da ação contínua e </w:t>
      </w:r>
      <w:r w:rsidRPr="005C5064">
        <w:rPr>
          <w:i/>
          <w:iCs/>
          <w:sz w:val="22"/>
          <w:szCs w:val="22"/>
          <w:lang w:val="pt-BR"/>
        </w:rPr>
        <w:t>ex</w:t>
      </w:r>
      <w:r w:rsidR="002249EC" w:rsidRPr="005C5064">
        <w:rPr>
          <w:i/>
          <w:iCs/>
          <w:sz w:val="22"/>
          <w:szCs w:val="22"/>
          <w:lang w:val="pt-BR"/>
        </w:rPr>
        <w:t xml:space="preserve"> </w:t>
      </w:r>
      <w:r w:rsidRPr="005C5064">
        <w:rPr>
          <w:i/>
          <w:iCs/>
          <w:sz w:val="22"/>
          <w:szCs w:val="22"/>
          <w:lang w:val="pt-BR"/>
        </w:rPr>
        <w:t>post</w:t>
      </w:r>
      <w:r w:rsidRPr="005C5064">
        <w:rPr>
          <w:sz w:val="22"/>
          <w:szCs w:val="22"/>
          <w:lang w:val="pt-BR"/>
        </w:rPr>
        <w:t xml:space="preserve"> (inclu</w:t>
      </w:r>
      <w:r w:rsidR="002249EC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>i</w:t>
      </w:r>
      <w:r w:rsidR="002249EC" w:rsidRPr="005C5064">
        <w:rPr>
          <w:sz w:val="22"/>
          <w:szCs w:val="22"/>
          <w:lang w:val="pt-BR"/>
        </w:rPr>
        <w:t>ve</w:t>
      </w:r>
      <w:r w:rsidRPr="005C5064">
        <w:rPr>
          <w:sz w:val="22"/>
          <w:szCs w:val="22"/>
          <w:lang w:val="pt-BR"/>
        </w:rPr>
        <w:t xml:space="preserve"> reabilitação, recuperação e reconstrução).”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5"/>
      </w:r>
      <w:r w:rsidRPr="005C5064">
        <w:rPr>
          <w:sz w:val="22"/>
          <w:szCs w:val="22"/>
          <w:vertAlign w:val="superscript"/>
          <w:lang w:val="pt-BR"/>
        </w:rPr>
        <w:t xml:space="preserve">/ </w:t>
      </w:r>
      <w:r w:rsidR="002249EC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>s part</w:t>
      </w:r>
      <w:r w:rsidR="002249EC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>s decidiram “estabelecer novos acordos de financiamento para ajudar os países em desenvolvimento que são particularmente vulneráveis aos efeitos adversos da mudança climática, na resposta a perdas e danos, inclusive focando na abordagem de perdas e danos</w:t>
      </w:r>
      <w:r w:rsidR="002249EC" w:rsidRPr="005C5064">
        <w:rPr>
          <w:sz w:val="22"/>
          <w:szCs w:val="22"/>
          <w:lang w:val="pt-BR"/>
        </w:rPr>
        <w:t>,</w:t>
      </w:r>
      <w:r w:rsidRPr="005C5064">
        <w:rPr>
          <w:sz w:val="22"/>
          <w:szCs w:val="22"/>
          <w:lang w:val="pt-BR"/>
        </w:rPr>
        <w:t xml:space="preserve"> oferecendo e ajudando na mobilização de recursos novos e adicionais, e que esses novos arranjos complementem e incluam fontes, fundos, processos e iniciativas dento e fora da Convenção e do Acordo de Paris.”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6"/>
      </w:r>
      <w:r w:rsidRPr="005C5064">
        <w:rPr>
          <w:sz w:val="22"/>
          <w:szCs w:val="22"/>
          <w:vertAlign w:val="superscript"/>
          <w:lang w:val="pt-BR"/>
        </w:rPr>
        <w:t>/</w:t>
      </w:r>
    </w:p>
    <w:p w14:paraId="3E9B9D4D" w14:textId="77777777" w:rsidR="00642BA0" w:rsidRPr="005C5064" w:rsidRDefault="00642BA0" w:rsidP="00642BA0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72EE66F7" w14:textId="75AE658E" w:rsidR="00642BA0" w:rsidRPr="005C5064" w:rsidRDefault="00642BA0" w:rsidP="00642BA0">
      <w:pPr>
        <w:shd w:val="clear" w:color="auto" w:fill="FFFFFF"/>
        <w:tabs>
          <w:tab w:val="left" w:pos="720"/>
        </w:tabs>
        <w:jc w:val="both"/>
        <w:rPr>
          <w:bCs/>
          <w:sz w:val="22"/>
          <w:szCs w:val="22"/>
          <w:lang w:val="pt-BR"/>
        </w:rPr>
      </w:pPr>
      <w:r w:rsidRPr="005C5064">
        <w:rPr>
          <w:bCs/>
          <w:sz w:val="22"/>
          <w:szCs w:val="22"/>
          <w:lang w:val="pt-BR"/>
        </w:rPr>
        <w:tab/>
        <w:t>Ademais, em 18 de dezembro de 2022, a Décima</w:t>
      </w:r>
      <w:r w:rsidR="002249EC" w:rsidRPr="005C5064">
        <w:rPr>
          <w:bCs/>
          <w:sz w:val="22"/>
          <w:szCs w:val="22"/>
          <w:lang w:val="pt-BR"/>
        </w:rPr>
        <w:t xml:space="preserve"> Q</w:t>
      </w:r>
      <w:r w:rsidRPr="005C5064">
        <w:rPr>
          <w:bCs/>
          <w:sz w:val="22"/>
          <w:szCs w:val="22"/>
          <w:lang w:val="pt-BR"/>
        </w:rPr>
        <w:t>uinta Conferência d</w:t>
      </w:r>
      <w:r w:rsidR="002249EC" w:rsidRPr="005C5064">
        <w:rPr>
          <w:bCs/>
          <w:sz w:val="22"/>
          <w:szCs w:val="22"/>
          <w:lang w:val="pt-BR"/>
        </w:rPr>
        <w:t>as</w:t>
      </w:r>
      <w:r w:rsidRPr="005C5064">
        <w:rPr>
          <w:bCs/>
          <w:sz w:val="22"/>
          <w:szCs w:val="22"/>
          <w:lang w:val="pt-BR"/>
        </w:rPr>
        <w:t xml:space="preserve"> Part</w:t>
      </w:r>
      <w:r w:rsidR="002249EC" w:rsidRPr="005C5064">
        <w:rPr>
          <w:bCs/>
          <w:sz w:val="22"/>
          <w:szCs w:val="22"/>
          <w:lang w:val="pt-BR"/>
        </w:rPr>
        <w:t>e</w:t>
      </w:r>
      <w:r w:rsidRPr="005C5064">
        <w:rPr>
          <w:bCs/>
          <w:sz w:val="22"/>
          <w:szCs w:val="22"/>
          <w:lang w:val="pt-BR"/>
        </w:rPr>
        <w:t xml:space="preserve">s </w:t>
      </w:r>
      <w:r w:rsidR="002249EC" w:rsidRPr="005C5064">
        <w:rPr>
          <w:bCs/>
          <w:sz w:val="22"/>
          <w:szCs w:val="22"/>
          <w:lang w:val="pt-BR"/>
        </w:rPr>
        <w:t>n</w:t>
      </w:r>
      <w:r w:rsidRPr="005C5064">
        <w:rPr>
          <w:bCs/>
          <w:sz w:val="22"/>
          <w:szCs w:val="22"/>
          <w:lang w:val="pt-BR"/>
        </w:rPr>
        <w:t xml:space="preserve">a Convenção das Nações Unidas sobre Diversidade Biológica aprovou o Quadro Global </w:t>
      </w:r>
      <w:r w:rsidR="00D521A3" w:rsidRPr="005C5064">
        <w:rPr>
          <w:bCs/>
          <w:sz w:val="22"/>
          <w:szCs w:val="22"/>
          <w:lang w:val="pt-BR"/>
        </w:rPr>
        <w:t xml:space="preserve">de Biodiversidade </w:t>
      </w:r>
      <w:r w:rsidRPr="005C5064">
        <w:rPr>
          <w:bCs/>
          <w:sz w:val="22"/>
          <w:szCs w:val="22"/>
          <w:lang w:val="pt-BR"/>
        </w:rPr>
        <w:t>Kunming-Montreal,</w:t>
      </w:r>
      <w:r w:rsidRPr="005C5064">
        <w:rPr>
          <w:rStyle w:val="FootnoteReference"/>
          <w:bCs/>
          <w:sz w:val="22"/>
          <w:szCs w:val="22"/>
          <w:u w:val="single"/>
          <w:lang w:val="pt-BR"/>
        </w:rPr>
        <w:footnoteReference w:id="7"/>
      </w:r>
      <w:r w:rsidRPr="005C5064">
        <w:rPr>
          <w:bCs/>
          <w:sz w:val="22"/>
          <w:szCs w:val="22"/>
          <w:vertAlign w:val="superscript"/>
          <w:lang w:val="pt-BR"/>
        </w:rPr>
        <w:t>/</w:t>
      </w:r>
      <w:r w:rsidRPr="005C5064">
        <w:rPr>
          <w:bCs/>
          <w:sz w:val="22"/>
          <w:szCs w:val="22"/>
          <w:lang w:val="pt-BR"/>
        </w:rPr>
        <w:t xml:space="preserve"> que desenvolve quatro objetivos de longo prazo para 2050 relacionados </w:t>
      </w:r>
      <w:r w:rsidR="002249EC" w:rsidRPr="005C5064">
        <w:rPr>
          <w:bCs/>
          <w:sz w:val="22"/>
          <w:szCs w:val="22"/>
          <w:lang w:val="pt-BR"/>
        </w:rPr>
        <w:t>à</w:t>
      </w:r>
      <w:r w:rsidRPr="005C5064">
        <w:rPr>
          <w:bCs/>
          <w:sz w:val="22"/>
          <w:szCs w:val="22"/>
          <w:lang w:val="pt-BR"/>
        </w:rPr>
        <w:t xml:space="preserve"> Visão para Biodiversidade 2050. Esses objetivos </w:t>
      </w:r>
      <w:r w:rsidR="00D521A3" w:rsidRPr="005C5064">
        <w:rPr>
          <w:bCs/>
          <w:sz w:val="22"/>
          <w:szCs w:val="22"/>
          <w:lang w:val="pt-BR"/>
        </w:rPr>
        <w:t>estão</w:t>
      </w:r>
      <w:r w:rsidRPr="005C5064">
        <w:rPr>
          <w:bCs/>
          <w:sz w:val="22"/>
          <w:szCs w:val="22"/>
          <w:lang w:val="pt-BR"/>
        </w:rPr>
        <w:t xml:space="preserve"> relaciona</w:t>
      </w:r>
      <w:r w:rsidR="00D521A3" w:rsidRPr="005C5064">
        <w:rPr>
          <w:bCs/>
          <w:sz w:val="22"/>
          <w:szCs w:val="22"/>
          <w:lang w:val="pt-BR"/>
        </w:rPr>
        <w:t>dos com</w:t>
      </w:r>
      <w:r w:rsidRPr="005C5064">
        <w:rPr>
          <w:bCs/>
          <w:sz w:val="22"/>
          <w:szCs w:val="22"/>
          <w:lang w:val="pt-BR"/>
        </w:rPr>
        <w:t xml:space="preserve"> a integridade, conectividade e resiliência de todos os ecossistemas; o uso sustentável da biodiversidade; o uso justo de recursos genéticos e conhecimento</w:t>
      </w:r>
      <w:r w:rsidR="00D521A3" w:rsidRPr="005C5064">
        <w:rPr>
          <w:bCs/>
          <w:sz w:val="22"/>
          <w:szCs w:val="22"/>
          <w:lang w:val="pt-BR"/>
        </w:rPr>
        <w:t>s</w:t>
      </w:r>
      <w:r w:rsidRPr="005C5064">
        <w:rPr>
          <w:bCs/>
          <w:sz w:val="22"/>
          <w:szCs w:val="22"/>
          <w:lang w:val="pt-BR"/>
        </w:rPr>
        <w:t xml:space="preserve"> indígena</w:t>
      </w:r>
      <w:r w:rsidR="00D521A3" w:rsidRPr="005C5064">
        <w:rPr>
          <w:bCs/>
          <w:sz w:val="22"/>
          <w:szCs w:val="22"/>
          <w:lang w:val="pt-BR"/>
        </w:rPr>
        <w:t>s</w:t>
      </w:r>
      <w:r w:rsidRPr="005C5064">
        <w:rPr>
          <w:bCs/>
          <w:sz w:val="22"/>
          <w:szCs w:val="22"/>
          <w:lang w:val="pt-BR"/>
        </w:rPr>
        <w:t>; e a disponibilidade de recursos financeiros, for</w:t>
      </w:r>
      <w:r w:rsidR="00D521A3" w:rsidRPr="005C5064">
        <w:rPr>
          <w:bCs/>
          <w:sz w:val="22"/>
          <w:szCs w:val="22"/>
          <w:lang w:val="pt-BR"/>
        </w:rPr>
        <w:t>talecimento</w:t>
      </w:r>
      <w:r w:rsidRPr="005C5064">
        <w:rPr>
          <w:bCs/>
          <w:sz w:val="22"/>
          <w:szCs w:val="22"/>
          <w:lang w:val="pt-BR"/>
        </w:rPr>
        <w:t xml:space="preserve"> d</w:t>
      </w:r>
      <w:r w:rsidR="00D521A3" w:rsidRPr="005C5064">
        <w:rPr>
          <w:bCs/>
          <w:sz w:val="22"/>
          <w:szCs w:val="22"/>
          <w:lang w:val="pt-BR"/>
        </w:rPr>
        <w:t>a</w:t>
      </w:r>
      <w:r w:rsidRPr="005C5064">
        <w:rPr>
          <w:bCs/>
          <w:sz w:val="22"/>
          <w:szCs w:val="22"/>
          <w:lang w:val="pt-BR"/>
        </w:rPr>
        <w:t xml:space="preserve"> capacidade, cooperação técnica e cientifica e acesso e transferência de tecnologia para implementar esses objetivos.</w:t>
      </w:r>
    </w:p>
    <w:p w14:paraId="3EF10352" w14:textId="77777777" w:rsidR="00642BA0" w:rsidRPr="005C5064" w:rsidRDefault="00642BA0" w:rsidP="00642BA0">
      <w:pPr>
        <w:shd w:val="clear" w:color="auto" w:fill="FFFFFF"/>
        <w:tabs>
          <w:tab w:val="left" w:pos="720"/>
        </w:tabs>
        <w:jc w:val="both"/>
        <w:rPr>
          <w:bCs/>
          <w:sz w:val="22"/>
          <w:szCs w:val="22"/>
          <w:lang w:val="pt-BR"/>
        </w:rPr>
      </w:pPr>
    </w:p>
    <w:p w14:paraId="3F1948B7" w14:textId="18C95E9B" w:rsidR="00642BA0" w:rsidRPr="005C5064" w:rsidRDefault="00642BA0" w:rsidP="00642BA0">
      <w:pPr>
        <w:ind w:firstLine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A partir de fevereiro de 2023, 198 Part</w:t>
      </w:r>
      <w:r w:rsidR="00D521A3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 xml:space="preserve">s ratificaram o Acordo de Paris que visa a manter a temperatura média mundial </w:t>
      </w:r>
      <w:r w:rsidR="00D521A3" w:rsidRPr="005C5064">
        <w:rPr>
          <w:sz w:val="22"/>
          <w:szCs w:val="22"/>
          <w:lang w:val="pt-BR"/>
        </w:rPr>
        <w:t xml:space="preserve">em </w:t>
      </w:r>
      <w:r w:rsidRPr="005C5064">
        <w:rPr>
          <w:sz w:val="22"/>
          <w:szCs w:val="22"/>
          <w:lang w:val="pt-BR"/>
        </w:rPr>
        <w:t xml:space="preserve">bem </w:t>
      </w:r>
      <w:r w:rsidR="00D521A3" w:rsidRPr="005C5064">
        <w:rPr>
          <w:sz w:val="22"/>
          <w:szCs w:val="22"/>
          <w:lang w:val="pt-BR"/>
        </w:rPr>
        <w:t>menos</w:t>
      </w:r>
      <w:r w:rsidRPr="005C5064">
        <w:rPr>
          <w:sz w:val="22"/>
          <w:szCs w:val="22"/>
          <w:lang w:val="pt-BR"/>
        </w:rPr>
        <w:t xml:space="preserve"> d</w:t>
      </w:r>
      <w:r w:rsidR="00D521A3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 xml:space="preserve"> 2°C e o mais perto possível de 1,5°C acima dos níveis pré-industriais.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8"/>
      </w:r>
      <w:r w:rsidRPr="005C5064">
        <w:rPr>
          <w:sz w:val="22"/>
          <w:szCs w:val="22"/>
          <w:vertAlign w:val="superscript"/>
          <w:lang w:val="pt-BR"/>
        </w:rPr>
        <w:t>/</w:t>
      </w:r>
      <w:r w:rsidRPr="005C5064">
        <w:rPr>
          <w:sz w:val="22"/>
          <w:szCs w:val="22"/>
          <w:lang w:val="pt-BR"/>
        </w:rPr>
        <w:t xml:space="preserve"> Contudo, em 2019 o IPCC indicou que nenhumas dessas metas trará qualquer redução significa</w:t>
      </w:r>
      <w:r w:rsidR="00D521A3" w:rsidRPr="005C5064">
        <w:rPr>
          <w:sz w:val="22"/>
          <w:szCs w:val="22"/>
          <w:lang w:val="pt-BR"/>
        </w:rPr>
        <w:t>tiva</w:t>
      </w:r>
      <w:r w:rsidRPr="005C5064">
        <w:rPr>
          <w:sz w:val="22"/>
          <w:szCs w:val="22"/>
          <w:lang w:val="pt-BR"/>
        </w:rPr>
        <w:t xml:space="preserve"> nos impactos d</w:t>
      </w:r>
      <w:r w:rsidR="00D521A3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 xml:space="preserve"> mudança climática, especialmente no ambiente marinho. Além disso, o Relatório de Avaliação do IPCC para 2022 revelou que os fluxos financeiros rastreados não chegaram perto dos níveis necessários para alcançar os objetivos de mitigação </w:t>
      </w:r>
      <w:r w:rsidR="00D521A3" w:rsidRPr="005C5064">
        <w:rPr>
          <w:sz w:val="22"/>
          <w:szCs w:val="22"/>
          <w:lang w:val="pt-BR"/>
        </w:rPr>
        <w:t>em</w:t>
      </w:r>
      <w:r w:rsidRPr="005C5064">
        <w:rPr>
          <w:sz w:val="22"/>
          <w:szCs w:val="22"/>
          <w:lang w:val="pt-BR"/>
        </w:rPr>
        <w:t xml:space="preserve"> todos os setores e regiões, e que o desafio de fechar lacunas é maior nos países em desenvolvimento.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9"/>
      </w:r>
      <w:r w:rsidRPr="005C5064">
        <w:rPr>
          <w:sz w:val="22"/>
          <w:szCs w:val="22"/>
          <w:vertAlign w:val="superscript"/>
          <w:lang w:val="pt-BR"/>
        </w:rPr>
        <w:t>/</w:t>
      </w:r>
    </w:p>
    <w:p w14:paraId="48076BD9" w14:textId="77777777" w:rsidR="00642BA0" w:rsidRPr="005C5064" w:rsidRDefault="00642BA0" w:rsidP="00642BA0">
      <w:pPr>
        <w:jc w:val="both"/>
        <w:rPr>
          <w:sz w:val="22"/>
          <w:szCs w:val="22"/>
          <w:lang w:val="pt-BR"/>
        </w:rPr>
      </w:pPr>
    </w:p>
    <w:p w14:paraId="5FC135BA" w14:textId="77777777" w:rsidR="00642BA0" w:rsidRPr="005C5064" w:rsidRDefault="00642BA0" w:rsidP="00642BA0">
      <w:pPr>
        <w:pStyle w:val="Heading2"/>
        <w:ind w:left="720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bookmarkStart w:id="2" w:name="_Toc131518804"/>
      <w:r w:rsidRPr="005C5064">
        <w:rPr>
          <w:rFonts w:ascii="Times New Roman" w:hAnsi="Times New Roman" w:cs="Times New Roman"/>
          <w:b/>
          <w:bCs/>
          <w:sz w:val="22"/>
          <w:szCs w:val="22"/>
          <w:lang w:val="pt-BR"/>
        </w:rPr>
        <w:t>Análise da Situação: Estado da Mudança Climática nas Américas</w:t>
      </w:r>
      <w:bookmarkEnd w:id="2"/>
    </w:p>
    <w:p w14:paraId="12370EDE" w14:textId="77777777" w:rsidR="00642BA0" w:rsidRPr="005C5064" w:rsidRDefault="00642BA0" w:rsidP="00642BA0">
      <w:pPr>
        <w:rPr>
          <w:lang w:val="pt-BR"/>
        </w:rPr>
      </w:pPr>
    </w:p>
    <w:p w14:paraId="65421C82" w14:textId="11D92BCB" w:rsidR="00642BA0" w:rsidRPr="005C5064" w:rsidRDefault="00642BA0" w:rsidP="00642BA0">
      <w:pPr>
        <w:tabs>
          <w:tab w:val="left" w:pos="720"/>
          <w:tab w:val="left" w:pos="1530"/>
        </w:tabs>
        <w:ind w:left="720" w:hanging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ab/>
      </w:r>
      <w:r w:rsidR="00413111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>vidência</w:t>
      </w:r>
      <w:r w:rsidR="00413111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 xml:space="preserve"> cientifica</w:t>
      </w:r>
      <w:r w:rsidR="00413111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 xml:space="preserve"> e empírica</w:t>
      </w:r>
      <w:r w:rsidR="00413111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 xml:space="preserve"> demonstra</w:t>
      </w:r>
      <w:r w:rsidR="00413111" w:rsidRPr="005C5064">
        <w:rPr>
          <w:sz w:val="22"/>
          <w:szCs w:val="22"/>
          <w:lang w:val="pt-BR"/>
        </w:rPr>
        <w:t>m</w:t>
      </w:r>
      <w:r w:rsidRPr="005C5064">
        <w:rPr>
          <w:sz w:val="22"/>
          <w:szCs w:val="22"/>
          <w:lang w:val="pt-BR"/>
        </w:rPr>
        <w:t xml:space="preserve"> que as metas contidas no Acordo de Paris e nos compromissos voluntários de nações signatárias em suas Contribuições Nacionalmente Determinadas (NDC) não são </w:t>
      </w:r>
      <w:r w:rsidR="00721B32" w:rsidRPr="005C5064">
        <w:rPr>
          <w:sz w:val="22"/>
          <w:szCs w:val="22"/>
          <w:lang w:val="pt-BR"/>
        </w:rPr>
        <w:t xml:space="preserve">suficientemente </w:t>
      </w:r>
      <w:r w:rsidRPr="005C5064">
        <w:rPr>
          <w:sz w:val="22"/>
          <w:szCs w:val="22"/>
          <w:lang w:val="pt-BR"/>
        </w:rPr>
        <w:t xml:space="preserve">ambiciosas para evitar </w:t>
      </w:r>
      <w:r w:rsidR="00721B32" w:rsidRPr="005C5064">
        <w:rPr>
          <w:sz w:val="22"/>
          <w:szCs w:val="22"/>
          <w:lang w:val="pt-BR"/>
        </w:rPr>
        <w:t xml:space="preserve">um </w:t>
      </w:r>
      <w:r w:rsidRPr="005C5064">
        <w:rPr>
          <w:sz w:val="22"/>
          <w:szCs w:val="22"/>
          <w:lang w:val="pt-BR"/>
        </w:rPr>
        <w:t xml:space="preserve">desastre iminente </w:t>
      </w:r>
      <w:r w:rsidRPr="005C5064">
        <w:rPr>
          <w:sz w:val="22"/>
          <w:szCs w:val="22"/>
          <w:lang w:val="pt-BR"/>
        </w:rPr>
        <w:lastRenderedPageBreak/>
        <w:t xml:space="preserve">para os países na linha de frente dos impactos da mudança climática, que incluem a vasta maioria dos países das Américas. De acordo com o Relatório </w:t>
      </w:r>
      <w:r w:rsidR="00413111" w:rsidRPr="005C5064">
        <w:rPr>
          <w:sz w:val="22"/>
          <w:szCs w:val="22"/>
          <w:lang w:val="pt-BR"/>
        </w:rPr>
        <w:t xml:space="preserve">sobre a Lacuna </w:t>
      </w:r>
      <w:r w:rsidRPr="005C5064">
        <w:rPr>
          <w:sz w:val="22"/>
          <w:szCs w:val="22"/>
          <w:lang w:val="pt-BR"/>
        </w:rPr>
        <w:t xml:space="preserve">de Emissões divulgado em novembro de 2018 pelo Programa das Nações Unidas para o Meio Ambiente, as atuais NDC verão a temperatura média mundial subir entre 2,9°C e 3,4°C acima dos níveis pré-industriais até o fim desse século. </w:t>
      </w:r>
    </w:p>
    <w:p w14:paraId="344C9A78" w14:textId="77777777" w:rsidR="00642BA0" w:rsidRPr="005C5064" w:rsidRDefault="00642BA0" w:rsidP="00642BA0">
      <w:pPr>
        <w:tabs>
          <w:tab w:val="left" w:pos="720"/>
        </w:tabs>
        <w:ind w:left="720" w:hanging="720"/>
        <w:jc w:val="both"/>
        <w:rPr>
          <w:sz w:val="22"/>
          <w:szCs w:val="22"/>
          <w:lang w:val="pt-BR"/>
        </w:rPr>
      </w:pPr>
    </w:p>
    <w:p w14:paraId="79CEAF01" w14:textId="364E51C5" w:rsidR="00642BA0" w:rsidRPr="005C5064" w:rsidRDefault="00642BA0" w:rsidP="00642BA0">
      <w:pPr>
        <w:tabs>
          <w:tab w:val="left" w:pos="720"/>
        </w:tabs>
        <w:ind w:left="720" w:hanging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ab/>
        <w:t xml:space="preserve">Os impactos observados e previstos da mudança climática incluem furacões mais intensos e mudanças nos padrões de precipitação e aumento do nível do mar que irão impactar todos de forma negativa, especialmente os grupos mais vulneráveis, minar direitos sociais, econômicos, e ambientais e ameaçar a segurança nacional e regional nas Américas. As ameaças </w:t>
      </w:r>
      <w:r w:rsidR="00721B32" w:rsidRPr="005C5064">
        <w:rPr>
          <w:sz w:val="22"/>
          <w:szCs w:val="22"/>
          <w:lang w:val="pt-BR"/>
        </w:rPr>
        <w:t>represent</w:t>
      </w:r>
      <w:r w:rsidRPr="005C5064">
        <w:rPr>
          <w:sz w:val="22"/>
          <w:szCs w:val="22"/>
          <w:lang w:val="pt-BR"/>
        </w:rPr>
        <w:t>adas pelo Aumento do Nível do Mar (</w:t>
      </w:r>
      <w:r w:rsidR="00B41475" w:rsidRPr="005C5064">
        <w:rPr>
          <w:sz w:val="22"/>
          <w:szCs w:val="22"/>
          <w:lang w:val="pt-BR"/>
        </w:rPr>
        <w:t>ANM</w:t>
      </w:r>
      <w:r w:rsidRPr="005C5064">
        <w:rPr>
          <w:sz w:val="22"/>
          <w:szCs w:val="22"/>
          <w:lang w:val="pt-BR"/>
        </w:rPr>
        <w:t xml:space="preserve">) são de particular preocupação para os sistemas costeiros e áreas baixas da região. Os dados empíricos coletados pela comunidade cientifica em todo o mundo são convincentes; as emissões incessantes de carbono levarão a um aquecimento de 4°C, poderiam fixar entre 6,9 e 10,8 metros o </w:t>
      </w:r>
      <w:r w:rsidR="00B41475" w:rsidRPr="005C5064">
        <w:rPr>
          <w:sz w:val="22"/>
          <w:szCs w:val="22"/>
          <w:lang w:val="pt-BR"/>
        </w:rPr>
        <w:t>ANM</w:t>
      </w:r>
      <w:r w:rsidRPr="005C5064">
        <w:rPr>
          <w:sz w:val="22"/>
          <w:szCs w:val="22"/>
          <w:lang w:val="pt-BR"/>
        </w:rPr>
        <w:t xml:space="preserve"> global </w:t>
      </w:r>
      <w:r w:rsidR="00B41475" w:rsidRPr="005C5064">
        <w:rPr>
          <w:sz w:val="22"/>
          <w:szCs w:val="22"/>
          <w:lang w:val="pt-BR"/>
        </w:rPr>
        <w:t>no</w:t>
      </w:r>
      <w:r w:rsidRPr="005C5064">
        <w:rPr>
          <w:sz w:val="22"/>
          <w:szCs w:val="22"/>
          <w:lang w:val="pt-BR"/>
        </w:rPr>
        <w:t xml:space="preserve"> longo prazo e ameaçariam afundar terras que atualmente abrigam de 470 a 760 milhões de pessoas em seis continentes nos próximos séculos.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10"/>
      </w:r>
      <w:r w:rsidRPr="005C5064">
        <w:rPr>
          <w:sz w:val="22"/>
          <w:szCs w:val="22"/>
          <w:vertAlign w:val="superscript"/>
          <w:lang w:val="pt-BR"/>
        </w:rPr>
        <w:t xml:space="preserve">/ </w:t>
      </w:r>
      <w:r w:rsidRPr="005C5064">
        <w:rPr>
          <w:sz w:val="22"/>
          <w:szCs w:val="22"/>
          <w:lang w:val="pt-BR"/>
        </w:rPr>
        <w:t xml:space="preserve">Outros estudos mostram que partes do Caribe (Bahamas, Guiana, Belize e Jamaica), México e Equador correm risco de </w:t>
      </w:r>
      <w:r w:rsidR="00B41475" w:rsidRPr="005C5064">
        <w:rPr>
          <w:sz w:val="22"/>
          <w:szCs w:val="22"/>
          <w:lang w:val="pt-BR"/>
        </w:rPr>
        <w:t>ANM</w:t>
      </w:r>
      <w:r w:rsidRPr="005C5064">
        <w:rPr>
          <w:sz w:val="22"/>
          <w:szCs w:val="22"/>
          <w:lang w:val="pt-BR"/>
        </w:rPr>
        <w:t>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11"/>
      </w:r>
      <w:r w:rsidRPr="005C5064">
        <w:rPr>
          <w:sz w:val="22"/>
          <w:szCs w:val="22"/>
          <w:vertAlign w:val="superscript"/>
          <w:lang w:val="pt-BR"/>
        </w:rPr>
        <w:t>/</w:t>
      </w:r>
      <w:r w:rsidRPr="005C5064">
        <w:rPr>
          <w:sz w:val="22"/>
          <w:szCs w:val="22"/>
          <w:lang w:val="pt-BR"/>
        </w:rPr>
        <w:t xml:space="preserve"> Mesmo um aumento de 1 metro no nível do mar inundaria uma área na costa da Guiana onde 70% da população e 40% das terras agrícolas estão situados e for</w:t>
      </w:r>
      <w:r w:rsidR="00B41475" w:rsidRPr="005C5064">
        <w:rPr>
          <w:sz w:val="22"/>
          <w:szCs w:val="22"/>
          <w:lang w:val="pt-BR"/>
        </w:rPr>
        <w:t>ç</w:t>
      </w:r>
      <w:r w:rsidRPr="005C5064">
        <w:rPr>
          <w:sz w:val="22"/>
          <w:szCs w:val="22"/>
          <w:lang w:val="pt-BR"/>
        </w:rPr>
        <w:t>aria uma grande reorganização da economia do país. Argentina, México e Jamaica também aparecem entre os 10 países mais vulneráveis quando medido</w:t>
      </w:r>
      <w:r w:rsidR="006F023E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 xml:space="preserve"> pelo impacto do aumento de 1 metro em terras agrícolas. </w:t>
      </w:r>
    </w:p>
    <w:p w14:paraId="091CA929" w14:textId="77777777" w:rsidR="00642BA0" w:rsidRPr="005C5064" w:rsidRDefault="00642BA0" w:rsidP="00642BA0">
      <w:pPr>
        <w:tabs>
          <w:tab w:val="num" w:pos="720"/>
        </w:tabs>
        <w:jc w:val="both"/>
        <w:rPr>
          <w:sz w:val="22"/>
          <w:szCs w:val="22"/>
          <w:lang w:val="pt-BR"/>
        </w:rPr>
      </w:pPr>
    </w:p>
    <w:p w14:paraId="2B923DAC" w14:textId="575B9E0B" w:rsidR="00642BA0" w:rsidRPr="005C5064" w:rsidRDefault="00642BA0" w:rsidP="00642BA0">
      <w:pPr>
        <w:tabs>
          <w:tab w:val="num" w:pos="720"/>
        </w:tabs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Devido ao fato de que a mudança climática </w:t>
      </w:r>
      <w:r w:rsidR="006F023E" w:rsidRPr="005C5064">
        <w:rPr>
          <w:sz w:val="22"/>
          <w:szCs w:val="22"/>
          <w:lang w:val="pt-BR"/>
        </w:rPr>
        <w:t>exerce</w:t>
      </w:r>
      <w:r w:rsidRPr="005C5064">
        <w:rPr>
          <w:sz w:val="22"/>
          <w:szCs w:val="22"/>
          <w:lang w:val="pt-BR"/>
        </w:rPr>
        <w:t xml:space="preserve"> mais </w:t>
      </w:r>
      <w:r w:rsidR="006F023E" w:rsidRPr="005C5064">
        <w:rPr>
          <w:sz w:val="22"/>
          <w:szCs w:val="22"/>
          <w:lang w:val="pt-BR"/>
        </w:rPr>
        <w:t xml:space="preserve">pressão </w:t>
      </w:r>
      <w:r w:rsidRPr="005C5064">
        <w:rPr>
          <w:sz w:val="22"/>
          <w:szCs w:val="22"/>
          <w:lang w:val="pt-BR"/>
        </w:rPr>
        <w:t xml:space="preserve">na disponibilidade de água e alimentos e exacerba </w:t>
      </w:r>
      <w:r w:rsidR="006F023E" w:rsidRPr="005C5064">
        <w:rPr>
          <w:sz w:val="22"/>
          <w:szCs w:val="22"/>
          <w:lang w:val="pt-BR"/>
        </w:rPr>
        <w:t>risc</w:t>
      </w:r>
      <w:r w:rsidRPr="005C5064">
        <w:rPr>
          <w:sz w:val="22"/>
          <w:szCs w:val="22"/>
          <w:lang w:val="pt-BR"/>
        </w:rPr>
        <w:t xml:space="preserve">os naturais, como ciclones tropicais, enchentes e secas, entre outros, as condições para proteger os seres humanos pioram, com implicações negativas para a dignidade, os direitos humanos e </w:t>
      </w:r>
      <w:r w:rsidR="006F023E" w:rsidRPr="005C5064">
        <w:rPr>
          <w:sz w:val="22"/>
          <w:szCs w:val="22"/>
          <w:lang w:val="pt-BR"/>
        </w:rPr>
        <w:t xml:space="preserve">a </w:t>
      </w:r>
      <w:r w:rsidRPr="005C5064">
        <w:rPr>
          <w:sz w:val="22"/>
          <w:szCs w:val="22"/>
          <w:lang w:val="pt-BR"/>
        </w:rPr>
        <w:t>liberdade fundamental do</w:t>
      </w:r>
      <w:r w:rsidR="006F023E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 xml:space="preserve"> povo</w:t>
      </w:r>
      <w:r w:rsidR="006F023E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>. Além disso, o Relatório do Banco Mundial de 2018, “Groundswell: Preparação para a Migração Climática Interna”</w:t>
      </w:r>
      <w:r w:rsidR="007302F2" w:rsidRPr="005C5064">
        <w:rPr>
          <w:sz w:val="22"/>
          <w:szCs w:val="22"/>
          <w:lang w:val="pt-BR"/>
        </w:rPr>
        <w:t>,</w:t>
      </w:r>
      <w:r w:rsidRPr="005C5064">
        <w:rPr>
          <w:sz w:val="22"/>
          <w:szCs w:val="22"/>
          <w:lang w:val="pt-BR"/>
        </w:rPr>
        <w:t xml:space="preserve"> </w:t>
      </w:r>
      <w:r w:rsidR="007302F2" w:rsidRPr="005C5064">
        <w:rPr>
          <w:sz w:val="22"/>
          <w:szCs w:val="22"/>
          <w:lang w:val="pt-BR"/>
        </w:rPr>
        <w:t>indica</w:t>
      </w:r>
      <w:r w:rsidRPr="005C5064">
        <w:rPr>
          <w:sz w:val="22"/>
          <w:szCs w:val="22"/>
          <w:lang w:val="pt-BR"/>
        </w:rPr>
        <w:t xml:space="preserve"> que no México e na América Central “o número de migrantes climáticos irá aumentar de 2020 para 2050 em todos os cenários” e “a região poderia ver uma média de 1,4 a 2,1 milhões de migrantes climáticos até 2050.” O relatório também indica que “México e América Central poderiam ver aumentos </w:t>
      </w:r>
      <w:r w:rsidR="007302F2" w:rsidRPr="005C5064">
        <w:rPr>
          <w:sz w:val="22"/>
          <w:szCs w:val="22"/>
          <w:lang w:val="pt-BR"/>
        </w:rPr>
        <w:t>enorme</w:t>
      </w:r>
      <w:r w:rsidRPr="005C5064">
        <w:rPr>
          <w:sz w:val="22"/>
          <w:szCs w:val="22"/>
          <w:lang w:val="pt-BR"/>
        </w:rPr>
        <w:t xml:space="preserve">s na migração climática até o fim do século, por causa de impactos cada vez piores </w:t>
      </w:r>
      <w:r w:rsidR="007302F2" w:rsidRPr="005C5064">
        <w:rPr>
          <w:sz w:val="22"/>
          <w:szCs w:val="22"/>
          <w:lang w:val="pt-BR"/>
        </w:rPr>
        <w:t>n</w:t>
      </w:r>
      <w:r w:rsidRPr="005C5064">
        <w:rPr>
          <w:sz w:val="22"/>
          <w:szCs w:val="22"/>
          <w:lang w:val="pt-BR"/>
        </w:rPr>
        <w:t xml:space="preserve">a disponibilidade de água e produtividade das </w:t>
      </w:r>
      <w:r w:rsidR="007302F2" w:rsidRPr="005C5064">
        <w:rPr>
          <w:sz w:val="22"/>
          <w:szCs w:val="22"/>
          <w:lang w:val="pt-BR"/>
        </w:rPr>
        <w:t>lavour</w:t>
      </w:r>
      <w:r w:rsidRPr="005C5064">
        <w:rPr>
          <w:sz w:val="22"/>
          <w:szCs w:val="22"/>
          <w:lang w:val="pt-BR"/>
        </w:rPr>
        <w:t xml:space="preserve">as.” </w:t>
      </w:r>
      <w:r w:rsidR="007302F2" w:rsidRPr="005C5064">
        <w:rPr>
          <w:sz w:val="22"/>
          <w:szCs w:val="22"/>
          <w:lang w:val="pt-BR"/>
        </w:rPr>
        <w:t>Simultaneamente a</w:t>
      </w:r>
      <w:r w:rsidRPr="005C5064">
        <w:rPr>
          <w:sz w:val="22"/>
          <w:szCs w:val="22"/>
          <w:lang w:val="pt-BR"/>
        </w:rPr>
        <w:t xml:space="preserve"> migração nacional e internacional aumentará a vulnerabilidade </w:t>
      </w:r>
      <w:r w:rsidR="007302F2" w:rsidRPr="005C5064">
        <w:rPr>
          <w:sz w:val="22"/>
          <w:szCs w:val="22"/>
          <w:lang w:val="pt-BR"/>
        </w:rPr>
        <w:t>d</w:t>
      </w:r>
      <w:r w:rsidRPr="005C5064">
        <w:rPr>
          <w:sz w:val="22"/>
          <w:szCs w:val="22"/>
          <w:lang w:val="pt-BR"/>
        </w:rPr>
        <w:t>os países e comunidades receptoras, principalmente nas cidades.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12"/>
      </w:r>
      <w:r w:rsidRPr="005C5064">
        <w:rPr>
          <w:sz w:val="22"/>
          <w:szCs w:val="22"/>
          <w:vertAlign w:val="superscript"/>
          <w:lang w:val="pt-BR"/>
        </w:rPr>
        <w:t>/</w:t>
      </w:r>
    </w:p>
    <w:p w14:paraId="2454B6AB" w14:textId="77777777" w:rsidR="00642BA0" w:rsidRPr="005C5064" w:rsidRDefault="00642BA0" w:rsidP="00642BA0">
      <w:pPr>
        <w:tabs>
          <w:tab w:val="num" w:pos="720"/>
        </w:tabs>
        <w:ind w:left="720"/>
        <w:jc w:val="both"/>
        <w:rPr>
          <w:sz w:val="22"/>
          <w:szCs w:val="22"/>
          <w:lang w:val="pt-BR"/>
        </w:rPr>
      </w:pPr>
    </w:p>
    <w:p w14:paraId="60F08706" w14:textId="6D774241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Ao mesmo tempo, cientistas indicaram que cortes rápidos e agressivos no carbono poderiam diminuir essas ameaças em mais da metade. Políticas e estratégias de mitigação e adaptação focadas nos fatores humanos, combinadas com a preservação e a melhoria dos pap</w:t>
      </w:r>
      <w:r w:rsidR="007302F2" w:rsidRPr="005C5064">
        <w:rPr>
          <w:sz w:val="22"/>
          <w:szCs w:val="22"/>
          <w:lang w:val="pt-BR"/>
        </w:rPr>
        <w:t>é</w:t>
      </w:r>
      <w:r w:rsidRPr="005C5064">
        <w:rPr>
          <w:sz w:val="22"/>
          <w:szCs w:val="22"/>
          <w:lang w:val="pt-BR"/>
        </w:rPr>
        <w:t xml:space="preserve">is e funções de sequestro de carbono dos ecossistemas terrestres e marinhos e biodiversidade, são </w:t>
      </w:r>
      <w:r w:rsidRPr="005C5064">
        <w:rPr>
          <w:sz w:val="22"/>
          <w:szCs w:val="22"/>
          <w:lang w:val="pt-BR"/>
        </w:rPr>
        <w:lastRenderedPageBreak/>
        <w:t>fundamentais para evitar danos irreversíveis nos ecossistemas marinhos</w:t>
      </w:r>
      <w:r w:rsidR="007302F2" w:rsidRPr="005C5064">
        <w:rPr>
          <w:sz w:val="22"/>
          <w:szCs w:val="22"/>
          <w:lang w:val="pt-BR"/>
        </w:rPr>
        <w:t xml:space="preserve"> e</w:t>
      </w:r>
      <w:r w:rsidRPr="005C5064">
        <w:rPr>
          <w:sz w:val="22"/>
          <w:szCs w:val="22"/>
          <w:lang w:val="pt-BR"/>
        </w:rPr>
        <w:t xml:space="preserve"> terrestres e </w:t>
      </w:r>
      <w:r w:rsidR="007302F2" w:rsidRPr="005C5064">
        <w:rPr>
          <w:sz w:val="22"/>
          <w:szCs w:val="22"/>
          <w:lang w:val="pt-BR"/>
        </w:rPr>
        <w:t>n</w:t>
      </w:r>
      <w:r w:rsidRPr="005C5064">
        <w:rPr>
          <w:sz w:val="22"/>
          <w:szCs w:val="22"/>
          <w:lang w:val="pt-BR"/>
        </w:rPr>
        <w:t xml:space="preserve">os meios de subsistência. </w:t>
      </w:r>
    </w:p>
    <w:p w14:paraId="0678E745" w14:textId="77777777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</w:p>
    <w:p w14:paraId="674CFFBB" w14:textId="2FBDFFC8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A mudança climática é um fator direto que está cada vez mais exacerbando o impacto de outros fatores humanos sobre ecossistemas terrestres e marinhos e</w:t>
      </w:r>
      <w:r w:rsidR="007302F2" w:rsidRPr="005C5064">
        <w:rPr>
          <w:sz w:val="22"/>
          <w:szCs w:val="22"/>
          <w:lang w:val="pt-BR"/>
        </w:rPr>
        <w:t xml:space="preserve"> o</w:t>
      </w:r>
      <w:r w:rsidRPr="005C5064">
        <w:rPr>
          <w:sz w:val="22"/>
          <w:szCs w:val="22"/>
          <w:lang w:val="pt-BR"/>
        </w:rPr>
        <w:t xml:space="preserve"> bem-estar humano. O Relatório Especial d</w:t>
      </w:r>
      <w:r w:rsidR="007302F2" w:rsidRPr="005C5064">
        <w:rPr>
          <w:sz w:val="22"/>
          <w:szCs w:val="22"/>
          <w:lang w:val="pt-BR"/>
        </w:rPr>
        <w:t>o</w:t>
      </w:r>
      <w:r w:rsidRPr="005C5064">
        <w:rPr>
          <w:sz w:val="22"/>
          <w:szCs w:val="22"/>
          <w:lang w:val="pt-BR"/>
        </w:rPr>
        <w:t xml:space="preserve"> IPCC prevê que </w:t>
      </w:r>
      <w:r w:rsidR="007302F2" w:rsidRPr="005C5064">
        <w:rPr>
          <w:sz w:val="22"/>
          <w:szCs w:val="22"/>
          <w:lang w:val="pt-BR"/>
        </w:rPr>
        <w:t>um</w:t>
      </w:r>
      <w:r w:rsidRPr="005C5064">
        <w:rPr>
          <w:sz w:val="22"/>
          <w:szCs w:val="22"/>
          <w:lang w:val="pt-BR"/>
        </w:rPr>
        <w:t xml:space="preserve"> aquecimento de 1,5°C destruirá entre 70 e 90</w:t>
      </w:r>
      <w:r w:rsidR="007302F2" w:rsidRPr="005C5064">
        <w:rPr>
          <w:sz w:val="22"/>
          <w:szCs w:val="22"/>
          <w:lang w:val="pt-BR"/>
        </w:rPr>
        <w:t>%</w:t>
      </w:r>
      <w:r w:rsidRPr="005C5064">
        <w:rPr>
          <w:sz w:val="22"/>
          <w:szCs w:val="22"/>
          <w:lang w:val="pt-BR"/>
        </w:rPr>
        <w:t xml:space="preserve"> dos corais formadores de recifes, enquanto o aquecimento de 2°C provavelmente destruirá 99</w:t>
      </w:r>
      <w:r w:rsidR="007302F2" w:rsidRPr="005C5064">
        <w:rPr>
          <w:sz w:val="22"/>
          <w:szCs w:val="22"/>
          <w:lang w:val="pt-BR"/>
        </w:rPr>
        <w:t>%</w:t>
      </w:r>
      <w:r w:rsidRPr="005C5064">
        <w:rPr>
          <w:sz w:val="22"/>
          <w:szCs w:val="22"/>
          <w:lang w:val="pt-BR"/>
        </w:rPr>
        <w:t xml:space="preserve"> dos recifes de corais tropicais. Seis anos antes, </w:t>
      </w:r>
      <w:r w:rsidR="007302F2" w:rsidRPr="005C5064">
        <w:rPr>
          <w:sz w:val="22"/>
          <w:szCs w:val="22"/>
          <w:lang w:val="pt-BR"/>
        </w:rPr>
        <w:t>o</w:t>
      </w:r>
      <w:r w:rsidRPr="005C5064">
        <w:rPr>
          <w:sz w:val="22"/>
          <w:szCs w:val="22"/>
          <w:lang w:val="pt-BR"/>
        </w:rPr>
        <w:t xml:space="preserve"> IPCC em seu Quinto Relatório de Avaliação estimou que a duplicação dos níveis de dióxido de carbono pode fazer com que a temperatura média mundial das superfícies suba entre 1,5°C e 4</w:t>
      </w:r>
      <w:r w:rsidR="00113579" w:rsidRPr="005C5064">
        <w:rPr>
          <w:sz w:val="22"/>
          <w:szCs w:val="22"/>
          <w:lang w:val="pt-BR"/>
        </w:rPr>
        <w:t>,</w:t>
      </w:r>
      <w:r w:rsidRPr="005C5064">
        <w:rPr>
          <w:sz w:val="22"/>
          <w:szCs w:val="22"/>
          <w:lang w:val="pt-BR"/>
        </w:rPr>
        <w:t xml:space="preserve">5°C. Contudo, os últimos modelos climáticos estão agora prevendo que uma duplicação do dióxido de carbono pode produzir </w:t>
      </w:r>
      <w:r w:rsidR="00614A67" w:rsidRPr="005C5064">
        <w:rPr>
          <w:sz w:val="22"/>
          <w:szCs w:val="22"/>
          <w:lang w:val="pt-BR"/>
        </w:rPr>
        <w:t xml:space="preserve">um </w:t>
      </w:r>
      <w:r w:rsidRPr="005C5064">
        <w:rPr>
          <w:sz w:val="22"/>
          <w:szCs w:val="22"/>
          <w:lang w:val="pt-BR"/>
        </w:rPr>
        <w:t xml:space="preserve">aquecimento de 2,5°C </w:t>
      </w:r>
      <w:r w:rsidR="00113579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 xml:space="preserve"> 5,8°C. </w:t>
      </w:r>
      <w:r w:rsidR="00614A67" w:rsidRPr="005C5064">
        <w:rPr>
          <w:sz w:val="22"/>
          <w:szCs w:val="22"/>
          <w:lang w:val="pt-BR"/>
        </w:rPr>
        <w:t>Hoje a</w:t>
      </w:r>
      <w:r w:rsidRPr="005C5064">
        <w:rPr>
          <w:sz w:val="22"/>
          <w:szCs w:val="22"/>
          <w:lang w:val="pt-BR"/>
        </w:rPr>
        <w:t xml:space="preserve">s concentrações de dióxido de carbono na atmosfera são </w:t>
      </w:r>
      <w:r w:rsidR="00614A67" w:rsidRPr="005C5064">
        <w:rPr>
          <w:sz w:val="22"/>
          <w:szCs w:val="22"/>
          <w:lang w:val="pt-BR"/>
        </w:rPr>
        <w:t>de</w:t>
      </w:r>
      <w:r w:rsidRPr="005C5064">
        <w:rPr>
          <w:sz w:val="22"/>
          <w:szCs w:val="22"/>
          <w:lang w:val="pt-BR"/>
        </w:rPr>
        <w:t xml:space="preserve"> 410 partes por milhão (ppm), </w:t>
      </w:r>
      <w:r w:rsidR="00614A67" w:rsidRPr="005C5064">
        <w:rPr>
          <w:sz w:val="22"/>
          <w:szCs w:val="22"/>
          <w:lang w:val="pt-BR"/>
        </w:rPr>
        <w:t xml:space="preserve">em </w:t>
      </w:r>
      <w:r w:rsidRPr="005C5064">
        <w:rPr>
          <w:sz w:val="22"/>
          <w:szCs w:val="22"/>
          <w:lang w:val="pt-BR"/>
        </w:rPr>
        <w:t>compara</w:t>
      </w:r>
      <w:r w:rsidR="00614A67" w:rsidRPr="005C5064">
        <w:rPr>
          <w:sz w:val="22"/>
          <w:szCs w:val="22"/>
          <w:lang w:val="pt-BR"/>
        </w:rPr>
        <w:t>çã</w:t>
      </w:r>
      <w:r w:rsidRPr="005C5064">
        <w:rPr>
          <w:sz w:val="22"/>
          <w:szCs w:val="22"/>
          <w:lang w:val="pt-BR"/>
        </w:rPr>
        <w:t>o com níveis pré-industriais de 280 partes por milhão. Os cientistas previram que sem grandes esforços de mitigação as concentrações de dióxido de carbono atingirão cerca de 560 ppm até 2060 (Gergis, 2019).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13"/>
      </w:r>
      <w:r w:rsidRPr="005C5064">
        <w:rPr>
          <w:sz w:val="22"/>
          <w:szCs w:val="22"/>
          <w:vertAlign w:val="superscript"/>
          <w:lang w:val="pt-BR"/>
        </w:rPr>
        <w:t>/</w:t>
      </w:r>
    </w:p>
    <w:p w14:paraId="0FFB9595" w14:textId="77777777" w:rsidR="00642BA0" w:rsidRPr="005C5064" w:rsidRDefault="00642BA0" w:rsidP="00642BA0">
      <w:pPr>
        <w:jc w:val="both"/>
        <w:rPr>
          <w:sz w:val="22"/>
          <w:szCs w:val="22"/>
          <w:lang w:val="pt-BR"/>
        </w:rPr>
      </w:pPr>
    </w:p>
    <w:p w14:paraId="41A63724" w14:textId="53E4D915" w:rsidR="00642BA0" w:rsidRPr="005C5064" w:rsidRDefault="00642BA0" w:rsidP="00D04605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O Relatório Mundial de Avaliação sobre Biodiversidade </w:t>
      </w:r>
      <w:r w:rsidR="00614A67" w:rsidRPr="005C5064">
        <w:rPr>
          <w:sz w:val="22"/>
          <w:szCs w:val="22"/>
          <w:lang w:val="pt-BR"/>
        </w:rPr>
        <w:t>e Serviços Ecossistêmicos d</w:t>
      </w:r>
      <w:r w:rsidRPr="005C5064">
        <w:rPr>
          <w:sz w:val="22"/>
          <w:szCs w:val="22"/>
          <w:lang w:val="pt-BR"/>
        </w:rPr>
        <w:t xml:space="preserve">a Plataforma Intergovernamental de Políticas Cientificas sobre Biodiversidade (IPBES) lançado em maio de 2019 </w:t>
      </w:r>
      <w:r w:rsidR="00F67003" w:rsidRPr="005C5064">
        <w:rPr>
          <w:sz w:val="22"/>
          <w:szCs w:val="22"/>
          <w:lang w:val="pt-BR"/>
        </w:rPr>
        <w:t>constato</w:t>
      </w:r>
      <w:r w:rsidRPr="005C5064">
        <w:rPr>
          <w:sz w:val="22"/>
          <w:szCs w:val="22"/>
          <w:lang w:val="pt-BR"/>
        </w:rPr>
        <w:t>u que 75</w:t>
      </w:r>
      <w:r w:rsidR="00F67003" w:rsidRPr="005C5064">
        <w:rPr>
          <w:sz w:val="22"/>
          <w:szCs w:val="22"/>
          <w:lang w:val="pt-BR"/>
        </w:rPr>
        <w:t>%</w:t>
      </w:r>
      <w:r w:rsidRPr="005C5064">
        <w:rPr>
          <w:sz w:val="22"/>
          <w:szCs w:val="22"/>
          <w:lang w:val="pt-BR"/>
        </w:rPr>
        <w:t xml:space="preserve"> da superfície terrestre está bastante alterada, 66</w:t>
      </w:r>
      <w:r w:rsidR="00F67003" w:rsidRPr="005C5064">
        <w:rPr>
          <w:sz w:val="22"/>
          <w:szCs w:val="22"/>
          <w:lang w:val="pt-BR"/>
        </w:rPr>
        <w:t>%</w:t>
      </w:r>
      <w:r w:rsidRPr="005C5064">
        <w:rPr>
          <w:sz w:val="22"/>
          <w:szCs w:val="22"/>
          <w:lang w:val="pt-BR"/>
        </w:rPr>
        <w:t xml:space="preserve"> da área oceânica está sofrendo impactos cumulativos e </w:t>
      </w:r>
      <w:r w:rsidR="00F67003" w:rsidRPr="005C5064">
        <w:rPr>
          <w:sz w:val="22"/>
          <w:szCs w:val="22"/>
          <w:lang w:val="pt-BR"/>
        </w:rPr>
        <w:t xml:space="preserve">se perderam </w:t>
      </w:r>
      <w:r w:rsidRPr="005C5064">
        <w:rPr>
          <w:sz w:val="22"/>
          <w:szCs w:val="22"/>
          <w:lang w:val="pt-BR"/>
        </w:rPr>
        <w:t>mais de 85</w:t>
      </w:r>
      <w:r w:rsidR="00F67003" w:rsidRPr="005C5064">
        <w:rPr>
          <w:sz w:val="22"/>
          <w:szCs w:val="22"/>
          <w:lang w:val="pt-BR"/>
        </w:rPr>
        <w:t>%</w:t>
      </w:r>
      <w:r w:rsidRPr="005C5064">
        <w:rPr>
          <w:sz w:val="22"/>
          <w:szCs w:val="22"/>
          <w:lang w:val="pt-BR"/>
        </w:rPr>
        <w:t xml:space="preserve"> dos pântanos. </w:t>
      </w:r>
      <w:r w:rsidR="00F67003" w:rsidRPr="005C5064">
        <w:rPr>
          <w:sz w:val="22"/>
          <w:szCs w:val="22"/>
          <w:lang w:val="pt-BR"/>
        </w:rPr>
        <w:t>O</w:t>
      </w:r>
      <w:r w:rsidRPr="005C5064">
        <w:rPr>
          <w:sz w:val="22"/>
          <w:szCs w:val="22"/>
          <w:lang w:val="pt-BR"/>
        </w:rPr>
        <w:t xml:space="preserve"> relatório da IPBES revelou que </w:t>
      </w:r>
      <w:r w:rsidR="00F67003" w:rsidRPr="005C5064">
        <w:rPr>
          <w:sz w:val="22"/>
          <w:szCs w:val="22"/>
          <w:lang w:val="pt-BR"/>
        </w:rPr>
        <w:t xml:space="preserve">se perderam </w:t>
      </w:r>
      <w:r w:rsidRPr="005C5064">
        <w:rPr>
          <w:sz w:val="22"/>
          <w:szCs w:val="22"/>
          <w:lang w:val="pt-BR"/>
        </w:rPr>
        <w:t>32 milhões de hectares de floresta prim</w:t>
      </w:r>
      <w:r w:rsidR="00F67003" w:rsidRPr="005C5064">
        <w:rPr>
          <w:sz w:val="22"/>
          <w:szCs w:val="22"/>
          <w:lang w:val="pt-BR"/>
        </w:rPr>
        <w:t>á</w:t>
      </w:r>
      <w:r w:rsidRPr="005C5064">
        <w:rPr>
          <w:sz w:val="22"/>
          <w:szCs w:val="22"/>
          <w:lang w:val="pt-BR"/>
        </w:rPr>
        <w:t xml:space="preserve">ria ou em recuperação entre 2010 e 2015 e metade dos corais vivos que cobrem os recifes desde 1870, com perdas cada vez maiores nas últimas décadas devido </w:t>
      </w:r>
      <w:r w:rsidR="00F67003" w:rsidRPr="005C5064">
        <w:rPr>
          <w:sz w:val="22"/>
          <w:szCs w:val="22"/>
          <w:lang w:val="pt-BR"/>
        </w:rPr>
        <w:t>ao fato de a</w:t>
      </w:r>
      <w:r w:rsidRPr="005C5064">
        <w:rPr>
          <w:sz w:val="22"/>
          <w:szCs w:val="22"/>
          <w:lang w:val="pt-BR"/>
        </w:rPr>
        <w:t xml:space="preserve"> mudança climática exacerba</w:t>
      </w:r>
      <w:r w:rsidR="00F67003" w:rsidRPr="005C5064">
        <w:rPr>
          <w:sz w:val="22"/>
          <w:szCs w:val="22"/>
          <w:lang w:val="pt-BR"/>
        </w:rPr>
        <w:t>r</w:t>
      </w:r>
      <w:r w:rsidRPr="005C5064">
        <w:rPr>
          <w:sz w:val="22"/>
          <w:szCs w:val="22"/>
          <w:lang w:val="pt-BR"/>
        </w:rPr>
        <w:t xml:space="preserve"> outr</w:t>
      </w:r>
      <w:r w:rsidR="00F67003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 xml:space="preserve">s </w:t>
      </w:r>
      <w:r w:rsidR="00F67003" w:rsidRPr="005C5064">
        <w:rPr>
          <w:sz w:val="22"/>
          <w:szCs w:val="22"/>
          <w:lang w:val="pt-BR"/>
        </w:rPr>
        <w:t>causa</w:t>
      </w:r>
      <w:r w:rsidRPr="005C5064">
        <w:rPr>
          <w:sz w:val="22"/>
          <w:szCs w:val="22"/>
          <w:lang w:val="pt-BR"/>
        </w:rPr>
        <w:t>s.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14"/>
      </w:r>
      <w:r w:rsidRPr="005C5064">
        <w:rPr>
          <w:sz w:val="22"/>
          <w:szCs w:val="22"/>
          <w:vertAlign w:val="superscript"/>
          <w:lang w:val="pt-BR"/>
        </w:rPr>
        <w:t>/</w:t>
      </w:r>
    </w:p>
    <w:p w14:paraId="209E3AE5" w14:textId="77777777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</w:p>
    <w:p w14:paraId="71461C5C" w14:textId="115D157F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Essas mudanças contribuíram para impactos amplamente disseminados em muitos aspectos da biodiversidade, inclu</w:t>
      </w:r>
      <w:r w:rsidR="00F67003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>i</w:t>
      </w:r>
      <w:r w:rsidR="00F67003" w:rsidRPr="005C5064">
        <w:rPr>
          <w:sz w:val="22"/>
          <w:szCs w:val="22"/>
          <w:lang w:val="pt-BR"/>
        </w:rPr>
        <w:t>ve</w:t>
      </w:r>
      <w:r w:rsidRPr="005C5064">
        <w:rPr>
          <w:sz w:val="22"/>
          <w:szCs w:val="22"/>
          <w:lang w:val="pt-BR"/>
        </w:rPr>
        <w:t xml:space="preserve"> distribuição de espécies, fenologia, dinâmica populacional, estrutura comunitária e função do ecossistema. De acordo com evidência</w:t>
      </w:r>
      <w:r w:rsidR="00F67003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 xml:space="preserve"> observaciona</w:t>
      </w:r>
      <w:r w:rsidR="00F67003" w:rsidRPr="005C5064">
        <w:rPr>
          <w:sz w:val="22"/>
          <w:szCs w:val="22"/>
          <w:lang w:val="pt-BR"/>
        </w:rPr>
        <w:t>is</w:t>
      </w:r>
      <w:r w:rsidRPr="005C5064">
        <w:rPr>
          <w:sz w:val="22"/>
          <w:szCs w:val="22"/>
          <w:lang w:val="pt-BR"/>
        </w:rPr>
        <w:t xml:space="preserve">, os efeitos estão </w:t>
      </w:r>
      <w:r w:rsidR="00F67003" w:rsidRPr="005C5064">
        <w:rPr>
          <w:sz w:val="22"/>
          <w:szCs w:val="22"/>
          <w:lang w:val="pt-BR"/>
        </w:rPr>
        <w:t xml:space="preserve">se </w:t>
      </w:r>
      <w:r w:rsidRPr="005C5064">
        <w:rPr>
          <w:sz w:val="22"/>
          <w:szCs w:val="22"/>
          <w:lang w:val="pt-BR"/>
        </w:rPr>
        <w:t>acelerando nos ecossistemas marinho</w:t>
      </w:r>
      <w:r w:rsidR="00F67003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>, terrestre</w:t>
      </w:r>
      <w:r w:rsidR="00F67003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 xml:space="preserve"> e d</w:t>
      </w:r>
      <w:r w:rsidR="00F67003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 xml:space="preserve"> água doce </w:t>
      </w:r>
      <w:r w:rsidR="00F67003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 xml:space="preserve"> já estão impactando a agricultura, aqu</w:t>
      </w:r>
      <w:r w:rsidR="00F67003" w:rsidRPr="005C5064">
        <w:rPr>
          <w:sz w:val="22"/>
          <w:szCs w:val="22"/>
          <w:lang w:val="pt-BR"/>
        </w:rPr>
        <w:t>i</w:t>
      </w:r>
      <w:r w:rsidRPr="005C5064">
        <w:rPr>
          <w:sz w:val="22"/>
          <w:szCs w:val="22"/>
          <w:lang w:val="pt-BR"/>
        </w:rPr>
        <w:t>cultura, pesca e contribuições da natureza para as pessoas. Os efeitos combinados de fatores como mudança climática, mudança de uso da terra</w:t>
      </w:r>
      <w:r w:rsidR="00F67003" w:rsidRPr="005C5064">
        <w:rPr>
          <w:sz w:val="22"/>
          <w:szCs w:val="22"/>
          <w:lang w:val="pt-BR"/>
        </w:rPr>
        <w:t xml:space="preserve"> e do </w:t>
      </w:r>
      <w:r w:rsidRPr="005C5064">
        <w:rPr>
          <w:sz w:val="22"/>
          <w:szCs w:val="22"/>
          <w:lang w:val="pt-BR"/>
        </w:rPr>
        <w:t xml:space="preserve">mar, superexploração de recursos, poluição e espécies alienígenas invasoras têm mais </w:t>
      </w:r>
      <w:r w:rsidR="00F67003" w:rsidRPr="005C5064">
        <w:rPr>
          <w:sz w:val="22"/>
          <w:szCs w:val="22"/>
          <w:lang w:val="pt-BR"/>
        </w:rPr>
        <w:t>probabilidade</w:t>
      </w:r>
      <w:r w:rsidRPr="005C5064">
        <w:rPr>
          <w:sz w:val="22"/>
          <w:szCs w:val="22"/>
          <w:lang w:val="pt-BR"/>
        </w:rPr>
        <w:t xml:space="preserve"> de exacerbar os impactos negativos sobre a natureza, como visto em diferentes ecossistemas inclu</w:t>
      </w:r>
      <w:r w:rsidR="00F67003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>i</w:t>
      </w:r>
      <w:r w:rsidR="00F67003" w:rsidRPr="005C5064">
        <w:rPr>
          <w:sz w:val="22"/>
          <w:szCs w:val="22"/>
          <w:lang w:val="pt-BR"/>
        </w:rPr>
        <w:t>ve</w:t>
      </w:r>
      <w:r w:rsidRPr="005C5064">
        <w:rPr>
          <w:sz w:val="22"/>
          <w:szCs w:val="22"/>
          <w:lang w:val="pt-BR"/>
        </w:rPr>
        <w:t xml:space="preserve"> recifes, sistemas </w:t>
      </w:r>
      <w:r w:rsidR="00F67003" w:rsidRPr="005C5064">
        <w:rPr>
          <w:sz w:val="22"/>
          <w:szCs w:val="22"/>
          <w:lang w:val="pt-BR"/>
        </w:rPr>
        <w:t>á</w:t>
      </w:r>
      <w:r w:rsidRPr="005C5064">
        <w:rPr>
          <w:sz w:val="22"/>
          <w:szCs w:val="22"/>
          <w:lang w:val="pt-BR"/>
        </w:rPr>
        <w:t xml:space="preserve">rticos e savanas. </w:t>
      </w:r>
    </w:p>
    <w:p w14:paraId="29BAE5F7" w14:textId="77777777" w:rsidR="00642BA0" w:rsidRPr="005C5064" w:rsidRDefault="00642BA0" w:rsidP="00642BA0">
      <w:pPr>
        <w:ind w:firstLine="720"/>
        <w:jc w:val="both"/>
        <w:rPr>
          <w:sz w:val="22"/>
          <w:szCs w:val="22"/>
          <w:lang w:val="pt-BR"/>
        </w:rPr>
      </w:pPr>
    </w:p>
    <w:p w14:paraId="021507FB" w14:textId="3CCEEFD3" w:rsidR="00642BA0" w:rsidRPr="005C5064" w:rsidRDefault="00642BA0" w:rsidP="00642BA0">
      <w:pPr>
        <w:pStyle w:val="Heading2"/>
        <w:ind w:left="720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bookmarkStart w:id="3" w:name="_Toc131518805"/>
      <w:r w:rsidRPr="005C5064">
        <w:rPr>
          <w:rFonts w:ascii="Times New Roman" w:hAnsi="Times New Roman" w:cs="Times New Roman"/>
          <w:b/>
          <w:bCs/>
          <w:sz w:val="22"/>
          <w:szCs w:val="22"/>
          <w:lang w:val="pt-BR"/>
        </w:rPr>
        <w:t>Economia da Mudança Climática</w:t>
      </w:r>
      <w:bookmarkEnd w:id="3"/>
    </w:p>
    <w:p w14:paraId="7BDFD417" w14:textId="77777777" w:rsidR="00642BA0" w:rsidRPr="005C5064" w:rsidRDefault="00642BA0" w:rsidP="00642BA0">
      <w:pPr>
        <w:rPr>
          <w:lang w:val="pt-BR"/>
        </w:rPr>
      </w:pPr>
    </w:p>
    <w:p w14:paraId="54D86121" w14:textId="2AC1AF44" w:rsidR="00642BA0" w:rsidRPr="005C5064" w:rsidRDefault="00B30137" w:rsidP="00642BA0">
      <w:pPr>
        <w:ind w:left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Tendo em vista </w:t>
      </w:r>
      <w:r w:rsidR="00642BA0" w:rsidRPr="005C5064">
        <w:rPr>
          <w:sz w:val="22"/>
          <w:szCs w:val="22"/>
          <w:lang w:val="pt-BR"/>
        </w:rPr>
        <w:t xml:space="preserve">que a mudança climática afeta o meio ambiente de muitas formas, </w:t>
      </w:r>
      <w:r w:rsidR="00F67003" w:rsidRPr="005C5064">
        <w:rPr>
          <w:sz w:val="22"/>
          <w:szCs w:val="22"/>
          <w:lang w:val="pt-BR"/>
        </w:rPr>
        <w:t xml:space="preserve">ela </w:t>
      </w:r>
      <w:r w:rsidR="00642BA0" w:rsidRPr="005C5064">
        <w:rPr>
          <w:sz w:val="22"/>
          <w:szCs w:val="22"/>
          <w:lang w:val="pt-BR"/>
        </w:rPr>
        <w:t xml:space="preserve">impacta diretamente a economia. Os impactos econômicos </w:t>
      </w:r>
      <w:r w:rsidR="00F67003" w:rsidRPr="005C5064">
        <w:rPr>
          <w:sz w:val="22"/>
          <w:szCs w:val="22"/>
          <w:lang w:val="pt-BR"/>
        </w:rPr>
        <w:t>e</w:t>
      </w:r>
      <w:r w:rsidR="00642BA0" w:rsidRPr="005C5064">
        <w:rPr>
          <w:sz w:val="22"/>
          <w:szCs w:val="22"/>
          <w:lang w:val="pt-BR"/>
        </w:rPr>
        <w:t>s</w:t>
      </w:r>
      <w:r w:rsidR="00F67003" w:rsidRPr="005C5064">
        <w:rPr>
          <w:sz w:val="22"/>
          <w:szCs w:val="22"/>
          <w:lang w:val="pt-BR"/>
        </w:rPr>
        <w:t>t</w:t>
      </w:r>
      <w:r w:rsidR="00642BA0" w:rsidRPr="005C5064">
        <w:rPr>
          <w:sz w:val="22"/>
          <w:szCs w:val="22"/>
          <w:lang w:val="pt-BR"/>
        </w:rPr>
        <w:t xml:space="preserve">ão ligados aos custos associados </w:t>
      </w:r>
      <w:r w:rsidR="00F67003" w:rsidRPr="005C5064">
        <w:rPr>
          <w:sz w:val="22"/>
          <w:szCs w:val="22"/>
          <w:lang w:val="pt-BR"/>
        </w:rPr>
        <w:t xml:space="preserve">à </w:t>
      </w:r>
      <w:r w:rsidR="00642BA0" w:rsidRPr="005C5064">
        <w:rPr>
          <w:sz w:val="22"/>
          <w:szCs w:val="22"/>
          <w:lang w:val="pt-BR"/>
        </w:rPr>
        <w:t>forma</w:t>
      </w:r>
      <w:r w:rsidR="00F67003" w:rsidRPr="005C5064">
        <w:rPr>
          <w:sz w:val="22"/>
          <w:szCs w:val="22"/>
          <w:lang w:val="pt-BR"/>
        </w:rPr>
        <w:t>ção</w:t>
      </w:r>
      <w:r w:rsidR="00642BA0" w:rsidRPr="005C5064">
        <w:rPr>
          <w:sz w:val="22"/>
          <w:szCs w:val="22"/>
          <w:lang w:val="pt-BR"/>
        </w:rPr>
        <w:t xml:space="preserve"> </w:t>
      </w:r>
      <w:r w:rsidR="00156C78" w:rsidRPr="005C5064">
        <w:rPr>
          <w:sz w:val="22"/>
          <w:szCs w:val="22"/>
          <w:lang w:val="pt-BR"/>
        </w:rPr>
        <w:t xml:space="preserve">de </w:t>
      </w:r>
      <w:r w:rsidR="00642BA0" w:rsidRPr="005C5064">
        <w:rPr>
          <w:sz w:val="22"/>
          <w:szCs w:val="22"/>
          <w:lang w:val="pt-BR"/>
        </w:rPr>
        <w:t xml:space="preserve">resiliência e recuperação de desastres naturais causados pela mudança climática. As economias também são </w:t>
      </w:r>
      <w:r w:rsidR="00156C78" w:rsidRPr="005C5064">
        <w:rPr>
          <w:sz w:val="22"/>
          <w:szCs w:val="22"/>
          <w:lang w:val="pt-BR"/>
        </w:rPr>
        <w:t>afet</w:t>
      </w:r>
      <w:r w:rsidR="00642BA0" w:rsidRPr="005C5064">
        <w:rPr>
          <w:sz w:val="22"/>
          <w:szCs w:val="22"/>
          <w:lang w:val="pt-BR"/>
        </w:rPr>
        <w:t>adas pel</w:t>
      </w:r>
      <w:r w:rsidR="00156C78" w:rsidRPr="005C5064">
        <w:rPr>
          <w:sz w:val="22"/>
          <w:szCs w:val="22"/>
          <w:lang w:val="pt-BR"/>
        </w:rPr>
        <w:t>a</w:t>
      </w:r>
      <w:r w:rsidR="00642BA0" w:rsidRPr="005C5064">
        <w:rPr>
          <w:sz w:val="22"/>
          <w:szCs w:val="22"/>
          <w:lang w:val="pt-BR"/>
        </w:rPr>
        <w:t xml:space="preserve">s </w:t>
      </w:r>
      <w:r w:rsidR="00156C78" w:rsidRPr="005C5064">
        <w:rPr>
          <w:sz w:val="22"/>
          <w:szCs w:val="22"/>
          <w:lang w:val="pt-BR"/>
        </w:rPr>
        <w:t>medida</w:t>
      </w:r>
      <w:r w:rsidR="00642BA0" w:rsidRPr="005C5064">
        <w:rPr>
          <w:sz w:val="22"/>
          <w:szCs w:val="22"/>
          <w:lang w:val="pt-BR"/>
        </w:rPr>
        <w:t>s necessári</w:t>
      </w:r>
      <w:r w:rsidR="00156C78" w:rsidRPr="005C5064">
        <w:rPr>
          <w:sz w:val="22"/>
          <w:szCs w:val="22"/>
          <w:lang w:val="pt-BR"/>
        </w:rPr>
        <w:t>a</w:t>
      </w:r>
      <w:r w:rsidR="00642BA0" w:rsidRPr="005C5064">
        <w:rPr>
          <w:sz w:val="22"/>
          <w:szCs w:val="22"/>
          <w:lang w:val="pt-BR"/>
        </w:rPr>
        <w:t>s para mitigar as causas da mudança climática, inclu</w:t>
      </w:r>
      <w:r w:rsidR="00156C78" w:rsidRPr="005C5064">
        <w:rPr>
          <w:sz w:val="22"/>
          <w:szCs w:val="22"/>
          <w:lang w:val="pt-BR"/>
        </w:rPr>
        <w:t>s</w:t>
      </w:r>
      <w:r w:rsidR="00642BA0" w:rsidRPr="005C5064">
        <w:rPr>
          <w:sz w:val="22"/>
          <w:szCs w:val="22"/>
          <w:lang w:val="pt-BR"/>
        </w:rPr>
        <w:t>i</w:t>
      </w:r>
      <w:r w:rsidR="00156C78" w:rsidRPr="005C5064">
        <w:rPr>
          <w:sz w:val="22"/>
          <w:szCs w:val="22"/>
          <w:lang w:val="pt-BR"/>
        </w:rPr>
        <w:t>ve</w:t>
      </w:r>
      <w:r w:rsidR="00642BA0" w:rsidRPr="005C5064">
        <w:rPr>
          <w:sz w:val="22"/>
          <w:szCs w:val="22"/>
          <w:lang w:val="pt-BR"/>
        </w:rPr>
        <w:t xml:space="preserve"> a transição para fontes de energia</w:t>
      </w:r>
      <w:r w:rsidR="00156C78" w:rsidRPr="005C5064">
        <w:rPr>
          <w:sz w:val="22"/>
          <w:szCs w:val="22"/>
          <w:lang w:val="pt-BR"/>
        </w:rPr>
        <w:t xml:space="preserve"> limpa e verde</w:t>
      </w:r>
      <w:r w:rsidR="00642BA0" w:rsidRPr="005C5064">
        <w:rPr>
          <w:sz w:val="22"/>
          <w:szCs w:val="22"/>
          <w:lang w:val="pt-BR"/>
        </w:rPr>
        <w:t xml:space="preserve">. Embora todos </w:t>
      </w:r>
      <w:r w:rsidR="00642BA0" w:rsidRPr="005C5064">
        <w:rPr>
          <w:sz w:val="22"/>
          <w:szCs w:val="22"/>
          <w:lang w:val="pt-BR"/>
        </w:rPr>
        <w:lastRenderedPageBreak/>
        <w:t xml:space="preserve">os segmentos da sociedade sintam os efeitos da mudança climática, é amplamente </w:t>
      </w:r>
      <w:r w:rsidR="00156C78" w:rsidRPr="005C5064">
        <w:rPr>
          <w:sz w:val="22"/>
          <w:szCs w:val="22"/>
          <w:lang w:val="pt-BR"/>
        </w:rPr>
        <w:t>reconhec</w:t>
      </w:r>
      <w:r w:rsidR="00642BA0" w:rsidRPr="005C5064">
        <w:rPr>
          <w:sz w:val="22"/>
          <w:szCs w:val="22"/>
          <w:lang w:val="pt-BR"/>
        </w:rPr>
        <w:t xml:space="preserve">ido que os pobres e </w:t>
      </w:r>
      <w:r w:rsidR="000152CA" w:rsidRPr="005C5064">
        <w:rPr>
          <w:sz w:val="22"/>
          <w:szCs w:val="22"/>
          <w:lang w:val="pt-BR"/>
        </w:rPr>
        <w:t>excluídos</w:t>
      </w:r>
      <w:r w:rsidR="00642BA0" w:rsidRPr="005C5064">
        <w:rPr>
          <w:sz w:val="22"/>
          <w:szCs w:val="22"/>
          <w:lang w:val="pt-BR"/>
        </w:rPr>
        <w:t xml:space="preserve"> são os mais vulneráveis e sofrem as maiores consequências dessa realidade. </w:t>
      </w:r>
    </w:p>
    <w:p w14:paraId="0C13199D" w14:textId="77777777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 </w:t>
      </w:r>
    </w:p>
    <w:p w14:paraId="53CA61B8" w14:textId="476B2D3F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A mudança climática está se tornando uma ameaça crescente que aprofunda a divisão social, exacerba a </w:t>
      </w:r>
      <w:r w:rsidR="00156C78" w:rsidRPr="005C5064">
        <w:rPr>
          <w:sz w:val="22"/>
          <w:szCs w:val="22"/>
          <w:lang w:val="pt-BR"/>
        </w:rPr>
        <w:t>des</w:t>
      </w:r>
      <w:r w:rsidRPr="005C5064">
        <w:rPr>
          <w:sz w:val="22"/>
          <w:szCs w:val="22"/>
          <w:lang w:val="pt-BR"/>
        </w:rPr>
        <w:t>i</w:t>
      </w:r>
      <w:r w:rsidR="00156C78" w:rsidRPr="005C5064">
        <w:rPr>
          <w:sz w:val="22"/>
          <w:szCs w:val="22"/>
          <w:lang w:val="pt-BR"/>
        </w:rPr>
        <w:t>gual</w:t>
      </w:r>
      <w:r w:rsidRPr="005C5064">
        <w:rPr>
          <w:sz w:val="22"/>
          <w:szCs w:val="22"/>
          <w:lang w:val="pt-BR"/>
        </w:rPr>
        <w:t>dade e empurra milhões para a pobreza. Pessoas empobrecidas, comunidades rurais e povos ind</w:t>
      </w:r>
      <w:r w:rsidR="00156C78" w:rsidRPr="005C5064">
        <w:rPr>
          <w:sz w:val="22"/>
          <w:szCs w:val="22"/>
          <w:lang w:val="pt-BR"/>
        </w:rPr>
        <w:t>í</w:t>
      </w:r>
      <w:r w:rsidRPr="005C5064">
        <w:rPr>
          <w:sz w:val="22"/>
          <w:szCs w:val="22"/>
          <w:lang w:val="pt-BR"/>
        </w:rPr>
        <w:t xml:space="preserve">genas são sempre os mais afetados pelos efeitos adversos da mudança climática. Por exemplo, em novembro de 2021, dois furacões gigantes </w:t>
      </w:r>
      <w:r w:rsidR="00156C78" w:rsidRPr="005C5064">
        <w:rPr>
          <w:sz w:val="22"/>
          <w:szCs w:val="22"/>
          <w:lang w:val="pt-BR"/>
        </w:rPr>
        <w:t xml:space="preserve">(Eta e Iota) que </w:t>
      </w:r>
      <w:r w:rsidRPr="005C5064">
        <w:rPr>
          <w:sz w:val="22"/>
          <w:szCs w:val="22"/>
          <w:lang w:val="pt-BR"/>
        </w:rPr>
        <w:t xml:space="preserve">atingiram a América Central </w:t>
      </w:r>
      <w:r w:rsidR="00156C78" w:rsidRPr="005C5064">
        <w:rPr>
          <w:sz w:val="22"/>
          <w:szCs w:val="22"/>
          <w:lang w:val="pt-BR"/>
        </w:rPr>
        <w:t>afet</w:t>
      </w:r>
      <w:r w:rsidRPr="005C5064">
        <w:rPr>
          <w:sz w:val="22"/>
          <w:szCs w:val="22"/>
          <w:lang w:val="pt-BR"/>
        </w:rPr>
        <w:t>a</w:t>
      </w:r>
      <w:r w:rsidR="00156C78" w:rsidRPr="005C5064">
        <w:rPr>
          <w:sz w:val="22"/>
          <w:szCs w:val="22"/>
          <w:lang w:val="pt-BR"/>
        </w:rPr>
        <w:t>ram</w:t>
      </w:r>
      <w:r w:rsidRPr="005C5064">
        <w:rPr>
          <w:sz w:val="22"/>
          <w:szCs w:val="22"/>
          <w:lang w:val="pt-BR"/>
        </w:rPr>
        <w:t xml:space="preserve"> as vidas de milhões de pessoas, forçando-as a cortar suas raízes e buscar um futuro melhor em outro lugar. O Banco Mundial estimou que a mudança climática levará a um aumento de 300% na pobreza extrema na América Latina e </w:t>
      </w:r>
      <w:r w:rsidR="00156C78" w:rsidRPr="005C5064">
        <w:rPr>
          <w:sz w:val="22"/>
          <w:szCs w:val="22"/>
          <w:lang w:val="pt-BR"/>
        </w:rPr>
        <w:t>n</w:t>
      </w:r>
      <w:r w:rsidRPr="005C5064">
        <w:rPr>
          <w:sz w:val="22"/>
          <w:szCs w:val="22"/>
          <w:lang w:val="pt-BR"/>
        </w:rPr>
        <w:t>o Caribe até 2030.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15"/>
      </w:r>
      <w:r w:rsidRPr="005C5064">
        <w:rPr>
          <w:sz w:val="22"/>
          <w:szCs w:val="22"/>
          <w:vertAlign w:val="superscript"/>
          <w:lang w:val="pt-BR"/>
        </w:rPr>
        <w:t>/</w:t>
      </w:r>
      <w:r w:rsidRPr="005C5064">
        <w:rPr>
          <w:sz w:val="22"/>
          <w:szCs w:val="22"/>
          <w:lang w:val="pt-BR"/>
        </w:rPr>
        <w:t xml:space="preserve">   </w:t>
      </w:r>
    </w:p>
    <w:p w14:paraId="1613A6D7" w14:textId="7C705676" w:rsidR="00642BA0" w:rsidRPr="005C5064" w:rsidRDefault="00642BA0" w:rsidP="005D0CB8">
      <w:pPr>
        <w:jc w:val="both"/>
        <w:rPr>
          <w:sz w:val="22"/>
          <w:szCs w:val="22"/>
          <w:lang w:val="pt-BR"/>
        </w:rPr>
      </w:pPr>
    </w:p>
    <w:p w14:paraId="0AF4352A" w14:textId="2AE41909" w:rsidR="00642BA0" w:rsidRPr="005C5064" w:rsidRDefault="00642BA0" w:rsidP="00642BA0">
      <w:pPr>
        <w:tabs>
          <w:tab w:val="left" w:pos="720"/>
        </w:tabs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O Banco Mundial estima que a mudança climática pode levar 3 milhões de pessoas à pobreza a cada ano na América Latina e </w:t>
      </w:r>
      <w:r w:rsidR="00156C78" w:rsidRPr="005C5064">
        <w:rPr>
          <w:sz w:val="22"/>
          <w:szCs w:val="22"/>
          <w:lang w:val="pt-BR"/>
        </w:rPr>
        <w:t>n</w:t>
      </w:r>
      <w:r w:rsidRPr="005C5064">
        <w:rPr>
          <w:sz w:val="22"/>
          <w:szCs w:val="22"/>
          <w:lang w:val="pt-BR"/>
        </w:rPr>
        <w:t xml:space="preserve">o Caribe até 2030. Isso impacta as pessoas nas cidades, </w:t>
      </w:r>
      <w:r w:rsidR="00156C78" w:rsidRPr="005C5064">
        <w:rPr>
          <w:sz w:val="22"/>
          <w:szCs w:val="22"/>
          <w:lang w:val="pt-BR"/>
        </w:rPr>
        <w:t xml:space="preserve">nas </w:t>
      </w:r>
      <w:r w:rsidRPr="005C5064">
        <w:rPr>
          <w:sz w:val="22"/>
          <w:szCs w:val="22"/>
          <w:lang w:val="pt-BR"/>
        </w:rPr>
        <w:t>áreas rurais e nas costas e áreas baixas onde furacões e outros perigos são uma ameaça crescente.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16"/>
      </w:r>
      <w:r w:rsidRPr="005C5064">
        <w:rPr>
          <w:sz w:val="22"/>
          <w:szCs w:val="22"/>
          <w:vertAlign w:val="superscript"/>
          <w:lang w:val="pt-BR"/>
        </w:rPr>
        <w:t>/</w:t>
      </w:r>
      <w:r w:rsidRPr="005C5064">
        <w:rPr>
          <w:sz w:val="22"/>
          <w:szCs w:val="22"/>
          <w:lang w:val="pt-BR"/>
        </w:rPr>
        <w:t xml:space="preserve"> Para superar muitos dos desafios e evitar a queda de milhões de pessoas na pobreza, investimentos críticos em resiliência e apoio econômico para as comunidades urbanas, rurais e ind</w:t>
      </w:r>
      <w:r w:rsidR="00156C78" w:rsidRPr="005C5064">
        <w:rPr>
          <w:sz w:val="22"/>
          <w:szCs w:val="22"/>
          <w:lang w:val="pt-BR"/>
        </w:rPr>
        <w:t>í</w:t>
      </w:r>
      <w:r w:rsidRPr="005C5064">
        <w:rPr>
          <w:sz w:val="22"/>
          <w:szCs w:val="22"/>
          <w:lang w:val="pt-BR"/>
        </w:rPr>
        <w:t xml:space="preserve">genas </w:t>
      </w:r>
      <w:r w:rsidR="00156C78" w:rsidRPr="005C5064">
        <w:rPr>
          <w:sz w:val="22"/>
          <w:szCs w:val="22"/>
          <w:lang w:val="pt-BR"/>
        </w:rPr>
        <w:t xml:space="preserve">mais pobres </w:t>
      </w:r>
      <w:r w:rsidRPr="005C5064">
        <w:rPr>
          <w:sz w:val="22"/>
          <w:szCs w:val="22"/>
          <w:lang w:val="pt-BR"/>
        </w:rPr>
        <w:t>devem ser priorizad</w:t>
      </w:r>
      <w:r w:rsidR="00156C78" w:rsidRPr="005C5064">
        <w:rPr>
          <w:sz w:val="22"/>
          <w:szCs w:val="22"/>
          <w:lang w:val="pt-BR"/>
        </w:rPr>
        <w:t>o</w:t>
      </w:r>
      <w:r w:rsidRPr="005C5064">
        <w:rPr>
          <w:sz w:val="22"/>
          <w:szCs w:val="22"/>
          <w:lang w:val="pt-BR"/>
        </w:rPr>
        <w:t>s. As recentes Conferências d</w:t>
      </w:r>
      <w:r w:rsidR="00156C78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>s Part</w:t>
      </w:r>
      <w:r w:rsidR="00156C78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 xml:space="preserve">s </w:t>
      </w:r>
      <w:r w:rsidR="00156C78" w:rsidRPr="005C5064">
        <w:rPr>
          <w:sz w:val="22"/>
          <w:szCs w:val="22"/>
          <w:lang w:val="pt-BR"/>
        </w:rPr>
        <w:t>n</w:t>
      </w:r>
      <w:r w:rsidRPr="005C5064">
        <w:rPr>
          <w:sz w:val="22"/>
          <w:szCs w:val="22"/>
          <w:lang w:val="pt-BR"/>
        </w:rPr>
        <w:t>a UNFCCC a</w:t>
      </w:r>
      <w:r w:rsidR="00156C78" w:rsidRPr="005C5064">
        <w:rPr>
          <w:sz w:val="22"/>
          <w:szCs w:val="22"/>
          <w:lang w:val="pt-BR"/>
        </w:rPr>
        <w:t>borda</w:t>
      </w:r>
      <w:r w:rsidRPr="005C5064">
        <w:rPr>
          <w:sz w:val="22"/>
          <w:szCs w:val="22"/>
          <w:lang w:val="pt-BR"/>
        </w:rPr>
        <w:t>ram essas questões, mas muitos esforços ainda precisam ser ativados e faltam soluções de base regional.</w:t>
      </w:r>
    </w:p>
    <w:p w14:paraId="55A8426E" w14:textId="77777777" w:rsidR="00642BA0" w:rsidRPr="005C5064" w:rsidRDefault="00642BA0" w:rsidP="00642BA0">
      <w:pPr>
        <w:ind w:firstLine="720"/>
        <w:jc w:val="both"/>
        <w:rPr>
          <w:sz w:val="22"/>
          <w:szCs w:val="22"/>
          <w:lang w:val="pt-BR"/>
        </w:rPr>
      </w:pPr>
    </w:p>
    <w:p w14:paraId="33095C50" w14:textId="77250F75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Erradicar a pobreza extrema para todas as pessoas em todos os lugares até 2030 é um objetivo </w:t>
      </w:r>
      <w:r w:rsidR="00156C78" w:rsidRPr="005C5064">
        <w:rPr>
          <w:sz w:val="22"/>
          <w:szCs w:val="22"/>
          <w:lang w:val="pt-BR"/>
        </w:rPr>
        <w:t>fundament</w:t>
      </w:r>
      <w:r w:rsidRPr="005C5064">
        <w:rPr>
          <w:sz w:val="22"/>
          <w:szCs w:val="22"/>
          <w:lang w:val="pt-BR"/>
        </w:rPr>
        <w:t xml:space="preserve">al da Agenda de Desenvolvimento Sustentável 2030. Entre 2015 e 2018, a pobreza global manteve seu declínio histórico e a taxa de pobreza global caiu de 10,1% em 2015 para 8,6% em 2018. Devido </w:t>
      </w:r>
      <w:r w:rsidR="00156C78" w:rsidRPr="005C5064">
        <w:rPr>
          <w:sz w:val="22"/>
          <w:szCs w:val="22"/>
          <w:lang w:val="pt-BR"/>
        </w:rPr>
        <w:t>à</w:t>
      </w:r>
      <w:r w:rsidRPr="005C5064">
        <w:rPr>
          <w:sz w:val="22"/>
          <w:szCs w:val="22"/>
          <w:lang w:val="pt-BR"/>
        </w:rPr>
        <w:t xml:space="preserve"> pandemia de COVID-19, a taxa de pobreza global aumentou de 8,3% em 2019 para 9,2% em 2020, re</w:t>
      </w:r>
      <w:r w:rsidR="00156C78" w:rsidRPr="005C5064">
        <w:rPr>
          <w:sz w:val="22"/>
          <w:szCs w:val="22"/>
          <w:lang w:val="pt-BR"/>
        </w:rPr>
        <w:t>vert</w:t>
      </w:r>
      <w:r w:rsidRPr="005C5064">
        <w:rPr>
          <w:sz w:val="22"/>
          <w:szCs w:val="22"/>
          <w:lang w:val="pt-BR"/>
        </w:rPr>
        <w:t xml:space="preserve">endo o progresso em cerca de três anos. </w:t>
      </w:r>
    </w:p>
    <w:p w14:paraId="0927478D" w14:textId="77777777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</w:p>
    <w:p w14:paraId="42F0A192" w14:textId="79202468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A</w:t>
      </w:r>
      <w:r w:rsidR="00D00472" w:rsidRPr="005C5064">
        <w:rPr>
          <w:sz w:val="22"/>
          <w:szCs w:val="22"/>
          <w:lang w:val="pt-BR"/>
        </w:rPr>
        <w:t>lém disso</w:t>
      </w:r>
      <w:r w:rsidRPr="005C5064">
        <w:rPr>
          <w:sz w:val="22"/>
          <w:szCs w:val="22"/>
          <w:lang w:val="pt-BR"/>
        </w:rPr>
        <w:t xml:space="preserve">, a pandemia de COVID-19 provocou a recessão mundial mais profunda desde a segunda guerra mundial. Em 2020, o PIB mundial diminuiu 3%. Contudo, na América Latina e </w:t>
      </w:r>
      <w:r w:rsidR="00D00472" w:rsidRPr="005C5064">
        <w:rPr>
          <w:sz w:val="22"/>
          <w:szCs w:val="22"/>
          <w:lang w:val="pt-BR"/>
        </w:rPr>
        <w:t>n</w:t>
      </w:r>
      <w:r w:rsidRPr="005C5064">
        <w:rPr>
          <w:sz w:val="22"/>
          <w:szCs w:val="22"/>
          <w:lang w:val="pt-BR"/>
        </w:rPr>
        <w:t xml:space="preserve">o Caribe a produção caiu 7%, a pior queda de qualquer região </w:t>
      </w:r>
      <w:r w:rsidR="00D00472" w:rsidRPr="005C5064">
        <w:rPr>
          <w:sz w:val="22"/>
          <w:szCs w:val="22"/>
          <w:lang w:val="pt-BR"/>
        </w:rPr>
        <w:t>monitor</w:t>
      </w:r>
      <w:r w:rsidRPr="005C5064">
        <w:rPr>
          <w:sz w:val="22"/>
          <w:szCs w:val="22"/>
          <w:lang w:val="pt-BR"/>
        </w:rPr>
        <w:t>ada pelo FMI.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17"/>
      </w:r>
      <w:r w:rsidRPr="005C5064">
        <w:rPr>
          <w:sz w:val="22"/>
          <w:szCs w:val="22"/>
          <w:vertAlign w:val="superscript"/>
          <w:lang w:val="pt-BR"/>
        </w:rPr>
        <w:t xml:space="preserve">/ </w:t>
      </w:r>
      <w:r w:rsidRPr="005C5064">
        <w:rPr>
          <w:sz w:val="22"/>
          <w:szCs w:val="22"/>
          <w:lang w:val="pt-BR"/>
        </w:rPr>
        <w:t xml:space="preserve">Em 2022, a invasão da Ucrânia </w:t>
      </w:r>
      <w:r w:rsidR="00D00472" w:rsidRPr="005C5064">
        <w:rPr>
          <w:sz w:val="22"/>
          <w:szCs w:val="22"/>
          <w:lang w:val="pt-BR"/>
        </w:rPr>
        <w:t>pela Rússia provoc</w:t>
      </w:r>
      <w:r w:rsidRPr="005C5064">
        <w:rPr>
          <w:sz w:val="22"/>
          <w:szCs w:val="22"/>
          <w:lang w:val="pt-BR"/>
        </w:rPr>
        <w:t xml:space="preserve">ou outra desaceleração econômica. </w:t>
      </w:r>
      <w:r w:rsidR="00D00472" w:rsidRPr="005C5064">
        <w:rPr>
          <w:sz w:val="22"/>
          <w:szCs w:val="22"/>
          <w:lang w:val="pt-BR"/>
        </w:rPr>
        <w:t>Uma i</w:t>
      </w:r>
      <w:r w:rsidRPr="005C5064">
        <w:rPr>
          <w:sz w:val="22"/>
          <w:szCs w:val="22"/>
          <w:lang w:val="pt-BR"/>
        </w:rPr>
        <w:t xml:space="preserve">nflação recorde, alimentada pela maior crise energética desde os anos 1970, criou dificuldades financeiras para milhões, causando escassez de alimentos e aprofundando a pobreza e a </w:t>
      </w:r>
      <w:r w:rsidR="00D00472" w:rsidRPr="005C5064">
        <w:rPr>
          <w:sz w:val="22"/>
          <w:szCs w:val="22"/>
          <w:lang w:val="pt-BR"/>
        </w:rPr>
        <w:t>desigual</w:t>
      </w:r>
      <w:r w:rsidRPr="005C5064">
        <w:rPr>
          <w:sz w:val="22"/>
          <w:szCs w:val="22"/>
          <w:lang w:val="pt-BR"/>
        </w:rPr>
        <w:t>dade em toda a região. No último ano, cerca de um terço da população da região (equivalente a 201 milhões de pessoas) caiu abaixo da linha da pobreza, enquanto a pobreza extrema afetou 13,1% (82 milhões).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18"/>
      </w:r>
      <w:r w:rsidRPr="005C5064">
        <w:rPr>
          <w:sz w:val="22"/>
          <w:szCs w:val="22"/>
          <w:vertAlign w:val="superscript"/>
          <w:lang w:val="pt-BR"/>
        </w:rPr>
        <w:t>/</w:t>
      </w:r>
    </w:p>
    <w:p w14:paraId="24734478" w14:textId="46CE8F93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lastRenderedPageBreak/>
        <w:t xml:space="preserve">Neste contexto de incerteza climática, a OEA atua como fórum primário de apoio às Américas no desenvolvimento de um enfoque hemisférico à mudança climática. </w:t>
      </w:r>
      <w:r w:rsidR="00D00472" w:rsidRPr="005C5064">
        <w:rPr>
          <w:sz w:val="22"/>
          <w:szCs w:val="22"/>
          <w:lang w:val="pt-BR"/>
        </w:rPr>
        <w:t>C</w:t>
      </w:r>
      <w:r w:rsidRPr="005C5064">
        <w:rPr>
          <w:sz w:val="22"/>
          <w:szCs w:val="22"/>
          <w:lang w:val="pt-BR"/>
        </w:rPr>
        <w:t>onforme estabelecido no Plano Estratégico para 2016-2020,</w:t>
      </w:r>
      <w:r w:rsidRPr="005C5064">
        <w:rPr>
          <w:sz w:val="22"/>
          <w:szCs w:val="22"/>
          <w:u w:val="single"/>
          <w:vertAlign w:val="superscript"/>
          <w:lang w:val="pt-BR"/>
        </w:rPr>
        <w:footnoteReference w:id="19"/>
      </w:r>
      <w:r w:rsidRPr="005C5064">
        <w:rPr>
          <w:sz w:val="22"/>
          <w:szCs w:val="22"/>
          <w:vertAlign w:val="superscript"/>
          <w:lang w:val="pt-BR"/>
        </w:rPr>
        <w:t>/</w:t>
      </w:r>
      <w:r w:rsidRPr="005C5064">
        <w:rPr>
          <w:sz w:val="22"/>
          <w:szCs w:val="22"/>
          <w:lang w:val="pt-BR"/>
        </w:rPr>
        <w:t xml:space="preserve"> a OEA reúne ministros e altas autoridades para discutir desafios comuns, trabalhar em soluções e estabelecer prioridades para a ação conjunta. </w:t>
      </w:r>
    </w:p>
    <w:p w14:paraId="75166EAE" w14:textId="77777777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</w:p>
    <w:p w14:paraId="78A1072A" w14:textId="32FE9086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A propos</w:t>
      </w:r>
      <w:r w:rsidR="0047008D" w:rsidRPr="005C5064">
        <w:rPr>
          <w:sz w:val="22"/>
          <w:szCs w:val="22"/>
          <w:lang w:val="pt-BR"/>
        </w:rPr>
        <w:t>ição</w:t>
      </w:r>
      <w:r w:rsidRPr="005C5064">
        <w:rPr>
          <w:sz w:val="22"/>
          <w:szCs w:val="22"/>
          <w:lang w:val="pt-BR"/>
        </w:rPr>
        <w:t xml:space="preserve"> da Quarta Reunião de Ministros e Altas Autoridades de Desenvolvimento Sustentável, a ser realizada em outubro de 2023, </w:t>
      </w:r>
      <w:r w:rsidR="0047008D" w:rsidRPr="005C5064">
        <w:rPr>
          <w:sz w:val="22"/>
          <w:szCs w:val="22"/>
          <w:lang w:val="pt-BR"/>
        </w:rPr>
        <w:t xml:space="preserve">concentra-se </w:t>
      </w:r>
      <w:r w:rsidRPr="005C5064">
        <w:rPr>
          <w:sz w:val="22"/>
          <w:szCs w:val="22"/>
          <w:lang w:val="pt-BR"/>
        </w:rPr>
        <w:t xml:space="preserve">em oferecer aos </w:t>
      </w:r>
      <w:r w:rsidR="0047008D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>stados</w:t>
      </w:r>
      <w:r w:rsidR="0047008D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>membros uma oportunidade única de vislumbrar um enfoque regional comum para a mudança climática, assim como o papel da OEA no apoio a esse esforço. As sessões ministeriais permitirão que os responsáveis pela tomada de decisões sobre políticas climáticas esbocem ações coletivas que, em conjunto, a</w:t>
      </w:r>
      <w:r w:rsidR="0047008D" w:rsidRPr="005C5064">
        <w:rPr>
          <w:sz w:val="22"/>
          <w:szCs w:val="22"/>
          <w:lang w:val="pt-BR"/>
        </w:rPr>
        <w:t>borda</w:t>
      </w:r>
      <w:r w:rsidRPr="005C5064">
        <w:rPr>
          <w:sz w:val="22"/>
          <w:szCs w:val="22"/>
          <w:lang w:val="pt-BR"/>
        </w:rPr>
        <w:t>rão os desafios da mudança climática.</w:t>
      </w:r>
    </w:p>
    <w:p w14:paraId="549CBD22" w14:textId="77777777" w:rsidR="00642BA0" w:rsidRPr="005C5064" w:rsidRDefault="00642BA0" w:rsidP="00642BA0">
      <w:pPr>
        <w:pStyle w:val="Heading1"/>
        <w:rPr>
          <w:rFonts w:ascii="Times New Roman" w:hAnsi="Times New Roman"/>
          <w:szCs w:val="22"/>
          <w:lang w:val="pt-BR"/>
        </w:rPr>
      </w:pPr>
    </w:p>
    <w:p w14:paraId="1C10AA54" w14:textId="6AFB4423" w:rsidR="00642BA0" w:rsidRPr="005C5064" w:rsidRDefault="00642BA0" w:rsidP="00642BA0">
      <w:pPr>
        <w:pStyle w:val="Heading1"/>
        <w:rPr>
          <w:rFonts w:ascii="Times New Roman" w:hAnsi="Times New Roman"/>
          <w:lang w:val="pt-BR"/>
        </w:rPr>
      </w:pPr>
      <w:bookmarkStart w:id="4" w:name="_Toc131518806"/>
      <w:r w:rsidRPr="005C5064">
        <w:rPr>
          <w:rFonts w:ascii="Times New Roman" w:hAnsi="Times New Roman"/>
          <w:lang w:val="pt-BR"/>
        </w:rPr>
        <w:t>LACUNAS, NECESSIDADES E OPORTUNIDADE</w:t>
      </w:r>
      <w:r w:rsidR="0047008D" w:rsidRPr="005C5064">
        <w:rPr>
          <w:rFonts w:ascii="Times New Roman" w:hAnsi="Times New Roman"/>
          <w:lang w:val="pt-BR"/>
        </w:rPr>
        <w:t>S</w:t>
      </w:r>
      <w:r w:rsidRPr="005C5064">
        <w:rPr>
          <w:rFonts w:ascii="Times New Roman" w:hAnsi="Times New Roman"/>
          <w:lang w:val="pt-BR"/>
        </w:rPr>
        <w:t xml:space="preserve"> DE AÇÃO CLIMÁTICA</w:t>
      </w:r>
      <w:bookmarkEnd w:id="4"/>
      <w:r w:rsidRPr="005C5064">
        <w:rPr>
          <w:rFonts w:ascii="Times New Roman" w:hAnsi="Times New Roman"/>
          <w:lang w:val="pt-BR"/>
        </w:rPr>
        <w:t xml:space="preserve"> </w:t>
      </w:r>
    </w:p>
    <w:p w14:paraId="46631E59" w14:textId="77777777" w:rsidR="00642BA0" w:rsidRPr="005C5064" w:rsidRDefault="00642BA0" w:rsidP="00642BA0">
      <w:pPr>
        <w:rPr>
          <w:lang w:val="pt-BR"/>
        </w:rPr>
      </w:pPr>
    </w:p>
    <w:p w14:paraId="63902142" w14:textId="05D58368" w:rsidR="00642BA0" w:rsidRPr="005C5064" w:rsidRDefault="00642BA0" w:rsidP="00642BA0">
      <w:pPr>
        <w:ind w:firstLine="720"/>
        <w:jc w:val="both"/>
        <w:rPr>
          <w:sz w:val="22"/>
          <w:szCs w:val="22"/>
          <w:vertAlign w:val="superscript"/>
          <w:lang w:val="pt-BR"/>
        </w:rPr>
      </w:pPr>
      <w:r w:rsidRPr="005C5064">
        <w:rPr>
          <w:sz w:val="22"/>
          <w:szCs w:val="22"/>
          <w:lang w:val="pt-BR"/>
        </w:rPr>
        <w:t xml:space="preserve">Líderes </w:t>
      </w:r>
      <w:r w:rsidR="0047008D" w:rsidRPr="005C5064">
        <w:rPr>
          <w:sz w:val="22"/>
          <w:szCs w:val="22"/>
          <w:lang w:val="pt-BR"/>
        </w:rPr>
        <w:t>d</w:t>
      </w:r>
      <w:r w:rsidRPr="005C5064">
        <w:rPr>
          <w:sz w:val="22"/>
          <w:szCs w:val="22"/>
          <w:lang w:val="pt-BR"/>
        </w:rPr>
        <w:t xml:space="preserve">e todo o mundo e </w:t>
      </w:r>
      <w:r w:rsidR="0047008D" w:rsidRPr="005C5064">
        <w:rPr>
          <w:sz w:val="22"/>
          <w:szCs w:val="22"/>
          <w:lang w:val="pt-BR"/>
        </w:rPr>
        <w:t>d</w:t>
      </w:r>
      <w:r w:rsidRPr="005C5064">
        <w:rPr>
          <w:sz w:val="22"/>
          <w:szCs w:val="22"/>
          <w:lang w:val="pt-BR"/>
        </w:rPr>
        <w:t xml:space="preserve">as Américas estão se mobilizando para </w:t>
      </w:r>
      <w:r w:rsidR="0047008D" w:rsidRPr="005C5064">
        <w:rPr>
          <w:sz w:val="22"/>
          <w:szCs w:val="22"/>
          <w:lang w:val="pt-BR"/>
        </w:rPr>
        <w:t>enfrent</w:t>
      </w:r>
      <w:r w:rsidRPr="005C5064">
        <w:rPr>
          <w:sz w:val="22"/>
          <w:szCs w:val="22"/>
          <w:lang w:val="pt-BR"/>
        </w:rPr>
        <w:t>ar a crise climática e atender às demandas por meio de ações cient</w:t>
      </w:r>
      <w:r w:rsidR="0047008D" w:rsidRPr="005C5064">
        <w:rPr>
          <w:sz w:val="22"/>
          <w:szCs w:val="22"/>
          <w:lang w:val="pt-BR"/>
        </w:rPr>
        <w:t>í</w:t>
      </w:r>
      <w:r w:rsidRPr="005C5064">
        <w:rPr>
          <w:sz w:val="22"/>
          <w:szCs w:val="22"/>
          <w:lang w:val="pt-BR"/>
        </w:rPr>
        <w:t>ficas. Vários países industrializados anunciaram novas metas de emissão de g</w:t>
      </w:r>
      <w:r w:rsidR="0047008D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>s</w:t>
      </w:r>
      <w:r w:rsidR="0047008D" w:rsidRPr="005C5064">
        <w:rPr>
          <w:sz w:val="22"/>
          <w:szCs w:val="22"/>
          <w:lang w:val="pt-BR"/>
        </w:rPr>
        <w:t>es</w:t>
      </w:r>
      <w:r w:rsidRPr="005C5064">
        <w:rPr>
          <w:sz w:val="22"/>
          <w:szCs w:val="22"/>
          <w:lang w:val="pt-BR"/>
        </w:rPr>
        <w:t xml:space="preserve"> </w:t>
      </w:r>
      <w:r w:rsidR="0047008D" w:rsidRPr="005C5064">
        <w:rPr>
          <w:sz w:val="22"/>
          <w:szCs w:val="22"/>
          <w:lang w:val="pt-BR"/>
        </w:rPr>
        <w:t xml:space="preserve">de efeito </w:t>
      </w:r>
      <w:r w:rsidRPr="005C5064">
        <w:rPr>
          <w:sz w:val="22"/>
          <w:szCs w:val="22"/>
          <w:lang w:val="pt-BR"/>
        </w:rPr>
        <w:t xml:space="preserve">estufa </w:t>
      </w:r>
      <w:r w:rsidR="0047008D" w:rsidRPr="005C5064">
        <w:rPr>
          <w:sz w:val="22"/>
          <w:szCs w:val="22"/>
          <w:lang w:val="pt-BR"/>
        </w:rPr>
        <w:t xml:space="preserve">para assegurar </w:t>
      </w:r>
      <w:r w:rsidRPr="005C5064">
        <w:rPr>
          <w:sz w:val="22"/>
          <w:szCs w:val="22"/>
          <w:lang w:val="pt-BR"/>
        </w:rPr>
        <w:t xml:space="preserve">que as nações que somam metade da economia do mundo </w:t>
      </w:r>
      <w:r w:rsidR="0047008D" w:rsidRPr="005C5064">
        <w:rPr>
          <w:sz w:val="22"/>
          <w:szCs w:val="22"/>
          <w:lang w:val="pt-BR"/>
        </w:rPr>
        <w:t xml:space="preserve">se </w:t>
      </w:r>
      <w:r w:rsidRPr="005C5064">
        <w:rPr>
          <w:sz w:val="22"/>
          <w:szCs w:val="22"/>
          <w:lang w:val="pt-BR"/>
        </w:rPr>
        <w:t>compromet</w:t>
      </w:r>
      <w:r w:rsidR="0047008D" w:rsidRPr="005C5064">
        <w:rPr>
          <w:sz w:val="22"/>
          <w:szCs w:val="22"/>
          <w:lang w:val="pt-BR"/>
        </w:rPr>
        <w:t>em</w:t>
      </w:r>
      <w:r w:rsidRPr="005C5064">
        <w:rPr>
          <w:sz w:val="22"/>
          <w:szCs w:val="22"/>
          <w:lang w:val="pt-BR"/>
        </w:rPr>
        <w:t xml:space="preserve"> com as reduções de emiss</w:t>
      </w:r>
      <w:r w:rsidR="0047008D" w:rsidRPr="005C5064">
        <w:rPr>
          <w:sz w:val="22"/>
          <w:szCs w:val="22"/>
          <w:lang w:val="pt-BR"/>
        </w:rPr>
        <w:t>ões</w:t>
      </w:r>
      <w:r w:rsidRPr="005C5064">
        <w:rPr>
          <w:sz w:val="22"/>
          <w:szCs w:val="22"/>
          <w:lang w:val="pt-BR"/>
        </w:rPr>
        <w:t xml:space="preserve"> necessárias no mundo para manter o aquecimento global em 1,5°C. Por outro lado, os países com economias em desenvolvimento e emergentes estão </w:t>
      </w:r>
      <w:r w:rsidR="0047008D" w:rsidRPr="005C5064">
        <w:rPr>
          <w:sz w:val="22"/>
          <w:szCs w:val="22"/>
          <w:lang w:val="pt-BR"/>
        </w:rPr>
        <w:t>tom</w:t>
      </w:r>
      <w:r w:rsidRPr="005C5064">
        <w:rPr>
          <w:sz w:val="22"/>
          <w:szCs w:val="22"/>
          <w:lang w:val="pt-BR"/>
        </w:rPr>
        <w:t xml:space="preserve">ando </w:t>
      </w:r>
      <w:r w:rsidR="0047008D" w:rsidRPr="005C5064">
        <w:rPr>
          <w:sz w:val="22"/>
          <w:szCs w:val="22"/>
          <w:lang w:val="pt-BR"/>
        </w:rPr>
        <w:t>medida</w:t>
      </w:r>
      <w:r w:rsidRPr="005C5064">
        <w:rPr>
          <w:sz w:val="22"/>
          <w:szCs w:val="22"/>
          <w:lang w:val="pt-BR"/>
        </w:rPr>
        <w:t xml:space="preserve">s para aumentar suas ambições climáticas </w:t>
      </w:r>
      <w:r w:rsidR="0047008D" w:rsidRPr="005C5064">
        <w:rPr>
          <w:sz w:val="22"/>
          <w:szCs w:val="22"/>
          <w:lang w:val="pt-BR"/>
        </w:rPr>
        <w:t xml:space="preserve">e </w:t>
      </w:r>
      <w:r w:rsidRPr="005C5064">
        <w:rPr>
          <w:sz w:val="22"/>
          <w:szCs w:val="22"/>
          <w:lang w:val="pt-BR"/>
        </w:rPr>
        <w:t>induzi</w:t>
      </w:r>
      <w:r w:rsidR="0047008D" w:rsidRPr="005C5064">
        <w:rPr>
          <w:sz w:val="22"/>
          <w:szCs w:val="22"/>
          <w:lang w:val="pt-BR"/>
        </w:rPr>
        <w:t>r</w:t>
      </w:r>
      <w:r w:rsidRPr="005C5064">
        <w:rPr>
          <w:sz w:val="22"/>
          <w:szCs w:val="22"/>
          <w:lang w:val="pt-BR"/>
        </w:rPr>
        <w:t xml:space="preserve"> o crescimento econômico. Todos esses esforços convergem na necessidade de se adaptar a um clima instável e mitigar futuros riscos climáticos. Contudo, dados científicos indicam que, para limitar o aquecimento global a 1,5°C nes</w:t>
      </w:r>
      <w:r w:rsidR="0047008D" w:rsidRPr="005C5064">
        <w:rPr>
          <w:sz w:val="22"/>
          <w:szCs w:val="22"/>
          <w:lang w:val="pt-BR"/>
        </w:rPr>
        <w:t>t</w:t>
      </w:r>
      <w:r w:rsidRPr="005C5064">
        <w:rPr>
          <w:sz w:val="22"/>
          <w:szCs w:val="22"/>
          <w:lang w:val="pt-BR"/>
        </w:rPr>
        <w:t xml:space="preserve">a década, a emissão anual de gases de efeito estufa deve ser reduzida em 45% </w:t>
      </w:r>
      <w:r w:rsidR="0047008D" w:rsidRPr="005C5064">
        <w:rPr>
          <w:sz w:val="22"/>
          <w:szCs w:val="22"/>
          <w:lang w:val="pt-BR"/>
        </w:rPr>
        <w:t>em relação às</w:t>
      </w:r>
      <w:r w:rsidRPr="005C5064">
        <w:rPr>
          <w:sz w:val="22"/>
          <w:szCs w:val="22"/>
          <w:lang w:val="pt-BR"/>
        </w:rPr>
        <w:t xml:space="preserve"> projeções de emissões de acordo com as políticas atualmente vigentes e deve continuar a cair rapidamente após 2030, para evitar o esgotamento </w:t>
      </w:r>
      <w:r w:rsidR="0047008D" w:rsidRPr="005C5064">
        <w:rPr>
          <w:sz w:val="22"/>
          <w:szCs w:val="22"/>
          <w:lang w:val="pt-BR"/>
        </w:rPr>
        <w:t>d</w:t>
      </w:r>
      <w:r w:rsidRPr="005C5064">
        <w:rPr>
          <w:sz w:val="22"/>
          <w:szCs w:val="22"/>
          <w:lang w:val="pt-BR"/>
        </w:rPr>
        <w:t>o orçamento de carbono atmosférico restante.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20"/>
      </w:r>
      <w:r w:rsidRPr="005C5064">
        <w:rPr>
          <w:sz w:val="22"/>
          <w:szCs w:val="22"/>
          <w:vertAlign w:val="superscript"/>
          <w:lang w:val="pt-BR"/>
        </w:rPr>
        <w:t>/</w:t>
      </w:r>
    </w:p>
    <w:p w14:paraId="2B58D484" w14:textId="77777777" w:rsidR="00642BA0" w:rsidRPr="005C5064" w:rsidRDefault="00642BA0" w:rsidP="00D04605">
      <w:pPr>
        <w:jc w:val="both"/>
        <w:rPr>
          <w:sz w:val="22"/>
          <w:szCs w:val="22"/>
          <w:lang w:val="pt-BR"/>
        </w:rPr>
      </w:pPr>
    </w:p>
    <w:p w14:paraId="09DDA93E" w14:textId="7B08D9F6" w:rsidR="00642BA0" w:rsidRPr="005C5064" w:rsidRDefault="00642BA0" w:rsidP="00642BA0">
      <w:pPr>
        <w:ind w:firstLine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Abordar as lacunas na mudança climática é um esforço multissetorial que exige o envolvimento de todos os atores da sociedade. Os principais atores incluem governos nacionais, cidades e governos locais, o setor privado, sociedade civil e a comunidade científica.</w:t>
      </w:r>
    </w:p>
    <w:p w14:paraId="17B26879" w14:textId="77777777" w:rsidR="00642BA0" w:rsidRPr="005C5064" w:rsidRDefault="00642BA0" w:rsidP="00642BA0">
      <w:pPr>
        <w:jc w:val="both"/>
        <w:rPr>
          <w:sz w:val="22"/>
          <w:szCs w:val="22"/>
          <w:lang w:val="pt-BR"/>
        </w:rPr>
      </w:pPr>
    </w:p>
    <w:p w14:paraId="325E9F3B" w14:textId="382B504C" w:rsidR="00642BA0" w:rsidRPr="005C5064" w:rsidRDefault="00642BA0" w:rsidP="00642BA0">
      <w:pPr>
        <w:ind w:firstLine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No </w:t>
      </w:r>
      <w:r w:rsidR="0047008D" w:rsidRPr="005C5064">
        <w:rPr>
          <w:sz w:val="22"/>
          <w:szCs w:val="22"/>
          <w:lang w:val="pt-BR"/>
        </w:rPr>
        <w:t>âmbito</w:t>
      </w:r>
      <w:r w:rsidRPr="005C5064">
        <w:rPr>
          <w:sz w:val="22"/>
          <w:szCs w:val="22"/>
          <w:lang w:val="pt-BR"/>
        </w:rPr>
        <w:t xml:space="preserve"> nacional, vários governos na região mostram grandes lacunas transformacionais, incluindo a ausência de estratégias nacionais de mudança climática com metas mensuráveis claras ou indicadores importantes de desempenho para monitorar o progresso, falta geral de dados científicos confiáveis e capacidade técnica e fraca avaliação de externalidades, assim como sua inclusão nos processos nacionais de contabilidade. No</w:t>
      </w:r>
      <w:r w:rsidR="0047008D" w:rsidRPr="005C5064">
        <w:rPr>
          <w:sz w:val="22"/>
          <w:szCs w:val="22"/>
          <w:lang w:val="pt-BR"/>
        </w:rPr>
        <w:t xml:space="preserve"> âmbito</w:t>
      </w:r>
      <w:r w:rsidRPr="005C5064">
        <w:rPr>
          <w:sz w:val="22"/>
          <w:szCs w:val="22"/>
          <w:lang w:val="pt-BR"/>
        </w:rPr>
        <w:t xml:space="preserve"> local, poucas cidades e governos municipais incluem a redução do carbono como parte de seu mandato e a consci</w:t>
      </w:r>
      <w:r w:rsidR="0047008D" w:rsidRPr="005C5064">
        <w:rPr>
          <w:sz w:val="22"/>
          <w:szCs w:val="22"/>
          <w:lang w:val="pt-BR"/>
        </w:rPr>
        <w:t xml:space="preserve">entização acerca </w:t>
      </w:r>
      <w:r w:rsidRPr="005C5064">
        <w:rPr>
          <w:sz w:val="22"/>
          <w:szCs w:val="22"/>
          <w:lang w:val="pt-BR"/>
        </w:rPr>
        <w:t>da pegada de carbono dos sistemas alimentares é inadequada.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21"/>
      </w:r>
      <w:r w:rsidRPr="005C5064">
        <w:rPr>
          <w:sz w:val="22"/>
          <w:szCs w:val="22"/>
          <w:vertAlign w:val="superscript"/>
          <w:lang w:val="pt-BR"/>
        </w:rPr>
        <w:t>/</w:t>
      </w:r>
    </w:p>
    <w:p w14:paraId="730F79E4" w14:textId="77777777" w:rsidR="00642BA0" w:rsidRPr="005C5064" w:rsidRDefault="00642BA0" w:rsidP="00D04605">
      <w:pPr>
        <w:jc w:val="both"/>
        <w:rPr>
          <w:sz w:val="22"/>
          <w:szCs w:val="22"/>
          <w:lang w:val="pt-BR"/>
        </w:rPr>
      </w:pPr>
    </w:p>
    <w:p w14:paraId="33C40967" w14:textId="4064127F" w:rsidR="00642BA0" w:rsidRPr="005C5064" w:rsidRDefault="00642BA0" w:rsidP="00642BA0">
      <w:pPr>
        <w:ind w:firstLine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A ação do setor privado </w:t>
      </w:r>
      <w:r w:rsidR="00B97324" w:rsidRPr="005C5064">
        <w:rPr>
          <w:sz w:val="22"/>
          <w:szCs w:val="22"/>
          <w:lang w:val="pt-BR"/>
        </w:rPr>
        <w:t>par</w:t>
      </w:r>
      <w:r w:rsidRPr="005C5064">
        <w:rPr>
          <w:sz w:val="22"/>
          <w:szCs w:val="22"/>
          <w:lang w:val="pt-BR"/>
        </w:rPr>
        <w:t>a limitar o aquecimento global mostra compromisso insuficiente, combinado com capacidades técnicas inadequadas e oposição a impostos e regulamentos ambientais. P</w:t>
      </w:r>
      <w:r w:rsidR="001B5084" w:rsidRPr="005C5064">
        <w:rPr>
          <w:sz w:val="22"/>
          <w:szCs w:val="22"/>
          <w:lang w:val="pt-BR"/>
        </w:rPr>
        <w:t>or sua vez</w:t>
      </w:r>
      <w:r w:rsidRPr="005C5064">
        <w:rPr>
          <w:sz w:val="22"/>
          <w:szCs w:val="22"/>
          <w:lang w:val="pt-BR"/>
        </w:rPr>
        <w:t xml:space="preserve">, o conhecimento e os incentivos da sociedade civil são limitados, </w:t>
      </w:r>
      <w:r w:rsidR="001B5084" w:rsidRPr="005C5064">
        <w:rPr>
          <w:sz w:val="22"/>
          <w:szCs w:val="22"/>
          <w:lang w:val="pt-BR"/>
        </w:rPr>
        <w:t xml:space="preserve">os </w:t>
      </w:r>
      <w:r w:rsidRPr="005C5064">
        <w:rPr>
          <w:sz w:val="22"/>
          <w:szCs w:val="22"/>
          <w:lang w:val="pt-BR"/>
        </w:rPr>
        <w:t xml:space="preserve">recursos técnicos e </w:t>
      </w:r>
      <w:r w:rsidRPr="005C5064">
        <w:rPr>
          <w:sz w:val="22"/>
          <w:szCs w:val="22"/>
          <w:lang w:val="pt-BR"/>
        </w:rPr>
        <w:lastRenderedPageBreak/>
        <w:t>financeiros disponíveis a ONG</w:t>
      </w:r>
      <w:r w:rsidR="001B5084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 xml:space="preserve"> de mudança climática, organizações de base e grupos de defesa de direitos são inadequados e só há um pequeno número de mecanismos para possibilitar o envolvimento dos cidadãos na tomada de decisões com relação </w:t>
      </w:r>
      <w:r w:rsidR="001B5084" w:rsidRPr="005C5064">
        <w:rPr>
          <w:sz w:val="22"/>
          <w:szCs w:val="22"/>
          <w:lang w:val="pt-BR"/>
        </w:rPr>
        <w:t>à</w:t>
      </w:r>
      <w:r w:rsidRPr="005C5064">
        <w:rPr>
          <w:sz w:val="22"/>
          <w:szCs w:val="22"/>
          <w:lang w:val="pt-BR"/>
        </w:rPr>
        <w:t xml:space="preserve"> mudança climática. Finalmente, com relação </w:t>
      </w:r>
      <w:r w:rsidR="001B5084" w:rsidRPr="005C5064">
        <w:rPr>
          <w:sz w:val="22"/>
          <w:szCs w:val="22"/>
          <w:lang w:val="pt-BR"/>
        </w:rPr>
        <w:t>à</w:t>
      </w:r>
      <w:r w:rsidRPr="005C5064">
        <w:rPr>
          <w:sz w:val="22"/>
          <w:szCs w:val="22"/>
          <w:lang w:val="pt-BR"/>
        </w:rPr>
        <w:t xml:space="preserve"> academia, um alinhamento robusto entre </w:t>
      </w:r>
      <w:r w:rsidR="000F66CD">
        <w:rPr>
          <w:sz w:val="22"/>
          <w:szCs w:val="22"/>
          <w:lang w:val="pt-BR"/>
        </w:rPr>
        <w:t xml:space="preserve">a </w:t>
      </w:r>
      <w:r w:rsidRPr="005C5064">
        <w:rPr>
          <w:sz w:val="22"/>
          <w:szCs w:val="22"/>
          <w:lang w:val="pt-BR"/>
        </w:rPr>
        <w:t xml:space="preserve">ciência e </w:t>
      </w:r>
      <w:r w:rsidR="000F66CD">
        <w:rPr>
          <w:sz w:val="22"/>
          <w:szCs w:val="22"/>
          <w:lang w:val="pt-BR"/>
        </w:rPr>
        <w:t xml:space="preserve">as </w:t>
      </w:r>
      <w:r w:rsidRPr="005C5064">
        <w:rPr>
          <w:sz w:val="22"/>
          <w:szCs w:val="22"/>
          <w:lang w:val="pt-BR"/>
        </w:rPr>
        <w:t>necessidades da sociedade e enfoques interdisciplinares mais poderosos são necessários para fortalecer a agenda climática da região.</w:t>
      </w:r>
      <w:r w:rsidRPr="005C5064">
        <w:rPr>
          <w:rStyle w:val="FootnoteReference"/>
          <w:sz w:val="22"/>
          <w:szCs w:val="22"/>
          <w:lang w:val="pt-BR"/>
        </w:rPr>
        <w:t xml:space="preserve"> 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22"/>
      </w:r>
      <w:r w:rsidRPr="005C5064">
        <w:rPr>
          <w:sz w:val="22"/>
          <w:szCs w:val="22"/>
          <w:vertAlign w:val="superscript"/>
          <w:lang w:val="pt-BR"/>
        </w:rPr>
        <w:t>/</w:t>
      </w:r>
    </w:p>
    <w:p w14:paraId="02A98BB7" w14:textId="77777777" w:rsidR="00642BA0" w:rsidRPr="005C5064" w:rsidRDefault="00642BA0" w:rsidP="00642BA0">
      <w:pPr>
        <w:jc w:val="both"/>
        <w:rPr>
          <w:sz w:val="22"/>
          <w:szCs w:val="22"/>
          <w:lang w:val="pt-BR"/>
        </w:rPr>
      </w:pPr>
    </w:p>
    <w:p w14:paraId="3D61900C" w14:textId="3A7BEC90" w:rsidR="00642BA0" w:rsidRPr="005C5064" w:rsidRDefault="00642BA0" w:rsidP="00642BA0">
      <w:pPr>
        <w:ind w:firstLine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As ações do governo para reduzir a emissão de gases de efeito estufa, diminuir o aquecimento global e aumentar o envolvimento de todos os setores da sociedade nessa tarefa incluem uma ampla gama de pol</w:t>
      </w:r>
      <w:r w:rsidR="00CB0521" w:rsidRPr="005C5064">
        <w:rPr>
          <w:sz w:val="22"/>
          <w:szCs w:val="22"/>
          <w:lang w:val="pt-BR"/>
        </w:rPr>
        <w:t>í</w:t>
      </w:r>
      <w:r w:rsidRPr="005C5064">
        <w:rPr>
          <w:sz w:val="22"/>
          <w:szCs w:val="22"/>
          <w:lang w:val="pt-BR"/>
        </w:rPr>
        <w:t>ticas desde a geração de energia renovável até a mobilidade elétrica, transporte p</w:t>
      </w:r>
      <w:r w:rsidR="00CB0521" w:rsidRPr="005C5064">
        <w:rPr>
          <w:sz w:val="22"/>
          <w:szCs w:val="22"/>
          <w:lang w:val="pt-BR"/>
        </w:rPr>
        <w:t>ú</w:t>
      </w:r>
      <w:r w:rsidRPr="005C5064">
        <w:rPr>
          <w:sz w:val="22"/>
          <w:szCs w:val="22"/>
          <w:lang w:val="pt-BR"/>
        </w:rPr>
        <w:t>blico, eficiência energética, gestão da terra e do lixo, monitoramento e avaliação de compromissos ambientais no</w:t>
      </w:r>
      <w:r w:rsidR="00CB0521" w:rsidRPr="005C5064">
        <w:rPr>
          <w:sz w:val="22"/>
          <w:szCs w:val="22"/>
          <w:lang w:val="pt-BR"/>
        </w:rPr>
        <w:t xml:space="preserve"> âmbito</w:t>
      </w:r>
      <w:r w:rsidRPr="005C5064">
        <w:rPr>
          <w:sz w:val="22"/>
          <w:szCs w:val="22"/>
          <w:lang w:val="pt-BR"/>
        </w:rPr>
        <w:t xml:space="preserve"> local e nacional ou estratégias de participação p</w:t>
      </w:r>
      <w:r w:rsidR="00CB0521" w:rsidRPr="005C5064">
        <w:rPr>
          <w:sz w:val="22"/>
          <w:szCs w:val="22"/>
          <w:lang w:val="pt-BR"/>
        </w:rPr>
        <w:t>ú</w:t>
      </w:r>
      <w:r w:rsidRPr="005C5064">
        <w:rPr>
          <w:sz w:val="22"/>
          <w:szCs w:val="22"/>
          <w:lang w:val="pt-BR"/>
        </w:rPr>
        <w:t xml:space="preserve">blica para a tomada de decisões sobre mudança climática, para citar </w:t>
      </w:r>
      <w:r w:rsidR="00CB0521" w:rsidRPr="005C5064">
        <w:rPr>
          <w:sz w:val="22"/>
          <w:szCs w:val="22"/>
          <w:lang w:val="pt-BR"/>
        </w:rPr>
        <w:t xml:space="preserve">apenas </w:t>
      </w:r>
      <w:r w:rsidRPr="005C5064">
        <w:rPr>
          <w:sz w:val="22"/>
          <w:szCs w:val="22"/>
          <w:lang w:val="pt-BR"/>
        </w:rPr>
        <w:t>algumas. Contudo, o mundo precisa se adaptar às consequências de um clima já instável, e o resultado disso varia dependendo da região e pode significar incêndios, enchentes, furacões, secas, dias mais quentes ou mais frios ou aumento do nível do mar.</w:t>
      </w:r>
    </w:p>
    <w:p w14:paraId="62DFE86A" w14:textId="77777777" w:rsidR="00642BA0" w:rsidRPr="005C5064" w:rsidRDefault="00642BA0" w:rsidP="00D04605">
      <w:pPr>
        <w:jc w:val="both"/>
        <w:rPr>
          <w:sz w:val="22"/>
          <w:szCs w:val="22"/>
          <w:lang w:val="pt-BR"/>
        </w:rPr>
      </w:pPr>
    </w:p>
    <w:p w14:paraId="42E40300" w14:textId="41DF8B46" w:rsidR="00642BA0" w:rsidRPr="005C5064" w:rsidRDefault="00642BA0" w:rsidP="00642BA0">
      <w:pPr>
        <w:ind w:firstLine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Conforme os países </w:t>
      </w:r>
      <w:r w:rsidR="001B5084" w:rsidRPr="005C5064">
        <w:rPr>
          <w:sz w:val="22"/>
          <w:szCs w:val="22"/>
          <w:lang w:val="pt-BR"/>
        </w:rPr>
        <w:t>pass</w:t>
      </w:r>
      <w:r w:rsidRPr="005C5064">
        <w:rPr>
          <w:sz w:val="22"/>
          <w:szCs w:val="22"/>
          <w:lang w:val="pt-BR"/>
        </w:rPr>
        <w:t xml:space="preserve">am para uma economia descarbonizada, seus planos de desenvolvimento podem </w:t>
      </w:r>
      <w:r w:rsidR="00CB0521" w:rsidRPr="005C5064">
        <w:rPr>
          <w:sz w:val="22"/>
          <w:szCs w:val="22"/>
          <w:lang w:val="pt-BR"/>
        </w:rPr>
        <w:t>torn</w:t>
      </w:r>
      <w:r w:rsidRPr="005C5064">
        <w:rPr>
          <w:sz w:val="22"/>
          <w:szCs w:val="22"/>
          <w:lang w:val="pt-BR"/>
        </w:rPr>
        <w:t xml:space="preserve">ar a economia limpa, verde e mais resiliente. Sua resposta à mudança climática irá envolver dois enfoques críticos. O primeiro consiste em reduzir e estabilizar os níveis de gases de efeito estufa na atmosfera (mitigação), enquanto o segundo </w:t>
      </w:r>
      <w:r w:rsidR="00CB0521" w:rsidRPr="005C5064">
        <w:rPr>
          <w:sz w:val="22"/>
          <w:szCs w:val="22"/>
          <w:lang w:val="pt-BR"/>
        </w:rPr>
        <w:t>se concentra</w:t>
      </w:r>
      <w:r w:rsidRPr="005C5064">
        <w:rPr>
          <w:sz w:val="22"/>
          <w:szCs w:val="22"/>
          <w:lang w:val="pt-BR"/>
        </w:rPr>
        <w:t xml:space="preserve"> na adaptação à mudança climática em curso (adaptação). Em amb</w:t>
      </w:r>
      <w:r w:rsidR="00CB0521" w:rsidRPr="005C5064">
        <w:rPr>
          <w:sz w:val="22"/>
          <w:szCs w:val="22"/>
          <w:lang w:val="pt-BR"/>
        </w:rPr>
        <w:t>o</w:t>
      </w:r>
      <w:r w:rsidRPr="005C5064">
        <w:rPr>
          <w:sz w:val="22"/>
          <w:szCs w:val="22"/>
          <w:lang w:val="pt-BR"/>
        </w:rPr>
        <w:t xml:space="preserve">s </w:t>
      </w:r>
      <w:r w:rsidR="00CB0521" w:rsidRPr="005C5064">
        <w:rPr>
          <w:sz w:val="22"/>
          <w:szCs w:val="22"/>
          <w:lang w:val="pt-BR"/>
        </w:rPr>
        <w:t>os casos</w:t>
      </w:r>
      <w:r w:rsidRPr="005C5064">
        <w:rPr>
          <w:sz w:val="22"/>
          <w:szCs w:val="22"/>
          <w:lang w:val="pt-BR"/>
        </w:rPr>
        <w:t>, a recuperação pós-COVID-19 é uma oportunidade de mudança sistêmica profunda em direção a uma economia sustentável que funcione para as pessoas e para o planeta.</w:t>
      </w:r>
    </w:p>
    <w:p w14:paraId="4053DE55" w14:textId="77777777" w:rsidR="00642BA0" w:rsidRPr="005C5064" w:rsidRDefault="00642BA0" w:rsidP="00642BA0">
      <w:pPr>
        <w:jc w:val="both"/>
        <w:rPr>
          <w:sz w:val="22"/>
          <w:szCs w:val="22"/>
          <w:lang w:val="pt-BR"/>
        </w:rPr>
      </w:pPr>
    </w:p>
    <w:p w14:paraId="6C8539B8" w14:textId="77777777" w:rsidR="00642BA0" w:rsidRPr="005C5064" w:rsidRDefault="00642BA0" w:rsidP="00642BA0">
      <w:pPr>
        <w:pStyle w:val="Heading2"/>
        <w:ind w:left="720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bookmarkStart w:id="5" w:name="_Toc131518807"/>
      <w:r w:rsidRPr="005C5064">
        <w:rPr>
          <w:rFonts w:ascii="Times New Roman" w:hAnsi="Times New Roman" w:cs="Times New Roman"/>
          <w:b/>
          <w:bCs/>
          <w:sz w:val="22"/>
          <w:szCs w:val="22"/>
          <w:lang w:val="pt-BR"/>
        </w:rPr>
        <w:t>Mitigação</w:t>
      </w:r>
      <w:bookmarkEnd w:id="5"/>
    </w:p>
    <w:p w14:paraId="4E0435B0" w14:textId="77777777" w:rsidR="00642BA0" w:rsidRPr="005C5064" w:rsidRDefault="00642BA0" w:rsidP="00642BA0">
      <w:pPr>
        <w:rPr>
          <w:lang w:val="pt-BR"/>
        </w:rPr>
      </w:pPr>
    </w:p>
    <w:p w14:paraId="128C85DE" w14:textId="42F887F2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Existe uma correlação direta entre as temperaturas médias globais e os níveis concentrados de gases de efeito estufa (por exemplo, dióxido de carbono, metano, </w:t>
      </w:r>
      <w:r w:rsidR="00701768" w:rsidRPr="005C5064">
        <w:rPr>
          <w:sz w:val="22"/>
          <w:szCs w:val="22"/>
          <w:lang w:val="pt-BR"/>
        </w:rPr>
        <w:t>ó</w:t>
      </w:r>
      <w:r w:rsidRPr="005C5064">
        <w:rPr>
          <w:sz w:val="22"/>
          <w:szCs w:val="22"/>
          <w:lang w:val="pt-BR"/>
        </w:rPr>
        <w:t xml:space="preserve">xido nitroso, vapor de água, etc.) na atmosfera da Terra. A chave para abordar essa questão é diminuir as emissões liberadas na atmosfera e reduzir a atual concentração de dióxido de carbono </w:t>
      </w:r>
      <w:r w:rsidR="00FA6BFB" w:rsidRPr="005C5064">
        <w:rPr>
          <w:sz w:val="22"/>
          <w:szCs w:val="22"/>
          <w:lang w:val="pt-BR"/>
        </w:rPr>
        <w:t>melhor</w:t>
      </w:r>
      <w:r w:rsidRPr="005C5064">
        <w:rPr>
          <w:sz w:val="22"/>
          <w:szCs w:val="22"/>
          <w:lang w:val="pt-BR"/>
        </w:rPr>
        <w:t xml:space="preserve">ando </w:t>
      </w:r>
      <w:r w:rsidR="00701768" w:rsidRPr="005C5064">
        <w:rPr>
          <w:sz w:val="22"/>
          <w:szCs w:val="22"/>
          <w:lang w:val="pt-BR"/>
        </w:rPr>
        <w:t xml:space="preserve">os </w:t>
      </w:r>
      <w:r w:rsidR="00DA1B1C" w:rsidRPr="005C5064">
        <w:rPr>
          <w:sz w:val="22"/>
          <w:szCs w:val="22"/>
          <w:lang w:val="pt-BR"/>
        </w:rPr>
        <w:t>reservatório</w:t>
      </w:r>
      <w:r w:rsidR="00701768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 xml:space="preserve"> que acumulam e armazenam esses gases (por exemplo, oceanos, florestas e solo). Os esforços para reduzir emissões e </w:t>
      </w:r>
      <w:r w:rsidR="00FA6BFB" w:rsidRPr="005C5064">
        <w:rPr>
          <w:sz w:val="22"/>
          <w:szCs w:val="22"/>
          <w:lang w:val="pt-BR"/>
        </w:rPr>
        <w:t>melhor</w:t>
      </w:r>
      <w:r w:rsidRPr="005C5064">
        <w:rPr>
          <w:sz w:val="22"/>
          <w:szCs w:val="22"/>
          <w:lang w:val="pt-BR"/>
        </w:rPr>
        <w:t xml:space="preserve">ar </w:t>
      </w:r>
      <w:r w:rsidR="00FA6BFB" w:rsidRPr="005C5064">
        <w:rPr>
          <w:sz w:val="22"/>
          <w:szCs w:val="22"/>
          <w:lang w:val="pt-BR"/>
        </w:rPr>
        <w:t xml:space="preserve">os reservatórios </w:t>
      </w:r>
      <w:r w:rsidRPr="005C5064">
        <w:rPr>
          <w:sz w:val="22"/>
          <w:szCs w:val="22"/>
          <w:lang w:val="pt-BR"/>
        </w:rPr>
        <w:t xml:space="preserve">são chamados de “mitigação.” O objetivo da mitigação é evitar uma significativa interferência humana </w:t>
      </w:r>
      <w:r w:rsidR="00701768" w:rsidRPr="005C5064">
        <w:rPr>
          <w:sz w:val="22"/>
          <w:szCs w:val="22"/>
          <w:lang w:val="pt-BR"/>
        </w:rPr>
        <w:t>n</w:t>
      </w:r>
      <w:r w:rsidRPr="005C5064">
        <w:rPr>
          <w:sz w:val="22"/>
          <w:szCs w:val="22"/>
          <w:lang w:val="pt-BR"/>
        </w:rPr>
        <w:t xml:space="preserve">o clima da Terra, “estabilizar os níveis de gases de efeito estufa em um cronograma suficiente para permitir que os ecossistemas se adaptem naturalmente </w:t>
      </w:r>
      <w:r w:rsidR="00701768" w:rsidRPr="005C5064">
        <w:rPr>
          <w:sz w:val="22"/>
          <w:szCs w:val="22"/>
          <w:lang w:val="pt-BR"/>
        </w:rPr>
        <w:t>à</w:t>
      </w:r>
      <w:r w:rsidRPr="005C5064">
        <w:rPr>
          <w:sz w:val="22"/>
          <w:szCs w:val="22"/>
          <w:lang w:val="pt-BR"/>
        </w:rPr>
        <w:t xml:space="preserve"> mudança climática, assegurar que a produção alimentar não seja ameaçada e permitir que o desenvolvimento econômico siga de forma sustentável.”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23"/>
      </w:r>
      <w:r w:rsidRPr="005C5064">
        <w:rPr>
          <w:sz w:val="22"/>
          <w:szCs w:val="22"/>
          <w:vertAlign w:val="superscript"/>
          <w:lang w:val="pt-BR"/>
        </w:rPr>
        <w:t>/</w:t>
      </w:r>
    </w:p>
    <w:p w14:paraId="33F862D3" w14:textId="77777777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</w:p>
    <w:p w14:paraId="5AF415F0" w14:textId="6720B121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Mais da metade das emissões globais de metano se originam de atividades humanas em três setores: combustíveis fosseis (35%), lixo (20%) e agricultura (40%). No setor de combustíve</w:t>
      </w:r>
      <w:r w:rsidR="00701768" w:rsidRPr="005C5064">
        <w:rPr>
          <w:sz w:val="22"/>
          <w:szCs w:val="22"/>
          <w:lang w:val="pt-BR"/>
        </w:rPr>
        <w:t>is</w:t>
      </w:r>
      <w:r w:rsidRPr="005C5064">
        <w:rPr>
          <w:sz w:val="22"/>
          <w:szCs w:val="22"/>
          <w:lang w:val="pt-BR"/>
        </w:rPr>
        <w:t xml:space="preserve"> fóss</w:t>
      </w:r>
      <w:r w:rsidR="00701768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>i</w:t>
      </w:r>
      <w:r w:rsidR="00701768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>, a extração, processamento e distribuição de petróleo e gás somam 23% e a mineração de carvão 12% das emissões.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24"/>
      </w:r>
      <w:r w:rsidRPr="005C5064">
        <w:rPr>
          <w:sz w:val="22"/>
          <w:szCs w:val="22"/>
          <w:vertAlign w:val="superscript"/>
          <w:lang w:val="pt-BR"/>
        </w:rPr>
        <w:t xml:space="preserve">/ </w:t>
      </w:r>
      <w:r w:rsidRPr="005C5064">
        <w:rPr>
          <w:sz w:val="22"/>
          <w:szCs w:val="22"/>
          <w:lang w:val="pt-BR"/>
        </w:rPr>
        <w:t xml:space="preserve">No setor do lixo, </w:t>
      </w:r>
      <w:r w:rsidR="00701768" w:rsidRPr="005C5064">
        <w:rPr>
          <w:sz w:val="22"/>
          <w:szCs w:val="22"/>
          <w:lang w:val="pt-BR"/>
        </w:rPr>
        <w:t xml:space="preserve">o </w:t>
      </w:r>
      <w:r w:rsidRPr="005C5064">
        <w:rPr>
          <w:sz w:val="22"/>
          <w:szCs w:val="22"/>
          <w:lang w:val="pt-BR"/>
        </w:rPr>
        <w:t>aterro sanitário e água</w:t>
      </w:r>
      <w:r w:rsidR="00701768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 xml:space="preserve"> residua</w:t>
      </w:r>
      <w:r w:rsidR="00701768" w:rsidRPr="005C5064">
        <w:rPr>
          <w:sz w:val="22"/>
          <w:szCs w:val="22"/>
          <w:lang w:val="pt-BR"/>
        </w:rPr>
        <w:t>is</w:t>
      </w:r>
      <w:r w:rsidRPr="005C5064">
        <w:rPr>
          <w:sz w:val="22"/>
          <w:szCs w:val="22"/>
          <w:lang w:val="pt-BR"/>
        </w:rPr>
        <w:t xml:space="preserve"> somam </w:t>
      </w:r>
      <w:r w:rsidRPr="005C5064">
        <w:rPr>
          <w:sz w:val="22"/>
          <w:szCs w:val="22"/>
          <w:lang w:val="pt-BR"/>
        </w:rPr>
        <w:lastRenderedPageBreak/>
        <w:t>cerca de 20% das emissões antropogênicas globais. No setor agrícola, as emissões do gado oriundas de esterco e fermentação intestinal representam aproximadamente 32% e o cultivo de arroz 8% das emissões antropogênicas globais.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25"/>
      </w:r>
      <w:r w:rsidRPr="005C5064">
        <w:rPr>
          <w:sz w:val="22"/>
          <w:szCs w:val="22"/>
          <w:vertAlign w:val="superscript"/>
          <w:lang w:val="pt-BR"/>
        </w:rPr>
        <w:t>/</w:t>
      </w:r>
      <w:r w:rsidRPr="005C5064">
        <w:rPr>
          <w:sz w:val="22"/>
          <w:szCs w:val="22"/>
          <w:lang w:val="pt-BR"/>
        </w:rPr>
        <w:t xml:space="preserve"> </w:t>
      </w:r>
      <w:r w:rsidR="001916B1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 xml:space="preserve">xistem medidas de controle </w:t>
      </w:r>
      <w:r w:rsidR="001916B1" w:rsidRPr="005C5064">
        <w:rPr>
          <w:sz w:val="22"/>
          <w:szCs w:val="22"/>
          <w:lang w:val="pt-BR"/>
        </w:rPr>
        <w:t>focaliz</w:t>
      </w:r>
      <w:r w:rsidRPr="005C5064">
        <w:rPr>
          <w:sz w:val="22"/>
          <w:szCs w:val="22"/>
          <w:lang w:val="pt-BR"/>
        </w:rPr>
        <w:t>adas prontamente disponíveis que podem reduzir mais de 30% das emissões antropogênicas de metano até 2030. A maioria dessas soluções técnicas está nos setores dos combustíveis f</w:t>
      </w:r>
      <w:r w:rsidR="001916B1" w:rsidRPr="005C5064">
        <w:rPr>
          <w:sz w:val="22"/>
          <w:szCs w:val="22"/>
          <w:lang w:val="pt-BR"/>
        </w:rPr>
        <w:t>ó</w:t>
      </w:r>
      <w:r w:rsidRPr="005C5064">
        <w:rPr>
          <w:sz w:val="22"/>
          <w:szCs w:val="22"/>
          <w:lang w:val="pt-BR"/>
        </w:rPr>
        <w:t>sseis (petróleo, gás e carvão) e do lixo e pode</w:t>
      </w:r>
      <w:r w:rsidR="001916B1" w:rsidRPr="005C5064">
        <w:rPr>
          <w:sz w:val="22"/>
          <w:szCs w:val="22"/>
          <w:lang w:val="pt-BR"/>
        </w:rPr>
        <w:t>m</w:t>
      </w:r>
      <w:r w:rsidRPr="005C5064">
        <w:rPr>
          <w:sz w:val="22"/>
          <w:szCs w:val="22"/>
          <w:lang w:val="pt-BR"/>
        </w:rPr>
        <w:t xml:space="preserve"> se</w:t>
      </w:r>
      <w:r w:rsidR="001916B1" w:rsidRPr="005C5064">
        <w:rPr>
          <w:sz w:val="22"/>
          <w:szCs w:val="22"/>
          <w:lang w:val="pt-BR"/>
        </w:rPr>
        <w:t>r</w:t>
      </w:r>
      <w:r w:rsidRPr="005C5064">
        <w:rPr>
          <w:sz w:val="22"/>
          <w:szCs w:val="22"/>
          <w:lang w:val="pt-BR"/>
        </w:rPr>
        <w:t xml:space="preserve"> </w:t>
      </w:r>
      <w:r w:rsidR="001916B1" w:rsidRPr="005C5064">
        <w:rPr>
          <w:sz w:val="22"/>
          <w:szCs w:val="22"/>
          <w:lang w:val="pt-BR"/>
        </w:rPr>
        <w:t>aplicadas</w:t>
      </w:r>
      <w:r w:rsidRPr="005C5064">
        <w:rPr>
          <w:sz w:val="22"/>
          <w:szCs w:val="22"/>
          <w:lang w:val="pt-BR"/>
        </w:rPr>
        <w:t xml:space="preserve"> a um custo baixo ou negativo.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26"/>
      </w:r>
      <w:r w:rsidRPr="005C5064">
        <w:rPr>
          <w:sz w:val="22"/>
          <w:szCs w:val="22"/>
          <w:vertAlign w:val="superscript"/>
          <w:lang w:val="pt-BR"/>
        </w:rPr>
        <w:t>/</w:t>
      </w:r>
      <w:r w:rsidRPr="005C5064">
        <w:rPr>
          <w:sz w:val="22"/>
          <w:szCs w:val="22"/>
          <w:lang w:val="pt-BR"/>
        </w:rPr>
        <w:t xml:space="preserve"> Uma combinação de políticas centradas nessas medidas poderia reduzir </w:t>
      </w:r>
      <w:r w:rsidR="001916B1" w:rsidRPr="005C5064">
        <w:rPr>
          <w:sz w:val="22"/>
          <w:szCs w:val="22"/>
          <w:lang w:val="pt-BR"/>
        </w:rPr>
        <w:t xml:space="preserve">as </w:t>
      </w:r>
      <w:r w:rsidRPr="005C5064">
        <w:rPr>
          <w:sz w:val="22"/>
          <w:szCs w:val="22"/>
          <w:lang w:val="pt-BR"/>
        </w:rPr>
        <w:t xml:space="preserve">emissões desses setores em aproximadamente 45% até 2030, atingindo assim a meta do Acordo de Paris de 1,5°C. Além disso, essas políticas devem alavancar soluções </w:t>
      </w:r>
      <w:r w:rsidR="001916B1" w:rsidRPr="005C5064">
        <w:rPr>
          <w:sz w:val="22"/>
          <w:szCs w:val="22"/>
          <w:lang w:val="pt-BR"/>
        </w:rPr>
        <w:t xml:space="preserve">baseadas na </w:t>
      </w:r>
      <w:r w:rsidRPr="005C5064">
        <w:rPr>
          <w:sz w:val="22"/>
          <w:szCs w:val="22"/>
          <w:lang w:val="pt-BR"/>
        </w:rPr>
        <w:t>natur</w:t>
      </w:r>
      <w:r w:rsidR="001916B1" w:rsidRPr="005C5064">
        <w:rPr>
          <w:sz w:val="22"/>
          <w:szCs w:val="22"/>
          <w:lang w:val="pt-BR"/>
        </w:rPr>
        <w:t>eza</w:t>
      </w:r>
      <w:r w:rsidRPr="005C5064">
        <w:rPr>
          <w:sz w:val="22"/>
          <w:szCs w:val="22"/>
          <w:lang w:val="pt-BR"/>
        </w:rPr>
        <w:t>.</w:t>
      </w:r>
    </w:p>
    <w:p w14:paraId="60FA777F" w14:textId="77777777" w:rsidR="00642BA0" w:rsidRPr="005C5064" w:rsidRDefault="00642BA0" w:rsidP="00D04605">
      <w:pPr>
        <w:jc w:val="both"/>
        <w:rPr>
          <w:sz w:val="22"/>
          <w:szCs w:val="22"/>
          <w:lang w:val="pt-BR"/>
        </w:rPr>
      </w:pPr>
    </w:p>
    <w:p w14:paraId="03C71EC7" w14:textId="77777777" w:rsidR="00642BA0" w:rsidRPr="005C5064" w:rsidRDefault="00642BA0" w:rsidP="00642BA0">
      <w:pPr>
        <w:pStyle w:val="Heading3"/>
        <w:ind w:left="720"/>
        <w:rPr>
          <w:rFonts w:ascii="Times New Roman" w:hAnsi="Times New Roman" w:cs="Times New Roman"/>
          <w:sz w:val="22"/>
          <w:szCs w:val="22"/>
          <w:lang w:val="pt-BR"/>
        </w:rPr>
      </w:pPr>
      <w:bookmarkStart w:id="6" w:name="_Toc131518808"/>
      <w:r w:rsidRPr="005C5064">
        <w:rPr>
          <w:rFonts w:ascii="Times New Roman" w:hAnsi="Times New Roman" w:cs="Times New Roman"/>
          <w:sz w:val="22"/>
          <w:szCs w:val="22"/>
          <w:lang w:val="pt-BR"/>
        </w:rPr>
        <w:t>Energia</w:t>
      </w:r>
      <w:bookmarkEnd w:id="6"/>
    </w:p>
    <w:p w14:paraId="08F47164" w14:textId="77777777" w:rsidR="00642BA0" w:rsidRPr="005C5064" w:rsidRDefault="00642BA0" w:rsidP="00642BA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24AECC8A" w14:textId="77D2A924" w:rsidR="00642BA0" w:rsidRPr="005C5064" w:rsidRDefault="00642BA0" w:rsidP="001916B1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ab/>
      </w:r>
      <w:r w:rsidR="001916B1" w:rsidRPr="005C5064">
        <w:rPr>
          <w:sz w:val="22"/>
          <w:szCs w:val="22"/>
          <w:lang w:val="pt-BR"/>
        </w:rPr>
        <w:t>A g</w:t>
      </w:r>
      <w:r w:rsidRPr="005C5064">
        <w:rPr>
          <w:sz w:val="22"/>
          <w:szCs w:val="22"/>
          <w:lang w:val="pt-BR"/>
        </w:rPr>
        <w:t>eração e</w:t>
      </w:r>
      <w:r w:rsidR="001916B1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 xml:space="preserve">consumo de energia e </w:t>
      </w:r>
      <w:r w:rsidR="000F66CD">
        <w:rPr>
          <w:sz w:val="22"/>
          <w:szCs w:val="22"/>
          <w:lang w:val="pt-BR"/>
        </w:rPr>
        <w:t xml:space="preserve">o </w:t>
      </w:r>
      <w:r w:rsidRPr="005C5064">
        <w:rPr>
          <w:sz w:val="22"/>
          <w:szCs w:val="22"/>
          <w:lang w:val="pt-BR"/>
        </w:rPr>
        <w:t xml:space="preserve">transporte são fontes importantes de emissão de gases de efeito estufa na região. Os países que </w:t>
      </w:r>
      <w:r w:rsidR="001916B1" w:rsidRPr="005C5064">
        <w:rPr>
          <w:sz w:val="22"/>
          <w:szCs w:val="22"/>
          <w:lang w:val="pt-BR"/>
        </w:rPr>
        <w:t>procur</w:t>
      </w:r>
      <w:r w:rsidRPr="005C5064">
        <w:rPr>
          <w:sz w:val="22"/>
          <w:szCs w:val="22"/>
          <w:lang w:val="pt-BR"/>
        </w:rPr>
        <w:t xml:space="preserve">am reduzir sua pegada de carbono e descarbonizar o setor da energia têm </w:t>
      </w:r>
      <w:r w:rsidR="001916B1" w:rsidRPr="005C5064">
        <w:rPr>
          <w:sz w:val="22"/>
          <w:szCs w:val="22"/>
          <w:lang w:val="pt-BR"/>
        </w:rPr>
        <w:t>à</w:t>
      </w:r>
      <w:r w:rsidRPr="005C5064">
        <w:rPr>
          <w:sz w:val="22"/>
          <w:szCs w:val="22"/>
          <w:lang w:val="pt-BR"/>
        </w:rPr>
        <w:t xml:space="preserve"> sua disposição um conjunto de políticas</w:t>
      </w:r>
      <w:r w:rsidR="001916B1" w:rsidRPr="005C5064">
        <w:rPr>
          <w:sz w:val="22"/>
          <w:szCs w:val="22"/>
          <w:lang w:val="pt-BR"/>
        </w:rPr>
        <w:t xml:space="preserve"> que</w:t>
      </w:r>
      <w:r w:rsidRPr="005C5064">
        <w:rPr>
          <w:sz w:val="22"/>
          <w:szCs w:val="22"/>
          <w:lang w:val="pt-BR"/>
        </w:rPr>
        <w:t xml:space="preserve">, se </w:t>
      </w:r>
      <w:r w:rsidR="001916B1" w:rsidRPr="005C5064">
        <w:rPr>
          <w:sz w:val="22"/>
          <w:szCs w:val="22"/>
          <w:lang w:val="pt-BR"/>
        </w:rPr>
        <w:t xml:space="preserve">forem </w:t>
      </w:r>
      <w:r w:rsidRPr="005C5064">
        <w:rPr>
          <w:sz w:val="22"/>
          <w:szCs w:val="22"/>
          <w:lang w:val="pt-BR"/>
        </w:rPr>
        <w:t xml:space="preserve">empregadas com sucesso, </w:t>
      </w:r>
      <w:r w:rsidR="001916B1" w:rsidRPr="005C5064">
        <w:rPr>
          <w:sz w:val="22"/>
          <w:szCs w:val="22"/>
          <w:lang w:val="pt-BR"/>
        </w:rPr>
        <w:t xml:space="preserve">podem </w:t>
      </w:r>
      <w:r w:rsidRPr="005C5064">
        <w:rPr>
          <w:sz w:val="22"/>
          <w:szCs w:val="22"/>
          <w:lang w:val="pt-BR"/>
        </w:rPr>
        <w:t>reduzir drasticamente as emissões de gases de efeito estufa.</w:t>
      </w:r>
    </w:p>
    <w:p w14:paraId="60E9A159" w14:textId="77777777" w:rsidR="00642BA0" w:rsidRPr="005C5064" w:rsidRDefault="00642BA0" w:rsidP="00642BA0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  <w:szCs w:val="22"/>
          <w:lang w:val="pt-BR"/>
        </w:rPr>
      </w:pPr>
    </w:p>
    <w:p w14:paraId="7DDFBDA7" w14:textId="04B9B3C8" w:rsidR="00642BA0" w:rsidRPr="005C5064" w:rsidRDefault="00642BA0" w:rsidP="00642BA0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ab/>
        <w:t>Embora os países das Américas tenham feito um progresso considerável na descarbonização do setor de energia, o hemisfério permanece muito dependente de mercados de petróleo altamente voláteis e subsídios para combustíveis. No momento, o setor de energia é dominado por combustíveis f</w:t>
      </w:r>
      <w:r w:rsidR="007504ED" w:rsidRPr="005C5064">
        <w:rPr>
          <w:sz w:val="22"/>
          <w:szCs w:val="22"/>
          <w:lang w:val="pt-BR"/>
        </w:rPr>
        <w:t>ó</w:t>
      </w:r>
      <w:r w:rsidRPr="005C5064">
        <w:rPr>
          <w:sz w:val="22"/>
          <w:szCs w:val="22"/>
          <w:lang w:val="pt-BR"/>
        </w:rPr>
        <w:t>sseis, que somam cerca de 70% do total de abastecimento de energia prim</w:t>
      </w:r>
      <w:r w:rsidR="007504ED" w:rsidRPr="005C5064">
        <w:rPr>
          <w:sz w:val="22"/>
          <w:szCs w:val="22"/>
          <w:lang w:val="pt-BR"/>
        </w:rPr>
        <w:t>á</w:t>
      </w:r>
      <w:r w:rsidRPr="005C5064">
        <w:rPr>
          <w:sz w:val="22"/>
          <w:szCs w:val="22"/>
          <w:lang w:val="pt-BR"/>
        </w:rPr>
        <w:t xml:space="preserve">ria, enquanto os 30% restantes vêm de </w:t>
      </w:r>
      <w:r w:rsidR="00B55361" w:rsidRPr="005C5064">
        <w:rPr>
          <w:sz w:val="22"/>
          <w:szCs w:val="22"/>
          <w:lang w:val="pt-BR"/>
        </w:rPr>
        <w:t xml:space="preserve">fontes </w:t>
      </w:r>
      <w:r w:rsidRPr="005C5064">
        <w:rPr>
          <w:sz w:val="22"/>
          <w:szCs w:val="22"/>
          <w:lang w:val="pt-BR"/>
        </w:rPr>
        <w:t>renováveis. Em termos de capacidade instalada, os combustíveis f</w:t>
      </w:r>
      <w:r w:rsidR="00B55361" w:rsidRPr="005C5064">
        <w:rPr>
          <w:sz w:val="22"/>
          <w:szCs w:val="22"/>
          <w:lang w:val="pt-BR"/>
        </w:rPr>
        <w:t>ó</w:t>
      </w:r>
      <w:r w:rsidRPr="005C5064">
        <w:rPr>
          <w:sz w:val="22"/>
          <w:szCs w:val="22"/>
          <w:lang w:val="pt-BR"/>
        </w:rPr>
        <w:t xml:space="preserve">sseis representam 39% e </w:t>
      </w:r>
      <w:r w:rsidR="00B55361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 xml:space="preserve">s </w:t>
      </w:r>
      <w:r w:rsidR="00B55361" w:rsidRPr="005C5064">
        <w:rPr>
          <w:sz w:val="22"/>
          <w:szCs w:val="22"/>
          <w:lang w:val="pt-BR"/>
        </w:rPr>
        <w:t xml:space="preserve">fontes </w:t>
      </w:r>
      <w:r w:rsidRPr="005C5064">
        <w:rPr>
          <w:sz w:val="22"/>
          <w:szCs w:val="22"/>
          <w:lang w:val="pt-BR"/>
        </w:rPr>
        <w:t>renováveis 61% (OLADE, 2020). De acordo com o Fundo Monetário Internacional (FMI), os subsídios para combustíveis f</w:t>
      </w:r>
      <w:r w:rsidR="00B55361" w:rsidRPr="005C5064">
        <w:rPr>
          <w:sz w:val="22"/>
          <w:szCs w:val="22"/>
          <w:lang w:val="pt-BR"/>
        </w:rPr>
        <w:t>ó</w:t>
      </w:r>
      <w:r w:rsidRPr="005C5064">
        <w:rPr>
          <w:sz w:val="22"/>
          <w:szCs w:val="22"/>
          <w:lang w:val="pt-BR"/>
        </w:rPr>
        <w:t xml:space="preserve">sseis eram de </w:t>
      </w:r>
      <w:r w:rsidR="00B55361" w:rsidRPr="005C5064">
        <w:rPr>
          <w:sz w:val="22"/>
          <w:szCs w:val="22"/>
          <w:lang w:val="pt-BR"/>
        </w:rPr>
        <w:t>US</w:t>
      </w:r>
      <w:r w:rsidRPr="005C5064">
        <w:rPr>
          <w:sz w:val="22"/>
          <w:szCs w:val="22"/>
          <w:lang w:val="pt-BR"/>
        </w:rPr>
        <w:t>$</w:t>
      </w:r>
      <w:r w:rsidR="00B55361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 xml:space="preserve">5,9 trilhões </w:t>
      </w:r>
      <w:r w:rsidR="00B55361" w:rsidRPr="005C5064">
        <w:rPr>
          <w:sz w:val="22"/>
          <w:szCs w:val="22"/>
          <w:lang w:val="pt-BR"/>
        </w:rPr>
        <w:t>(</w:t>
      </w:r>
      <w:r w:rsidRPr="005C5064">
        <w:rPr>
          <w:sz w:val="22"/>
          <w:szCs w:val="22"/>
          <w:lang w:val="pt-BR"/>
        </w:rPr>
        <w:t>ou 6,8% do PIB</w:t>
      </w:r>
      <w:r w:rsidR="00B55361" w:rsidRPr="005C5064">
        <w:rPr>
          <w:sz w:val="22"/>
          <w:szCs w:val="22"/>
          <w:lang w:val="pt-BR"/>
        </w:rPr>
        <w:t>)</w:t>
      </w:r>
      <w:r w:rsidRPr="005C5064">
        <w:rPr>
          <w:sz w:val="22"/>
          <w:szCs w:val="22"/>
          <w:lang w:val="pt-BR"/>
        </w:rPr>
        <w:t xml:space="preserve"> em 2020 e devem aumentar no futuro próximo.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27"/>
      </w:r>
      <w:r w:rsidRPr="005C5064">
        <w:rPr>
          <w:sz w:val="22"/>
          <w:szCs w:val="22"/>
          <w:vertAlign w:val="superscript"/>
          <w:lang w:val="pt-BR"/>
        </w:rPr>
        <w:t>/</w:t>
      </w:r>
    </w:p>
    <w:p w14:paraId="0B7BA635" w14:textId="77777777" w:rsidR="00642BA0" w:rsidRPr="005C5064" w:rsidRDefault="00642BA0" w:rsidP="00642BA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21A40085" w14:textId="3F509F6F" w:rsidR="00642BA0" w:rsidRPr="005C5064" w:rsidRDefault="00642BA0" w:rsidP="00642BA0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A região exigirá novas tecnologias e </w:t>
      </w:r>
      <w:r w:rsidR="00B55361" w:rsidRPr="005C5064">
        <w:rPr>
          <w:sz w:val="22"/>
          <w:szCs w:val="22"/>
          <w:lang w:val="pt-BR"/>
        </w:rPr>
        <w:t xml:space="preserve">volumes enormes </w:t>
      </w:r>
      <w:r w:rsidRPr="005C5064">
        <w:rPr>
          <w:sz w:val="22"/>
          <w:szCs w:val="22"/>
          <w:lang w:val="pt-BR"/>
        </w:rPr>
        <w:t xml:space="preserve">de capital nos próximos 20 anos para atender ao crescimento da demanda, fortalecer a segurança energética e cumprir os compromissos climáticos do Acordo de Paris. </w:t>
      </w:r>
      <w:r w:rsidR="00B55361" w:rsidRPr="005C5064">
        <w:rPr>
          <w:sz w:val="22"/>
          <w:szCs w:val="22"/>
          <w:lang w:val="pt-BR"/>
        </w:rPr>
        <w:t>Segundo</w:t>
      </w:r>
      <w:r w:rsidRPr="005C5064">
        <w:rPr>
          <w:sz w:val="22"/>
          <w:szCs w:val="22"/>
          <w:lang w:val="pt-BR"/>
        </w:rPr>
        <w:t xml:space="preserve"> a Agência Internacional de </w:t>
      </w:r>
      <w:r w:rsidR="00B55361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>nergia (IEA), até 2040 a demanda de eletricidade terá dobrado, a energia hidroelétrica e o gás natural permanecerão dominantes na matriz de geração, haverá uma participação mais forte de energia renovável variável (de 2% em 2014 para 11% em 2040) e o óleo combustível e o carvão continuarão a representar um papel n</w:t>
      </w:r>
      <w:r w:rsidR="00B55361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 xml:space="preserve"> m</w:t>
      </w:r>
      <w:r w:rsidR="00B55361" w:rsidRPr="005C5064">
        <w:rPr>
          <w:sz w:val="22"/>
          <w:szCs w:val="22"/>
          <w:lang w:val="pt-BR"/>
        </w:rPr>
        <w:t>atr</w:t>
      </w:r>
      <w:r w:rsidRPr="005C5064">
        <w:rPr>
          <w:sz w:val="22"/>
          <w:szCs w:val="22"/>
          <w:lang w:val="pt-BR"/>
        </w:rPr>
        <w:t>i</w:t>
      </w:r>
      <w:r w:rsidR="00B55361" w:rsidRPr="005C5064">
        <w:rPr>
          <w:sz w:val="22"/>
          <w:szCs w:val="22"/>
          <w:lang w:val="pt-BR"/>
        </w:rPr>
        <w:t>z</w:t>
      </w:r>
      <w:r w:rsidRPr="005C5064">
        <w:rPr>
          <w:sz w:val="22"/>
          <w:szCs w:val="22"/>
          <w:lang w:val="pt-BR"/>
        </w:rPr>
        <w:t xml:space="preserve"> energétic</w:t>
      </w:r>
      <w:r w:rsidR="00B55361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 xml:space="preserve">. Além disso, dados do Banco Interamericano de Desenvolvimento indicam que a região exigirá 408 gigawatts em nova capacidade nas próximas duas décadas (138 gigawatts de gás natural e 270 gigawatts de fontes renováveis) </w:t>
      </w:r>
      <w:r w:rsidR="00B55361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 xml:space="preserve"> um custo médio de US$</w:t>
      </w:r>
      <w:r w:rsidR="00B55361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 xml:space="preserve">24 bilhões por ano. </w:t>
      </w:r>
      <w:r w:rsidR="00B55361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>té 2040 vários ativos energéticos próximos do fim do seu ciclo de vida precisarão ser substituídos a um custo estimado de US$</w:t>
      </w:r>
      <w:r w:rsidR="00B55361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 xml:space="preserve">177 bilhões. Por outro lado, a expansão </w:t>
      </w:r>
      <w:r w:rsidR="00B55361" w:rsidRPr="005C5064">
        <w:rPr>
          <w:sz w:val="22"/>
          <w:szCs w:val="22"/>
          <w:lang w:val="pt-BR"/>
        </w:rPr>
        <w:t xml:space="preserve">e aperfeiçoamento </w:t>
      </w:r>
      <w:r w:rsidRPr="005C5064">
        <w:rPr>
          <w:sz w:val="22"/>
          <w:szCs w:val="22"/>
          <w:lang w:val="pt-BR"/>
        </w:rPr>
        <w:t>da rede elétrica para abastecer novos usuários finais e as exigências de mobilidade elétrica irão demandar quase US$</w:t>
      </w:r>
      <w:r w:rsidR="00B55361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 xml:space="preserve">80 bilhões. Com base nessas estimativas, a região </w:t>
      </w:r>
      <w:r w:rsidR="00B55361" w:rsidRPr="005C5064">
        <w:rPr>
          <w:sz w:val="22"/>
          <w:szCs w:val="22"/>
          <w:lang w:val="pt-BR"/>
        </w:rPr>
        <w:t>necessitará</w:t>
      </w:r>
      <w:r w:rsidRPr="005C5064">
        <w:rPr>
          <w:sz w:val="22"/>
          <w:szCs w:val="22"/>
          <w:lang w:val="pt-BR"/>
        </w:rPr>
        <w:t xml:space="preserve"> de </w:t>
      </w:r>
      <w:r w:rsidR="00B55361" w:rsidRPr="005C5064">
        <w:rPr>
          <w:sz w:val="22"/>
          <w:szCs w:val="22"/>
          <w:lang w:val="pt-BR"/>
        </w:rPr>
        <w:t xml:space="preserve">um </w:t>
      </w:r>
      <w:r w:rsidRPr="005C5064">
        <w:rPr>
          <w:sz w:val="22"/>
          <w:szCs w:val="22"/>
          <w:lang w:val="pt-BR"/>
        </w:rPr>
        <w:t>investimento anual em infraestrutura de energia sustentável de cerca de US$</w:t>
      </w:r>
      <w:r w:rsidR="00B55361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>36,85 bilhões entre 2023 e 2040 para implementar transições energéticas s</w:t>
      </w:r>
      <w:r w:rsidR="00B55361" w:rsidRPr="005C5064">
        <w:rPr>
          <w:sz w:val="22"/>
          <w:szCs w:val="22"/>
          <w:lang w:val="pt-BR"/>
        </w:rPr>
        <w:t>omente</w:t>
      </w:r>
      <w:r w:rsidRPr="005C5064">
        <w:rPr>
          <w:sz w:val="22"/>
          <w:szCs w:val="22"/>
          <w:lang w:val="pt-BR"/>
        </w:rPr>
        <w:t xml:space="preserve"> na geração de energia.</w:t>
      </w:r>
    </w:p>
    <w:p w14:paraId="2BB4A9D0" w14:textId="77777777" w:rsidR="00642BA0" w:rsidRPr="005C5064" w:rsidRDefault="00642BA0" w:rsidP="00642BA0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pt-BR"/>
        </w:rPr>
      </w:pPr>
    </w:p>
    <w:p w14:paraId="4CE34C94" w14:textId="1E2718DF" w:rsidR="00642BA0" w:rsidRPr="005C5064" w:rsidRDefault="00642BA0" w:rsidP="00642BA0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lastRenderedPageBreak/>
        <w:t xml:space="preserve">Os países podem aumentar a segurança energética, melhorar o </w:t>
      </w:r>
      <w:r w:rsidR="00B55361" w:rsidRPr="005C5064">
        <w:rPr>
          <w:sz w:val="22"/>
          <w:szCs w:val="22"/>
          <w:lang w:val="pt-BR"/>
        </w:rPr>
        <w:t xml:space="preserve">balanço de </w:t>
      </w:r>
      <w:r w:rsidRPr="005C5064">
        <w:rPr>
          <w:sz w:val="22"/>
          <w:szCs w:val="22"/>
          <w:lang w:val="pt-BR"/>
        </w:rPr>
        <w:t xml:space="preserve">pagamentos e </w:t>
      </w:r>
      <w:r w:rsidR="00B55361" w:rsidRPr="005C5064">
        <w:rPr>
          <w:sz w:val="22"/>
          <w:szCs w:val="22"/>
          <w:lang w:val="pt-BR"/>
        </w:rPr>
        <w:t>obter</w:t>
      </w:r>
      <w:r w:rsidRPr="005C5064">
        <w:rPr>
          <w:sz w:val="22"/>
          <w:szCs w:val="22"/>
          <w:lang w:val="pt-BR"/>
        </w:rPr>
        <w:t xml:space="preserve"> m</w:t>
      </w:r>
      <w:r w:rsidR="00B55361" w:rsidRPr="005C5064">
        <w:rPr>
          <w:sz w:val="22"/>
          <w:szCs w:val="22"/>
          <w:lang w:val="pt-BR"/>
        </w:rPr>
        <w:t>elh</w:t>
      </w:r>
      <w:r w:rsidRPr="005C5064">
        <w:rPr>
          <w:sz w:val="22"/>
          <w:szCs w:val="22"/>
          <w:lang w:val="pt-BR"/>
        </w:rPr>
        <w:t xml:space="preserve">or </w:t>
      </w:r>
      <w:r w:rsidR="00B55361" w:rsidRPr="005C5064">
        <w:rPr>
          <w:sz w:val="22"/>
          <w:szCs w:val="22"/>
          <w:lang w:val="pt-BR"/>
        </w:rPr>
        <w:t>gest</w:t>
      </w:r>
      <w:r w:rsidRPr="005C5064">
        <w:rPr>
          <w:sz w:val="22"/>
          <w:szCs w:val="22"/>
          <w:lang w:val="pt-BR"/>
        </w:rPr>
        <w:t>ão fiscal aumentando a</w:t>
      </w:r>
      <w:r w:rsidR="00B55361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 xml:space="preserve"> </w:t>
      </w:r>
      <w:r w:rsidR="00B55361" w:rsidRPr="005C5064">
        <w:rPr>
          <w:sz w:val="22"/>
          <w:szCs w:val="22"/>
          <w:lang w:val="pt-BR"/>
        </w:rPr>
        <w:t xml:space="preserve">fontes </w:t>
      </w:r>
      <w:r w:rsidRPr="005C5064">
        <w:rPr>
          <w:sz w:val="22"/>
          <w:szCs w:val="22"/>
          <w:lang w:val="pt-BR"/>
        </w:rPr>
        <w:t xml:space="preserve">renováveis na matriz energética nacional. Intensificar o consumo de tecnologias de energia renovável </w:t>
      </w:r>
      <w:r w:rsidR="00B55361" w:rsidRPr="005C5064">
        <w:rPr>
          <w:sz w:val="22"/>
          <w:szCs w:val="22"/>
          <w:lang w:val="pt-BR"/>
        </w:rPr>
        <w:t>diminui</w:t>
      </w:r>
      <w:r w:rsidRPr="005C5064">
        <w:rPr>
          <w:sz w:val="22"/>
          <w:szCs w:val="22"/>
          <w:lang w:val="pt-BR"/>
        </w:rPr>
        <w:t xml:space="preserve"> a dependência de importações de petróleo, cria oportunidades de emprego e reduz as emissões de gases de efeito estufa. Contudo, os orçamentos do governo carecem de teto fiscal para oferecer o nível de suporte financeiro necessário para financiar a descarbonização total do setor energético. Além disso, o grave declínio financeiro resultante da pandemia de COVID-19, </w:t>
      </w:r>
      <w:r w:rsidR="008B1F3C" w:rsidRPr="005C5064">
        <w:rPr>
          <w:sz w:val="22"/>
          <w:szCs w:val="22"/>
          <w:lang w:val="pt-BR"/>
        </w:rPr>
        <w:t>combinad</w:t>
      </w:r>
      <w:r w:rsidRPr="005C5064">
        <w:rPr>
          <w:sz w:val="22"/>
          <w:szCs w:val="22"/>
          <w:lang w:val="pt-BR"/>
        </w:rPr>
        <w:t xml:space="preserve">o </w:t>
      </w:r>
      <w:r w:rsidR="00B55361" w:rsidRPr="005C5064">
        <w:rPr>
          <w:sz w:val="22"/>
          <w:szCs w:val="22"/>
          <w:lang w:val="pt-BR"/>
        </w:rPr>
        <w:t xml:space="preserve">com </w:t>
      </w:r>
      <w:r w:rsidRPr="005C5064">
        <w:rPr>
          <w:sz w:val="22"/>
          <w:szCs w:val="22"/>
          <w:lang w:val="pt-BR"/>
        </w:rPr>
        <w:t xml:space="preserve">o conflito armado entre </w:t>
      </w:r>
      <w:r w:rsidR="008B1F3C" w:rsidRPr="005C5064">
        <w:rPr>
          <w:sz w:val="22"/>
          <w:szCs w:val="22"/>
          <w:lang w:val="pt-BR"/>
        </w:rPr>
        <w:t xml:space="preserve">a </w:t>
      </w:r>
      <w:r w:rsidRPr="005C5064">
        <w:rPr>
          <w:sz w:val="22"/>
          <w:szCs w:val="22"/>
          <w:lang w:val="pt-BR"/>
        </w:rPr>
        <w:t xml:space="preserve">Rússia e </w:t>
      </w:r>
      <w:r w:rsidR="008B1F3C" w:rsidRPr="005C5064">
        <w:rPr>
          <w:sz w:val="22"/>
          <w:szCs w:val="22"/>
          <w:lang w:val="pt-BR"/>
        </w:rPr>
        <w:t xml:space="preserve">a </w:t>
      </w:r>
      <w:r w:rsidRPr="005C5064">
        <w:rPr>
          <w:sz w:val="22"/>
          <w:szCs w:val="22"/>
          <w:lang w:val="pt-BR"/>
        </w:rPr>
        <w:t xml:space="preserve">Ucrânia, </w:t>
      </w:r>
      <w:r w:rsidR="008B1F3C" w:rsidRPr="005C5064">
        <w:rPr>
          <w:sz w:val="22"/>
          <w:szCs w:val="22"/>
          <w:lang w:val="pt-BR"/>
        </w:rPr>
        <w:t xml:space="preserve">gera </w:t>
      </w:r>
      <w:r w:rsidRPr="005C5064">
        <w:rPr>
          <w:sz w:val="22"/>
          <w:szCs w:val="22"/>
          <w:lang w:val="pt-BR"/>
        </w:rPr>
        <w:t xml:space="preserve">a necessidade de implementar um enfoque </w:t>
      </w:r>
      <w:r w:rsidR="008B1F3C" w:rsidRPr="005C5064">
        <w:rPr>
          <w:sz w:val="22"/>
          <w:szCs w:val="22"/>
          <w:lang w:val="pt-BR"/>
        </w:rPr>
        <w:t xml:space="preserve">de todo </w:t>
      </w:r>
      <w:r w:rsidRPr="005C5064">
        <w:rPr>
          <w:sz w:val="22"/>
          <w:szCs w:val="22"/>
          <w:lang w:val="pt-BR"/>
        </w:rPr>
        <w:t xml:space="preserve">o </w:t>
      </w:r>
      <w:r w:rsidR="008B1F3C" w:rsidRPr="005C5064">
        <w:rPr>
          <w:sz w:val="22"/>
          <w:szCs w:val="22"/>
          <w:lang w:val="pt-BR"/>
        </w:rPr>
        <w:t>g</w:t>
      </w:r>
      <w:r w:rsidRPr="005C5064">
        <w:rPr>
          <w:sz w:val="22"/>
          <w:szCs w:val="22"/>
          <w:lang w:val="pt-BR"/>
        </w:rPr>
        <w:t>overno para assegurar que todos os setores da economia contribu</w:t>
      </w:r>
      <w:r w:rsidR="008B1F3C" w:rsidRPr="005C5064">
        <w:rPr>
          <w:sz w:val="22"/>
          <w:szCs w:val="22"/>
          <w:lang w:val="pt-BR"/>
        </w:rPr>
        <w:t>am</w:t>
      </w:r>
      <w:r w:rsidRPr="005C5064">
        <w:rPr>
          <w:sz w:val="22"/>
          <w:szCs w:val="22"/>
          <w:lang w:val="pt-BR"/>
        </w:rPr>
        <w:t xml:space="preserve"> para a recuperação econômica. </w:t>
      </w:r>
    </w:p>
    <w:p w14:paraId="46FDB690" w14:textId="77777777" w:rsidR="00642BA0" w:rsidRPr="005C5064" w:rsidRDefault="00642BA0" w:rsidP="00642BA0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pt-BR"/>
        </w:rPr>
      </w:pPr>
    </w:p>
    <w:p w14:paraId="0E518244" w14:textId="6569E918" w:rsidR="00642BA0" w:rsidRPr="005C5064" w:rsidRDefault="008B1F3C" w:rsidP="00642BA0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O </w:t>
      </w:r>
      <w:r w:rsidR="00642BA0" w:rsidRPr="005C5064">
        <w:rPr>
          <w:sz w:val="22"/>
          <w:szCs w:val="22"/>
          <w:lang w:val="pt-BR"/>
        </w:rPr>
        <w:t>capital e</w:t>
      </w:r>
      <w:r w:rsidRPr="005C5064">
        <w:rPr>
          <w:sz w:val="22"/>
          <w:szCs w:val="22"/>
          <w:lang w:val="pt-BR"/>
        </w:rPr>
        <w:t xml:space="preserve"> as soluções </w:t>
      </w:r>
      <w:r w:rsidR="00642BA0" w:rsidRPr="005C5064">
        <w:rPr>
          <w:sz w:val="22"/>
          <w:szCs w:val="22"/>
          <w:lang w:val="pt-BR"/>
        </w:rPr>
        <w:t>tecnol</w:t>
      </w:r>
      <w:r w:rsidRPr="005C5064">
        <w:rPr>
          <w:sz w:val="22"/>
          <w:szCs w:val="22"/>
          <w:lang w:val="pt-BR"/>
        </w:rPr>
        <w:t>ó</w:t>
      </w:r>
      <w:r w:rsidR="00642BA0" w:rsidRPr="005C5064">
        <w:rPr>
          <w:sz w:val="22"/>
          <w:szCs w:val="22"/>
          <w:lang w:val="pt-BR"/>
        </w:rPr>
        <w:t>gi</w:t>
      </w:r>
      <w:r w:rsidRPr="005C5064">
        <w:rPr>
          <w:sz w:val="22"/>
          <w:szCs w:val="22"/>
          <w:lang w:val="pt-BR"/>
        </w:rPr>
        <w:t>c</w:t>
      </w:r>
      <w:r w:rsidR="00642BA0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>s</w:t>
      </w:r>
      <w:r w:rsidR="00642BA0" w:rsidRPr="005C5064">
        <w:rPr>
          <w:sz w:val="22"/>
          <w:szCs w:val="22"/>
          <w:lang w:val="pt-BR"/>
        </w:rPr>
        <w:t xml:space="preserve"> do setor privado são cr</w:t>
      </w:r>
      <w:r w:rsidRPr="005C5064">
        <w:rPr>
          <w:sz w:val="22"/>
          <w:szCs w:val="22"/>
          <w:lang w:val="pt-BR"/>
        </w:rPr>
        <w:t>uciai</w:t>
      </w:r>
      <w:r w:rsidR="00642BA0" w:rsidRPr="005C5064">
        <w:rPr>
          <w:sz w:val="22"/>
          <w:szCs w:val="22"/>
          <w:lang w:val="pt-BR"/>
        </w:rPr>
        <w:t xml:space="preserve">s para </w:t>
      </w:r>
      <w:r w:rsidRPr="005C5064">
        <w:rPr>
          <w:sz w:val="22"/>
          <w:szCs w:val="22"/>
          <w:lang w:val="pt-BR"/>
        </w:rPr>
        <w:t xml:space="preserve">uma </w:t>
      </w:r>
      <w:r w:rsidR="00642BA0" w:rsidRPr="005C5064">
        <w:rPr>
          <w:sz w:val="22"/>
          <w:szCs w:val="22"/>
          <w:lang w:val="pt-BR"/>
        </w:rPr>
        <w:t>transiç</w:t>
      </w:r>
      <w:r w:rsidRPr="005C5064">
        <w:rPr>
          <w:sz w:val="22"/>
          <w:szCs w:val="22"/>
          <w:lang w:val="pt-BR"/>
        </w:rPr>
        <w:t>ão</w:t>
      </w:r>
      <w:r w:rsidR="00642BA0" w:rsidRPr="005C5064">
        <w:rPr>
          <w:sz w:val="22"/>
          <w:szCs w:val="22"/>
          <w:lang w:val="pt-BR"/>
        </w:rPr>
        <w:t xml:space="preserve"> energética bem-sucedida nas Américas. Existe tanto uma necessidade como uma oportunidade para o setor privado ajudar a transformar a transição energética da região em um investimento clima</w:t>
      </w:r>
      <w:r w:rsidRPr="005C5064">
        <w:rPr>
          <w:sz w:val="22"/>
          <w:szCs w:val="22"/>
          <w:lang w:val="pt-BR"/>
        </w:rPr>
        <w:t>ticamente inteligente</w:t>
      </w:r>
      <w:r w:rsidR="00642BA0" w:rsidRPr="005C5064">
        <w:rPr>
          <w:sz w:val="22"/>
          <w:szCs w:val="22"/>
          <w:lang w:val="pt-BR"/>
        </w:rPr>
        <w:t xml:space="preserve"> e </w:t>
      </w:r>
      <w:r w:rsidRPr="005C5064">
        <w:rPr>
          <w:sz w:val="22"/>
          <w:szCs w:val="22"/>
          <w:lang w:val="pt-BR"/>
        </w:rPr>
        <w:t>com</w:t>
      </w:r>
      <w:r w:rsidR="00642BA0" w:rsidRPr="005C5064">
        <w:rPr>
          <w:sz w:val="22"/>
          <w:szCs w:val="22"/>
          <w:lang w:val="pt-BR"/>
        </w:rPr>
        <w:t xml:space="preserve"> impacto social. </w:t>
      </w:r>
      <w:r w:rsidRPr="005C5064">
        <w:rPr>
          <w:sz w:val="22"/>
          <w:szCs w:val="22"/>
          <w:lang w:val="pt-BR"/>
        </w:rPr>
        <w:t>Assim</w:t>
      </w:r>
      <w:r w:rsidR="00642BA0" w:rsidRPr="005C5064">
        <w:rPr>
          <w:sz w:val="22"/>
          <w:szCs w:val="22"/>
          <w:lang w:val="pt-BR"/>
        </w:rPr>
        <w:t xml:space="preserve">, resolver a crise da mudança climática exigirá </w:t>
      </w:r>
      <w:r w:rsidRPr="005C5064">
        <w:rPr>
          <w:sz w:val="22"/>
          <w:szCs w:val="22"/>
          <w:lang w:val="pt-BR"/>
        </w:rPr>
        <w:t xml:space="preserve">a máxima </w:t>
      </w:r>
      <w:r w:rsidR="00642BA0" w:rsidRPr="005C5064">
        <w:rPr>
          <w:sz w:val="22"/>
          <w:szCs w:val="22"/>
          <w:lang w:val="pt-BR"/>
        </w:rPr>
        <w:t>parceria p</w:t>
      </w:r>
      <w:r w:rsidRPr="005C5064">
        <w:rPr>
          <w:sz w:val="22"/>
          <w:szCs w:val="22"/>
          <w:lang w:val="pt-BR"/>
        </w:rPr>
        <w:t>ú</w:t>
      </w:r>
      <w:r w:rsidR="00642BA0" w:rsidRPr="005C5064">
        <w:rPr>
          <w:sz w:val="22"/>
          <w:szCs w:val="22"/>
          <w:lang w:val="pt-BR"/>
        </w:rPr>
        <w:t xml:space="preserve">blico-privada e os líderes comerciais devem fazer parte da atual conversa sobre como alinhar financiamento e inovação com a transição para um setor de energia sustentável e </w:t>
      </w:r>
      <w:r w:rsidRPr="005C5064">
        <w:rPr>
          <w:sz w:val="22"/>
          <w:szCs w:val="22"/>
          <w:lang w:val="pt-BR"/>
        </w:rPr>
        <w:t>com zero emissões líquidas</w:t>
      </w:r>
      <w:r w:rsidR="00642BA0" w:rsidRPr="005C5064">
        <w:rPr>
          <w:sz w:val="22"/>
          <w:szCs w:val="22"/>
          <w:lang w:val="pt-BR"/>
        </w:rPr>
        <w:t>.</w:t>
      </w:r>
    </w:p>
    <w:p w14:paraId="67FF16E9" w14:textId="77777777" w:rsidR="00642BA0" w:rsidRPr="005C5064" w:rsidRDefault="00642BA0" w:rsidP="00642BA0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pt-BR"/>
        </w:rPr>
      </w:pPr>
    </w:p>
    <w:p w14:paraId="401EC8ED" w14:textId="0CA715A6" w:rsidR="00642BA0" w:rsidRPr="005C5064" w:rsidRDefault="00642BA0" w:rsidP="00642BA0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Além de mobilizar soluções de energia renovável, descarbonizar a economia de forma efetiva exige grandes esforços para melhorar a eficiência energética </w:t>
      </w:r>
      <w:r w:rsidR="008B1F3C" w:rsidRPr="005C5064">
        <w:rPr>
          <w:sz w:val="22"/>
          <w:szCs w:val="22"/>
          <w:lang w:val="pt-BR"/>
        </w:rPr>
        <w:t>nas casas</w:t>
      </w:r>
      <w:r w:rsidRPr="005C5064">
        <w:rPr>
          <w:sz w:val="22"/>
          <w:szCs w:val="22"/>
          <w:lang w:val="pt-BR"/>
        </w:rPr>
        <w:t xml:space="preserve">, </w:t>
      </w:r>
      <w:r w:rsidR="008B1F3C" w:rsidRPr="005C5064">
        <w:rPr>
          <w:sz w:val="22"/>
          <w:szCs w:val="22"/>
          <w:lang w:val="pt-BR"/>
        </w:rPr>
        <w:t xml:space="preserve">no </w:t>
      </w:r>
      <w:r w:rsidRPr="005C5064">
        <w:rPr>
          <w:sz w:val="22"/>
          <w:szCs w:val="22"/>
          <w:lang w:val="pt-BR"/>
        </w:rPr>
        <w:t xml:space="preserve">comércio e </w:t>
      </w:r>
      <w:r w:rsidR="008B1F3C" w:rsidRPr="005C5064">
        <w:rPr>
          <w:sz w:val="22"/>
          <w:szCs w:val="22"/>
          <w:lang w:val="pt-BR"/>
        </w:rPr>
        <w:t xml:space="preserve">nas </w:t>
      </w:r>
      <w:r w:rsidRPr="005C5064">
        <w:rPr>
          <w:sz w:val="22"/>
          <w:szCs w:val="22"/>
          <w:lang w:val="pt-BR"/>
        </w:rPr>
        <w:t xml:space="preserve">indústrias. A eficiência energética é uma forma eficaz em função do custo de combater a mudança climática, reduzir os custos energéticos e melhorar a competitividade. A eficiência energética também é vital para se atingir </w:t>
      </w:r>
      <w:r w:rsidR="008B1F3C" w:rsidRPr="005C5064">
        <w:rPr>
          <w:sz w:val="22"/>
          <w:szCs w:val="22"/>
          <w:lang w:val="pt-BR"/>
        </w:rPr>
        <w:t>zero emissões líquidas</w:t>
      </w:r>
      <w:r w:rsidRPr="005C5064">
        <w:rPr>
          <w:sz w:val="22"/>
          <w:szCs w:val="22"/>
          <w:lang w:val="pt-BR"/>
        </w:rPr>
        <w:t xml:space="preserve">. Conservar energia reduz a necessidade de investimentos futuros, libera capital e limita os riscos relacionados a combustíveis, aumenta a competitividade e apoia o planejamento de recursos </w:t>
      </w:r>
      <w:r w:rsidR="008B1F3C" w:rsidRPr="005C5064">
        <w:rPr>
          <w:sz w:val="22"/>
          <w:szCs w:val="22"/>
          <w:lang w:val="pt-BR"/>
        </w:rPr>
        <w:t>no</w:t>
      </w:r>
      <w:r w:rsidRPr="005C5064">
        <w:rPr>
          <w:sz w:val="22"/>
          <w:szCs w:val="22"/>
          <w:lang w:val="pt-BR"/>
        </w:rPr>
        <w:t xml:space="preserve"> longo prazo. A maior</w:t>
      </w:r>
      <w:r w:rsidR="008B1F3C" w:rsidRPr="005C5064">
        <w:rPr>
          <w:sz w:val="22"/>
          <w:szCs w:val="22"/>
          <w:lang w:val="pt-BR"/>
        </w:rPr>
        <w:t>ia</w:t>
      </w:r>
      <w:r w:rsidRPr="005C5064">
        <w:rPr>
          <w:sz w:val="22"/>
          <w:szCs w:val="22"/>
          <w:lang w:val="pt-BR"/>
        </w:rPr>
        <w:t xml:space="preserve"> dos países da América Latina e </w:t>
      </w:r>
      <w:r w:rsidR="008B1F3C" w:rsidRPr="005C5064">
        <w:rPr>
          <w:sz w:val="22"/>
          <w:szCs w:val="22"/>
          <w:lang w:val="pt-BR"/>
        </w:rPr>
        <w:t>d</w:t>
      </w:r>
      <w:r w:rsidRPr="005C5064">
        <w:rPr>
          <w:sz w:val="22"/>
          <w:szCs w:val="22"/>
          <w:lang w:val="pt-BR"/>
        </w:rPr>
        <w:t>o Caribe contempla metas de eficiência energética como parte de suas Contribuições Nacionalmente Determinadas (NDC) de acordo com o Acordo de Paris.</w:t>
      </w:r>
    </w:p>
    <w:p w14:paraId="780F1598" w14:textId="77777777" w:rsidR="00642BA0" w:rsidRPr="005C5064" w:rsidRDefault="00642BA0" w:rsidP="00642BA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75BC5ED4" w14:textId="40EAA2F1" w:rsidR="00642BA0" w:rsidRPr="005C5064" w:rsidRDefault="00642BA0" w:rsidP="00642BA0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Com relação ao setor de transporte, dados do Banco Mundial mostram que, na América Latina e </w:t>
      </w:r>
      <w:r w:rsidR="008B1F3C" w:rsidRPr="005C5064">
        <w:rPr>
          <w:sz w:val="22"/>
          <w:szCs w:val="22"/>
          <w:lang w:val="pt-BR"/>
        </w:rPr>
        <w:t>n</w:t>
      </w:r>
      <w:r w:rsidRPr="005C5064">
        <w:rPr>
          <w:sz w:val="22"/>
          <w:szCs w:val="22"/>
          <w:lang w:val="pt-BR"/>
        </w:rPr>
        <w:t>o Caribe, 35% das emissões de gases de efeito estufa relacionadas a combustão de combustíve</w:t>
      </w:r>
      <w:r w:rsidR="008B1F3C" w:rsidRPr="005C5064">
        <w:rPr>
          <w:sz w:val="22"/>
          <w:szCs w:val="22"/>
          <w:lang w:val="pt-BR"/>
        </w:rPr>
        <w:t>is</w:t>
      </w:r>
      <w:r w:rsidRPr="005C5064">
        <w:rPr>
          <w:sz w:val="22"/>
          <w:szCs w:val="22"/>
          <w:lang w:val="pt-BR"/>
        </w:rPr>
        <w:t xml:space="preserve"> </w:t>
      </w:r>
      <w:r w:rsidR="008B1F3C" w:rsidRPr="005C5064">
        <w:rPr>
          <w:sz w:val="22"/>
          <w:szCs w:val="22"/>
          <w:lang w:val="pt-BR"/>
        </w:rPr>
        <w:t xml:space="preserve">se </w:t>
      </w:r>
      <w:r w:rsidRPr="005C5064">
        <w:rPr>
          <w:sz w:val="22"/>
          <w:szCs w:val="22"/>
          <w:lang w:val="pt-BR"/>
        </w:rPr>
        <w:t>originam de veículos de combustão interna</w:t>
      </w:r>
      <w:r w:rsidR="008B1F3C" w:rsidRPr="005C5064">
        <w:rPr>
          <w:sz w:val="22"/>
          <w:szCs w:val="22"/>
          <w:lang w:val="pt-BR"/>
        </w:rPr>
        <w:t>,  nível</w:t>
      </w:r>
      <w:r w:rsidRPr="005C5064">
        <w:rPr>
          <w:sz w:val="22"/>
          <w:szCs w:val="22"/>
          <w:lang w:val="pt-BR"/>
        </w:rPr>
        <w:t xml:space="preserve"> muito mais alto do que a média global de 22%. Por outro lado, a lotação de transportes públicos na região é uma das mais altas do mundo. Eletrificar o transporte </w:t>
      </w:r>
      <w:r w:rsidR="005C5064" w:rsidRPr="005C5064">
        <w:rPr>
          <w:sz w:val="22"/>
          <w:szCs w:val="22"/>
          <w:lang w:val="pt-BR"/>
        </w:rPr>
        <w:t>público</w:t>
      </w:r>
      <w:r w:rsidRPr="005C5064">
        <w:rPr>
          <w:sz w:val="22"/>
          <w:szCs w:val="22"/>
          <w:lang w:val="pt-BR"/>
        </w:rPr>
        <w:t xml:space="preserve"> traz </w:t>
      </w:r>
      <w:r w:rsidR="008B1F3C" w:rsidRPr="005C5064">
        <w:rPr>
          <w:sz w:val="22"/>
          <w:szCs w:val="22"/>
          <w:lang w:val="pt-BR"/>
        </w:rPr>
        <w:t>enorme</w:t>
      </w:r>
      <w:r w:rsidRPr="005C5064">
        <w:rPr>
          <w:sz w:val="22"/>
          <w:szCs w:val="22"/>
          <w:lang w:val="pt-BR"/>
        </w:rPr>
        <w:t xml:space="preserve">s ganhos transformacionais em termos de redução das emissões de </w:t>
      </w:r>
      <w:r w:rsidR="008B1F3C" w:rsidRPr="005C5064">
        <w:rPr>
          <w:sz w:val="22"/>
          <w:szCs w:val="22"/>
          <w:lang w:val="pt-BR"/>
        </w:rPr>
        <w:t xml:space="preserve">gases de </w:t>
      </w:r>
      <w:r w:rsidRPr="005C5064">
        <w:rPr>
          <w:sz w:val="22"/>
          <w:szCs w:val="22"/>
          <w:lang w:val="pt-BR"/>
        </w:rPr>
        <w:t xml:space="preserve">efeito estufa, ajudando os países a cumprir suas contribuições nacionalmente determinadas </w:t>
      </w:r>
      <w:r w:rsidR="008B1F3C" w:rsidRPr="005C5064">
        <w:rPr>
          <w:sz w:val="22"/>
          <w:szCs w:val="22"/>
          <w:lang w:val="pt-BR"/>
        </w:rPr>
        <w:t xml:space="preserve">em conformidade </w:t>
      </w:r>
      <w:r w:rsidRPr="005C5064">
        <w:rPr>
          <w:sz w:val="22"/>
          <w:szCs w:val="22"/>
          <w:lang w:val="pt-BR"/>
        </w:rPr>
        <w:t>com o Acordo de Paris.</w:t>
      </w:r>
    </w:p>
    <w:p w14:paraId="568ED989" w14:textId="77777777" w:rsidR="00642BA0" w:rsidRPr="005C5064" w:rsidRDefault="00642BA0" w:rsidP="00642BA0">
      <w:pP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pt-BR"/>
        </w:rPr>
      </w:pPr>
    </w:p>
    <w:p w14:paraId="413C339D" w14:textId="712878ED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Do ponto de vista da inovação tecnológica, o hidrogênio verde está se mostrando uma grande promessa, já que um número crescente de países na região está se direcionando para produzir hidrogênio limpo, </w:t>
      </w:r>
      <w:r w:rsidR="008B1F3C" w:rsidRPr="005C5064">
        <w:rPr>
          <w:sz w:val="22"/>
          <w:szCs w:val="22"/>
          <w:lang w:val="pt-BR"/>
        </w:rPr>
        <w:t xml:space="preserve">tendo em mente </w:t>
      </w:r>
      <w:r w:rsidRPr="005C5064">
        <w:rPr>
          <w:sz w:val="22"/>
          <w:szCs w:val="22"/>
          <w:lang w:val="pt-BR"/>
        </w:rPr>
        <w:t>os recursos abundantes de energia renovável, a necessidade de descarbonizar suas economias e o imenso potencial de exportação de hidrogênio. Além disso, as tecnologias oferecem uma nova perspectiva e novas oportunidades de integração energética na região.</w:t>
      </w:r>
    </w:p>
    <w:p w14:paraId="3D94D584" w14:textId="77777777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</w:p>
    <w:p w14:paraId="11D00DBC" w14:textId="1CBA8730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O setor do transporte tem sido uma meta leg</w:t>
      </w:r>
      <w:r w:rsidR="008B1F3C" w:rsidRPr="005C5064">
        <w:rPr>
          <w:sz w:val="22"/>
          <w:szCs w:val="22"/>
          <w:lang w:val="pt-BR"/>
        </w:rPr>
        <w:t>í</w:t>
      </w:r>
      <w:r w:rsidRPr="005C5064">
        <w:rPr>
          <w:sz w:val="22"/>
          <w:szCs w:val="22"/>
          <w:lang w:val="pt-BR"/>
        </w:rPr>
        <w:t xml:space="preserve">tima das políticas e estratégias de descarbonização nas Américas não só por conta de sua contribuição para a consecução das NDC, mas por causa do impacto positivo significativo sobre a qualidade do ar e a saúde humana que pode resultar. </w:t>
      </w:r>
      <w:r w:rsidRPr="005C5064">
        <w:rPr>
          <w:sz w:val="22"/>
          <w:szCs w:val="22"/>
          <w:lang w:val="pt-BR"/>
        </w:rPr>
        <w:lastRenderedPageBreak/>
        <w:t xml:space="preserve">O mercado atual de veículos elétricos (VE) na América Latina ainda é pequeno. A infraestrutura de carregamento está dando seus primeiros passos, VE são caros e </w:t>
      </w:r>
      <w:r w:rsidR="004F0030" w:rsidRPr="005C5064">
        <w:rPr>
          <w:sz w:val="22"/>
          <w:szCs w:val="22"/>
          <w:lang w:val="pt-BR"/>
        </w:rPr>
        <w:t xml:space="preserve">os impostos </w:t>
      </w:r>
      <w:r w:rsidRPr="005C5064">
        <w:rPr>
          <w:sz w:val="22"/>
          <w:szCs w:val="22"/>
          <w:lang w:val="pt-BR"/>
        </w:rPr>
        <w:t xml:space="preserve">de importação </w:t>
      </w:r>
      <w:r w:rsidR="004F0030" w:rsidRPr="005C5064">
        <w:rPr>
          <w:sz w:val="22"/>
          <w:szCs w:val="22"/>
          <w:lang w:val="pt-BR"/>
        </w:rPr>
        <w:t xml:space="preserve">são </w:t>
      </w:r>
      <w:r w:rsidRPr="005C5064">
        <w:rPr>
          <w:sz w:val="22"/>
          <w:szCs w:val="22"/>
          <w:lang w:val="pt-BR"/>
        </w:rPr>
        <w:t>alt</w:t>
      </w:r>
      <w:r w:rsidR="004F0030" w:rsidRPr="005C5064">
        <w:rPr>
          <w:sz w:val="22"/>
          <w:szCs w:val="22"/>
          <w:lang w:val="pt-BR"/>
        </w:rPr>
        <w:t>o</w:t>
      </w:r>
      <w:r w:rsidRPr="005C5064">
        <w:rPr>
          <w:sz w:val="22"/>
          <w:szCs w:val="22"/>
          <w:lang w:val="pt-BR"/>
        </w:rPr>
        <w:t xml:space="preserve">s, tornando-os inacessíveis para a maioria das pessoas. </w:t>
      </w:r>
      <w:r w:rsidR="004F0030" w:rsidRPr="005C5064">
        <w:rPr>
          <w:sz w:val="22"/>
          <w:szCs w:val="22"/>
          <w:lang w:val="pt-BR"/>
        </w:rPr>
        <w:t>P</w:t>
      </w:r>
      <w:r w:rsidRPr="005C5064">
        <w:rPr>
          <w:sz w:val="22"/>
          <w:szCs w:val="22"/>
          <w:lang w:val="pt-BR"/>
        </w:rPr>
        <w:t xml:space="preserve">or outro lado, </w:t>
      </w:r>
      <w:r w:rsidR="004F0030" w:rsidRPr="005C5064">
        <w:rPr>
          <w:sz w:val="22"/>
          <w:szCs w:val="22"/>
          <w:lang w:val="pt-BR"/>
        </w:rPr>
        <w:t xml:space="preserve">ônibus elétricos </w:t>
      </w:r>
      <w:r w:rsidRPr="005C5064">
        <w:rPr>
          <w:sz w:val="22"/>
          <w:szCs w:val="22"/>
          <w:lang w:val="pt-BR"/>
        </w:rPr>
        <w:t>mostram um imenso potencial de crescimento no mercado. Eles fornecem uma solução viável para as cidades que buscam a tecnologia para melhorar a qualidade do ar e o tr</w:t>
      </w:r>
      <w:r w:rsidR="004F0030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>ns</w:t>
      </w:r>
      <w:r w:rsidR="004F0030" w:rsidRPr="005C5064">
        <w:rPr>
          <w:sz w:val="22"/>
          <w:szCs w:val="22"/>
          <w:lang w:val="pt-BR"/>
        </w:rPr>
        <w:t>porte</w:t>
      </w:r>
      <w:r w:rsidRPr="005C5064">
        <w:rPr>
          <w:sz w:val="22"/>
          <w:szCs w:val="22"/>
          <w:lang w:val="pt-BR"/>
        </w:rPr>
        <w:t xml:space="preserve"> p</w:t>
      </w:r>
      <w:r w:rsidR="004F0030" w:rsidRPr="005C5064">
        <w:rPr>
          <w:sz w:val="22"/>
          <w:szCs w:val="22"/>
          <w:lang w:val="pt-BR"/>
        </w:rPr>
        <w:t>ú</w:t>
      </w:r>
      <w:r w:rsidRPr="005C5064">
        <w:rPr>
          <w:sz w:val="22"/>
          <w:szCs w:val="22"/>
          <w:lang w:val="pt-BR"/>
        </w:rPr>
        <w:t xml:space="preserve">blico, diminuir as emissões de gases de efeito estufa e reduzir a exposição a mercados de petróleo voláteis. </w:t>
      </w:r>
    </w:p>
    <w:p w14:paraId="75ABA489" w14:textId="77777777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</w:p>
    <w:p w14:paraId="54D4014C" w14:textId="4F296919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A maioria das viagens de passageiros nas cidades da América Latina e </w:t>
      </w:r>
      <w:r w:rsidR="004F0030" w:rsidRPr="005C5064">
        <w:rPr>
          <w:sz w:val="22"/>
          <w:szCs w:val="22"/>
          <w:lang w:val="pt-BR"/>
        </w:rPr>
        <w:t>d</w:t>
      </w:r>
      <w:r w:rsidRPr="005C5064">
        <w:rPr>
          <w:sz w:val="22"/>
          <w:szCs w:val="22"/>
          <w:lang w:val="pt-BR"/>
        </w:rPr>
        <w:t xml:space="preserve">o Caribe é feita em </w:t>
      </w:r>
      <w:r w:rsidR="004F0030" w:rsidRPr="005C5064">
        <w:rPr>
          <w:sz w:val="22"/>
          <w:szCs w:val="22"/>
          <w:lang w:val="pt-BR"/>
        </w:rPr>
        <w:t xml:space="preserve">transporte </w:t>
      </w:r>
      <w:r w:rsidRPr="005C5064">
        <w:rPr>
          <w:sz w:val="22"/>
          <w:szCs w:val="22"/>
          <w:lang w:val="pt-BR"/>
        </w:rPr>
        <w:t>p</w:t>
      </w:r>
      <w:r w:rsidR="004F0030" w:rsidRPr="005C5064">
        <w:rPr>
          <w:sz w:val="22"/>
          <w:szCs w:val="22"/>
          <w:lang w:val="pt-BR"/>
        </w:rPr>
        <w:t>ú</w:t>
      </w:r>
      <w:r w:rsidRPr="005C5064">
        <w:rPr>
          <w:sz w:val="22"/>
          <w:szCs w:val="22"/>
          <w:lang w:val="pt-BR"/>
        </w:rPr>
        <w:t xml:space="preserve">blico. A segurança </w:t>
      </w:r>
      <w:r w:rsidR="00085387" w:rsidRPr="005C5064">
        <w:rPr>
          <w:sz w:val="22"/>
          <w:szCs w:val="22"/>
          <w:lang w:val="pt-BR"/>
        </w:rPr>
        <w:t xml:space="preserve">no transporte </w:t>
      </w:r>
      <w:r w:rsidRPr="005C5064">
        <w:rPr>
          <w:sz w:val="22"/>
          <w:szCs w:val="22"/>
          <w:lang w:val="pt-BR"/>
        </w:rPr>
        <w:t xml:space="preserve">é uma questão preocupante, mas também faz parte da nova realidade que </w:t>
      </w:r>
      <w:r w:rsidR="004F0030" w:rsidRPr="005C5064">
        <w:rPr>
          <w:sz w:val="22"/>
          <w:szCs w:val="22"/>
          <w:lang w:val="pt-BR"/>
        </w:rPr>
        <w:t>passageiro</w:t>
      </w:r>
      <w:r w:rsidRPr="005C5064">
        <w:rPr>
          <w:sz w:val="22"/>
          <w:szCs w:val="22"/>
          <w:lang w:val="pt-BR"/>
        </w:rPr>
        <w:t>s e governos enfrentarão nos próximos anos. Oferecer transporte p</w:t>
      </w:r>
      <w:r w:rsidR="00085387" w:rsidRPr="005C5064">
        <w:rPr>
          <w:sz w:val="22"/>
          <w:szCs w:val="22"/>
          <w:lang w:val="pt-BR"/>
        </w:rPr>
        <w:t>ú</w:t>
      </w:r>
      <w:r w:rsidRPr="005C5064">
        <w:rPr>
          <w:sz w:val="22"/>
          <w:szCs w:val="22"/>
          <w:lang w:val="pt-BR"/>
        </w:rPr>
        <w:t xml:space="preserve">blico de alta qualidade continua sendo uma prioridade para a maioria das cidades, especialmente as que não mantiveram o mesmo </w:t>
      </w:r>
      <w:r w:rsidR="00085387" w:rsidRPr="005C5064">
        <w:rPr>
          <w:sz w:val="22"/>
          <w:szCs w:val="22"/>
          <w:lang w:val="pt-BR"/>
        </w:rPr>
        <w:t>ritm</w:t>
      </w:r>
      <w:r w:rsidRPr="005C5064">
        <w:rPr>
          <w:sz w:val="22"/>
          <w:szCs w:val="22"/>
          <w:lang w:val="pt-BR"/>
        </w:rPr>
        <w:t>o d</w:t>
      </w:r>
      <w:r w:rsidR="00085387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 xml:space="preserve"> crescimento na demanda de transporte por décadas. Estratégias de planejamento de transporte base</w:t>
      </w:r>
      <w:r w:rsidR="00085387" w:rsidRPr="005C5064">
        <w:rPr>
          <w:sz w:val="22"/>
          <w:szCs w:val="22"/>
          <w:lang w:val="pt-BR"/>
        </w:rPr>
        <w:t>adas</w:t>
      </w:r>
      <w:r w:rsidRPr="005C5064">
        <w:rPr>
          <w:sz w:val="22"/>
          <w:szCs w:val="22"/>
          <w:lang w:val="pt-BR"/>
        </w:rPr>
        <w:t xml:space="preserve"> em uma combinação de boas políticas e sinais certos </w:t>
      </w:r>
      <w:r w:rsidR="0011253B" w:rsidRPr="005C5064">
        <w:rPr>
          <w:sz w:val="22"/>
          <w:szCs w:val="22"/>
          <w:lang w:val="pt-BR"/>
        </w:rPr>
        <w:t>para o</w:t>
      </w:r>
      <w:r w:rsidRPr="005C5064">
        <w:rPr>
          <w:sz w:val="22"/>
          <w:szCs w:val="22"/>
          <w:lang w:val="pt-BR"/>
        </w:rPr>
        <w:t xml:space="preserve"> mercado podem ajudar os governos a compensar </w:t>
      </w:r>
      <w:r w:rsidR="00085387" w:rsidRPr="005C5064">
        <w:rPr>
          <w:sz w:val="22"/>
          <w:szCs w:val="22"/>
          <w:lang w:val="pt-BR"/>
        </w:rPr>
        <w:t xml:space="preserve">o </w:t>
      </w:r>
      <w:r w:rsidRPr="005C5064">
        <w:rPr>
          <w:sz w:val="22"/>
          <w:szCs w:val="22"/>
          <w:lang w:val="pt-BR"/>
        </w:rPr>
        <w:t xml:space="preserve">investimento para que </w:t>
      </w:r>
      <w:r w:rsidR="00085387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 xml:space="preserve">s </w:t>
      </w:r>
      <w:r w:rsidR="00085387" w:rsidRPr="005C5064">
        <w:rPr>
          <w:sz w:val="22"/>
          <w:szCs w:val="22"/>
          <w:lang w:val="pt-BR"/>
        </w:rPr>
        <w:t>empresa</w:t>
      </w:r>
      <w:r w:rsidRPr="005C5064">
        <w:rPr>
          <w:sz w:val="22"/>
          <w:szCs w:val="22"/>
          <w:lang w:val="pt-BR"/>
        </w:rPr>
        <w:t xml:space="preserve">s suplementem o financiamento </w:t>
      </w:r>
      <w:r w:rsidR="005C5064" w:rsidRPr="005C5064">
        <w:rPr>
          <w:sz w:val="22"/>
          <w:szCs w:val="22"/>
          <w:lang w:val="pt-BR"/>
        </w:rPr>
        <w:t>público</w:t>
      </w:r>
      <w:r w:rsidRPr="005C5064">
        <w:rPr>
          <w:sz w:val="22"/>
          <w:szCs w:val="22"/>
          <w:lang w:val="pt-BR"/>
        </w:rPr>
        <w:t xml:space="preserve"> em troca de tarifas de serviços com base no desempenho.</w:t>
      </w:r>
    </w:p>
    <w:p w14:paraId="64429F3E" w14:textId="77777777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</w:p>
    <w:p w14:paraId="6AE3F72C" w14:textId="2A6828C1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A pandemia de Covid-19 e o conflito armado entre </w:t>
      </w:r>
      <w:r w:rsidR="00085387" w:rsidRPr="005C5064">
        <w:rPr>
          <w:sz w:val="22"/>
          <w:szCs w:val="22"/>
          <w:lang w:val="pt-BR"/>
        </w:rPr>
        <w:t xml:space="preserve">a </w:t>
      </w:r>
      <w:r w:rsidRPr="005C5064">
        <w:rPr>
          <w:sz w:val="22"/>
          <w:szCs w:val="22"/>
          <w:lang w:val="pt-BR"/>
        </w:rPr>
        <w:t xml:space="preserve">Rússia e </w:t>
      </w:r>
      <w:r w:rsidR="00085387" w:rsidRPr="005C5064">
        <w:rPr>
          <w:sz w:val="22"/>
          <w:szCs w:val="22"/>
          <w:lang w:val="pt-BR"/>
        </w:rPr>
        <w:t xml:space="preserve">a </w:t>
      </w:r>
      <w:r w:rsidRPr="005C5064">
        <w:rPr>
          <w:sz w:val="22"/>
          <w:szCs w:val="22"/>
          <w:lang w:val="pt-BR"/>
        </w:rPr>
        <w:t xml:space="preserve">Ucrânia causaram interrupções sem precedentes no mercado de petróleo que resultaram em um impacto profundo no abastecimento, demanda e preços do petróleo. </w:t>
      </w:r>
      <w:r w:rsidR="00085387" w:rsidRPr="005C5064">
        <w:rPr>
          <w:sz w:val="22"/>
          <w:szCs w:val="22"/>
          <w:lang w:val="pt-BR"/>
        </w:rPr>
        <w:t>A adoção d</w:t>
      </w:r>
      <w:r w:rsidRPr="005C5064">
        <w:rPr>
          <w:sz w:val="22"/>
          <w:szCs w:val="22"/>
          <w:lang w:val="pt-BR"/>
        </w:rPr>
        <w:t xml:space="preserve">a mobilidade elétrica irá diminuir a poluição do ar, reduzir a exposição a mercados de petróleo voláteis e permitir </w:t>
      </w:r>
      <w:r w:rsidR="0011253B" w:rsidRPr="005C5064">
        <w:rPr>
          <w:sz w:val="22"/>
          <w:szCs w:val="22"/>
          <w:lang w:val="pt-BR"/>
        </w:rPr>
        <w:t>o</w:t>
      </w:r>
      <w:r w:rsidRPr="005C5064">
        <w:rPr>
          <w:sz w:val="22"/>
          <w:szCs w:val="22"/>
          <w:lang w:val="pt-BR"/>
        </w:rPr>
        <w:t xml:space="preserve"> cumprimento </w:t>
      </w:r>
      <w:r w:rsidR="0011253B" w:rsidRPr="005C5064">
        <w:rPr>
          <w:sz w:val="22"/>
          <w:szCs w:val="22"/>
          <w:lang w:val="pt-BR"/>
        </w:rPr>
        <w:t>das</w:t>
      </w:r>
      <w:r w:rsidRPr="005C5064">
        <w:rPr>
          <w:sz w:val="22"/>
          <w:szCs w:val="22"/>
          <w:lang w:val="pt-BR"/>
        </w:rPr>
        <w:t xml:space="preserve"> metas nacionais de emissão de gases de efeito estufa. Os países já estão empregando mobilidade elétrica como solução tecnológica para abordar múltiplas prioridades.</w:t>
      </w:r>
    </w:p>
    <w:p w14:paraId="468E312B" w14:textId="77777777" w:rsidR="00642BA0" w:rsidRPr="005C5064" w:rsidRDefault="00642BA0" w:rsidP="00642BA0">
      <w:pPr>
        <w:ind w:firstLine="720"/>
        <w:jc w:val="both"/>
        <w:rPr>
          <w:sz w:val="22"/>
          <w:szCs w:val="22"/>
          <w:lang w:val="pt-BR"/>
        </w:rPr>
      </w:pPr>
    </w:p>
    <w:p w14:paraId="580124E6" w14:textId="77777777" w:rsidR="00642BA0" w:rsidRPr="005C5064" w:rsidRDefault="00642BA0" w:rsidP="00642BA0">
      <w:pPr>
        <w:pStyle w:val="Heading3"/>
        <w:ind w:left="720"/>
        <w:rPr>
          <w:rFonts w:ascii="Times New Roman" w:hAnsi="Times New Roman" w:cs="Times New Roman"/>
          <w:sz w:val="22"/>
          <w:szCs w:val="22"/>
          <w:lang w:val="pt-BR"/>
        </w:rPr>
      </w:pPr>
      <w:bookmarkStart w:id="7" w:name="_Toc131518809"/>
      <w:r w:rsidRPr="005C5064">
        <w:rPr>
          <w:rFonts w:ascii="Times New Roman" w:hAnsi="Times New Roman" w:cs="Times New Roman"/>
          <w:sz w:val="22"/>
          <w:szCs w:val="22"/>
          <w:lang w:val="pt-BR"/>
        </w:rPr>
        <w:t>Sequestro de Carbono</w:t>
      </w:r>
      <w:bookmarkEnd w:id="7"/>
    </w:p>
    <w:p w14:paraId="3EF16312" w14:textId="77777777" w:rsidR="00642BA0" w:rsidRPr="005C5064" w:rsidRDefault="00642BA0" w:rsidP="00642BA0">
      <w:pPr>
        <w:rPr>
          <w:lang w:val="pt-BR"/>
        </w:rPr>
      </w:pPr>
    </w:p>
    <w:p w14:paraId="4D72895F" w14:textId="61174ADA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O dióxido de carbono presente na atmosfera da Terra se origina de duas fontes prim</w:t>
      </w:r>
      <w:r w:rsidR="0011253B" w:rsidRPr="005C5064">
        <w:rPr>
          <w:sz w:val="22"/>
          <w:szCs w:val="22"/>
          <w:lang w:val="pt-BR"/>
        </w:rPr>
        <w:t>á</w:t>
      </w:r>
      <w:r w:rsidRPr="005C5064">
        <w:rPr>
          <w:sz w:val="22"/>
          <w:szCs w:val="22"/>
          <w:lang w:val="pt-BR"/>
        </w:rPr>
        <w:t>rias distintas</w:t>
      </w:r>
      <w:r w:rsidR="0011253B" w:rsidRPr="005C5064">
        <w:rPr>
          <w:sz w:val="22"/>
          <w:szCs w:val="22"/>
          <w:lang w:val="pt-BR"/>
        </w:rPr>
        <w:t>:</w:t>
      </w:r>
      <w:r w:rsidRPr="005C5064">
        <w:rPr>
          <w:sz w:val="22"/>
          <w:szCs w:val="22"/>
          <w:lang w:val="pt-BR"/>
        </w:rPr>
        <w:t xml:space="preserve"> atividades naturais e humanas. As fontes naturais incluem a maioria dos animais, que expiram dióxido e excretam metano. As atividades humanas que </w:t>
      </w:r>
      <w:r w:rsidR="0011253B" w:rsidRPr="005C5064">
        <w:rPr>
          <w:sz w:val="22"/>
          <w:szCs w:val="22"/>
          <w:lang w:val="pt-BR"/>
        </w:rPr>
        <w:t>produze</w:t>
      </w:r>
      <w:r w:rsidRPr="005C5064">
        <w:rPr>
          <w:sz w:val="22"/>
          <w:szCs w:val="22"/>
          <w:lang w:val="pt-BR"/>
        </w:rPr>
        <w:t xml:space="preserve">m emissões de dióxido de carbono </w:t>
      </w:r>
      <w:r w:rsidR="0011253B" w:rsidRPr="005C5064">
        <w:rPr>
          <w:sz w:val="22"/>
          <w:szCs w:val="22"/>
          <w:lang w:val="pt-BR"/>
        </w:rPr>
        <w:t xml:space="preserve">relacionam-se </w:t>
      </w:r>
      <w:r w:rsidRPr="005C5064">
        <w:rPr>
          <w:sz w:val="22"/>
          <w:szCs w:val="22"/>
          <w:lang w:val="pt-BR"/>
        </w:rPr>
        <w:t>pri</w:t>
      </w:r>
      <w:r w:rsidR="0011253B" w:rsidRPr="005C5064">
        <w:rPr>
          <w:sz w:val="22"/>
          <w:szCs w:val="22"/>
          <w:lang w:val="pt-BR"/>
        </w:rPr>
        <w:t>ncipal</w:t>
      </w:r>
      <w:r w:rsidRPr="005C5064">
        <w:rPr>
          <w:sz w:val="22"/>
          <w:szCs w:val="22"/>
          <w:lang w:val="pt-BR"/>
        </w:rPr>
        <w:t xml:space="preserve">mente </w:t>
      </w:r>
      <w:r w:rsidR="0011253B" w:rsidRPr="005C5064">
        <w:rPr>
          <w:sz w:val="22"/>
          <w:szCs w:val="22"/>
          <w:lang w:val="pt-BR"/>
        </w:rPr>
        <w:t xml:space="preserve">com </w:t>
      </w:r>
      <w:r w:rsidRPr="005C5064">
        <w:rPr>
          <w:sz w:val="22"/>
          <w:szCs w:val="22"/>
          <w:lang w:val="pt-BR"/>
        </w:rPr>
        <w:t xml:space="preserve">energia, agricultura, indústria, transporte, etc. O dióxido de carbono, assim com outros gases de efeito estufa, possui um efeito de sequestro do calor que mantém a Terra quente. Acumulações excessivas de dióxido de carbono levam a temperaturas </w:t>
      </w:r>
      <w:r w:rsidR="0011253B" w:rsidRPr="005C5064">
        <w:rPr>
          <w:sz w:val="22"/>
          <w:szCs w:val="22"/>
          <w:lang w:val="pt-BR"/>
        </w:rPr>
        <w:t xml:space="preserve">mais altas </w:t>
      </w:r>
      <w:r w:rsidRPr="005C5064">
        <w:rPr>
          <w:sz w:val="22"/>
          <w:szCs w:val="22"/>
          <w:lang w:val="pt-BR"/>
        </w:rPr>
        <w:t>e aquecimento global.</w:t>
      </w:r>
    </w:p>
    <w:p w14:paraId="3E0CE791" w14:textId="77777777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</w:p>
    <w:p w14:paraId="101C684A" w14:textId="53C2A97C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O dióxido de carbono é o gás de efeito estufa mais presente na atmosfera da Terra, seguido do metano, </w:t>
      </w:r>
      <w:r w:rsidR="0011253B" w:rsidRPr="005C5064">
        <w:rPr>
          <w:sz w:val="22"/>
          <w:szCs w:val="22"/>
          <w:lang w:val="pt-BR"/>
        </w:rPr>
        <w:t>ó</w:t>
      </w:r>
      <w:r w:rsidRPr="005C5064">
        <w:rPr>
          <w:sz w:val="22"/>
          <w:szCs w:val="22"/>
          <w:lang w:val="pt-BR"/>
        </w:rPr>
        <w:t>xido nitroso e vapor de água. O sequestro de carbono é o processo pelo qual o dióxido de carbono atmosférico é capturado e armazenado, reduzindo assim a quantidade e</w:t>
      </w:r>
      <w:r w:rsidR="0011253B" w:rsidRPr="005C5064">
        <w:rPr>
          <w:sz w:val="22"/>
          <w:szCs w:val="22"/>
          <w:lang w:val="pt-BR"/>
        </w:rPr>
        <w:t>,</w:t>
      </w:r>
      <w:r w:rsidRPr="005C5064">
        <w:rPr>
          <w:sz w:val="22"/>
          <w:szCs w:val="22"/>
          <w:lang w:val="pt-BR"/>
        </w:rPr>
        <w:t xml:space="preserve"> com isso, o aquecimento global. </w:t>
      </w:r>
      <w:r w:rsidR="0011253B" w:rsidRPr="005C5064">
        <w:rPr>
          <w:sz w:val="22"/>
          <w:szCs w:val="22"/>
          <w:lang w:val="pt-BR"/>
        </w:rPr>
        <w:t>Os p</w:t>
      </w:r>
      <w:r w:rsidRPr="005C5064">
        <w:rPr>
          <w:sz w:val="22"/>
          <w:szCs w:val="22"/>
          <w:lang w:val="pt-BR"/>
        </w:rPr>
        <w:t>rocessos de sequestro de carbono podem ser biológicos ou geológicos.</w:t>
      </w:r>
    </w:p>
    <w:p w14:paraId="2CD9A4B8" w14:textId="77777777" w:rsidR="00642BA0" w:rsidRPr="005C5064" w:rsidRDefault="00642BA0" w:rsidP="00642BA0">
      <w:pPr>
        <w:jc w:val="both"/>
        <w:rPr>
          <w:sz w:val="22"/>
          <w:szCs w:val="22"/>
          <w:lang w:val="pt-BR"/>
        </w:rPr>
      </w:pPr>
    </w:p>
    <w:p w14:paraId="3490E569" w14:textId="255B5AF5" w:rsidR="00642BA0" w:rsidRPr="005C5064" w:rsidRDefault="00642BA0" w:rsidP="00642BA0">
      <w:pPr>
        <w:tabs>
          <w:tab w:val="left" w:pos="720"/>
        </w:tabs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O sequestro biológico de carbono refere</w:t>
      </w:r>
      <w:r w:rsidR="007F54C8">
        <w:rPr>
          <w:sz w:val="22"/>
          <w:szCs w:val="22"/>
          <w:lang w:val="pt-BR"/>
        </w:rPr>
        <w:t>-se</w:t>
      </w:r>
      <w:r w:rsidRPr="005C5064">
        <w:rPr>
          <w:sz w:val="22"/>
          <w:szCs w:val="22"/>
          <w:lang w:val="pt-BR"/>
        </w:rPr>
        <w:t xml:space="preserve"> </w:t>
      </w:r>
      <w:r w:rsidR="0011253B" w:rsidRPr="005C5064">
        <w:rPr>
          <w:sz w:val="22"/>
          <w:szCs w:val="22"/>
          <w:lang w:val="pt-BR"/>
        </w:rPr>
        <w:t>à</w:t>
      </w:r>
      <w:r w:rsidRPr="005C5064">
        <w:rPr>
          <w:sz w:val="22"/>
          <w:szCs w:val="22"/>
          <w:lang w:val="pt-BR"/>
        </w:rPr>
        <w:t xml:space="preserve"> capacidade natural dos ecossistemas aquáticos e terrestres de armazenar carbono. Florestas, pântanos de turfa e pântanos costeiros são capazes de armazenar quantidades imensas de dióxido de carbono. Processos de sequestro natural armazenam dióxido de carbono no tecido da planta</w:t>
      </w:r>
      <w:r w:rsidR="00AE49E6" w:rsidRPr="005C5064">
        <w:rPr>
          <w:sz w:val="22"/>
          <w:szCs w:val="22"/>
          <w:lang w:val="pt-BR"/>
        </w:rPr>
        <w:t>,</w:t>
      </w:r>
      <w:r w:rsidRPr="005C5064">
        <w:rPr>
          <w:sz w:val="22"/>
          <w:szCs w:val="22"/>
          <w:lang w:val="pt-BR"/>
        </w:rPr>
        <w:t xml:space="preserve"> como a casca da </w:t>
      </w:r>
      <w:r w:rsidR="00AE49E6" w:rsidRPr="005C5064">
        <w:rPr>
          <w:sz w:val="22"/>
          <w:szCs w:val="22"/>
          <w:lang w:val="pt-BR"/>
        </w:rPr>
        <w:t>á</w:t>
      </w:r>
      <w:r w:rsidRPr="005C5064">
        <w:rPr>
          <w:sz w:val="22"/>
          <w:szCs w:val="22"/>
          <w:lang w:val="pt-BR"/>
        </w:rPr>
        <w:t xml:space="preserve">rvore ou as raízes. Por outro lado, o sequestro geológico de carbono é o processo de armazenar dióxido de carbono em formações geológicas. O dióxido de carbono é pressurizado até se tornar líquido e depois </w:t>
      </w:r>
      <w:r w:rsidRPr="005C5064">
        <w:rPr>
          <w:sz w:val="22"/>
          <w:szCs w:val="22"/>
          <w:lang w:val="pt-BR"/>
        </w:rPr>
        <w:lastRenderedPageBreak/>
        <w:t>injetado em formações porosas de rochas em bacias geológicas.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28"/>
      </w:r>
      <w:r w:rsidRPr="005C5064">
        <w:rPr>
          <w:sz w:val="22"/>
          <w:szCs w:val="22"/>
          <w:vertAlign w:val="superscript"/>
          <w:lang w:val="pt-BR"/>
        </w:rPr>
        <w:t xml:space="preserve">/ </w:t>
      </w:r>
      <w:r w:rsidRPr="005C5064">
        <w:rPr>
          <w:sz w:val="22"/>
          <w:szCs w:val="22"/>
          <w:lang w:val="pt-BR"/>
        </w:rPr>
        <w:t xml:space="preserve">Esse método </w:t>
      </w:r>
      <w:r w:rsidR="00AE49E6" w:rsidRPr="005C5064">
        <w:rPr>
          <w:sz w:val="22"/>
          <w:szCs w:val="22"/>
          <w:lang w:val="pt-BR"/>
        </w:rPr>
        <w:t>à</w:t>
      </w:r>
      <w:r w:rsidRPr="005C5064">
        <w:rPr>
          <w:sz w:val="22"/>
          <w:szCs w:val="22"/>
          <w:lang w:val="pt-BR"/>
        </w:rPr>
        <w:t>s vezes é combinado com técnicas melhoradas de recuperação de petróleo, também conhecidas como recuperação terci</w:t>
      </w:r>
      <w:r w:rsidR="00AE49E6" w:rsidRPr="005C5064">
        <w:rPr>
          <w:sz w:val="22"/>
          <w:szCs w:val="22"/>
          <w:lang w:val="pt-BR"/>
        </w:rPr>
        <w:t>á</w:t>
      </w:r>
      <w:r w:rsidRPr="005C5064">
        <w:rPr>
          <w:sz w:val="22"/>
          <w:szCs w:val="22"/>
          <w:lang w:val="pt-BR"/>
        </w:rPr>
        <w:t>ria.</w:t>
      </w:r>
    </w:p>
    <w:p w14:paraId="35BDBA52" w14:textId="77777777" w:rsidR="00642BA0" w:rsidRPr="005C5064" w:rsidRDefault="00642BA0" w:rsidP="00642BA0">
      <w:pPr>
        <w:ind w:firstLine="720"/>
        <w:jc w:val="both"/>
        <w:rPr>
          <w:sz w:val="22"/>
          <w:szCs w:val="22"/>
          <w:lang w:val="pt-BR"/>
        </w:rPr>
      </w:pPr>
    </w:p>
    <w:p w14:paraId="4AA1B913" w14:textId="2655D225" w:rsidR="00642BA0" w:rsidRPr="005C5064" w:rsidRDefault="00642BA0" w:rsidP="00642BA0">
      <w:pPr>
        <w:pStyle w:val="Heading3"/>
        <w:ind w:left="720"/>
        <w:rPr>
          <w:rFonts w:ascii="Times New Roman" w:hAnsi="Times New Roman" w:cs="Times New Roman"/>
          <w:sz w:val="22"/>
          <w:szCs w:val="22"/>
          <w:lang w:val="pt-BR"/>
        </w:rPr>
      </w:pPr>
      <w:bookmarkStart w:id="8" w:name="_Toc131518810"/>
      <w:r w:rsidRPr="005C5064">
        <w:rPr>
          <w:rFonts w:ascii="Times New Roman" w:hAnsi="Times New Roman" w:cs="Times New Roman"/>
          <w:sz w:val="22"/>
          <w:szCs w:val="22"/>
          <w:lang w:val="pt-BR"/>
        </w:rPr>
        <w:t xml:space="preserve">Soluções </w:t>
      </w:r>
      <w:r w:rsidR="00AE49E6" w:rsidRPr="005C5064">
        <w:rPr>
          <w:rFonts w:ascii="Times New Roman" w:hAnsi="Times New Roman" w:cs="Times New Roman"/>
          <w:sz w:val="22"/>
          <w:szCs w:val="22"/>
          <w:lang w:val="pt-BR"/>
        </w:rPr>
        <w:t>baseadas n</w:t>
      </w:r>
      <w:r w:rsidRPr="005C5064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="00AE49E6" w:rsidRPr="005C5064">
        <w:rPr>
          <w:rFonts w:ascii="Times New Roman" w:hAnsi="Times New Roman" w:cs="Times New Roman"/>
          <w:sz w:val="22"/>
          <w:szCs w:val="22"/>
          <w:lang w:val="pt-BR"/>
        </w:rPr>
        <w:t>n</w:t>
      </w:r>
      <w:r w:rsidRPr="005C5064">
        <w:rPr>
          <w:rFonts w:ascii="Times New Roman" w:hAnsi="Times New Roman" w:cs="Times New Roman"/>
          <w:sz w:val="22"/>
          <w:szCs w:val="22"/>
          <w:lang w:val="pt-BR"/>
        </w:rPr>
        <w:t>atureza</w:t>
      </w:r>
      <w:bookmarkEnd w:id="8"/>
    </w:p>
    <w:p w14:paraId="3945ED36" w14:textId="77777777" w:rsidR="00642BA0" w:rsidRPr="005C5064" w:rsidRDefault="00642BA0" w:rsidP="00642BA0">
      <w:pPr>
        <w:rPr>
          <w:lang w:val="pt-BR"/>
        </w:rPr>
      </w:pPr>
    </w:p>
    <w:p w14:paraId="4AAA0C41" w14:textId="1D0B2BB1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As soluções </w:t>
      </w:r>
      <w:r w:rsidR="00006421" w:rsidRPr="005C5064">
        <w:rPr>
          <w:sz w:val="22"/>
          <w:szCs w:val="22"/>
          <w:lang w:val="pt-BR"/>
        </w:rPr>
        <w:t>baseadas n</w:t>
      </w:r>
      <w:r w:rsidRPr="005C5064">
        <w:rPr>
          <w:sz w:val="22"/>
          <w:szCs w:val="22"/>
          <w:lang w:val="pt-BR"/>
        </w:rPr>
        <w:t xml:space="preserve">a natureza são definidas como “ações para proteger, gerir sustentavelmente e recuperar ecossistemas naturais ou modificados, que abordam desafios sociais de forma eficaz e adaptativa, oferecendo </w:t>
      </w:r>
      <w:r w:rsidR="00006421" w:rsidRPr="005C5064">
        <w:rPr>
          <w:sz w:val="22"/>
          <w:szCs w:val="22"/>
          <w:lang w:val="pt-BR"/>
        </w:rPr>
        <w:t xml:space="preserve">benefícios em termos de </w:t>
      </w:r>
      <w:r w:rsidRPr="005C5064">
        <w:rPr>
          <w:sz w:val="22"/>
          <w:szCs w:val="22"/>
          <w:lang w:val="pt-BR"/>
        </w:rPr>
        <w:t>bem-estar humano e biodiversidade.”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29"/>
      </w:r>
      <w:r w:rsidRPr="005C5064">
        <w:rPr>
          <w:sz w:val="22"/>
          <w:szCs w:val="22"/>
          <w:vertAlign w:val="superscript"/>
          <w:lang w:val="pt-BR"/>
        </w:rPr>
        <w:t xml:space="preserve">/ </w:t>
      </w:r>
      <w:r w:rsidRPr="005C5064">
        <w:rPr>
          <w:sz w:val="22"/>
          <w:szCs w:val="22"/>
          <w:lang w:val="pt-BR"/>
        </w:rPr>
        <w:t xml:space="preserve">As soluções </w:t>
      </w:r>
      <w:r w:rsidR="00006421" w:rsidRPr="005C5064">
        <w:rPr>
          <w:sz w:val="22"/>
          <w:szCs w:val="22"/>
          <w:lang w:val="pt-BR"/>
        </w:rPr>
        <w:t>baseadas n</w:t>
      </w:r>
      <w:r w:rsidRPr="005C5064">
        <w:rPr>
          <w:sz w:val="22"/>
          <w:szCs w:val="22"/>
          <w:lang w:val="pt-BR"/>
        </w:rPr>
        <w:t>a natureza aproveita</w:t>
      </w:r>
      <w:r w:rsidR="00006421" w:rsidRPr="005C5064">
        <w:rPr>
          <w:sz w:val="22"/>
          <w:szCs w:val="22"/>
          <w:lang w:val="pt-BR"/>
        </w:rPr>
        <w:t>m</w:t>
      </w:r>
      <w:r w:rsidRPr="005C5064">
        <w:rPr>
          <w:sz w:val="22"/>
          <w:szCs w:val="22"/>
          <w:lang w:val="pt-BR"/>
        </w:rPr>
        <w:t xml:space="preserve"> as forças da natureza para abordar desafios sociais, </w:t>
      </w:r>
      <w:r w:rsidR="00006421" w:rsidRPr="005C5064">
        <w:rPr>
          <w:sz w:val="22"/>
          <w:szCs w:val="22"/>
          <w:lang w:val="pt-BR"/>
        </w:rPr>
        <w:t>proporcion</w:t>
      </w:r>
      <w:r w:rsidRPr="005C5064">
        <w:rPr>
          <w:sz w:val="22"/>
          <w:szCs w:val="22"/>
          <w:lang w:val="pt-BR"/>
        </w:rPr>
        <w:t xml:space="preserve">ando benefícios </w:t>
      </w:r>
      <w:r w:rsidR="00006421" w:rsidRPr="005C5064">
        <w:rPr>
          <w:sz w:val="22"/>
          <w:szCs w:val="22"/>
          <w:lang w:val="pt-BR"/>
        </w:rPr>
        <w:t xml:space="preserve">em termos de </w:t>
      </w:r>
      <w:r w:rsidRPr="005C5064">
        <w:rPr>
          <w:sz w:val="22"/>
          <w:szCs w:val="22"/>
          <w:lang w:val="pt-BR"/>
        </w:rPr>
        <w:t xml:space="preserve">bem-estar humano e biodiversidade. As soluções </w:t>
      </w:r>
      <w:r w:rsidR="00006421" w:rsidRPr="005C5064">
        <w:rPr>
          <w:sz w:val="22"/>
          <w:szCs w:val="22"/>
          <w:lang w:val="pt-BR"/>
        </w:rPr>
        <w:t xml:space="preserve">baseadas na </w:t>
      </w:r>
      <w:r w:rsidRPr="005C5064">
        <w:rPr>
          <w:sz w:val="22"/>
          <w:szCs w:val="22"/>
          <w:lang w:val="pt-BR"/>
        </w:rPr>
        <w:t xml:space="preserve">natureza envolvem ações para proteger, recuperar ou gerir ecossistemas naturais e seminaturais, sistemas aquáticos e terras aráveis, ou a criação de ecossistemas originais </w:t>
      </w:r>
      <w:r w:rsidR="00006421" w:rsidRPr="005C5064">
        <w:rPr>
          <w:sz w:val="22"/>
          <w:szCs w:val="22"/>
          <w:lang w:val="pt-BR"/>
        </w:rPr>
        <w:t>n</w:t>
      </w:r>
      <w:r w:rsidRPr="005C5064">
        <w:rPr>
          <w:sz w:val="22"/>
          <w:szCs w:val="22"/>
          <w:lang w:val="pt-BR"/>
        </w:rPr>
        <w:t>as cidades</w:t>
      </w:r>
      <w:r w:rsidR="00006421" w:rsidRPr="005C5064">
        <w:rPr>
          <w:sz w:val="22"/>
          <w:szCs w:val="22"/>
          <w:lang w:val="pt-BR"/>
        </w:rPr>
        <w:t xml:space="preserve"> e áreas próximas</w:t>
      </w:r>
      <w:r w:rsidRPr="005C5064">
        <w:rPr>
          <w:sz w:val="22"/>
          <w:szCs w:val="22"/>
          <w:lang w:val="pt-BR"/>
        </w:rPr>
        <w:t>. Essas ações são escoradas pela biodiversidade e envolvem comunidades locais e povos indígenas em su</w:t>
      </w:r>
      <w:r w:rsidR="00006421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 xml:space="preserve"> </w:t>
      </w:r>
      <w:r w:rsidR="00006421" w:rsidRPr="005C5064">
        <w:rPr>
          <w:sz w:val="22"/>
          <w:szCs w:val="22"/>
          <w:lang w:val="pt-BR"/>
        </w:rPr>
        <w:t>formulação</w:t>
      </w:r>
      <w:r w:rsidRPr="005C5064">
        <w:rPr>
          <w:sz w:val="22"/>
          <w:szCs w:val="22"/>
          <w:lang w:val="pt-BR"/>
        </w:rPr>
        <w:t xml:space="preserve"> e implementação. Por exemplo, </w:t>
      </w:r>
      <w:r w:rsidR="00006421" w:rsidRPr="005C5064">
        <w:rPr>
          <w:sz w:val="22"/>
          <w:szCs w:val="22"/>
          <w:lang w:val="pt-BR"/>
        </w:rPr>
        <w:t xml:space="preserve">a </w:t>
      </w:r>
      <w:r w:rsidRPr="005C5064">
        <w:rPr>
          <w:sz w:val="22"/>
          <w:szCs w:val="22"/>
          <w:lang w:val="pt-BR"/>
        </w:rPr>
        <w:t>recupera</w:t>
      </w:r>
      <w:r w:rsidR="00006421" w:rsidRPr="005C5064">
        <w:rPr>
          <w:sz w:val="22"/>
          <w:szCs w:val="22"/>
          <w:lang w:val="pt-BR"/>
        </w:rPr>
        <w:t>ção de</w:t>
      </w:r>
      <w:r w:rsidRPr="005C5064">
        <w:rPr>
          <w:sz w:val="22"/>
          <w:szCs w:val="22"/>
          <w:lang w:val="pt-BR"/>
        </w:rPr>
        <w:t xml:space="preserve"> florestas e pântanos pode garantir abastecimento de água, apoiar </w:t>
      </w:r>
      <w:r w:rsidR="00006421" w:rsidRPr="005C5064">
        <w:rPr>
          <w:sz w:val="22"/>
          <w:szCs w:val="22"/>
          <w:lang w:val="pt-BR"/>
        </w:rPr>
        <w:t>os meios de</w:t>
      </w:r>
      <w:r w:rsidRPr="005C5064">
        <w:rPr>
          <w:sz w:val="22"/>
          <w:szCs w:val="22"/>
          <w:lang w:val="pt-BR"/>
        </w:rPr>
        <w:t xml:space="preserve"> subsistência e proteger comunidades </w:t>
      </w:r>
      <w:r w:rsidR="00006421" w:rsidRPr="005C5064">
        <w:rPr>
          <w:sz w:val="22"/>
          <w:szCs w:val="22"/>
          <w:lang w:val="pt-BR"/>
        </w:rPr>
        <w:t>contra</w:t>
      </w:r>
      <w:r w:rsidRPr="005C5064">
        <w:rPr>
          <w:sz w:val="22"/>
          <w:szCs w:val="22"/>
          <w:lang w:val="pt-BR"/>
        </w:rPr>
        <w:t xml:space="preserve"> inundações, erosão do solo e deslizamentos. O acréscimo de telhados verdes em edifícios pode moderar os impactos de ondas de calor, captar água d</w:t>
      </w:r>
      <w:r w:rsidR="00006421" w:rsidRPr="005C5064">
        <w:rPr>
          <w:sz w:val="22"/>
          <w:szCs w:val="22"/>
          <w:lang w:val="pt-BR"/>
        </w:rPr>
        <w:t>a chuva</w:t>
      </w:r>
      <w:r w:rsidRPr="005C5064">
        <w:rPr>
          <w:sz w:val="22"/>
          <w:szCs w:val="22"/>
          <w:lang w:val="pt-BR"/>
        </w:rPr>
        <w:t xml:space="preserve"> e diminuir a poluição. </w:t>
      </w:r>
      <w:r w:rsidR="00006421" w:rsidRPr="005C5064">
        <w:rPr>
          <w:sz w:val="22"/>
          <w:szCs w:val="22"/>
          <w:lang w:val="pt-BR"/>
        </w:rPr>
        <w:t>A r</w:t>
      </w:r>
      <w:r w:rsidRPr="005C5064">
        <w:rPr>
          <w:sz w:val="22"/>
          <w:szCs w:val="22"/>
          <w:lang w:val="pt-BR"/>
        </w:rPr>
        <w:t>ecupera</w:t>
      </w:r>
      <w:r w:rsidR="00006421" w:rsidRPr="005C5064">
        <w:rPr>
          <w:sz w:val="22"/>
          <w:szCs w:val="22"/>
          <w:lang w:val="pt-BR"/>
        </w:rPr>
        <w:t>ção de</w:t>
      </w:r>
      <w:r w:rsidRPr="005C5064">
        <w:rPr>
          <w:sz w:val="22"/>
          <w:szCs w:val="22"/>
          <w:lang w:val="pt-BR"/>
        </w:rPr>
        <w:t xml:space="preserve"> ecossistemas costeiros (mangues, recifes e pântanos salgados) protege comunidades e infraestrutura de tempestades e erosão. H</w:t>
      </w:r>
      <w:r w:rsidR="00006421" w:rsidRPr="005C5064">
        <w:rPr>
          <w:sz w:val="22"/>
          <w:szCs w:val="22"/>
          <w:lang w:val="pt-BR"/>
        </w:rPr>
        <w:t>á</w:t>
      </w:r>
      <w:r w:rsidRPr="005C5064">
        <w:rPr>
          <w:sz w:val="22"/>
          <w:szCs w:val="22"/>
          <w:lang w:val="pt-BR"/>
        </w:rPr>
        <w:t xml:space="preserve">bitats costeiros, especialmente mangues, são particularmente </w:t>
      </w:r>
      <w:r w:rsidR="00006421" w:rsidRPr="005C5064">
        <w:rPr>
          <w:sz w:val="22"/>
          <w:szCs w:val="22"/>
          <w:lang w:val="pt-BR"/>
        </w:rPr>
        <w:t>hábeis</w:t>
      </w:r>
      <w:r w:rsidRPr="005C5064">
        <w:rPr>
          <w:sz w:val="22"/>
          <w:szCs w:val="22"/>
          <w:lang w:val="pt-BR"/>
        </w:rPr>
        <w:t xml:space="preserve"> em sequestrar carbono, contribuindo assim para a mitigação.</w:t>
      </w:r>
    </w:p>
    <w:p w14:paraId="78A4F912" w14:textId="77777777" w:rsidR="00642BA0" w:rsidRPr="005C5064" w:rsidRDefault="00642BA0" w:rsidP="00642BA0">
      <w:pPr>
        <w:ind w:firstLine="720"/>
        <w:jc w:val="both"/>
        <w:rPr>
          <w:sz w:val="22"/>
          <w:szCs w:val="22"/>
          <w:lang w:val="pt-BR"/>
        </w:rPr>
      </w:pPr>
    </w:p>
    <w:p w14:paraId="6BF4111C" w14:textId="77777777" w:rsidR="00642BA0" w:rsidRPr="005C5064" w:rsidRDefault="00642BA0" w:rsidP="00642BA0">
      <w:pPr>
        <w:pStyle w:val="Heading2"/>
        <w:ind w:left="720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bookmarkStart w:id="9" w:name="_Toc131518811"/>
      <w:r w:rsidRPr="005C5064">
        <w:rPr>
          <w:rFonts w:ascii="Times New Roman" w:hAnsi="Times New Roman" w:cs="Times New Roman"/>
          <w:b/>
          <w:bCs/>
          <w:sz w:val="22"/>
          <w:szCs w:val="22"/>
          <w:lang w:val="pt-BR"/>
        </w:rPr>
        <w:t>Adaptação</w:t>
      </w:r>
      <w:bookmarkEnd w:id="9"/>
    </w:p>
    <w:p w14:paraId="0D415CD4" w14:textId="77777777" w:rsidR="00642BA0" w:rsidRPr="005C5064" w:rsidRDefault="00642BA0" w:rsidP="00642BA0">
      <w:pPr>
        <w:rPr>
          <w:lang w:val="pt-BR"/>
        </w:rPr>
      </w:pPr>
    </w:p>
    <w:p w14:paraId="1F92FC05" w14:textId="51097EFB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A adaptação à mudança climática refere</w:t>
      </w:r>
      <w:r w:rsidR="007F54C8">
        <w:rPr>
          <w:sz w:val="22"/>
          <w:szCs w:val="22"/>
          <w:lang w:val="pt-BR"/>
        </w:rPr>
        <w:t>-se</w:t>
      </w:r>
      <w:r w:rsidRPr="005C5064">
        <w:rPr>
          <w:sz w:val="22"/>
          <w:szCs w:val="22"/>
          <w:lang w:val="pt-BR"/>
        </w:rPr>
        <w:t xml:space="preserve"> a ajustes nos sistemas ecológico</w:t>
      </w:r>
      <w:r w:rsidR="00006421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>, socia</w:t>
      </w:r>
      <w:r w:rsidR="00006421" w:rsidRPr="005C5064">
        <w:rPr>
          <w:sz w:val="22"/>
          <w:szCs w:val="22"/>
          <w:lang w:val="pt-BR"/>
        </w:rPr>
        <w:t>is</w:t>
      </w:r>
      <w:r w:rsidRPr="005C5064">
        <w:rPr>
          <w:sz w:val="22"/>
          <w:szCs w:val="22"/>
          <w:lang w:val="pt-BR"/>
        </w:rPr>
        <w:t xml:space="preserve"> ou econômico</w:t>
      </w:r>
      <w:r w:rsidR="00006421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 xml:space="preserve"> em resposta a e</w:t>
      </w:r>
      <w:r w:rsidR="007F54C8">
        <w:rPr>
          <w:sz w:val="22"/>
          <w:szCs w:val="22"/>
          <w:lang w:val="pt-BR"/>
        </w:rPr>
        <w:t>vent</w:t>
      </w:r>
      <w:r w:rsidRPr="005C5064">
        <w:rPr>
          <w:sz w:val="22"/>
          <w:szCs w:val="22"/>
          <w:lang w:val="pt-BR"/>
        </w:rPr>
        <w:t>os climáticos reais ou esperados e seus efeitos.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30"/>
      </w:r>
      <w:r w:rsidRPr="005C5064">
        <w:rPr>
          <w:sz w:val="22"/>
          <w:szCs w:val="22"/>
          <w:vertAlign w:val="superscript"/>
          <w:lang w:val="pt-BR"/>
        </w:rPr>
        <w:t>/</w:t>
      </w:r>
      <w:r w:rsidR="00006421" w:rsidRPr="005C5064">
        <w:rPr>
          <w:sz w:val="22"/>
          <w:szCs w:val="22"/>
          <w:lang w:val="pt-BR"/>
        </w:rPr>
        <w:t xml:space="preserve"> As t</w:t>
      </w:r>
      <w:r w:rsidRPr="005C5064">
        <w:rPr>
          <w:sz w:val="22"/>
          <w:szCs w:val="22"/>
          <w:lang w:val="pt-BR"/>
        </w:rPr>
        <w:t>écnicas de adaptação denotam mudanças nos processos, práticas e estruturas para moderar potenciais danos ou se beneficiar de oportunidades associadas à mudança climática. A Terra já está sofrendo mudanças nas temperaturas m</w:t>
      </w:r>
      <w:r w:rsidR="00006421" w:rsidRPr="005C5064">
        <w:rPr>
          <w:sz w:val="22"/>
          <w:szCs w:val="22"/>
          <w:lang w:val="pt-BR"/>
        </w:rPr>
        <w:t>é</w:t>
      </w:r>
      <w:r w:rsidRPr="005C5064">
        <w:rPr>
          <w:sz w:val="22"/>
          <w:szCs w:val="22"/>
          <w:lang w:val="pt-BR"/>
        </w:rPr>
        <w:t>dias, mudança</w:t>
      </w:r>
      <w:r w:rsidR="00006421" w:rsidRPr="005C5064">
        <w:rPr>
          <w:sz w:val="22"/>
          <w:szCs w:val="22"/>
          <w:lang w:val="pt-BR"/>
        </w:rPr>
        <w:t xml:space="preserve"> da</w:t>
      </w:r>
      <w:r w:rsidRPr="005C5064">
        <w:rPr>
          <w:sz w:val="22"/>
          <w:szCs w:val="22"/>
          <w:lang w:val="pt-BR"/>
        </w:rPr>
        <w:t xml:space="preserve">s </w:t>
      </w:r>
      <w:r w:rsidR="00006421" w:rsidRPr="005C5064">
        <w:rPr>
          <w:sz w:val="22"/>
          <w:szCs w:val="22"/>
          <w:lang w:val="pt-BR"/>
        </w:rPr>
        <w:t>estações</w:t>
      </w:r>
      <w:r w:rsidRPr="005C5064">
        <w:rPr>
          <w:sz w:val="22"/>
          <w:szCs w:val="22"/>
          <w:lang w:val="pt-BR"/>
        </w:rPr>
        <w:t xml:space="preserve">, maior frequência de eventos climáticos extremos e eventos de </w:t>
      </w:r>
      <w:r w:rsidR="00006421" w:rsidRPr="005C5064">
        <w:rPr>
          <w:sz w:val="22"/>
          <w:szCs w:val="22"/>
          <w:lang w:val="pt-BR"/>
        </w:rPr>
        <w:t>início</w:t>
      </w:r>
      <w:r w:rsidRPr="005C5064">
        <w:rPr>
          <w:sz w:val="22"/>
          <w:szCs w:val="22"/>
          <w:lang w:val="pt-BR"/>
        </w:rPr>
        <w:t xml:space="preserve"> lento. A </w:t>
      </w:r>
      <w:r w:rsidR="00006421" w:rsidRPr="005C5064">
        <w:rPr>
          <w:sz w:val="22"/>
          <w:szCs w:val="22"/>
          <w:lang w:val="pt-BR"/>
        </w:rPr>
        <w:t xml:space="preserve">rapidez com </w:t>
      </w:r>
      <w:r w:rsidRPr="005C5064">
        <w:rPr>
          <w:sz w:val="22"/>
          <w:szCs w:val="22"/>
          <w:lang w:val="pt-BR"/>
        </w:rPr>
        <w:t>que o clima está mudando</w:t>
      </w:r>
      <w:r w:rsidR="00006421" w:rsidRPr="005C5064">
        <w:rPr>
          <w:sz w:val="22"/>
          <w:szCs w:val="22"/>
          <w:lang w:val="pt-BR"/>
        </w:rPr>
        <w:t xml:space="preserve"> e </w:t>
      </w:r>
      <w:r w:rsidRPr="005C5064">
        <w:rPr>
          <w:sz w:val="22"/>
          <w:szCs w:val="22"/>
          <w:lang w:val="pt-BR"/>
        </w:rPr>
        <w:t>esforços de adaptação ineficazes aumentam a dificuldade de empregar medidas eficazes de adaptação climática e eleva</w:t>
      </w:r>
      <w:r w:rsidR="00006421" w:rsidRPr="005C5064">
        <w:rPr>
          <w:sz w:val="22"/>
          <w:szCs w:val="22"/>
          <w:lang w:val="pt-BR"/>
        </w:rPr>
        <w:t>m</w:t>
      </w:r>
      <w:r w:rsidRPr="005C5064">
        <w:rPr>
          <w:sz w:val="22"/>
          <w:szCs w:val="22"/>
          <w:lang w:val="pt-BR"/>
        </w:rPr>
        <w:t xml:space="preserve"> seu custo. Os países e comunidades devem desenvolver soluções de adaptação e implementar ações para responder a impactos atuais e futuros da mudança climática.</w:t>
      </w:r>
    </w:p>
    <w:p w14:paraId="64DB1ED6" w14:textId="77777777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</w:p>
    <w:p w14:paraId="453ADB79" w14:textId="66DA599F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As ações de adaptação podem </w:t>
      </w:r>
      <w:r w:rsidR="00006421" w:rsidRPr="005C5064">
        <w:rPr>
          <w:sz w:val="22"/>
          <w:szCs w:val="22"/>
          <w:lang w:val="pt-BR"/>
        </w:rPr>
        <w:t>assumi</w:t>
      </w:r>
      <w:r w:rsidRPr="005C5064">
        <w:rPr>
          <w:sz w:val="22"/>
          <w:szCs w:val="22"/>
          <w:lang w:val="pt-BR"/>
        </w:rPr>
        <w:t>r muitas formas, dependendo do contexto da comunidade, pa</w:t>
      </w:r>
      <w:r w:rsidR="00006421" w:rsidRPr="005C5064">
        <w:rPr>
          <w:sz w:val="22"/>
          <w:szCs w:val="22"/>
          <w:lang w:val="pt-BR"/>
        </w:rPr>
        <w:t>í</w:t>
      </w:r>
      <w:r w:rsidRPr="005C5064">
        <w:rPr>
          <w:sz w:val="22"/>
          <w:szCs w:val="22"/>
          <w:lang w:val="pt-BR"/>
        </w:rPr>
        <w:t xml:space="preserve">s ou região. A adaptação pode </w:t>
      </w:r>
      <w:r w:rsidR="00006421" w:rsidRPr="005C5064">
        <w:rPr>
          <w:sz w:val="22"/>
          <w:szCs w:val="22"/>
          <w:lang w:val="pt-BR"/>
        </w:rPr>
        <w:t>incluir</w:t>
      </w:r>
      <w:r w:rsidRPr="005C5064">
        <w:rPr>
          <w:sz w:val="22"/>
          <w:szCs w:val="22"/>
          <w:lang w:val="pt-BR"/>
        </w:rPr>
        <w:t xml:space="preserve"> de</w:t>
      </w:r>
      <w:r w:rsidR="00006421" w:rsidRPr="005C5064">
        <w:rPr>
          <w:sz w:val="22"/>
          <w:szCs w:val="22"/>
          <w:lang w:val="pt-BR"/>
        </w:rPr>
        <w:t>sde</w:t>
      </w:r>
      <w:r w:rsidRPr="005C5064">
        <w:rPr>
          <w:sz w:val="22"/>
          <w:szCs w:val="22"/>
          <w:lang w:val="pt-BR"/>
        </w:rPr>
        <w:t xml:space="preserve"> criar defesas contra enchentes, montar sistemas de a</w:t>
      </w:r>
      <w:r w:rsidR="00B5671C" w:rsidRPr="005C5064">
        <w:rPr>
          <w:sz w:val="22"/>
          <w:szCs w:val="22"/>
          <w:lang w:val="pt-BR"/>
        </w:rPr>
        <w:t>lerta</w:t>
      </w:r>
      <w:r w:rsidRPr="005C5064">
        <w:rPr>
          <w:sz w:val="22"/>
          <w:szCs w:val="22"/>
          <w:lang w:val="pt-BR"/>
        </w:rPr>
        <w:t xml:space="preserve"> </w:t>
      </w:r>
      <w:r w:rsidR="00B5671C" w:rsidRPr="005C5064">
        <w:rPr>
          <w:sz w:val="22"/>
          <w:szCs w:val="22"/>
          <w:lang w:val="pt-BR"/>
        </w:rPr>
        <w:t>de</w:t>
      </w:r>
      <w:r w:rsidRPr="005C5064">
        <w:rPr>
          <w:sz w:val="22"/>
          <w:szCs w:val="22"/>
          <w:lang w:val="pt-BR"/>
        </w:rPr>
        <w:t xml:space="preserve"> furacões, </w:t>
      </w:r>
      <w:r w:rsidR="00B5671C" w:rsidRPr="005C5064">
        <w:rPr>
          <w:sz w:val="22"/>
          <w:szCs w:val="22"/>
          <w:lang w:val="pt-BR"/>
        </w:rPr>
        <w:t>plantar lavoura</w:t>
      </w:r>
      <w:r w:rsidRPr="005C5064">
        <w:rPr>
          <w:sz w:val="22"/>
          <w:szCs w:val="22"/>
          <w:lang w:val="pt-BR"/>
        </w:rPr>
        <w:t xml:space="preserve">s resistentes </w:t>
      </w:r>
      <w:r w:rsidR="00B5671C" w:rsidRPr="005C5064">
        <w:rPr>
          <w:sz w:val="22"/>
          <w:szCs w:val="22"/>
          <w:lang w:val="pt-BR"/>
        </w:rPr>
        <w:t>à</w:t>
      </w:r>
      <w:r w:rsidRPr="005C5064">
        <w:rPr>
          <w:sz w:val="22"/>
          <w:szCs w:val="22"/>
          <w:lang w:val="pt-BR"/>
        </w:rPr>
        <w:t xml:space="preserve"> seca, </w:t>
      </w:r>
      <w:r w:rsidR="00B5671C" w:rsidRPr="005C5064">
        <w:rPr>
          <w:sz w:val="22"/>
          <w:szCs w:val="22"/>
          <w:lang w:val="pt-BR"/>
        </w:rPr>
        <w:t>construir</w:t>
      </w:r>
      <w:r w:rsidRPr="005C5064">
        <w:rPr>
          <w:sz w:val="22"/>
          <w:szCs w:val="22"/>
          <w:lang w:val="pt-BR"/>
        </w:rPr>
        <w:t xml:space="preserve"> infraestrutura resistente ao clima</w:t>
      </w:r>
      <w:r w:rsidR="00006421" w:rsidRPr="005C5064">
        <w:rPr>
          <w:sz w:val="22"/>
          <w:szCs w:val="22"/>
          <w:lang w:val="pt-BR"/>
        </w:rPr>
        <w:t xml:space="preserve"> e</w:t>
      </w:r>
      <w:r w:rsidRPr="005C5064">
        <w:rPr>
          <w:sz w:val="22"/>
          <w:szCs w:val="22"/>
          <w:lang w:val="pt-BR"/>
        </w:rPr>
        <w:t xml:space="preserve"> rever códigos de construção</w:t>
      </w:r>
      <w:r w:rsidR="00006421" w:rsidRPr="005C5064">
        <w:rPr>
          <w:sz w:val="22"/>
          <w:szCs w:val="22"/>
          <w:lang w:val="pt-BR"/>
        </w:rPr>
        <w:t xml:space="preserve"> até</w:t>
      </w:r>
      <w:r w:rsidRPr="005C5064">
        <w:rPr>
          <w:sz w:val="22"/>
          <w:szCs w:val="22"/>
          <w:lang w:val="pt-BR"/>
        </w:rPr>
        <w:t xml:space="preserve"> redesenhar sistemas de comunicação, operações comerciais e políticas de governo. Muitas nações nas Américas estão </w:t>
      </w:r>
      <w:r w:rsidR="00B5671C" w:rsidRPr="005C5064">
        <w:rPr>
          <w:sz w:val="22"/>
          <w:szCs w:val="22"/>
          <w:lang w:val="pt-BR"/>
        </w:rPr>
        <w:t>tom</w:t>
      </w:r>
      <w:r w:rsidRPr="005C5064">
        <w:rPr>
          <w:sz w:val="22"/>
          <w:szCs w:val="22"/>
          <w:lang w:val="pt-BR"/>
        </w:rPr>
        <w:t xml:space="preserve">ando </w:t>
      </w:r>
      <w:r w:rsidR="00B5671C" w:rsidRPr="005C5064">
        <w:rPr>
          <w:sz w:val="22"/>
          <w:szCs w:val="22"/>
          <w:lang w:val="pt-BR"/>
        </w:rPr>
        <w:t>medida</w:t>
      </w:r>
      <w:r w:rsidRPr="005C5064">
        <w:rPr>
          <w:sz w:val="22"/>
          <w:szCs w:val="22"/>
          <w:lang w:val="pt-BR"/>
        </w:rPr>
        <w:t xml:space="preserve">s para </w:t>
      </w:r>
      <w:r w:rsidR="00B5671C" w:rsidRPr="005C5064">
        <w:rPr>
          <w:sz w:val="22"/>
          <w:szCs w:val="22"/>
          <w:lang w:val="pt-BR"/>
        </w:rPr>
        <w:t>cri</w:t>
      </w:r>
      <w:r w:rsidRPr="005C5064">
        <w:rPr>
          <w:sz w:val="22"/>
          <w:szCs w:val="22"/>
          <w:lang w:val="pt-BR"/>
        </w:rPr>
        <w:t xml:space="preserve">ar resiliência climática em suas sociedades e economias. Contudo, será necessária </w:t>
      </w:r>
      <w:r w:rsidR="00B5671C" w:rsidRPr="005C5064">
        <w:rPr>
          <w:sz w:val="22"/>
          <w:szCs w:val="22"/>
          <w:lang w:val="pt-BR"/>
        </w:rPr>
        <w:t xml:space="preserve">uma maior ambição </w:t>
      </w:r>
      <w:r w:rsidRPr="005C5064">
        <w:rPr>
          <w:sz w:val="22"/>
          <w:szCs w:val="22"/>
          <w:lang w:val="pt-BR"/>
        </w:rPr>
        <w:t xml:space="preserve">para gerir de forma eficaz em função do custo os riscos climáticos presentes e futuros. </w:t>
      </w:r>
    </w:p>
    <w:p w14:paraId="4137B56E" w14:textId="32FE7232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lastRenderedPageBreak/>
        <w:t xml:space="preserve">Embora a mudança climática seja uma questão global, ela é sentida em escala local. </w:t>
      </w:r>
      <w:r w:rsidR="00B5671C" w:rsidRPr="005C5064">
        <w:rPr>
          <w:sz w:val="22"/>
          <w:szCs w:val="22"/>
          <w:lang w:val="pt-BR"/>
        </w:rPr>
        <w:t>Portanto, os g</w:t>
      </w:r>
      <w:r w:rsidRPr="005C5064">
        <w:rPr>
          <w:sz w:val="22"/>
          <w:szCs w:val="22"/>
          <w:lang w:val="pt-BR"/>
        </w:rPr>
        <w:t>overnos e comunidades locais estão na linha de frente da adaptação. A adaptação bem-sucedida à mudança climática não depende exclusivamente d</w:t>
      </w:r>
      <w:r w:rsidR="00B5671C" w:rsidRPr="005C5064">
        <w:rPr>
          <w:sz w:val="22"/>
          <w:szCs w:val="22"/>
          <w:lang w:val="pt-BR"/>
        </w:rPr>
        <w:t>a ação</w:t>
      </w:r>
      <w:r w:rsidRPr="005C5064">
        <w:rPr>
          <w:sz w:val="22"/>
          <w:szCs w:val="22"/>
          <w:lang w:val="pt-BR"/>
        </w:rPr>
        <w:t xml:space="preserve"> </w:t>
      </w:r>
      <w:r w:rsidR="00B5671C" w:rsidRPr="005C5064">
        <w:rPr>
          <w:sz w:val="22"/>
          <w:szCs w:val="22"/>
          <w:lang w:val="pt-BR"/>
        </w:rPr>
        <w:t>d</w:t>
      </w:r>
      <w:r w:rsidRPr="005C5064">
        <w:rPr>
          <w:sz w:val="22"/>
          <w:szCs w:val="22"/>
          <w:lang w:val="pt-BR"/>
        </w:rPr>
        <w:t xml:space="preserve">os governos, mas também das comunidades locais, organizações nacionais, regionais, multilaterais e internacionais, </w:t>
      </w:r>
      <w:r w:rsidR="00B5671C" w:rsidRPr="005C5064">
        <w:rPr>
          <w:sz w:val="22"/>
          <w:szCs w:val="22"/>
          <w:lang w:val="pt-BR"/>
        </w:rPr>
        <w:t>empresa</w:t>
      </w:r>
      <w:r w:rsidRPr="005C5064">
        <w:rPr>
          <w:sz w:val="22"/>
          <w:szCs w:val="22"/>
          <w:lang w:val="pt-BR"/>
        </w:rPr>
        <w:t>s e sociedade civil. A adaptação é um componente cr</w:t>
      </w:r>
      <w:r w:rsidR="00B5671C" w:rsidRPr="005C5064">
        <w:rPr>
          <w:sz w:val="22"/>
          <w:szCs w:val="22"/>
          <w:lang w:val="pt-BR"/>
        </w:rPr>
        <w:t>ucial</w:t>
      </w:r>
      <w:r w:rsidRPr="005C5064">
        <w:rPr>
          <w:sz w:val="22"/>
          <w:szCs w:val="22"/>
          <w:lang w:val="pt-BR"/>
        </w:rPr>
        <w:t xml:space="preserve"> da resposta global de longo prazo para proteger as pessoas, </w:t>
      </w:r>
      <w:r w:rsidR="00B5671C" w:rsidRPr="005C5064">
        <w:rPr>
          <w:sz w:val="22"/>
          <w:szCs w:val="22"/>
          <w:lang w:val="pt-BR"/>
        </w:rPr>
        <w:t>os meios de</w:t>
      </w:r>
      <w:r w:rsidRPr="005C5064">
        <w:rPr>
          <w:sz w:val="22"/>
          <w:szCs w:val="22"/>
          <w:lang w:val="pt-BR"/>
        </w:rPr>
        <w:t xml:space="preserve"> subsistência e os ecossistemas; e deve se basear e ser guiada por conhecimento científico e, conforme apropriado, por conhecimento tradicional, conhecimento dos povos ind</w:t>
      </w:r>
      <w:r w:rsidR="00006421" w:rsidRPr="005C5064">
        <w:rPr>
          <w:sz w:val="22"/>
          <w:szCs w:val="22"/>
          <w:lang w:val="pt-BR"/>
        </w:rPr>
        <w:t>í</w:t>
      </w:r>
      <w:r w:rsidRPr="005C5064">
        <w:rPr>
          <w:sz w:val="22"/>
          <w:szCs w:val="22"/>
          <w:lang w:val="pt-BR"/>
        </w:rPr>
        <w:t xml:space="preserve">genas e sistemas de conhecimento local, visando a integrar </w:t>
      </w:r>
      <w:r w:rsidR="00B5671C" w:rsidRPr="005C5064">
        <w:rPr>
          <w:sz w:val="22"/>
          <w:szCs w:val="22"/>
          <w:lang w:val="pt-BR"/>
        </w:rPr>
        <w:t xml:space="preserve">a </w:t>
      </w:r>
      <w:r w:rsidRPr="005C5064">
        <w:rPr>
          <w:sz w:val="22"/>
          <w:szCs w:val="22"/>
          <w:lang w:val="pt-BR"/>
        </w:rPr>
        <w:t>adaptação em políticas e ações socioeconômicas e ambientais.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31"/>
      </w:r>
      <w:r w:rsidRPr="005C5064">
        <w:rPr>
          <w:sz w:val="22"/>
          <w:szCs w:val="22"/>
          <w:vertAlign w:val="superscript"/>
          <w:lang w:val="pt-BR"/>
        </w:rPr>
        <w:t>/</w:t>
      </w:r>
    </w:p>
    <w:p w14:paraId="1138165B" w14:textId="77777777" w:rsidR="00642BA0" w:rsidRPr="005C5064" w:rsidRDefault="00642BA0" w:rsidP="00642BA0">
      <w:pPr>
        <w:ind w:firstLine="720"/>
        <w:jc w:val="both"/>
        <w:rPr>
          <w:sz w:val="22"/>
          <w:szCs w:val="22"/>
          <w:lang w:val="pt-BR"/>
        </w:rPr>
      </w:pPr>
    </w:p>
    <w:p w14:paraId="2FBE48EC" w14:textId="77777777" w:rsidR="00642BA0" w:rsidRPr="005C5064" w:rsidRDefault="00642BA0" w:rsidP="00642BA0">
      <w:pPr>
        <w:pStyle w:val="Heading3"/>
        <w:ind w:left="720"/>
        <w:rPr>
          <w:rFonts w:ascii="Times New Roman" w:hAnsi="Times New Roman" w:cs="Times New Roman"/>
          <w:sz w:val="22"/>
          <w:szCs w:val="22"/>
          <w:lang w:val="pt-BR"/>
        </w:rPr>
      </w:pPr>
      <w:bookmarkStart w:id="10" w:name="_Toc131518812"/>
      <w:r w:rsidRPr="005C5064">
        <w:rPr>
          <w:rFonts w:ascii="Times New Roman" w:hAnsi="Times New Roman" w:cs="Times New Roman"/>
          <w:sz w:val="22"/>
          <w:szCs w:val="22"/>
          <w:lang w:val="pt-BR"/>
        </w:rPr>
        <w:t>Água</w:t>
      </w:r>
      <w:bookmarkEnd w:id="10"/>
    </w:p>
    <w:p w14:paraId="3200517D" w14:textId="77777777" w:rsidR="00642BA0" w:rsidRPr="005C5064" w:rsidRDefault="00642BA0" w:rsidP="00642BA0">
      <w:pPr>
        <w:rPr>
          <w:lang w:val="pt-BR"/>
        </w:rPr>
      </w:pPr>
    </w:p>
    <w:p w14:paraId="5142F463" w14:textId="03DB56E2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A América Latina </w:t>
      </w:r>
      <w:r w:rsidR="00006421" w:rsidRPr="005C5064">
        <w:rPr>
          <w:sz w:val="22"/>
          <w:szCs w:val="22"/>
          <w:lang w:val="pt-BR"/>
        </w:rPr>
        <w:t>tem</w:t>
      </w:r>
      <w:r w:rsidRPr="005C5064">
        <w:rPr>
          <w:sz w:val="22"/>
          <w:szCs w:val="22"/>
          <w:lang w:val="pt-BR"/>
        </w:rPr>
        <w:t xml:space="preserve"> recursos </w:t>
      </w:r>
      <w:r w:rsidR="00006421" w:rsidRPr="005C5064">
        <w:rPr>
          <w:sz w:val="22"/>
          <w:szCs w:val="22"/>
          <w:lang w:val="pt-BR"/>
        </w:rPr>
        <w:t xml:space="preserve">hídricos </w:t>
      </w:r>
      <w:r w:rsidRPr="005C5064">
        <w:rPr>
          <w:sz w:val="22"/>
          <w:szCs w:val="22"/>
          <w:lang w:val="pt-BR"/>
        </w:rPr>
        <w:t xml:space="preserve">abundantes, somando 31% das reservas de água doce do mundo. Contudo, muitas áreas na região estão sendo afetadas por flutuações </w:t>
      </w:r>
      <w:r w:rsidR="008C6621" w:rsidRPr="005C5064">
        <w:rPr>
          <w:sz w:val="22"/>
          <w:szCs w:val="22"/>
          <w:lang w:val="pt-BR"/>
        </w:rPr>
        <w:t>nos</w:t>
      </w:r>
      <w:r w:rsidRPr="005C5064">
        <w:rPr>
          <w:sz w:val="22"/>
          <w:szCs w:val="22"/>
          <w:lang w:val="pt-BR"/>
        </w:rPr>
        <w:t xml:space="preserve"> padrões de precipitação</w:t>
      </w:r>
      <w:r w:rsidR="008C6621" w:rsidRPr="005C5064">
        <w:rPr>
          <w:sz w:val="22"/>
          <w:szCs w:val="22"/>
          <w:lang w:val="pt-BR"/>
        </w:rPr>
        <w:t xml:space="preserve"> induzidas pela mudança climática</w:t>
      </w:r>
      <w:r w:rsidRPr="005C5064">
        <w:rPr>
          <w:sz w:val="22"/>
          <w:szCs w:val="22"/>
          <w:lang w:val="pt-BR"/>
        </w:rPr>
        <w:t xml:space="preserve">, </w:t>
      </w:r>
      <w:r w:rsidR="008C6621" w:rsidRPr="005C5064">
        <w:rPr>
          <w:sz w:val="22"/>
          <w:szCs w:val="22"/>
          <w:lang w:val="pt-BR"/>
        </w:rPr>
        <w:t>megas</w:t>
      </w:r>
      <w:r w:rsidRPr="005C5064">
        <w:rPr>
          <w:sz w:val="22"/>
          <w:szCs w:val="22"/>
          <w:lang w:val="pt-BR"/>
        </w:rPr>
        <w:t>secas e outros fenômenos climáticos devastadores.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32"/>
      </w:r>
      <w:r w:rsidRPr="005C5064">
        <w:rPr>
          <w:sz w:val="22"/>
          <w:szCs w:val="22"/>
          <w:vertAlign w:val="superscript"/>
          <w:lang w:val="pt-BR"/>
        </w:rPr>
        <w:t xml:space="preserve">/ </w:t>
      </w:r>
      <w:r w:rsidRPr="005C5064">
        <w:rPr>
          <w:sz w:val="22"/>
          <w:szCs w:val="22"/>
          <w:lang w:val="pt-BR"/>
        </w:rPr>
        <w:t>A mudança climática est</w:t>
      </w:r>
      <w:r w:rsidR="008C6621" w:rsidRPr="005C5064">
        <w:rPr>
          <w:sz w:val="22"/>
          <w:szCs w:val="22"/>
          <w:lang w:val="pt-BR"/>
        </w:rPr>
        <w:t>á</w:t>
      </w:r>
      <w:r w:rsidRPr="005C5064">
        <w:rPr>
          <w:sz w:val="22"/>
          <w:szCs w:val="22"/>
          <w:lang w:val="pt-BR"/>
        </w:rPr>
        <w:t xml:space="preserve"> exacerbando a variabilidade dos ciclos hidrológicos, levando a condições climáticas extremas que enfraquecem a capacidade das pessoas de gerir os impactos de secas ou inundações, reduzindo a previsibilidade da disponibilidade de recursos hídricos, diminuindo a qualidade da </w:t>
      </w:r>
      <w:r w:rsidR="008C6621" w:rsidRPr="005C5064">
        <w:rPr>
          <w:sz w:val="22"/>
          <w:szCs w:val="22"/>
          <w:lang w:val="pt-BR"/>
        </w:rPr>
        <w:t>á</w:t>
      </w:r>
      <w:r w:rsidRPr="005C5064">
        <w:rPr>
          <w:sz w:val="22"/>
          <w:szCs w:val="22"/>
          <w:lang w:val="pt-BR"/>
        </w:rPr>
        <w:t xml:space="preserve">gua e ameaçando o desenvolvimento sustentável, a biodiversidade e o acesso a </w:t>
      </w:r>
      <w:r w:rsidR="008C6621" w:rsidRPr="005C5064">
        <w:rPr>
          <w:sz w:val="22"/>
          <w:szCs w:val="22"/>
          <w:lang w:val="pt-BR"/>
        </w:rPr>
        <w:t>á</w:t>
      </w:r>
      <w:r w:rsidRPr="005C5064">
        <w:rPr>
          <w:sz w:val="22"/>
          <w:szCs w:val="22"/>
          <w:lang w:val="pt-BR"/>
        </w:rPr>
        <w:t xml:space="preserve">gua potável e saneamento em todo o mundo. </w:t>
      </w:r>
    </w:p>
    <w:p w14:paraId="10A65ADA" w14:textId="77777777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</w:p>
    <w:p w14:paraId="58F80B5A" w14:textId="498694A1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A mudança climática também está afetando os sistemas de abastecimento de água e os diferentes usos produtivos da água. </w:t>
      </w:r>
      <w:r w:rsidR="0070498C" w:rsidRPr="005C5064">
        <w:rPr>
          <w:sz w:val="22"/>
          <w:szCs w:val="22"/>
          <w:lang w:val="pt-BR"/>
        </w:rPr>
        <w:t>O a</w:t>
      </w:r>
      <w:r w:rsidRPr="005C5064">
        <w:rPr>
          <w:sz w:val="22"/>
          <w:szCs w:val="22"/>
          <w:lang w:val="pt-BR"/>
        </w:rPr>
        <w:t xml:space="preserve">cesso a água potável segura, saneamento adequado e higiene </w:t>
      </w:r>
      <w:r w:rsidR="0070498C" w:rsidRPr="005C5064">
        <w:rPr>
          <w:sz w:val="22"/>
          <w:szCs w:val="22"/>
          <w:lang w:val="pt-BR"/>
        </w:rPr>
        <w:t>é</w:t>
      </w:r>
      <w:r w:rsidRPr="005C5064">
        <w:rPr>
          <w:sz w:val="22"/>
          <w:szCs w:val="22"/>
          <w:lang w:val="pt-BR"/>
        </w:rPr>
        <w:t xml:space="preserve"> essencia</w:t>
      </w:r>
      <w:r w:rsidR="0070498C" w:rsidRPr="005C5064">
        <w:rPr>
          <w:sz w:val="22"/>
          <w:szCs w:val="22"/>
          <w:lang w:val="pt-BR"/>
        </w:rPr>
        <w:t>l</w:t>
      </w:r>
      <w:r w:rsidRPr="005C5064">
        <w:rPr>
          <w:sz w:val="22"/>
          <w:szCs w:val="22"/>
          <w:lang w:val="pt-BR"/>
        </w:rPr>
        <w:t xml:space="preserve"> para a saúde e o bem-estar humano, </w:t>
      </w:r>
      <w:r w:rsidR="0070498C" w:rsidRPr="005C5064">
        <w:rPr>
          <w:sz w:val="22"/>
          <w:szCs w:val="22"/>
          <w:lang w:val="pt-BR"/>
        </w:rPr>
        <w:t xml:space="preserve">mas </w:t>
      </w:r>
      <w:r w:rsidRPr="005C5064">
        <w:rPr>
          <w:sz w:val="22"/>
          <w:szCs w:val="22"/>
          <w:lang w:val="pt-BR"/>
        </w:rPr>
        <w:t>hoje mais de 166 milhões de pessoas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33"/>
      </w:r>
      <w:r w:rsidRPr="005C5064">
        <w:rPr>
          <w:sz w:val="22"/>
          <w:szCs w:val="22"/>
          <w:vertAlign w:val="superscript"/>
          <w:lang w:val="pt-BR"/>
        </w:rPr>
        <w:t>/</w:t>
      </w:r>
      <w:r w:rsidRPr="005C5064">
        <w:rPr>
          <w:sz w:val="22"/>
          <w:szCs w:val="22"/>
          <w:lang w:val="pt-BR"/>
        </w:rPr>
        <w:t xml:space="preserve"> (26% da população da ALC) não possui acesso adequado a água potável segura. Além disso, </w:t>
      </w:r>
      <w:r w:rsidR="0070498C" w:rsidRPr="005C5064">
        <w:rPr>
          <w:sz w:val="22"/>
          <w:szCs w:val="22"/>
          <w:lang w:val="pt-BR"/>
        </w:rPr>
        <w:t xml:space="preserve">a </w:t>
      </w:r>
      <w:r w:rsidRPr="005C5064">
        <w:rPr>
          <w:sz w:val="22"/>
          <w:szCs w:val="22"/>
          <w:lang w:val="pt-BR"/>
        </w:rPr>
        <w:t xml:space="preserve">água é necessária para </w:t>
      </w:r>
      <w:r w:rsidR="0070498C" w:rsidRPr="005C5064">
        <w:rPr>
          <w:sz w:val="22"/>
          <w:szCs w:val="22"/>
          <w:lang w:val="pt-BR"/>
        </w:rPr>
        <w:t xml:space="preserve">as atividades de </w:t>
      </w:r>
      <w:r w:rsidRPr="005C5064">
        <w:rPr>
          <w:sz w:val="22"/>
          <w:szCs w:val="22"/>
          <w:lang w:val="pt-BR"/>
        </w:rPr>
        <w:t>produç</w:t>
      </w:r>
      <w:r w:rsidR="0070498C" w:rsidRPr="005C5064">
        <w:rPr>
          <w:sz w:val="22"/>
          <w:szCs w:val="22"/>
          <w:lang w:val="pt-BR"/>
        </w:rPr>
        <w:t>ão</w:t>
      </w:r>
      <w:r w:rsidRPr="005C5064">
        <w:rPr>
          <w:sz w:val="22"/>
          <w:szCs w:val="22"/>
          <w:lang w:val="pt-BR"/>
        </w:rPr>
        <w:t xml:space="preserve"> industrial, alimentar e energética, que </w:t>
      </w:r>
      <w:r w:rsidR="0070498C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>s</w:t>
      </w:r>
      <w:r w:rsidR="0070498C" w:rsidRPr="005C5064">
        <w:rPr>
          <w:sz w:val="22"/>
          <w:szCs w:val="22"/>
          <w:lang w:val="pt-BR"/>
        </w:rPr>
        <w:t>t</w:t>
      </w:r>
      <w:r w:rsidRPr="005C5064">
        <w:rPr>
          <w:sz w:val="22"/>
          <w:szCs w:val="22"/>
          <w:lang w:val="pt-BR"/>
        </w:rPr>
        <w:t>ão estreitamente ligadas e po</w:t>
      </w:r>
      <w:r w:rsidR="0070498C" w:rsidRPr="005C5064">
        <w:rPr>
          <w:sz w:val="22"/>
          <w:szCs w:val="22"/>
          <w:lang w:val="pt-BR"/>
        </w:rPr>
        <w:t xml:space="preserve">dem entrar </w:t>
      </w:r>
      <w:r w:rsidRPr="005C5064">
        <w:rPr>
          <w:sz w:val="22"/>
          <w:szCs w:val="22"/>
          <w:lang w:val="pt-BR"/>
        </w:rPr>
        <w:t xml:space="preserve">em conflito se </w:t>
      </w:r>
      <w:r w:rsidR="0070498C" w:rsidRPr="005C5064">
        <w:rPr>
          <w:sz w:val="22"/>
          <w:szCs w:val="22"/>
          <w:lang w:val="pt-BR"/>
        </w:rPr>
        <w:t xml:space="preserve">forem </w:t>
      </w:r>
      <w:r w:rsidRPr="005C5064">
        <w:rPr>
          <w:sz w:val="22"/>
          <w:szCs w:val="22"/>
          <w:lang w:val="pt-BR"/>
        </w:rPr>
        <w:t xml:space="preserve">mal geridas. </w:t>
      </w:r>
      <w:r w:rsidR="0070498C" w:rsidRPr="005C5064">
        <w:rPr>
          <w:sz w:val="22"/>
          <w:szCs w:val="22"/>
          <w:lang w:val="pt-BR"/>
        </w:rPr>
        <w:t>O</w:t>
      </w:r>
      <w:r w:rsidRPr="005C5064">
        <w:rPr>
          <w:sz w:val="22"/>
          <w:szCs w:val="22"/>
          <w:lang w:val="pt-BR"/>
        </w:rPr>
        <w:t xml:space="preserve"> acesso </w:t>
      </w:r>
      <w:r w:rsidR="0070498C" w:rsidRPr="005C5064">
        <w:rPr>
          <w:sz w:val="22"/>
          <w:szCs w:val="22"/>
          <w:lang w:val="pt-BR"/>
        </w:rPr>
        <w:t>à</w:t>
      </w:r>
      <w:r w:rsidRPr="005C5064">
        <w:rPr>
          <w:sz w:val="22"/>
          <w:szCs w:val="22"/>
          <w:lang w:val="pt-BR"/>
        </w:rPr>
        <w:t xml:space="preserve"> água potável e </w:t>
      </w:r>
      <w:r w:rsidR="0070498C" w:rsidRPr="005C5064">
        <w:rPr>
          <w:sz w:val="22"/>
          <w:szCs w:val="22"/>
          <w:lang w:val="pt-BR"/>
        </w:rPr>
        <w:t xml:space="preserve">ao </w:t>
      </w:r>
      <w:r w:rsidRPr="005C5064">
        <w:rPr>
          <w:sz w:val="22"/>
          <w:szCs w:val="22"/>
          <w:lang w:val="pt-BR"/>
        </w:rPr>
        <w:t xml:space="preserve">saneamento </w:t>
      </w:r>
      <w:r w:rsidR="0070498C" w:rsidRPr="005C5064">
        <w:rPr>
          <w:sz w:val="22"/>
          <w:szCs w:val="22"/>
          <w:lang w:val="pt-BR"/>
        </w:rPr>
        <w:t xml:space="preserve">é um </w:t>
      </w:r>
      <w:r w:rsidRPr="005C5064">
        <w:rPr>
          <w:sz w:val="22"/>
          <w:szCs w:val="22"/>
          <w:lang w:val="pt-BR"/>
        </w:rPr>
        <w:t xml:space="preserve">direito humano básico, </w:t>
      </w:r>
      <w:r w:rsidR="0070498C" w:rsidRPr="005C5064">
        <w:rPr>
          <w:sz w:val="22"/>
          <w:szCs w:val="22"/>
          <w:lang w:val="pt-BR"/>
        </w:rPr>
        <w:t xml:space="preserve">mas </w:t>
      </w:r>
      <w:r w:rsidRPr="005C5064">
        <w:rPr>
          <w:sz w:val="22"/>
          <w:szCs w:val="22"/>
          <w:lang w:val="pt-BR"/>
        </w:rPr>
        <w:t xml:space="preserve">os riscos anteriormente mencionados e a insegurança hídrica na nossa região são exacerbados devido </w:t>
      </w:r>
      <w:r w:rsidR="0070498C" w:rsidRPr="005C5064">
        <w:rPr>
          <w:sz w:val="22"/>
          <w:szCs w:val="22"/>
          <w:lang w:val="pt-BR"/>
        </w:rPr>
        <w:t>à</w:t>
      </w:r>
      <w:r w:rsidRPr="005C5064">
        <w:rPr>
          <w:sz w:val="22"/>
          <w:szCs w:val="22"/>
          <w:lang w:val="pt-BR"/>
        </w:rPr>
        <w:t xml:space="preserve"> baixa de investimento no setor hídrico e de saneamento. </w:t>
      </w:r>
    </w:p>
    <w:p w14:paraId="3ED85157" w14:textId="77777777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 </w:t>
      </w:r>
    </w:p>
    <w:p w14:paraId="0BB541B0" w14:textId="24572D0D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Promover enfoques integrados de gestão dos recursos hídricos, inclusive em corpos de água transfronteiriços, é uma prioridade considerando os impactos da mudança climática, a </w:t>
      </w:r>
      <w:r w:rsidR="00E071F5" w:rsidRPr="005C5064">
        <w:rPr>
          <w:sz w:val="22"/>
          <w:szCs w:val="22"/>
          <w:lang w:val="pt-BR"/>
        </w:rPr>
        <w:t xml:space="preserve">crescente </w:t>
      </w:r>
      <w:r w:rsidRPr="005C5064">
        <w:rPr>
          <w:sz w:val="22"/>
          <w:szCs w:val="22"/>
          <w:lang w:val="pt-BR"/>
        </w:rPr>
        <w:t xml:space="preserve">escassez de água e a crescente demanda por água. A região possui 67 bacias </w:t>
      </w:r>
      <w:r w:rsidR="00E071F5" w:rsidRPr="005C5064">
        <w:rPr>
          <w:sz w:val="22"/>
          <w:szCs w:val="22"/>
          <w:lang w:val="pt-BR"/>
        </w:rPr>
        <w:t xml:space="preserve">hidrográficas </w:t>
      </w:r>
      <w:r w:rsidRPr="005C5064">
        <w:rPr>
          <w:sz w:val="22"/>
          <w:szCs w:val="22"/>
          <w:lang w:val="pt-BR"/>
        </w:rPr>
        <w:t xml:space="preserve">internacionais cobrindo aproximadamente 50% de suas terras e uma grande parte das atividades econômicas da região depende de recursos hídricos transfronteiriços. Essa dependência econômica e hidrográfica em corpos de água </w:t>
      </w:r>
      <w:r w:rsidR="00E071F5" w:rsidRPr="005C5064">
        <w:rPr>
          <w:sz w:val="22"/>
          <w:szCs w:val="22"/>
          <w:lang w:val="pt-BR"/>
        </w:rPr>
        <w:t xml:space="preserve">compartilhados </w:t>
      </w:r>
      <w:r w:rsidRPr="005C5064">
        <w:rPr>
          <w:sz w:val="22"/>
          <w:szCs w:val="22"/>
          <w:lang w:val="pt-BR"/>
        </w:rPr>
        <w:t xml:space="preserve">exige um enfoque que abranja </w:t>
      </w:r>
      <w:r w:rsidR="00E071F5" w:rsidRPr="005C5064">
        <w:rPr>
          <w:sz w:val="22"/>
          <w:szCs w:val="22"/>
          <w:lang w:val="pt-BR"/>
        </w:rPr>
        <w:t xml:space="preserve">toda </w:t>
      </w:r>
      <w:r w:rsidRPr="005C5064">
        <w:rPr>
          <w:sz w:val="22"/>
          <w:szCs w:val="22"/>
          <w:lang w:val="pt-BR"/>
        </w:rPr>
        <w:t xml:space="preserve">a bacia. </w:t>
      </w:r>
      <w:r w:rsidR="00E071F5" w:rsidRPr="005C5064">
        <w:rPr>
          <w:sz w:val="22"/>
          <w:szCs w:val="22"/>
          <w:lang w:val="pt-BR"/>
        </w:rPr>
        <w:t>Os r</w:t>
      </w:r>
      <w:r w:rsidRPr="005C5064">
        <w:rPr>
          <w:sz w:val="22"/>
          <w:szCs w:val="22"/>
          <w:lang w:val="pt-BR"/>
        </w:rPr>
        <w:t xml:space="preserve">ecursos hídricos transfronteiriços dependem da cooperação entre </w:t>
      </w:r>
      <w:r w:rsidR="00E071F5" w:rsidRPr="005C5064">
        <w:rPr>
          <w:sz w:val="22"/>
          <w:szCs w:val="22"/>
          <w:lang w:val="pt-BR"/>
        </w:rPr>
        <w:t>vári</w:t>
      </w:r>
      <w:r w:rsidRPr="005C5064">
        <w:rPr>
          <w:sz w:val="22"/>
          <w:szCs w:val="22"/>
          <w:lang w:val="pt-BR"/>
        </w:rPr>
        <w:t xml:space="preserve">os países. </w:t>
      </w:r>
      <w:r w:rsidR="00E071F5" w:rsidRPr="005C5064">
        <w:rPr>
          <w:sz w:val="22"/>
          <w:szCs w:val="22"/>
          <w:lang w:val="pt-BR"/>
        </w:rPr>
        <w:t xml:space="preserve">Daí </w:t>
      </w:r>
      <w:r w:rsidRPr="005C5064">
        <w:rPr>
          <w:sz w:val="22"/>
          <w:szCs w:val="22"/>
          <w:lang w:val="pt-BR"/>
        </w:rPr>
        <w:t xml:space="preserve">a necessidade de se promover </w:t>
      </w:r>
      <w:r w:rsidR="006216BE" w:rsidRPr="005C5064">
        <w:rPr>
          <w:sz w:val="22"/>
          <w:szCs w:val="22"/>
          <w:lang w:val="pt-BR"/>
        </w:rPr>
        <w:t xml:space="preserve">o </w:t>
      </w:r>
      <w:r w:rsidRPr="005C5064">
        <w:rPr>
          <w:sz w:val="22"/>
          <w:szCs w:val="22"/>
          <w:lang w:val="pt-BR"/>
        </w:rPr>
        <w:t xml:space="preserve">diálogo, </w:t>
      </w:r>
      <w:r w:rsidR="006216BE" w:rsidRPr="005C5064">
        <w:rPr>
          <w:sz w:val="22"/>
          <w:szCs w:val="22"/>
          <w:lang w:val="pt-BR"/>
        </w:rPr>
        <w:t xml:space="preserve">a </w:t>
      </w:r>
      <w:r w:rsidRPr="005C5064">
        <w:rPr>
          <w:sz w:val="22"/>
          <w:szCs w:val="22"/>
          <w:lang w:val="pt-BR"/>
        </w:rPr>
        <w:t xml:space="preserve">diplomacia e acordos entre </w:t>
      </w:r>
      <w:r w:rsidR="00E071F5" w:rsidRPr="005C5064">
        <w:rPr>
          <w:sz w:val="22"/>
          <w:szCs w:val="22"/>
          <w:lang w:val="pt-BR"/>
        </w:rPr>
        <w:t xml:space="preserve">os </w:t>
      </w:r>
      <w:r w:rsidRPr="005C5064">
        <w:rPr>
          <w:sz w:val="22"/>
          <w:szCs w:val="22"/>
          <w:lang w:val="pt-BR"/>
        </w:rPr>
        <w:t xml:space="preserve">países. </w:t>
      </w:r>
    </w:p>
    <w:p w14:paraId="43A5B090" w14:textId="77777777" w:rsidR="00642BA0" w:rsidRPr="005C5064" w:rsidRDefault="00642BA0" w:rsidP="00642BA0">
      <w:pPr>
        <w:ind w:firstLine="720"/>
        <w:jc w:val="both"/>
        <w:rPr>
          <w:sz w:val="22"/>
          <w:szCs w:val="22"/>
          <w:lang w:val="pt-BR"/>
        </w:rPr>
      </w:pPr>
    </w:p>
    <w:p w14:paraId="467363EC" w14:textId="378D9775" w:rsidR="00642BA0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Um enfoque integrado e sustentável </w:t>
      </w:r>
      <w:r w:rsidR="006216BE" w:rsidRPr="005C5064">
        <w:rPr>
          <w:sz w:val="22"/>
          <w:szCs w:val="22"/>
          <w:lang w:val="pt-BR"/>
        </w:rPr>
        <w:t xml:space="preserve">da </w:t>
      </w:r>
      <w:r w:rsidRPr="005C5064">
        <w:rPr>
          <w:sz w:val="22"/>
          <w:szCs w:val="22"/>
          <w:lang w:val="pt-BR"/>
        </w:rPr>
        <w:t xml:space="preserve">gestão climática e dos recursos hídricos </w:t>
      </w:r>
      <w:r w:rsidR="006216BE" w:rsidRPr="005C5064">
        <w:rPr>
          <w:sz w:val="22"/>
          <w:szCs w:val="22"/>
          <w:lang w:val="pt-BR"/>
        </w:rPr>
        <w:t xml:space="preserve">proporciona </w:t>
      </w:r>
      <w:r w:rsidRPr="005C5064">
        <w:rPr>
          <w:sz w:val="22"/>
          <w:szCs w:val="22"/>
          <w:lang w:val="pt-BR"/>
        </w:rPr>
        <w:t>benefícios substanciais e, portanto, deve receber consideração adequada no desenvolvimento de políticas e no planejamento regional.</w:t>
      </w:r>
    </w:p>
    <w:p w14:paraId="017D82FC" w14:textId="67DDFC70" w:rsidR="00D201EC" w:rsidRPr="005C5064" w:rsidRDefault="00642BA0" w:rsidP="00642BA0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lastRenderedPageBreak/>
        <w:t>Processos integrados de gestão dos recursos hídricos promovem o uso coordenado d</w:t>
      </w:r>
      <w:r w:rsidR="00E45FC5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 xml:space="preserve"> água, terra e recurso</w:t>
      </w:r>
      <w:r w:rsidR="00E45FC5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 xml:space="preserve"> relacionados de forma a maximizar o bem-estar econômico e social sem comprometer a sustentabilidade de ecossistemas vitais e dão reconhecimento adequado ao poder de transformação que o acesso </w:t>
      </w:r>
      <w:r w:rsidR="006A35EA" w:rsidRPr="005C5064">
        <w:rPr>
          <w:sz w:val="22"/>
          <w:szCs w:val="22"/>
          <w:lang w:val="pt-BR"/>
        </w:rPr>
        <w:t>à</w:t>
      </w:r>
      <w:r w:rsidRPr="005C5064">
        <w:rPr>
          <w:sz w:val="22"/>
          <w:szCs w:val="22"/>
          <w:lang w:val="pt-BR"/>
        </w:rPr>
        <w:t xml:space="preserve"> água limpa representa para o bem-estar humano. </w:t>
      </w:r>
      <w:r w:rsidR="00D201EC" w:rsidRPr="005C5064">
        <w:rPr>
          <w:sz w:val="22"/>
          <w:szCs w:val="22"/>
          <w:lang w:val="pt-BR"/>
        </w:rPr>
        <w:t xml:space="preserve"> </w:t>
      </w:r>
    </w:p>
    <w:p w14:paraId="39A35631" w14:textId="43E7B984" w:rsidR="004B38EB" w:rsidRPr="005C5064" w:rsidRDefault="004B38EB" w:rsidP="00D201EC">
      <w:pPr>
        <w:pStyle w:val="Heading3"/>
        <w:spacing w:before="0" w:line="240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14:paraId="6FBD15DF" w14:textId="77777777" w:rsidR="001B7DAE" w:rsidRPr="005C5064" w:rsidRDefault="001B7DAE" w:rsidP="001B7DAE">
      <w:pPr>
        <w:pStyle w:val="Heading3"/>
        <w:ind w:left="720"/>
        <w:rPr>
          <w:rFonts w:ascii="Times New Roman" w:hAnsi="Times New Roman" w:cs="Times New Roman"/>
          <w:sz w:val="22"/>
          <w:szCs w:val="22"/>
          <w:lang w:val="pt-BR"/>
        </w:rPr>
      </w:pPr>
      <w:bookmarkStart w:id="11" w:name="_Toc131067751"/>
      <w:bookmarkStart w:id="12" w:name="_Toc131518813"/>
      <w:r w:rsidRPr="005C5064">
        <w:rPr>
          <w:rFonts w:ascii="Times New Roman" w:hAnsi="Times New Roman" w:cs="Times New Roman"/>
          <w:sz w:val="22"/>
          <w:szCs w:val="22"/>
          <w:lang w:val="pt-BR"/>
        </w:rPr>
        <w:t>Desastres Naturais</w:t>
      </w:r>
      <w:bookmarkEnd w:id="11"/>
      <w:bookmarkEnd w:id="12"/>
    </w:p>
    <w:p w14:paraId="43FD0313" w14:textId="77777777" w:rsidR="001B7DAE" w:rsidRPr="005C5064" w:rsidRDefault="001B7DAE" w:rsidP="001B7DAE">
      <w:pPr>
        <w:rPr>
          <w:lang w:val="pt-BR"/>
        </w:rPr>
      </w:pPr>
    </w:p>
    <w:p w14:paraId="5C6BBB81" w14:textId="3D7F24AC" w:rsidR="001B7DAE" w:rsidRPr="005C5064" w:rsidRDefault="001B7DAE" w:rsidP="001B7DAE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Todas as pessoas enfrentam ameaças naturais e humanas como desastres. Hoje, a mudança climática </w:t>
      </w:r>
      <w:r w:rsidR="00433754" w:rsidRPr="005C5064">
        <w:rPr>
          <w:sz w:val="22"/>
          <w:szCs w:val="22"/>
          <w:lang w:val="pt-BR"/>
        </w:rPr>
        <w:t>está</w:t>
      </w:r>
      <w:r w:rsidRPr="005C5064">
        <w:rPr>
          <w:sz w:val="22"/>
          <w:szCs w:val="22"/>
          <w:lang w:val="pt-BR"/>
        </w:rPr>
        <w:t xml:space="preserve"> cientificamente ligada </w:t>
      </w:r>
      <w:r w:rsidR="00433754" w:rsidRPr="005C5064">
        <w:rPr>
          <w:sz w:val="22"/>
          <w:szCs w:val="22"/>
          <w:lang w:val="pt-BR"/>
        </w:rPr>
        <w:t>à</w:t>
      </w:r>
      <w:r w:rsidRPr="005C5064">
        <w:rPr>
          <w:sz w:val="22"/>
          <w:szCs w:val="22"/>
          <w:lang w:val="pt-BR"/>
        </w:rPr>
        <w:t xml:space="preserve"> escassez de água e </w:t>
      </w:r>
      <w:r w:rsidR="00433754" w:rsidRPr="005C5064">
        <w:rPr>
          <w:sz w:val="22"/>
          <w:szCs w:val="22"/>
          <w:lang w:val="pt-BR"/>
        </w:rPr>
        <w:t>agrav</w:t>
      </w:r>
      <w:r w:rsidRPr="005C5064">
        <w:rPr>
          <w:sz w:val="22"/>
          <w:szCs w:val="22"/>
          <w:lang w:val="pt-BR"/>
        </w:rPr>
        <w:t xml:space="preserve">a desastres naturais como furacões, enchentes, incêndios florestais, ondas de calor e eventos climáticos extremos. As Américas continuam sendo uma das regiões mais propensas a desastres do mundo, deixando os cidadãos expostos a múltiplos desastres de avanço rápido e </w:t>
      </w:r>
      <w:r w:rsidR="00433754" w:rsidRPr="005C5064">
        <w:rPr>
          <w:sz w:val="22"/>
          <w:szCs w:val="22"/>
          <w:lang w:val="pt-BR"/>
        </w:rPr>
        <w:t>n</w:t>
      </w:r>
      <w:r w:rsidRPr="005C5064">
        <w:rPr>
          <w:sz w:val="22"/>
          <w:szCs w:val="22"/>
          <w:lang w:val="pt-BR"/>
        </w:rPr>
        <w:t xml:space="preserve">um estado constante de luta. Embora os </w:t>
      </w:r>
      <w:r w:rsidR="00433754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>stados</w:t>
      </w:r>
      <w:r w:rsidR="00433754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 xml:space="preserve">membros estejam dispostos a fortalecer a cooperação </w:t>
      </w:r>
      <w:r w:rsidR="00433754" w:rsidRPr="005C5064">
        <w:rPr>
          <w:sz w:val="22"/>
          <w:szCs w:val="22"/>
          <w:lang w:val="pt-BR"/>
        </w:rPr>
        <w:t>par</w:t>
      </w:r>
      <w:r w:rsidRPr="005C5064">
        <w:rPr>
          <w:sz w:val="22"/>
          <w:szCs w:val="22"/>
          <w:lang w:val="pt-BR"/>
        </w:rPr>
        <w:t>a redução do risco de desastres, nota</w:t>
      </w:r>
      <w:r w:rsidR="00433754" w:rsidRPr="005C5064">
        <w:rPr>
          <w:sz w:val="22"/>
          <w:szCs w:val="22"/>
          <w:lang w:val="pt-BR"/>
        </w:rPr>
        <w:t>da</w:t>
      </w:r>
      <w:r w:rsidRPr="005C5064">
        <w:rPr>
          <w:sz w:val="22"/>
          <w:szCs w:val="22"/>
          <w:lang w:val="pt-BR"/>
        </w:rPr>
        <w:t xml:space="preserve">mente por meio da implementação do Quadro </w:t>
      </w:r>
      <w:r w:rsidR="00DE50DC" w:rsidRPr="005C5064">
        <w:rPr>
          <w:sz w:val="22"/>
          <w:szCs w:val="22"/>
          <w:lang w:val="pt-BR"/>
        </w:rPr>
        <w:t xml:space="preserve">de </w:t>
      </w:r>
      <w:r w:rsidRPr="005C5064">
        <w:rPr>
          <w:sz w:val="22"/>
          <w:szCs w:val="22"/>
          <w:lang w:val="pt-BR"/>
        </w:rPr>
        <w:t>Sendai, eles entende</w:t>
      </w:r>
      <w:r w:rsidR="00433754" w:rsidRPr="005C5064">
        <w:rPr>
          <w:sz w:val="22"/>
          <w:szCs w:val="22"/>
          <w:lang w:val="pt-BR"/>
        </w:rPr>
        <w:t>m</w:t>
      </w:r>
      <w:r w:rsidRPr="005C5064">
        <w:rPr>
          <w:sz w:val="22"/>
          <w:szCs w:val="22"/>
          <w:lang w:val="pt-BR"/>
        </w:rPr>
        <w:t xml:space="preserve"> que isso não é suficiente </w:t>
      </w:r>
      <w:r w:rsidR="00433754" w:rsidRPr="005C5064">
        <w:rPr>
          <w:sz w:val="22"/>
          <w:szCs w:val="22"/>
          <w:lang w:val="pt-BR"/>
        </w:rPr>
        <w:t>para construi</w:t>
      </w:r>
      <w:r w:rsidRPr="005C5064">
        <w:rPr>
          <w:sz w:val="22"/>
          <w:szCs w:val="22"/>
          <w:lang w:val="pt-BR"/>
        </w:rPr>
        <w:t>r um enfoque integrado para uma maior resiliência.</w:t>
      </w:r>
    </w:p>
    <w:p w14:paraId="2C052845" w14:textId="77777777" w:rsidR="001B7DAE" w:rsidRPr="005C5064" w:rsidRDefault="001B7DAE" w:rsidP="001B7DAE">
      <w:pPr>
        <w:ind w:left="720"/>
        <w:jc w:val="both"/>
        <w:rPr>
          <w:sz w:val="22"/>
          <w:szCs w:val="22"/>
          <w:lang w:val="pt-BR"/>
        </w:rPr>
      </w:pPr>
    </w:p>
    <w:p w14:paraId="5CE6A1D3" w14:textId="38CCF4C7" w:rsidR="001B7DAE" w:rsidRPr="005C5064" w:rsidRDefault="001B7DAE" w:rsidP="001B7DAE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Conform</w:t>
      </w:r>
      <w:r w:rsidR="00433754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 xml:space="preserve"> </w:t>
      </w:r>
      <w:r w:rsidR="00433754" w:rsidRPr="005C5064">
        <w:rPr>
          <w:sz w:val="22"/>
          <w:szCs w:val="22"/>
          <w:lang w:val="pt-BR"/>
        </w:rPr>
        <w:t xml:space="preserve">aumenta </w:t>
      </w:r>
      <w:r w:rsidRPr="005C5064">
        <w:rPr>
          <w:sz w:val="22"/>
          <w:szCs w:val="22"/>
          <w:lang w:val="pt-BR"/>
        </w:rPr>
        <w:t xml:space="preserve">a frequência e a intensidade de fenômenos climáticos, </w:t>
      </w:r>
      <w:r w:rsidR="00433754" w:rsidRPr="005C5064">
        <w:rPr>
          <w:sz w:val="22"/>
          <w:szCs w:val="22"/>
          <w:lang w:val="pt-BR"/>
        </w:rPr>
        <w:t xml:space="preserve">em seus processos de planejamento </w:t>
      </w:r>
      <w:r w:rsidRPr="005C5064">
        <w:rPr>
          <w:sz w:val="22"/>
          <w:szCs w:val="22"/>
          <w:lang w:val="pt-BR"/>
        </w:rPr>
        <w:t xml:space="preserve">os </w:t>
      </w:r>
      <w:r w:rsidR="00433754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 xml:space="preserve">stados membros devem contemplar medidas para reduzir os impactos de eventos catastróficos sobre o povo e a economia, com a intenção de proteger os grupos mais vulneráveis, especialmente mulheres, idosos, pessoas com deficiência, jovens e pobres. </w:t>
      </w:r>
    </w:p>
    <w:p w14:paraId="16DB15CA" w14:textId="77777777" w:rsidR="001B7DAE" w:rsidRPr="005C5064" w:rsidRDefault="001B7DAE" w:rsidP="001B7DAE">
      <w:pPr>
        <w:ind w:left="720"/>
        <w:jc w:val="both"/>
        <w:rPr>
          <w:sz w:val="22"/>
          <w:szCs w:val="22"/>
          <w:lang w:val="pt-BR"/>
        </w:rPr>
      </w:pPr>
    </w:p>
    <w:p w14:paraId="6DDF9CB4" w14:textId="25551262" w:rsidR="001B7DAE" w:rsidRPr="005C5064" w:rsidRDefault="001B7DAE" w:rsidP="001B7DAE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A vulnerabilidade nunca é distribuída igualmente, especialmente considerando fatores como as mudanças dinâmicas no ambiente natural, a alta taxa de urbanização da região (80% da população vive em áreas urbanas), a degradação ambiental e a sobrecarga não planejada das cidades </w:t>
      </w:r>
      <w:r w:rsidR="00433754" w:rsidRPr="005C5064">
        <w:rPr>
          <w:sz w:val="22"/>
          <w:szCs w:val="22"/>
          <w:lang w:val="pt-BR"/>
        </w:rPr>
        <w:t xml:space="preserve">muitas vezes com </w:t>
      </w:r>
      <w:r w:rsidRPr="005C5064">
        <w:rPr>
          <w:sz w:val="22"/>
          <w:szCs w:val="22"/>
          <w:lang w:val="pt-BR"/>
        </w:rPr>
        <w:t xml:space="preserve">infraestrutura </w:t>
      </w:r>
      <w:r w:rsidR="00433754" w:rsidRPr="005C5064">
        <w:rPr>
          <w:sz w:val="22"/>
          <w:szCs w:val="22"/>
          <w:lang w:val="pt-BR"/>
        </w:rPr>
        <w:t xml:space="preserve">antiga e </w:t>
      </w:r>
      <w:r w:rsidRPr="005C5064">
        <w:rPr>
          <w:sz w:val="22"/>
          <w:szCs w:val="22"/>
          <w:lang w:val="pt-BR"/>
        </w:rPr>
        <w:t xml:space="preserve">inadequada. Esse contexto sublinha a necessidade de se fortalecer a capacidade de gestão do risco de desastres. </w:t>
      </w:r>
    </w:p>
    <w:p w14:paraId="368B99AE" w14:textId="77777777" w:rsidR="001B7DAE" w:rsidRPr="005C5064" w:rsidRDefault="001B7DAE" w:rsidP="001B7DAE">
      <w:pPr>
        <w:ind w:left="720"/>
        <w:jc w:val="both"/>
        <w:rPr>
          <w:sz w:val="22"/>
          <w:szCs w:val="22"/>
          <w:lang w:val="pt-BR"/>
        </w:rPr>
      </w:pPr>
    </w:p>
    <w:p w14:paraId="24937E75" w14:textId="64C84F90" w:rsidR="001B7DAE" w:rsidRPr="005C5064" w:rsidRDefault="001B7DAE" w:rsidP="001B7DAE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Além disso, o conceito de Cidades Inteligentes é caracterizado pela inovação digital e o uso de tecnologias de comunicação modernas, possibilitando novas capacidades para avaliar o impacto dos desastres naturais e a resposta que </w:t>
      </w:r>
      <w:r w:rsidR="00DE50DC" w:rsidRPr="005C5064">
        <w:rPr>
          <w:sz w:val="22"/>
          <w:szCs w:val="22"/>
          <w:lang w:val="pt-BR"/>
        </w:rPr>
        <w:t>cad</w:t>
      </w:r>
      <w:r w:rsidRPr="005C5064">
        <w:rPr>
          <w:sz w:val="22"/>
          <w:szCs w:val="22"/>
          <w:lang w:val="pt-BR"/>
        </w:rPr>
        <w:t xml:space="preserve">a solução pode dar, o que contribui para mitigar os impactos durante desastres naturais causados pela mudança climática e </w:t>
      </w:r>
      <w:r w:rsidR="00DE50DC" w:rsidRPr="005C5064">
        <w:rPr>
          <w:sz w:val="22"/>
          <w:szCs w:val="22"/>
          <w:lang w:val="pt-BR"/>
        </w:rPr>
        <w:t>conseguir</w:t>
      </w:r>
      <w:r w:rsidRPr="005C5064">
        <w:rPr>
          <w:sz w:val="22"/>
          <w:szCs w:val="22"/>
          <w:lang w:val="pt-BR"/>
        </w:rPr>
        <w:t xml:space="preserve"> uma recuperação mais rápida e eficiente após uma emergência.</w:t>
      </w:r>
    </w:p>
    <w:p w14:paraId="4967049A" w14:textId="77777777" w:rsidR="001B7DAE" w:rsidRPr="005C5064" w:rsidRDefault="001B7DAE" w:rsidP="001B7DAE">
      <w:pPr>
        <w:ind w:firstLine="720"/>
        <w:jc w:val="both"/>
        <w:rPr>
          <w:sz w:val="22"/>
          <w:szCs w:val="22"/>
          <w:lang w:val="pt-BR"/>
        </w:rPr>
      </w:pPr>
    </w:p>
    <w:p w14:paraId="10286755" w14:textId="2816DE52" w:rsidR="001B7DAE" w:rsidRPr="005C5064" w:rsidRDefault="001B7DAE" w:rsidP="001B7DAE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Para </w:t>
      </w:r>
      <w:r w:rsidR="00945F6D">
        <w:rPr>
          <w:sz w:val="22"/>
          <w:szCs w:val="22"/>
          <w:lang w:val="pt-BR"/>
        </w:rPr>
        <w:t xml:space="preserve">a </w:t>
      </w:r>
      <w:r w:rsidRPr="005C5064">
        <w:rPr>
          <w:sz w:val="22"/>
          <w:szCs w:val="22"/>
          <w:lang w:val="pt-BR"/>
        </w:rPr>
        <w:t>mitiga</w:t>
      </w:r>
      <w:r w:rsidR="00945F6D">
        <w:rPr>
          <w:sz w:val="22"/>
          <w:szCs w:val="22"/>
          <w:lang w:val="pt-BR"/>
        </w:rPr>
        <w:t>ção</w:t>
      </w:r>
      <w:r w:rsidRPr="005C5064">
        <w:rPr>
          <w:sz w:val="22"/>
          <w:szCs w:val="22"/>
          <w:lang w:val="pt-BR"/>
        </w:rPr>
        <w:t xml:space="preserve"> e respo</w:t>
      </w:r>
      <w:r w:rsidR="00945F6D">
        <w:rPr>
          <w:sz w:val="22"/>
          <w:szCs w:val="22"/>
          <w:lang w:val="pt-BR"/>
        </w:rPr>
        <w:t xml:space="preserve">sta </w:t>
      </w:r>
      <w:r w:rsidRPr="005C5064">
        <w:rPr>
          <w:sz w:val="22"/>
          <w:szCs w:val="22"/>
          <w:lang w:val="pt-BR"/>
        </w:rPr>
        <w:t xml:space="preserve">a desastres, é necessário </w:t>
      </w:r>
      <w:r w:rsidR="00DE50DC" w:rsidRPr="005C5064">
        <w:rPr>
          <w:sz w:val="22"/>
          <w:szCs w:val="22"/>
          <w:lang w:val="pt-BR"/>
        </w:rPr>
        <w:t>formul</w:t>
      </w:r>
      <w:r w:rsidRPr="005C5064">
        <w:rPr>
          <w:sz w:val="22"/>
          <w:szCs w:val="22"/>
          <w:lang w:val="pt-BR"/>
        </w:rPr>
        <w:t>ar estratégias abrangentes e modelos de intervenção que permitam que a gestão de riscos seja abordada em múltiplos níveis dentro do governo, enfatizando especialmente a esfera urbana, e considerando medidas transetoriais que são elementos</w:t>
      </w:r>
      <w:r w:rsidR="00DE50DC" w:rsidRPr="005C5064">
        <w:rPr>
          <w:sz w:val="22"/>
          <w:szCs w:val="22"/>
          <w:lang w:val="pt-BR"/>
        </w:rPr>
        <w:t>-</w:t>
      </w:r>
      <w:r w:rsidRPr="005C5064">
        <w:rPr>
          <w:sz w:val="22"/>
          <w:szCs w:val="22"/>
          <w:lang w:val="pt-BR"/>
        </w:rPr>
        <w:t xml:space="preserve">chave para tornar as cidades mais resilientes. Contudo, apesar da grande quantidade de informação disponível, ainda há capacidade limitada para análise </w:t>
      </w:r>
      <w:r w:rsidR="00DE50DC" w:rsidRPr="005C5064">
        <w:rPr>
          <w:sz w:val="22"/>
          <w:szCs w:val="22"/>
          <w:lang w:val="pt-BR"/>
        </w:rPr>
        <w:t xml:space="preserve">e </w:t>
      </w:r>
      <w:r w:rsidRPr="005C5064">
        <w:rPr>
          <w:sz w:val="22"/>
          <w:szCs w:val="22"/>
          <w:lang w:val="pt-BR"/>
        </w:rPr>
        <w:t>interpretação para a tomada de decisões com relação aos cursos de ação apropriados.</w:t>
      </w:r>
    </w:p>
    <w:p w14:paraId="7910E41E" w14:textId="77777777" w:rsidR="001B7DAE" w:rsidRPr="005C5064" w:rsidRDefault="001B7DAE" w:rsidP="001B7DAE">
      <w:pPr>
        <w:ind w:left="720"/>
        <w:jc w:val="both"/>
        <w:rPr>
          <w:sz w:val="22"/>
          <w:szCs w:val="22"/>
          <w:lang w:val="pt-BR"/>
        </w:rPr>
      </w:pPr>
    </w:p>
    <w:p w14:paraId="180C549A" w14:textId="77777777" w:rsidR="001B7DAE" w:rsidRPr="005C5064" w:rsidRDefault="001B7DAE" w:rsidP="001B7DAE">
      <w:pPr>
        <w:pStyle w:val="Heading2"/>
        <w:ind w:left="720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bookmarkStart w:id="13" w:name="_Toc131067752"/>
      <w:bookmarkStart w:id="14" w:name="_Toc131518814"/>
      <w:r w:rsidRPr="005C5064">
        <w:rPr>
          <w:rFonts w:ascii="Times New Roman" w:hAnsi="Times New Roman" w:cs="Times New Roman"/>
          <w:b/>
          <w:bCs/>
          <w:sz w:val="22"/>
          <w:szCs w:val="22"/>
          <w:lang w:val="pt-BR"/>
        </w:rPr>
        <w:t>Oportunidades estratégicas para a Ação Climática</w:t>
      </w:r>
      <w:bookmarkEnd w:id="13"/>
      <w:bookmarkEnd w:id="14"/>
    </w:p>
    <w:p w14:paraId="2C165B9B" w14:textId="77777777" w:rsidR="001B7DAE" w:rsidRPr="005C5064" w:rsidRDefault="001B7DAE" w:rsidP="001B7DAE">
      <w:pPr>
        <w:rPr>
          <w:lang w:val="pt-BR"/>
        </w:rPr>
      </w:pPr>
    </w:p>
    <w:p w14:paraId="70C523F8" w14:textId="37E8EB0A" w:rsidR="001B7DAE" w:rsidRPr="005C5064" w:rsidRDefault="001B7DAE" w:rsidP="001B7DAE">
      <w:pPr>
        <w:ind w:left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Existem estratégias para se adaptar aos impactos da mudança climática e </w:t>
      </w:r>
      <w:r w:rsidR="00DE50DC" w:rsidRPr="005C5064">
        <w:rPr>
          <w:sz w:val="22"/>
          <w:szCs w:val="22"/>
          <w:lang w:val="pt-BR"/>
        </w:rPr>
        <w:t>também</w:t>
      </w:r>
      <w:r w:rsidRPr="005C5064">
        <w:rPr>
          <w:sz w:val="22"/>
          <w:szCs w:val="22"/>
          <w:lang w:val="pt-BR"/>
        </w:rPr>
        <w:t xml:space="preserve"> existem múltiplas formas nas quais o mundo pode mitigar as causas da mudança climática. Nesta seção, este relatório ressalta uma série de estratégias importantes que podem ser consideradas para discussão n</w:t>
      </w:r>
      <w:r w:rsidR="00DE50DC" w:rsidRPr="005C5064">
        <w:rPr>
          <w:sz w:val="22"/>
          <w:szCs w:val="22"/>
          <w:lang w:val="pt-BR"/>
        </w:rPr>
        <w:t>a Reuniã</w:t>
      </w:r>
      <w:r w:rsidRPr="005C5064">
        <w:rPr>
          <w:sz w:val="22"/>
          <w:szCs w:val="22"/>
          <w:lang w:val="pt-BR"/>
        </w:rPr>
        <w:t>o Ministerial, inclusive as relacionadas a adaptação, mitigação, financiamento e cooperação.</w:t>
      </w:r>
    </w:p>
    <w:p w14:paraId="5601D90E" w14:textId="77777777" w:rsidR="001B7DAE" w:rsidRPr="005C5064" w:rsidRDefault="001B7DAE" w:rsidP="001B7DAE">
      <w:pPr>
        <w:jc w:val="both"/>
        <w:rPr>
          <w:sz w:val="22"/>
          <w:szCs w:val="22"/>
          <w:lang w:val="pt-BR"/>
        </w:rPr>
      </w:pPr>
    </w:p>
    <w:p w14:paraId="1FF0C096" w14:textId="02C9C0D3" w:rsidR="001B7DAE" w:rsidRPr="005C5064" w:rsidRDefault="001B7DAE" w:rsidP="001B7DAE">
      <w:pPr>
        <w:pStyle w:val="Heading3"/>
        <w:ind w:left="1440"/>
        <w:rPr>
          <w:rFonts w:ascii="Times New Roman" w:hAnsi="Times New Roman" w:cs="Times New Roman"/>
          <w:sz w:val="22"/>
          <w:szCs w:val="22"/>
          <w:lang w:val="pt-BR"/>
        </w:rPr>
      </w:pPr>
      <w:bookmarkStart w:id="15" w:name="_Toc131067753"/>
      <w:bookmarkStart w:id="16" w:name="_Toc131518815"/>
      <w:r w:rsidRPr="005C5064">
        <w:rPr>
          <w:rFonts w:ascii="Times New Roman" w:hAnsi="Times New Roman" w:cs="Times New Roman"/>
          <w:sz w:val="22"/>
          <w:szCs w:val="22"/>
          <w:lang w:val="pt-BR"/>
        </w:rPr>
        <w:lastRenderedPageBreak/>
        <w:t>ESTRATÉGIA 1 – Adaptação à Mudança Climática: Ações para uma Região Mais Resiliente e Inclusiva</w:t>
      </w:r>
      <w:bookmarkEnd w:id="15"/>
      <w:bookmarkEnd w:id="16"/>
      <w:r w:rsidRPr="005C5064">
        <w:rPr>
          <w:rFonts w:ascii="Times New Roman" w:hAnsi="Times New Roman" w:cs="Times New Roman"/>
          <w:sz w:val="22"/>
          <w:szCs w:val="22"/>
          <w:lang w:val="pt-BR"/>
        </w:rPr>
        <w:t xml:space="preserve">  </w:t>
      </w:r>
    </w:p>
    <w:p w14:paraId="7218ED71" w14:textId="77777777" w:rsidR="001B7DAE" w:rsidRPr="005C5064" w:rsidRDefault="001B7DAE" w:rsidP="001B7DAE">
      <w:pPr>
        <w:jc w:val="both"/>
        <w:rPr>
          <w:sz w:val="22"/>
          <w:szCs w:val="22"/>
          <w:lang w:val="pt-BR"/>
        </w:rPr>
      </w:pPr>
    </w:p>
    <w:p w14:paraId="4159F5AC" w14:textId="5AE4DC39" w:rsidR="001B7DAE" w:rsidRPr="005C5064" w:rsidRDefault="001B7DAE" w:rsidP="001B7DAE">
      <w:pPr>
        <w:tabs>
          <w:tab w:val="left" w:pos="1440"/>
        </w:tabs>
        <w:ind w:left="144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Os impactos observados e previstos da mudança climática incluem maior frequência e intensidade de furacões, mudança nos padrões de precipitação atmosférica, secas e aumento do nível do mar</w:t>
      </w:r>
      <w:r w:rsidR="00DE50DC" w:rsidRPr="005C5064">
        <w:rPr>
          <w:sz w:val="22"/>
          <w:szCs w:val="22"/>
          <w:lang w:val="pt-BR"/>
        </w:rPr>
        <w:t>;</w:t>
      </w:r>
      <w:r w:rsidRPr="005C5064">
        <w:rPr>
          <w:sz w:val="22"/>
          <w:szCs w:val="22"/>
          <w:lang w:val="pt-BR"/>
        </w:rPr>
        <w:t xml:space="preserve"> todos </w:t>
      </w:r>
      <w:r w:rsidR="00DE50DC" w:rsidRPr="005C5064">
        <w:rPr>
          <w:sz w:val="22"/>
          <w:szCs w:val="22"/>
          <w:lang w:val="pt-BR"/>
        </w:rPr>
        <w:t>ele</w:t>
      </w:r>
      <w:r w:rsidRPr="005C5064">
        <w:rPr>
          <w:sz w:val="22"/>
          <w:szCs w:val="22"/>
          <w:lang w:val="pt-BR"/>
        </w:rPr>
        <w:t xml:space="preserve">s impactam negativamente mais de 1 bilhão de pessoas em todo o mundo, principalmente os grupos vulneráveis, minam os direitos sociais, econômicos e ambientais e ameaçam a segurança nacional e regional nas Américas. Há muitas ações que os países da região </w:t>
      </w:r>
      <w:r w:rsidR="00DE50DC" w:rsidRPr="005C5064">
        <w:rPr>
          <w:sz w:val="22"/>
          <w:szCs w:val="22"/>
          <w:lang w:val="pt-BR"/>
        </w:rPr>
        <w:t>podem realiz</w:t>
      </w:r>
      <w:r w:rsidRPr="005C5064">
        <w:rPr>
          <w:sz w:val="22"/>
          <w:szCs w:val="22"/>
          <w:lang w:val="pt-BR"/>
        </w:rPr>
        <w:t>ar para reduzir os riscos associados com esses impactos. Várias ações importantes são descritas a</w:t>
      </w:r>
      <w:r w:rsidR="007C3954" w:rsidRPr="005C5064">
        <w:rPr>
          <w:sz w:val="22"/>
          <w:szCs w:val="22"/>
          <w:lang w:val="pt-BR"/>
        </w:rPr>
        <w:t>diante.</w:t>
      </w:r>
    </w:p>
    <w:p w14:paraId="3332976F" w14:textId="77777777" w:rsidR="001B7DAE" w:rsidRPr="005C5064" w:rsidRDefault="001B7DAE" w:rsidP="001B7DAE">
      <w:pPr>
        <w:ind w:firstLine="720"/>
        <w:jc w:val="both"/>
        <w:rPr>
          <w:sz w:val="22"/>
          <w:szCs w:val="22"/>
          <w:lang w:val="pt-BR"/>
        </w:rPr>
      </w:pPr>
    </w:p>
    <w:p w14:paraId="36E84FE5" w14:textId="77777777" w:rsidR="001B7DAE" w:rsidRPr="005C5064" w:rsidRDefault="001B7DAE" w:rsidP="001B7DAE">
      <w:pPr>
        <w:pStyle w:val="ListParagraph0"/>
        <w:ind w:left="1980"/>
        <w:jc w:val="both"/>
        <w:rPr>
          <w:sz w:val="22"/>
          <w:szCs w:val="22"/>
          <w:lang w:val="pt-BR"/>
        </w:rPr>
      </w:pPr>
      <w:r w:rsidRPr="005C5064">
        <w:rPr>
          <w:b/>
          <w:bCs/>
          <w:sz w:val="22"/>
          <w:szCs w:val="22"/>
          <w:lang w:val="pt-BR"/>
        </w:rPr>
        <w:t xml:space="preserve">Melhorar a resiliência para reduzir a vulnerabilidade aos impactos da mudança climática </w:t>
      </w:r>
    </w:p>
    <w:p w14:paraId="094DE47A" w14:textId="536757C0" w:rsidR="001B7DAE" w:rsidRPr="005C5064" w:rsidRDefault="001B7DAE" w:rsidP="001B7DAE">
      <w:pPr>
        <w:pStyle w:val="NormalWeb"/>
        <w:tabs>
          <w:tab w:val="left" w:pos="1980"/>
        </w:tabs>
        <w:spacing w:before="0" w:beforeAutospacing="0" w:after="0" w:afterAutospacing="0"/>
        <w:ind w:left="198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Para melhorar efetivamente a resiliência </w:t>
      </w:r>
      <w:r w:rsidR="007C3954" w:rsidRPr="005C5064">
        <w:rPr>
          <w:sz w:val="22"/>
          <w:szCs w:val="22"/>
          <w:lang w:val="pt-BR"/>
        </w:rPr>
        <w:t>a fim de</w:t>
      </w:r>
      <w:r w:rsidRPr="005C5064">
        <w:rPr>
          <w:sz w:val="22"/>
          <w:szCs w:val="22"/>
          <w:lang w:val="pt-BR"/>
        </w:rPr>
        <w:t xml:space="preserve"> reduzir a vulnerabilidade aos impactos </w:t>
      </w:r>
      <w:r w:rsidR="007C3954" w:rsidRPr="005C5064">
        <w:rPr>
          <w:sz w:val="22"/>
          <w:szCs w:val="22"/>
          <w:lang w:val="pt-BR"/>
        </w:rPr>
        <w:t>provo</w:t>
      </w:r>
      <w:r w:rsidRPr="005C5064">
        <w:rPr>
          <w:sz w:val="22"/>
          <w:szCs w:val="22"/>
          <w:lang w:val="pt-BR"/>
        </w:rPr>
        <w:t>cados pela mudança climática, a região deve adotar um enfoque abrangente e estratégico para aumentar a resiliência. Isso pode envolver uma série de ações, inclu</w:t>
      </w:r>
      <w:r w:rsidR="007C3954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>i</w:t>
      </w:r>
      <w:r w:rsidR="007C3954" w:rsidRPr="005C5064">
        <w:rPr>
          <w:sz w:val="22"/>
          <w:szCs w:val="22"/>
          <w:lang w:val="pt-BR"/>
        </w:rPr>
        <w:t>ve as seguintes.</w:t>
      </w:r>
    </w:p>
    <w:p w14:paraId="0C42DF76" w14:textId="77777777" w:rsidR="001B7DAE" w:rsidRPr="005C5064" w:rsidRDefault="001B7DAE" w:rsidP="001B7DAE">
      <w:pPr>
        <w:pStyle w:val="NormalWeb"/>
        <w:spacing w:before="0" w:beforeAutospacing="0" w:after="0" w:afterAutospacing="0"/>
        <w:jc w:val="both"/>
        <w:rPr>
          <w:sz w:val="22"/>
          <w:szCs w:val="22"/>
          <w:lang w:val="pt-BR"/>
        </w:rPr>
      </w:pPr>
    </w:p>
    <w:p w14:paraId="7C835BC0" w14:textId="0882CFFA" w:rsidR="001B7DAE" w:rsidRPr="005C5064" w:rsidRDefault="001B7DAE" w:rsidP="001B7DAE">
      <w:pPr>
        <w:pStyle w:val="NormalWeb"/>
        <w:numPr>
          <w:ilvl w:val="0"/>
          <w:numId w:val="22"/>
        </w:numPr>
        <w:spacing w:before="0" w:beforeAutospacing="0" w:after="0" w:afterAutospacing="0"/>
        <w:ind w:left="2520" w:hanging="54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A implementação de </w:t>
      </w:r>
      <w:r w:rsidRPr="005C5064">
        <w:rPr>
          <w:b/>
          <w:bCs/>
          <w:sz w:val="22"/>
          <w:szCs w:val="22"/>
          <w:lang w:val="pt-BR"/>
        </w:rPr>
        <w:t xml:space="preserve">soluções </w:t>
      </w:r>
      <w:r w:rsidR="00DE50DC" w:rsidRPr="005C5064">
        <w:rPr>
          <w:b/>
          <w:bCs/>
          <w:sz w:val="22"/>
          <w:szCs w:val="22"/>
          <w:lang w:val="pt-BR"/>
        </w:rPr>
        <w:t>baseadas n</w:t>
      </w:r>
      <w:r w:rsidRPr="005C5064">
        <w:rPr>
          <w:b/>
          <w:bCs/>
          <w:sz w:val="22"/>
          <w:szCs w:val="22"/>
          <w:lang w:val="pt-BR"/>
        </w:rPr>
        <w:t>a natureza</w:t>
      </w:r>
      <w:r w:rsidRPr="005C5064">
        <w:rPr>
          <w:sz w:val="22"/>
          <w:szCs w:val="22"/>
          <w:lang w:val="pt-BR"/>
        </w:rPr>
        <w:t xml:space="preserve"> é crucial para recuperar e preservar nossos ecossistemas naturais, inclu</w:t>
      </w:r>
      <w:r w:rsidR="00386BB6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>i</w:t>
      </w:r>
      <w:r w:rsidR="00386BB6" w:rsidRPr="005C5064">
        <w:rPr>
          <w:sz w:val="22"/>
          <w:szCs w:val="22"/>
          <w:lang w:val="pt-BR"/>
        </w:rPr>
        <w:t>ve</w:t>
      </w:r>
      <w:r w:rsidRPr="005C5064">
        <w:rPr>
          <w:sz w:val="22"/>
          <w:szCs w:val="22"/>
          <w:lang w:val="pt-BR"/>
        </w:rPr>
        <w:t xml:space="preserve"> importantes bacias transfronteiriças, mangues e florestas. Fazendo isso, podemos oferecer proteção cr</w:t>
      </w:r>
      <w:r w:rsidR="00386BB6" w:rsidRPr="005C5064">
        <w:rPr>
          <w:sz w:val="22"/>
          <w:szCs w:val="22"/>
          <w:lang w:val="pt-BR"/>
        </w:rPr>
        <w:t>ucial</w:t>
      </w:r>
      <w:r w:rsidRPr="005C5064">
        <w:rPr>
          <w:sz w:val="22"/>
          <w:szCs w:val="22"/>
          <w:lang w:val="pt-BR"/>
        </w:rPr>
        <w:t xml:space="preserve"> contra os impactos da mudança climática</w:t>
      </w:r>
      <w:r w:rsidR="00386BB6" w:rsidRPr="005C5064">
        <w:rPr>
          <w:sz w:val="22"/>
          <w:szCs w:val="22"/>
          <w:lang w:val="pt-BR"/>
        </w:rPr>
        <w:t>,</w:t>
      </w:r>
      <w:r w:rsidRPr="005C5064">
        <w:rPr>
          <w:sz w:val="22"/>
          <w:szCs w:val="22"/>
          <w:lang w:val="pt-BR"/>
        </w:rPr>
        <w:t xml:space="preserve"> como enchentes, erosão e secas, salvaguardando recursos naturais vitais e reduzindo a vulnerabilidade de comunidades locais.</w:t>
      </w:r>
    </w:p>
    <w:p w14:paraId="5663C331" w14:textId="255D834C" w:rsidR="001B7DAE" w:rsidRPr="005C5064" w:rsidRDefault="001B7DAE" w:rsidP="001B7DAE">
      <w:pPr>
        <w:pStyle w:val="NormalWeb"/>
        <w:numPr>
          <w:ilvl w:val="0"/>
          <w:numId w:val="22"/>
        </w:numPr>
        <w:spacing w:before="0" w:beforeAutospacing="0" w:after="0" w:afterAutospacing="0"/>
        <w:ind w:left="2520" w:hanging="54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Zonas costeiras baixas podem se beneficiar de </w:t>
      </w:r>
      <w:r w:rsidRPr="005C5064">
        <w:rPr>
          <w:b/>
          <w:bCs/>
          <w:sz w:val="22"/>
          <w:szCs w:val="22"/>
          <w:lang w:val="pt-BR"/>
        </w:rPr>
        <w:t xml:space="preserve">planejamento estratégico e investimentos </w:t>
      </w:r>
      <w:r w:rsidR="00386BB6" w:rsidRPr="005C5064">
        <w:rPr>
          <w:b/>
          <w:bCs/>
          <w:sz w:val="22"/>
          <w:szCs w:val="22"/>
          <w:lang w:val="pt-BR"/>
        </w:rPr>
        <w:t>focaliz</w:t>
      </w:r>
      <w:r w:rsidRPr="005C5064">
        <w:rPr>
          <w:b/>
          <w:bCs/>
          <w:sz w:val="22"/>
          <w:szCs w:val="22"/>
          <w:lang w:val="pt-BR"/>
        </w:rPr>
        <w:t>ados em infraestrutura protetora,</w:t>
      </w:r>
      <w:r w:rsidRPr="005C5064">
        <w:rPr>
          <w:sz w:val="22"/>
          <w:szCs w:val="22"/>
          <w:lang w:val="pt-BR"/>
        </w:rPr>
        <w:t xml:space="preserve"> como </w:t>
      </w:r>
      <w:r w:rsidR="007C3954" w:rsidRPr="005C5064">
        <w:rPr>
          <w:sz w:val="22"/>
          <w:szCs w:val="22"/>
          <w:lang w:val="pt-BR"/>
        </w:rPr>
        <w:t>paredõe</w:t>
      </w:r>
      <w:r w:rsidRPr="005C5064">
        <w:rPr>
          <w:sz w:val="22"/>
          <w:szCs w:val="22"/>
          <w:lang w:val="pt-BR"/>
        </w:rPr>
        <w:t>s, barreiras contra inundação e sistemas de gestão de água d</w:t>
      </w:r>
      <w:r w:rsidR="00386BB6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 xml:space="preserve"> </w:t>
      </w:r>
      <w:r w:rsidR="00386BB6" w:rsidRPr="005C5064">
        <w:rPr>
          <w:sz w:val="22"/>
          <w:szCs w:val="22"/>
          <w:lang w:val="pt-BR"/>
        </w:rPr>
        <w:t>chuva</w:t>
      </w:r>
      <w:r w:rsidRPr="005C5064">
        <w:rPr>
          <w:sz w:val="22"/>
          <w:szCs w:val="22"/>
          <w:lang w:val="pt-BR"/>
        </w:rPr>
        <w:t xml:space="preserve">, para ajudar a mitigar os impactos de furacões. </w:t>
      </w:r>
      <w:r w:rsidR="00386BB6" w:rsidRPr="005C5064">
        <w:rPr>
          <w:sz w:val="22"/>
          <w:szCs w:val="22"/>
          <w:lang w:val="pt-BR"/>
        </w:rPr>
        <w:t xml:space="preserve">Também é necessária </w:t>
      </w:r>
      <w:r w:rsidRPr="005C5064">
        <w:rPr>
          <w:sz w:val="22"/>
          <w:szCs w:val="22"/>
          <w:lang w:val="pt-BR"/>
        </w:rPr>
        <w:t xml:space="preserve">ação urgente </w:t>
      </w:r>
      <w:r w:rsidR="00386BB6" w:rsidRPr="005C5064">
        <w:rPr>
          <w:sz w:val="22"/>
          <w:szCs w:val="22"/>
          <w:lang w:val="pt-BR"/>
        </w:rPr>
        <w:t>de</w:t>
      </w:r>
      <w:r w:rsidRPr="005C5064">
        <w:rPr>
          <w:sz w:val="22"/>
          <w:szCs w:val="22"/>
          <w:lang w:val="pt-BR"/>
        </w:rPr>
        <w:t xml:space="preserve"> </w:t>
      </w:r>
      <w:r w:rsidRPr="005C5064">
        <w:rPr>
          <w:b/>
          <w:bCs/>
          <w:sz w:val="22"/>
          <w:szCs w:val="22"/>
          <w:lang w:val="pt-BR"/>
        </w:rPr>
        <w:t xml:space="preserve">planejamento urbano e desenvolvimento de infraestrutura </w:t>
      </w:r>
      <w:r w:rsidRPr="005C5064">
        <w:rPr>
          <w:sz w:val="22"/>
          <w:szCs w:val="22"/>
          <w:lang w:val="pt-BR"/>
        </w:rPr>
        <w:t xml:space="preserve">nas cidades do hemisfério para assegurar que os edifícios e a infraestrutura são </w:t>
      </w:r>
      <w:r w:rsidR="00386BB6" w:rsidRPr="005C5064">
        <w:rPr>
          <w:sz w:val="22"/>
          <w:szCs w:val="22"/>
          <w:lang w:val="pt-BR"/>
        </w:rPr>
        <w:t>projet</w:t>
      </w:r>
      <w:r w:rsidRPr="005C5064">
        <w:rPr>
          <w:sz w:val="22"/>
          <w:szCs w:val="22"/>
          <w:lang w:val="pt-BR"/>
        </w:rPr>
        <w:t>ados para aguentar os efeitos de eventos climáticos extremos.</w:t>
      </w:r>
    </w:p>
    <w:p w14:paraId="4C44251D" w14:textId="76AB5231" w:rsidR="001B7DAE" w:rsidRPr="005C5064" w:rsidRDefault="001B7DAE" w:rsidP="001B7DAE">
      <w:pPr>
        <w:pStyle w:val="NormalWeb"/>
        <w:numPr>
          <w:ilvl w:val="0"/>
          <w:numId w:val="22"/>
        </w:numPr>
        <w:spacing w:before="0" w:beforeAutospacing="0" w:after="0" w:afterAutospacing="0"/>
        <w:ind w:left="2520" w:hanging="54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Desenvolvimento de um </w:t>
      </w:r>
      <w:r w:rsidRPr="005C5064">
        <w:rPr>
          <w:b/>
          <w:bCs/>
          <w:sz w:val="22"/>
          <w:szCs w:val="22"/>
          <w:lang w:val="pt-BR"/>
        </w:rPr>
        <w:t>sistema de dados e informação cientifica para</w:t>
      </w:r>
      <w:r w:rsidRPr="005C5064">
        <w:rPr>
          <w:sz w:val="22"/>
          <w:szCs w:val="22"/>
          <w:lang w:val="pt-BR"/>
        </w:rPr>
        <w:t xml:space="preserve"> apoiar os governos no desenvolvimento de iniciativas de resiliência que reduzem a vulnerabilidade de comunidades </w:t>
      </w:r>
      <w:r w:rsidR="00AE609C" w:rsidRPr="005C5064">
        <w:rPr>
          <w:sz w:val="22"/>
          <w:szCs w:val="22"/>
          <w:lang w:val="pt-BR"/>
        </w:rPr>
        <w:t>n</w:t>
      </w:r>
      <w:r w:rsidRPr="005C5064">
        <w:rPr>
          <w:sz w:val="22"/>
          <w:szCs w:val="22"/>
          <w:lang w:val="pt-BR"/>
        </w:rPr>
        <w:t xml:space="preserve">a América Latina e </w:t>
      </w:r>
      <w:r w:rsidR="00AE609C" w:rsidRPr="005C5064">
        <w:rPr>
          <w:sz w:val="22"/>
          <w:szCs w:val="22"/>
          <w:lang w:val="pt-BR"/>
        </w:rPr>
        <w:t>n</w:t>
      </w:r>
      <w:r w:rsidRPr="005C5064">
        <w:rPr>
          <w:sz w:val="22"/>
          <w:szCs w:val="22"/>
          <w:lang w:val="pt-BR"/>
        </w:rPr>
        <w:t xml:space="preserve">o Caribe. </w:t>
      </w:r>
    </w:p>
    <w:p w14:paraId="6D509C1B" w14:textId="35912197" w:rsidR="001B7DAE" w:rsidRPr="005C5064" w:rsidRDefault="001B7DAE" w:rsidP="001B7DAE">
      <w:pPr>
        <w:pStyle w:val="NormalWeb"/>
        <w:numPr>
          <w:ilvl w:val="0"/>
          <w:numId w:val="22"/>
        </w:numPr>
        <w:spacing w:before="0" w:beforeAutospacing="0" w:after="0" w:afterAutospacing="0"/>
        <w:ind w:left="2520" w:hanging="54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Os Estados</w:t>
      </w:r>
      <w:r w:rsidR="007C3954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 xml:space="preserve">membros podem priorizar o </w:t>
      </w:r>
      <w:r w:rsidRPr="005C5064">
        <w:rPr>
          <w:b/>
          <w:bCs/>
          <w:sz w:val="22"/>
          <w:szCs w:val="22"/>
          <w:lang w:val="pt-BR"/>
        </w:rPr>
        <w:t>desenvolvimento de novos códigos de construção que promovem infraestrutura resiliente e implementam práticas de gestão da terra</w:t>
      </w:r>
      <w:r w:rsidRPr="005C5064">
        <w:rPr>
          <w:sz w:val="22"/>
          <w:szCs w:val="22"/>
          <w:lang w:val="pt-BR"/>
        </w:rPr>
        <w:t xml:space="preserve"> que podem ajudar a mitigar o impacto de desastres naturais. </w:t>
      </w:r>
      <w:r w:rsidR="00AE609C" w:rsidRPr="005C5064">
        <w:rPr>
          <w:sz w:val="22"/>
          <w:szCs w:val="22"/>
          <w:lang w:val="pt-BR"/>
        </w:rPr>
        <w:t>As p</w:t>
      </w:r>
      <w:r w:rsidRPr="005C5064">
        <w:rPr>
          <w:sz w:val="22"/>
          <w:szCs w:val="22"/>
          <w:lang w:val="pt-BR"/>
        </w:rPr>
        <w:t>esquisa</w:t>
      </w:r>
      <w:r w:rsidR="00AE609C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 xml:space="preserve"> cientifica</w:t>
      </w:r>
      <w:r w:rsidR="00AE609C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 xml:space="preserve"> devem informar o desenvolvimento de</w:t>
      </w:r>
      <w:r w:rsidR="00AE609C" w:rsidRPr="005C5064">
        <w:rPr>
          <w:sz w:val="22"/>
          <w:szCs w:val="22"/>
          <w:lang w:val="pt-BR"/>
        </w:rPr>
        <w:t xml:space="preserve"> m</w:t>
      </w:r>
      <w:r w:rsidRPr="005C5064">
        <w:rPr>
          <w:sz w:val="22"/>
          <w:szCs w:val="22"/>
          <w:lang w:val="pt-BR"/>
        </w:rPr>
        <w:t>edidas de mitigação</w:t>
      </w:r>
      <w:r w:rsidR="00AE609C" w:rsidRPr="005C5064">
        <w:rPr>
          <w:sz w:val="22"/>
          <w:szCs w:val="22"/>
          <w:lang w:val="pt-BR"/>
        </w:rPr>
        <w:t>,</w:t>
      </w:r>
      <w:r w:rsidRPr="005C5064">
        <w:rPr>
          <w:sz w:val="22"/>
          <w:szCs w:val="22"/>
          <w:lang w:val="pt-BR"/>
        </w:rPr>
        <w:t xml:space="preserve"> como a construção de edifícios resistentes </w:t>
      </w:r>
      <w:r w:rsidR="00AE609C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 xml:space="preserve"> tempestades, </w:t>
      </w:r>
      <w:r w:rsidR="00AE609C" w:rsidRPr="005C5064">
        <w:rPr>
          <w:sz w:val="22"/>
          <w:szCs w:val="22"/>
          <w:lang w:val="pt-BR"/>
        </w:rPr>
        <w:t xml:space="preserve">o </w:t>
      </w:r>
      <w:r w:rsidRPr="005C5064">
        <w:rPr>
          <w:sz w:val="22"/>
          <w:szCs w:val="22"/>
          <w:lang w:val="pt-BR"/>
        </w:rPr>
        <w:t xml:space="preserve">desenvolvimento </w:t>
      </w:r>
      <w:r w:rsidR="00AE609C" w:rsidRPr="005C5064">
        <w:rPr>
          <w:sz w:val="22"/>
          <w:szCs w:val="22"/>
          <w:lang w:val="pt-BR"/>
        </w:rPr>
        <w:t xml:space="preserve">de </w:t>
      </w:r>
      <w:r w:rsidRPr="005C5064">
        <w:rPr>
          <w:sz w:val="22"/>
          <w:szCs w:val="22"/>
          <w:lang w:val="pt-BR"/>
        </w:rPr>
        <w:t xml:space="preserve">sistemas de alerta e </w:t>
      </w:r>
      <w:r w:rsidR="00AE609C" w:rsidRPr="005C5064">
        <w:rPr>
          <w:sz w:val="22"/>
          <w:szCs w:val="22"/>
          <w:lang w:val="pt-BR"/>
        </w:rPr>
        <w:t xml:space="preserve">o </w:t>
      </w:r>
      <w:r w:rsidRPr="005C5064">
        <w:rPr>
          <w:sz w:val="22"/>
          <w:szCs w:val="22"/>
          <w:lang w:val="pt-BR"/>
        </w:rPr>
        <w:t>estabelec</w:t>
      </w:r>
      <w:r w:rsidR="00AE609C" w:rsidRPr="005C5064">
        <w:rPr>
          <w:sz w:val="22"/>
          <w:szCs w:val="22"/>
          <w:lang w:val="pt-BR"/>
        </w:rPr>
        <w:t>ime</w:t>
      </w:r>
      <w:r w:rsidRPr="005C5064">
        <w:rPr>
          <w:sz w:val="22"/>
          <w:szCs w:val="22"/>
          <w:lang w:val="pt-BR"/>
        </w:rPr>
        <w:t>n</w:t>
      </w:r>
      <w:r w:rsidR="00AE609C" w:rsidRPr="005C5064">
        <w:rPr>
          <w:sz w:val="22"/>
          <w:szCs w:val="22"/>
          <w:lang w:val="pt-BR"/>
        </w:rPr>
        <w:t>t</w:t>
      </w:r>
      <w:r w:rsidRPr="005C5064">
        <w:rPr>
          <w:sz w:val="22"/>
          <w:szCs w:val="22"/>
          <w:lang w:val="pt-BR"/>
        </w:rPr>
        <w:t xml:space="preserve">o </w:t>
      </w:r>
      <w:r w:rsidR="00AE609C" w:rsidRPr="005C5064">
        <w:rPr>
          <w:sz w:val="22"/>
          <w:szCs w:val="22"/>
          <w:lang w:val="pt-BR"/>
        </w:rPr>
        <w:t xml:space="preserve">de </w:t>
      </w:r>
      <w:r w:rsidRPr="005C5064">
        <w:rPr>
          <w:sz w:val="22"/>
          <w:szCs w:val="22"/>
          <w:lang w:val="pt-BR"/>
        </w:rPr>
        <w:t>rotas de evacuação.</w:t>
      </w:r>
    </w:p>
    <w:p w14:paraId="48819817" w14:textId="77777777" w:rsidR="001B7DAE" w:rsidRPr="005C5064" w:rsidRDefault="001B7DAE" w:rsidP="001B7DAE">
      <w:pPr>
        <w:pStyle w:val="NormalWeb"/>
        <w:spacing w:before="0" w:beforeAutospacing="0" w:after="0" w:afterAutospacing="0"/>
        <w:jc w:val="both"/>
        <w:rPr>
          <w:sz w:val="22"/>
          <w:szCs w:val="22"/>
          <w:lang w:val="pt-BR"/>
        </w:rPr>
      </w:pPr>
    </w:p>
    <w:p w14:paraId="2EB493EE" w14:textId="77777777" w:rsidR="001B7DAE" w:rsidRPr="005C5064" w:rsidRDefault="001B7DAE" w:rsidP="001B7DAE">
      <w:pPr>
        <w:pStyle w:val="NormalWeb"/>
        <w:tabs>
          <w:tab w:val="left" w:pos="2160"/>
        </w:tabs>
        <w:spacing w:before="0" w:beforeAutospacing="0" w:after="0" w:afterAutospacing="0"/>
        <w:jc w:val="both"/>
        <w:rPr>
          <w:sz w:val="22"/>
          <w:szCs w:val="22"/>
          <w:lang w:val="pt-BR"/>
        </w:rPr>
      </w:pPr>
    </w:p>
    <w:p w14:paraId="609BE8AD" w14:textId="77777777" w:rsidR="001B7DAE" w:rsidRPr="005C5064" w:rsidRDefault="001B7DAE" w:rsidP="001B7DAE">
      <w:pPr>
        <w:pStyle w:val="NormalWeb"/>
        <w:tabs>
          <w:tab w:val="left" w:pos="2160"/>
        </w:tabs>
        <w:spacing w:before="0" w:beforeAutospacing="0" w:after="0" w:afterAutospacing="0"/>
        <w:jc w:val="both"/>
        <w:rPr>
          <w:sz w:val="22"/>
          <w:szCs w:val="22"/>
          <w:lang w:val="pt-BR"/>
        </w:rPr>
      </w:pPr>
    </w:p>
    <w:p w14:paraId="583A1F2B" w14:textId="77777777" w:rsidR="001B7DAE" w:rsidRPr="005C5064" w:rsidRDefault="001B7DAE" w:rsidP="001B7DAE">
      <w:pPr>
        <w:pStyle w:val="NormalWeb"/>
        <w:tabs>
          <w:tab w:val="left" w:pos="2160"/>
        </w:tabs>
        <w:spacing w:before="0" w:beforeAutospacing="0" w:after="0" w:afterAutospacing="0"/>
        <w:jc w:val="both"/>
        <w:rPr>
          <w:sz w:val="22"/>
          <w:szCs w:val="22"/>
          <w:lang w:val="pt-BR"/>
        </w:rPr>
      </w:pPr>
    </w:p>
    <w:p w14:paraId="48CAAB28" w14:textId="77777777" w:rsidR="001B7DAE" w:rsidRPr="005C5064" w:rsidRDefault="001B7DAE" w:rsidP="001B7DAE">
      <w:pPr>
        <w:pStyle w:val="NormalWeb"/>
        <w:tabs>
          <w:tab w:val="left" w:pos="2160"/>
        </w:tabs>
        <w:spacing w:before="0" w:beforeAutospacing="0" w:after="0" w:afterAutospacing="0"/>
        <w:jc w:val="both"/>
        <w:rPr>
          <w:sz w:val="22"/>
          <w:szCs w:val="22"/>
          <w:lang w:val="pt-BR"/>
        </w:rPr>
      </w:pPr>
    </w:p>
    <w:p w14:paraId="22150502" w14:textId="77777777" w:rsidR="001B7DAE" w:rsidRPr="005C5064" w:rsidRDefault="001B7DAE" w:rsidP="001B7DAE">
      <w:pPr>
        <w:pStyle w:val="ListParagraph0"/>
        <w:tabs>
          <w:tab w:val="left" w:pos="1980"/>
        </w:tabs>
        <w:ind w:left="1980"/>
        <w:jc w:val="both"/>
        <w:rPr>
          <w:b/>
          <w:bCs/>
          <w:sz w:val="22"/>
          <w:szCs w:val="22"/>
          <w:lang w:val="pt-BR"/>
        </w:rPr>
      </w:pPr>
      <w:r w:rsidRPr="005C5064">
        <w:rPr>
          <w:b/>
          <w:bCs/>
          <w:sz w:val="22"/>
          <w:szCs w:val="22"/>
          <w:lang w:val="pt-BR"/>
        </w:rPr>
        <w:lastRenderedPageBreak/>
        <w:t>Resposta a desastres naturais</w:t>
      </w:r>
    </w:p>
    <w:p w14:paraId="1B6DF1A6" w14:textId="6453D40F" w:rsidR="001B7DAE" w:rsidRPr="005C5064" w:rsidRDefault="00AE609C" w:rsidP="001B7DAE">
      <w:pPr>
        <w:pStyle w:val="NormalWeb"/>
        <w:tabs>
          <w:tab w:val="left" w:pos="1710"/>
          <w:tab w:val="left" w:pos="1800"/>
          <w:tab w:val="left" w:pos="1980"/>
        </w:tabs>
        <w:spacing w:before="0" w:beforeAutospacing="0" w:after="0" w:afterAutospacing="0"/>
        <w:ind w:left="198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A resposta </w:t>
      </w:r>
      <w:r w:rsidR="001B7DAE" w:rsidRPr="005C5064">
        <w:rPr>
          <w:sz w:val="22"/>
          <w:szCs w:val="22"/>
          <w:lang w:val="pt-BR"/>
        </w:rPr>
        <w:t>a desastres naturais nas Américas exige um enfoque abrangente que englobe tanto a resposta emergencial de curto prazo como o planejamento estratégico de longo prazo</w:t>
      </w:r>
      <w:r w:rsidRPr="005C5064">
        <w:rPr>
          <w:sz w:val="22"/>
          <w:szCs w:val="22"/>
          <w:lang w:val="pt-BR"/>
        </w:rPr>
        <w:t>.</w:t>
      </w:r>
    </w:p>
    <w:p w14:paraId="63DC3190" w14:textId="77777777" w:rsidR="001B7DAE" w:rsidRPr="005C5064" w:rsidRDefault="001B7DAE" w:rsidP="00D04605">
      <w:pPr>
        <w:pStyle w:val="NormalWeb"/>
        <w:spacing w:before="0" w:beforeAutospacing="0" w:after="0" w:afterAutospacing="0"/>
        <w:jc w:val="both"/>
        <w:rPr>
          <w:sz w:val="22"/>
          <w:szCs w:val="22"/>
          <w:lang w:val="pt-BR"/>
        </w:rPr>
      </w:pPr>
    </w:p>
    <w:p w14:paraId="11664D5D" w14:textId="734FBBB2" w:rsidR="001B7DAE" w:rsidRPr="005C5064" w:rsidRDefault="00B90377" w:rsidP="001B7DAE">
      <w:pPr>
        <w:pStyle w:val="NormalWeb"/>
        <w:numPr>
          <w:ilvl w:val="0"/>
          <w:numId w:val="23"/>
        </w:numPr>
        <w:tabs>
          <w:tab w:val="clear" w:pos="720"/>
          <w:tab w:val="num" w:pos="2520"/>
        </w:tabs>
        <w:spacing w:before="0" w:beforeAutospacing="0" w:after="0" w:afterAutospacing="0"/>
        <w:ind w:left="2520" w:hanging="54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Devem ser estabelecidos </w:t>
      </w:r>
      <w:r w:rsidRPr="005C5064">
        <w:rPr>
          <w:b/>
          <w:bCs/>
          <w:sz w:val="22"/>
          <w:szCs w:val="22"/>
          <w:lang w:val="pt-BR"/>
        </w:rPr>
        <w:t>p</w:t>
      </w:r>
      <w:r w:rsidR="001B7DAE" w:rsidRPr="005C5064">
        <w:rPr>
          <w:b/>
          <w:bCs/>
          <w:sz w:val="22"/>
          <w:szCs w:val="22"/>
          <w:lang w:val="pt-BR"/>
        </w:rPr>
        <w:t xml:space="preserve">rogramas de treinamento </w:t>
      </w:r>
      <w:r w:rsidR="001B7DAE" w:rsidRPr="005C5064">
        <w:rPr>
          <w:sz w:val="22"/>
          <w:szCs w:val="22"/>
          <w:lang w:val="pt-BR"/>
        </w:rPr>
        <w:t>eficazes para equipar</w:t>
      </w:r>
      <w:r w:rsidRPr="005C5064">
        <w:rPr>
          <w:sz w:val="22"/>
          <w:szCs w:val="22"/>
          <w:lang w:val="pt-BR"/>
        </w:rPr>
        <w:t xml:space="preserve"> os</w:t>
      </w:r>
      <w:r w:rsidR="001B7DAE" w:rsidRPr="005C5064">
        <w:rPr>
          <w:sz w:val="22"/>
          <w:szCs w:val="22"/>
          <w:lang w:val="pt-BR"/>
        </w:rPr>
        <w:t xml:space="preserve"> responsáveis pela formulação de políticas e tomadores de decisão com o conhecimento e entendimento necessário dos dados científicos relacionados a desastres naturais. Isso permitir</w:t>
      </w:r>
      <w:r w:rsidRPr="005C5064">
        <w:rPr>
          <w:sz w:val="22"/>
          <w:szCs w:val="22"/>
          <w:lang w:val="pt-BR"/>
        </w:rPr>
        <w:t>i</w:t>
      </w:r>
      <w:r w:rsidR="001B7DAE" w:rsidRPr="005C5064">
        <w:rPr>
          <w:sz w:val="22"/>
          <w:szCs w:val="22"/>
          <w:lang w:val="pt-BR"/>
        </w:rPr>
        <w:t>a que os países tomem decisões informadas com base em evidência</w:t>
      </w:r>
      <w:r w:rsidRPr="005C5064">
        <w:rPr>
          <w:sz w:val="22"/>
          <w:szCs w:val="22"/>
          <w:lang w:val="pt-BR"/>
        </w:rPr>
        <w:t>s</w:t>
      </w:r>
      <w:r w:rsidR="001B7DAE" w:rsidRPr="005C5064">
        <w:rPr>
          <w:sz w:val="22"/>
          <w:szCs w:val="22"/>
          <w:lang w:val="pt-BR"/>
        </w:rPr>
        <w:t xml:space="preserve"> e experiências passadas.</w:t>
      </w:r>
    </w:p>
    <w:p w14:paraId="1CB2996B" w14:textId="009F05B3" w:rsidR="001B7DAE" w:rsidRPr="005C5064" w:rsidRDefault="001B7DAE" w:rsidP="001B7DAE">
      <w:pPr>
        <w:pStyle w:val="NormalWeb"/>
        <w:numPr>
          <w:ilvl w:val="0"/>
          <w:numId w:val="23"/>
        </w:numPr>
        <w:tabs>
          <w:tab w:val="clear" w:pos="720"/>
          <w:tab w:val="num" w:pos="2520"/>
        </w:tabs>
        <w:spacing w:before="0" w:beforeAutospacing="0" w:after="0" w:afterAutospacing="0"/>
        <w:ind w:left="2520" w:hanging="54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Para garantir uma resposta rápida e eficiente aos desastres naturais, há uma necessidade crucial de melhor </w:t>
      </w:r>
      <w:r w:rsidRPr="005C5064">
        <w:rPr>
          <w:b/>
          <w:bCs/>
          <w:sz w:val="22"/>
          <w:szCs w:val="22"/>
          <w:lang w:val="pt-BR"/>
        </w:rPr>
        <w:t>coordenação e comunicação entre governos, organizações de auxílio e comunidades locais em áreas de alto risco</w:t>
      </w:r>
      <w:r w:rsidRPr="005C5064">
        <w:rPr>
          <w:sz w:val="22"/>
          <w:szCs w:val="22"/>
          <w:lang w:val="pt-BR"/>
        </w:rPr>
        <w:t xml:space="preserve">. </w:t>
      </w:r>
      <w:r w:rsidR="00B90377" w:rsidRPr="005C5064">
        <w:rPr>
          <w:sz w:val="22"/>
          <w:szCs w:val="22"/>
          <w:lang w:val="pt-BR"/>
        </w:rPr>
        <w:t>É preciso estabelecer l</w:t>
      </w:r>
      <w:r w:rsidRPr="005C5064">
        <w:rPr>
          <w:sz w:val="22"/>
          <w:szCs w:val="22"/>
          <w:lang w:val="pt-BR"/>
        </w:rPr>
        <w:t>inhas claras de comunicação e protocolos de resposta para minimizar o impacto de desastres.</w:t>
      </w:r>
    </w:p>
    <w:p w14:paraId="0AB44CEE" w14:textId="77777777" w:rsidR="001B7DAE" w:rsidRPr="005C5064" w:rsidRDefault="001B7DAE" w:rsidP="001B7DAE">
      <w:pPr>
        <w:pStyle w:val="Heading3"/>
        <w:spacing w:before="0" w:line="240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14:paraId="41F7FCA2" w14:textId="77777777" w:rsidR="001B7DAE" w:rsidRPr="005C5064" w:rsidRDefault="001B7DAE" w:rsidP="001B7DAE">
      <w:pPr>
        <w:pStyle w:val="Heading3"/>
        <w:ind w:left="1440"/>
        <w:rPr>
          <w:rFonts w:ascii="Times New Roman" w:hAnsi="Times New Roman" w:cs="Times New Roman"/>
          <w:sz w:val="22"/>
          <w:szCs w:val="22"/>
          <w:lang w:val="pt-BR"/>
        </w:rPr>
      </w:pPr>
      <w:bookmarkStart w:id="17" w:name="_Toc131067754"/>
      <w:bookmarkStart w:id="18" w:name="_Toc131518816"/>
      <w:r w:rsidRPr="005C5064">
        <w:rPr>
          <w:rFonts w:ascii="Times New Roman" w:hAnsi="Times New Roman" w:cs="Times New Roman"/>
          <w:sz w:val="22"/>
          <w:szCs w:val="22"/>
          <w:lang w:val="pt-BR"/>
        </w:rPr>
        <w:t>ESTRATÉGIA 2 – Mitigação da Mudança Climática:  Ações para Reduzir e Sequestrar Emissões de Gases de Efeito Estufa</w:t>
      </w:r>
      <w:bookmarkEnd w:id="17"/>
      <w:bookmarkEnd w:id="18"/>
    </w:p>
    <w:p w14:paraId="61A3B934" w14:textId="77777777" w:rsidR="001B7DAE" w:rsidRPr="005C5064" w:rsidRDefault="001B7DAE" w:rsidP="001B7DAE">
      <w:pPr>
        <w:rPr>
          <w:lang w:val="pt-BR"/>
        </w:rPr>
      </w:pPr>
    </w:p>
    <w:p w14:paraId="6104DE60" w14:textId="22301F83" w:rsidR="001B7DAE" w:rsidRPr="005C5064" w:rsidRDefault="001B7DAE" w:rsidP="001B7DAE">
      <w:pPr>
        <w:ind w:left="144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É normalmente aceito que a rápida descarbonização da economia mundial por meio da redução de concentrações atmosféricas das emissões de </w:t>
      </w:r>
      <w:r w:rsidR="003842AF" w:rsidRPr="005C5064">
        <w:rPr>
          <w:sz w:val="22"/>
          <w:szCs w:val="22"/>
          <w:lang w:val="pt-BR"/>
        </w:rPr>
        <w:t>g</w:t>
      </w:r>
      <w:r w:rsidRPr="005C5064">
        <w:rPr>
          <w:sz w:val="22"/>
          <w:szCs w:val="22"/>
          <w:lang w:val="pt-BR"/>
        </w:rPr>
        <w:t xml:space="preserve">ases de </w:t>
      </w:r>
      <w:r w:rsidR="003842AF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 xml:space="preserve">feito </w:t>
      </w:r>
      <w:r w:rsidR="003842AF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 xml:space="preserve">stufa (GEE) é crucial para </w:t>
      </w:r>
      <w:r w:rsidR="003842AF" w:rsidRPr="005C5064">
        <w:rPr>
          <w:sz w:val="22"/>
          <w:szCs w:val="22"/>
          <w:lang w:val="pt-BR"/>
        </w:rPr>
        <w:t xml:space="preserve">atingir </w:t>
      </w:r>
      <w:r w:rsidRPr="005C5064">
        <w:rPr>
          <w:sz w:val="22"/>
          <w:szCs w:val="22"/>
          <w:lang w:val="pt-BR"/>
        </w:rPr>
        <w:t>os objetivos do Acordo de Paris e os Objetivos de Desenvolvimento Sustentável (</w:t>
      </w:r>
      <w:r w:rsidR="003842AF" w:rsidRPr="005C5064">
        <w:rPr>
          <w:sz w:val="22"/>
          <w:szCs w:val="22"/>
          <w:lang w:val="pt-BR"/>
        </w:rPr>
        <w:t>O</w:t>
      </w:r>
      <w:r w:rsidRPr="005C5064">
        <w:rPr>
          <w:sz w:val="22"/>
          <w:szCs w:val="22"/>
          <w:lang w:val="pt-BR"/>
        </w:rPr>
        <w:t>DS) aprovados em 2015. Também são cr</w:t>
      </w:r>
      <w:r w:rsidR="003842AF" w:rsidRPr="005C5064">
        <w:rPr>
          <w:sz w:val="22"/>
          <w:szCs w:val="22"/>
          <w:lang w:val="pt-BR"/>
        </w:rPr>
        <w:t>uciai</w:t>
      </w:r>
      <w:r w:rsidRPr="005C5064">
        <w:rPr>
          <w:sz w:val="22"/>
          <w:szCs w:val="22"/>
          <w:lang w:val="pt-BR"/>
        </w:rPr>
        <w:t xml:space="preserve">s em termos de mitigação os esforços de preservação e aumento do sequestro de carbono através das funções dos ecossistemas e da biodiversidade terrestre e marinha. </w:t>
      </w:r>
      <w:r w:rsidR="003842AF" w:rsidRPr="005C5064">
        <w:rPr>
          <w:sz w:val="22"/>
          <w:szCs w:val="22"/>
          <w:lang w:val="pt-BR"/>
        </w:rPr>
        <w:t>Algumas</w:t>
      </w:r>
      <w:r w:rsidRPr="005C5064">
        <w:rPr>
          <w:sz w:val="22"/>
          <w:szCs w:val="22"/>
          <w:lang w:val="pt-BR"/>
        </w:rPr>
        <w:t xml:space="preserve"> po</w:t>
      </w:r>
      <w:r w:rsidR="003842AF" w:rsidRPr="005C5064">
        <w:rPr>
          <w:sz w:val="22"/>
          <w:szCs w:val="22"/>
          <w:lang w:val="pt-BR"/>
        </w:rPr>
        <w:t>ssívei</w:t>
      </w:r>
      <w:r w:rsidRPr="005C5064">
        <w:rPr>
          <w:sz w:val="22"/>
          <w:szCs w:val="22"/>
          <w:lang w:val="pt-BR"/>
        </w:rPr>
        <w:t>s ações de mitigação são descritas a</w:t>
      </w:r>
      <w:r w:rsidR="003842AF" w:rsidRPr="005C5064">
        <w:rPr>
          <w:sz w:val="22"/>
          <w:szCs w:val="22"/>
          <w:lang w:val="pt-BR"/>
        </w:rPr>
        <w:t>diante.</w:t>
      </w:r>
    </w:p>
    <w:p w14:paraId="12D3E497" w14:textId="77777777" w:rsidR="001B7DAE" w:rsidRPr="005C5064" w:rsidRDefault="001B7DAE" w:rsidP="001B7DAE">
      <w:pPr>
        <w:ind w:firstLine="720"/>
        <w:jc w:val="both"/>
        <w:rPr>
          <w:sz w:val="22"/>
          <w:szCs w:val="22"/>
          <w:lang w:val="pt-BR"/>
        </w:rPr>
      </w:pPr>
    </w:p>
    <w:p w14:paraId="65F534EB" w14:textId="77777777" w:rsidR="001B7DAE" w:rsidRPr="005C5064" w:rsidRDefault="001B7DAE" w:rsidP="001B7DAE">
      <w:pPr>
        <w:ind w:left="1980"/>
        <w:jc w:val="both"/>
        <w:rPr>
          <w:sz w:val="22"/>
          <w:szCs w:val="22"/>
          <w:lang w:val="pt-BR"/>
        </w:rPr>
      </w:pPr>
      <w:r w:rsidRPr="005C5064">
        <w:rPr>
          <w:b/>
          <w:bCs/>
          <w:sz w:val="22"/>
          <w:szCs w:val="22"/>
          <w:lang w:val="pt-BR"/>
        </w:rPr>
        <w:t>Acelerar a transição para soluções energéticas sustentáveis, principalmente energia renovável e eficiência energética</w:t>
      </w:r>
    </w:p>
    <w:p w14:paraId="0AFC00D4" w14:textId="77777777" w:rsidR="001B7DAE" w:rsidRPr="005C5064" w:rsidRDefault="001B7DAE" w:rsidP="001B7DAE">
      <w:pPr>
        <w:jc w:val="both"/>
        <w:rPr>
          <w:sz w:val="22"/>
          <w:szCs w:val="22"/>
          <w:lang w:val="pt-BR"/>
        </w:rPr>
      </w:pPr>
    </w:p>
    <w:p w14:paraId="00B8763F" w14:textId="44567BFC" w:rsidR="001B7DAE" w:rsidRPr="005C5064" w:rsidRDefault="001B7DAE" w:rsidP="001B7DAE">
      <w:pPr>
        <w:pStyle w:val="ListParagraph0"/>
        <w:numPr>
          <w:ilvl w:val="0"/>
          <w:numId w:val="28"/>
        </w:numPr>
        <w:ind w:left="2520" w:hanging="540"/>
        <w:jc w:val="both"/>
        <w:rPr>
          <w:sz w:val="22"/>
          <w:szCs w:val="22"/>
          <w:lang w:val="pt-BR"/>
        </w:rPr>
      </w:pPr>
      <w:r w:rsidRPr="005C5064">
        <w:rPr>
          <w:rFonts w:eastAsia="Times New Roman"/>
          <w:sz w:val="22"/>
          <w:szCs w:val="22"/>
          <w:lang w:val="pt-BR"/>
        </w:rPr>
        <w:t xml:space="preserve">Os </w:t>
      </w:r>
      <w:r w:rsidR="003842AF" w:rsidRPr="005C5064">
        <w:rPr>
          <w:rFonts w:eastAsia="Times New Roman"/>
          <w:sz w:val="22"/>
          <w:szCs w:val="22"/>
          <w:lang w:val="pt-BR"/>
        </w:rPr>
        <w:t>g</w:t>
      </w:r>
      <w:r w:rsidRPr="005C5064">
        <w:rPr>
          <w:rFonts w:eastAsia="Times New Roman"/>
          <w:sz w:val="22"/>
          <w:szCs w:val="22"/>
          <w:lang w:val="pt-BR"/>
        </w:rPr>
        <w:t xml:space="preserve">overnos da região podem adotar e melhorar </w:t>
      </w:r>
      <w:r w:rsidRPr="005C5064">
        <w:rPr>
          <w:rFonts w:eastAsia="Times New Roman"/>
          <w:b/>
          <w:bCs/>
          <w:sz w:val="22"/>
          <w:szCs w:val="22"/>
          <w:lang w:val="pt-BR"/>
        </w:rPr>
        <w:t>políticas e mandatos para incentivar a ampla adoção de soluções de energia renovável e eficiência energética</w:t>
      </w:r>
      <w:r w:rsidRPr="005C5064">
        <w:rPr>
          <w:rFonts w:eastAsia="Times New Roman"/>
          <w:sz w:val="22"/>
          <w:szCs w:val="22"/>
          <w:lang w:val="pt-BR"/>
        </w:rPr>
        <w:t>.</w:t>
      </w:r>
    </w:p>
    <w:p w14:paraId="3F9D0F53" w14:textId="3DCCDCE8" w:rsidR="001B7DAE" w:rsidRPr="005C5064" w:rsidRDefault="001B7DAE" w:rsidP="001B7DAE">
      <w:pPr>
        <w:pStyle w:val="ListParagraph0"/>
        <w:numPr>
          <w:ilvl w:val="0"/>
          <w:numId w:val="28"/>
        </w:numPr>
        <w:ind w:left="2520" w:hanging="540"/>
        <w:jc w:val="both"/>
        <w:rPr>
          <w:sz w:val="22"/>
          <w:szCs w:val="22"/>
          <w:lang w:val="pt-BR"/>
        </w:rPr>
      </w:pPr>
      <w:r w:rsidRPr="005C5064">
        <w:rPr>
          <w:rFonts w:eastAsia="Times New Roman"/>
          <w:sz w:val="22"/>
          <w:szCs w:val="22"/>
          <w:lang w:val="pt-BR"/>
        </w:rPr>
        <w:t xml:space="preserve">É essencial </w:t>
      </w:r>
      <w:r w:rsidRPr="005C5064">
        <w:rPr>
          <w:rFonts w:eastAsia="Times New Roman"/>
          <w:b/>
          <w:bCs/>
          <w:sz w:val="22"/>
          <w:szCs w:val="22"/>
          <w:lang w:val="pt-BR"/>
        </w:rPr>
        <w:t xml:space="preserve">promover campanhas de conscientização pública e </w:t>
      </w:r>
      <w:r w:rsidR="001A7833" w:rsidRPr="005C5064">
        <w:rPr>
          <w:rFonts w:eastAsia="Times New Roman"/>
          <w:b/>
          <w:bCs/>
          <w:sz w:val="22"/>
          <w:szCs w:val="22"/>
          <w:lang w:val="pt-BR"/>
        </w:rPr>
        <w:t>intercâmbio</w:t>
      </w:r>
      <w:r w:rsidRPr="005C5064">
        <w:rPr>
          <w:rFonts w:eastAsia="Times New Roman"/>
          <w:b/>
          <w:bCs/>
          <w:sz w:val="22"/>
          <w:szCs w:val="22"/>
          <w:lang w:val="pt-BR"/>
        </w:rPr>
        <w:t xml:space="preserve"> de conhecimento</w:t>
      </w:r>
      <w:r w:rsidRPr="005C5064">
        <w:rPr>
          <w:rFonts w:eastAsia="Times New Roman"/>
          <w:sz w:val="22"/>
          <w:szCs w:val="22"/>
          <w:lang w:val="pt-BR"/>
        </w:rPr>
        <w:t xml:space="preserve"> para educar indivíduos sobre as vantagens da energia renovável e da eficiência energética.</w:t>
      </w:r>
    </w:p>
    <w:p w14:paraId="0761C517" w14:textId="26C29AE1" w:rsidR="001B7DAE" w:rsidRPr="005C5064" w:rsidRDefault="001A7833" w:rsidP="001B7DAE">
      <w:pPr>
        <w:pStyle w:val="ListParagraph0"/>
        <w:numPr>
          <w:ilvl w:val="0"/>
          <w:numId w:val="28"/>
        </w:numPr>
        <w:ind w:left="2520" w:hanging="540"/>
        <w:jc w:val="both"/>
        <w:rPr>
          <w:sz w:val="22"/>
          <w:szCs w:val="22"/>
          <w:lang w:val="pt-BR"/>
        </w:rPr>
      </w:pPr>
      <w:r w:rsidRPr="005C5064">
        <w:rPr>
          <w:rFonts w:eastAsia="Times New Roman"/>
          <w:sz w:val="22"/>
          <w:szCs w:val="22"/>
          <w:lang w:val="pt-BR"/>
        </w:rPr>
        <w:t>E</w:t>
      </w:r>
      <w:r w:rsidR="001B7DAE" w:rsidRPr="005C5064">
        <w:rPr>
          <w:rFonts w:eastAsia="Times New Roman"/>
          <w:sz w:val="22"/>
          <w:szCs w:val="22"/>
          <w:lang w:val="pt-BR"/>
        </w:rPr>
        <w:t xml:space="preserve">sforços </w:t>
      </w:r>
      <w:r w:rsidR="00701CE3" w:rsidRPr="005C5064">
        <w:rPr>
          <w:rFonts w:eastAsia="Times New Roman"/>
          <w:sz w:val="22"/>
          <w:szCs w:val="22"/>
          <w:lang w:val="pt-BR"/>
        </w:rPr>
        <w:t xml:space="preserve">de </w:t>
      </w:r>
      <w:r w:rsidR="001B7DAE" w:rsidRPr="005C5064">
        <w:rPr>
          <w:rFonts w:eastAsia="Times New Roman"/>
          <w:sz w:val="22"/>
          <w:szCs w:val="22"/>
          <w:lang w:val="pt-BR"/>
        </w:rPr>
        <w:t>colabora</w:t>
      </w:r>
      <w:r w:rsidR="00701CE3" w:rsidRPr="005C5064">
        <w:rPr>
          <w:rFonts w:eastAsia="Times New Roman"/>
          <w:sz w:val="22"/>
          <w:szCs w:val="22"/>
          <w:lang w:val="pt-BR"/>
        </w:rPr>
        <w:t>ção</w:t>
      </w:r>
      <w:r w:rsidR="001B7DAE" w:rsidRPr="005C5064">
        <w:rPr>
          <w:rFonts w:eastAsia="Times New Roman"/>
          <w:sz w:val="22"/>
          <w:szCs w:val="22"/>
          <w:lang w:val="pt-BR"/>
        </w:rPr>
        <w:t xml:space="preserve"> entre os países </w:t>
      </w:r>
      <w:r w:rsidRPr="005C5064">
        <w:rPr>
          <w:rFonts w:eastAsia="Times New Roman"/>
          <w:sz w:val="22"/>
          <w:szCs w:val="22"/>
          <w:lang w:val="pt-BR"/>
        </w:rPr>
        <w:t>d</w:t>
      </w:r>
      <w:r w:rsidR="001B7DAE" w:rsidRPr="005C5064">
        <w:rPr>
          <w:rFonts w:eastAsia="Times New Roman"/>
          <w:sz w:val="22"/>
          <w:szCs w:val="22"/>
          <w:lang w:val="pt-BR"/>
        </w:rPr>
        <w:t xml:space="preserve">a região para estabelecer </w:t>
      </w:r>
      <w:r w:rsidR="001B7DAE" w:rsidRPr="005C5064">
        <w:rPr>
          <w:rFonts w:eastAsia="Times New Roman"/>
          <w:b/>
          <w:bCs/>
          <w:sz w:val="22"/>
          <w:szCs w:val="22"/>
          <w:lang w:val="pt-BR"/>
        </w:rPr>
        <w:t xml:space="preserve">acordos regionais e maior integração são necessários para </w:t>
      </w:r>
      <w:r w:rsidRPr="005C5064">
        <w:rPr>
          <w:rFonts w:eastAsia="Times New Roman"/>
          <w:b/>
          <w:bCs/>
          <w:sz w:val="22"/>
          <w:szCs w:val="22"/>
          <w:lang w:val="pt-BR"/>
        </w:rPr>
        <w:t>inc</w:t>
      </w:r>
      <w:r w:rsidR="001B7DAE" w:rsidRPr="005C5064">
        <w:rPr>
          <w:rFonts w:eastAsia="Times New Roman"/>
          <w:b/>
          <w:bCs/>
          <w:sz w:val="22"/>
          <w:szCs w:val="22"/>
          <w:lang w:val="pt-BR"/>
        </w:rPr>
        <w:t>en</w:t>
      </w:r>
      <w:r w:rsidRPr="005C5064">
        <w:rPr>
          <w:rFonts w:eastAsia="Times New Roman"/>
          <w:b/>
          <w:bCs/>
          <w:sz w:val="22"/>
          <w:szCs w:val="22"/>
          <w:lang w:val="pt-BR"/>
        </w:rPr>
        <w:t>tiv</w:t>
      </w:r>
      <w:r w:rsidR="001B7DAE" w:rsidRPr="005C5064">
        <w:rPr>
          <w:rFonts w:eastAsia="Times New Roman"/>
          <w:b/>
          <w:bCs/>
          <w:sz w:val="22"/>
          <w:szCs w:val="22"/>
          <w:lang w:val="pt-BR"/>
        </w:rPr>
        <w:t>ar a adoção de soluções de energia renovável e eficiência energética em maior escala</w:t>
      </w:r>
      <w:r w:rsidR="001B7DAE" w:rsidRPr="005C5064">
        <w:rPr>
          <w:rFonts w:eastAsia="Times New Roman"/>
          <w:sz w:val="22"/>
          <w:szCs w:val="22"/>
          <w:lang w:val="pt-BR"/>
        </w:rPr>
        <w:t>.</w:t>
      </w:r>
    </w:p>
    <w:p w14:paraId="4CD2AB71" w14:textId="77777777" w:rsidR="001B7DAE" w:rsidRPr="005C5064" w:rsidRDefault="001B7DAE" w:rsidP="001B7DAE">
      <w:pPr>
        <w:pStyle w:val="ListParagraph0"/>
        <w:ind w:left="0"/>
        <w:jc w:val="both"/>
        <w:rPr>
          <w:b/>
          <w:bCs/>
          <w:i/>
          <w:iCs/>
          <w:sz w:val="22"/>
          <w:szCs w:val="22"/>
          <w:lang w:val="pt-BR"/>
        </w:rPr>
      </w:pPr>
    </w:p>
    <w:p w14:paraId="4907EEB5" w14:textId="77777777" w:rsidR="001B7DAE" w:rsidRPr="005C5064" w:rsidRDefault="001B7DAE" w:rsidP="001B7DAE">
      <w:pPr>
        <w:pStyle w:val="ListParagraph0"/>
        <w:ind w:left="1980"/>
        <w:jc w:val="both"/>
        <w:rPr>
          <w:b/>
          <w:bCs/>
          <w:sz w:val="22"/>
          <w:szCs w:val="22"/>
          <w:lang w:val="pt-BR"/>
        </w:rPr>
      </w:pPr>
      <w:r w:rsidRPr="005C5064">
        <w:rPr>
          <w:b/>
          <w:bCs/>
          <w:sz w:val="22"/>
          <w:szCs w:val="22"/>
          <w:lang w:val="pt-BR"/>
        </w:rPr>
        <w:t>Promover o uso de soluções climáticas naturais</w:t>
      </w:r>
    </w:p>
    <w:p w14:paraId="505D7BBB" w14:textId="77777777" w:rsidR="001B7DAE" w:rsidRPr="005C5064" w:rsidRDefault="001B7DAE" w:rsidP="001B7DAE">
      <w:pPr>
        <w:pStyle w:val="ListParagraph0"/>
        <w:ind w:left="0"/>
        <w:jc w:val="both"/>
        <w:rPr>
          <w:sz w:val="22"/>
          <w:szCs w:val="22"/>
          <w:lang w:val="pt-BR"/>
        </w:rPr>
      </w:pPr>
    </w:p>
    <w:p w14:paraId="2D6096F1" w14:textId="45C2B5FB" w:rsidR="001B7DAE" w:rsidRPr="005C5064" w:rsidRDefault="001B7DAE" w:rsidP="001B7DAE">
      <w:pPr>
        <w:pStyle w:val="ListParagraph0"/>
        <w:numPr>
          <w:ilvl w:val="0"/>
          <w:numId w:val="24"/>
        </w:numPr>
        <w:ind w:left="2520" w:hanging="540"/>
        <w:jc w:val="both"/>
        <w:rPr>
          <w:rFonts w:eastAsia="Times New Roman"/>
          <w:sz w:val="22"/>
          <w:szCs w:val="22"/>
          <w:lang w:val="pt-BR"/>
        </w:rPr>
      </w:pPr>
      <w:r w:rsidRPr="005C5064">
        <w:rPr>
          <w:rFonts w:eastAsia="Times New Roman"/>
          <w:sz w:val="22"/>
          <w:szCs w:val="22"/>
          <w:lang w:val="pt-BR"/>
        </w:rPr>
        <w:t xml:space="preserve">A região da América Latina e </w:t>
      </w:r>
      <w:r w:rsidR="00701CE3" w:rsidRPr="005C5064">
        <w:rPr>
          <w:rFonts w:eastAsia="Times New Roman"/>
          <w:sz w:val="22"/>
          <w:szCs w:val="22"/>
          <w:lang w:val="pt-BR"/>
        </w:rPr>
        <w:t>d</w:t>
      </w:r>
      <w:r w:rsidRPr="005C5064">
        <w:rPr>
          <w:rFonts w:eastAsia="Times New Roman"/>
          <w:sz w:val="22"/>
          <w:szCs w:val="22"/>
          <w:lang w:val="pt-BR"/>
        </w:rPr>
        <w:t xml:space="preserve">o Caribe (ALC) </w:t>
      </w:r>
      <w:r w:rsidR="00701CE3" w:rsidRPr="005C5064">
        <w:rPr>
          <w:rFonts w:eastAsia="Times New Roman"/>
          <w:sz w:val="22"/>
          <w:szCs w:val="22"/>
          <w:lang w:val="pt-BR"/>
        </w:rPr>
        <w:t>possui</w:t>
      </w:r>
      <w:r w:rsidRPr="005C5064">
        <w:rPr>
          <w:rFonts w:eastAsia="Times New Roman"/>
          <w:sz w:val="22"/>
          <w:szCs w:val="22"/>
          <w:lang w:val="pt-BR"/>
        </w:rPr>
        <w:t xml:space="preserve"> </w:t>
      </w:r>
      <w:r w:rsidR="00701CE3" w:rsidRPr="005C5064">
        <w:rPr>
          <w:rFonts w:eastAsia="Times New Roman"/>
          <w:sz w:val="22"/>
          <w:szCs w:val="22"/>
          <w:lang w:val="pt-BR"/>
        </w:rPr>
        <w:t xml:space="preserve">uma incrível </w:t>
      </w:r>
      <w:r w:rsidRPr="005C5064">
        <w:rPr>
          <w:rFonts w:eastAsia="Times New Roman"/>
          <w:sz w:val="22"/>
          <w:szCs w:val="22"/>
          <w:lang w:val="pt-BR"/>
        </w:rPr>
        <w:t xml:space="preserve">riqueza de biodiversidades, tornando crucial </w:t>
      </w:r>
      <w:r w:rsidRPr="005C5064">
        <w:rPr>
          <w:rFonts w:eastAsia="Times New Roman"/>
          <w:b/>
          <w:bCs/>
          <w:sz w:val="22"/>
          <w:szCs w:val="22"/>
          <w:lang w:val="pt-BR"/>
        </w:rPr>
        <w:t>priorizar a proteção e a recuperação de florestas, pastos e pântanos.</w:t>
      </w:r>
      <w:r w:rsidRPr="005C5064">
        <w:rPr>
          <w:rFonts w:eastAsia="Times New Roman"/>
          <w:sz w:val="22"/>
          <w:szCs w:val="22"/>
          <w:lang w:val="pt-BR"/>
        </w:rPr>
        <w:t xml:space="preserve"> Esses ecossistemas são vitais para fornecer serviços essenciais do ecossistema e atuar como </w:t>
      </w:r>
      <w:r w:rsidR="00701CE3" w:rsidRPr="005C5064">
        <w:rPr>
          <w:rFonts w:eastAsia="Times New Roman"/>
          <w:sz w:val="22"/>
          <w:szCs w:val="22"/>
          <w:lang w:val="pt-BR"/>
        </w:rPr>
        <w:lastRenderedPageBreak/>
        <w:t>reservatórios</w:t>
      </w:r>
      <w:r w:rsidRPr="005C5064">
        <w:rPr>
          <w:rFonts w:eastAsia="Times New Roman"/>
          <w:sz w:val="22"/>
          <w:szCs w:val="22"/>
          <w:lang w:val="pt-BR"/>
        </w:rPr>
        <w:t xml:space="preserve"> naturais de carbono, ajudando a mitigar o impacto das emissões de carbono na atmosfera.</w:t>
      </w:r>
    </w:p>
    <w:p w14:paraId="6D8B6581" w14:textId="7FE12A8A" w:rsidR="001B7DAE" w:rsidRPr="005C5064" w:rsidRDefault="001B7DAE" w:rsidP="001B7DAE">
      <w:pPr>
        <w:pStyle w:val="ListParagraph0"/>
        <w:numPr>
          <w:ilvl w:val="0"/>
          <w:numId w:val="24"/>
        </w:numPr>
        <w:ind w:left="2520" w:hanging="540"/>
        <w:jc w:val="both"/>
        <w:rPr>
          <w:rFonts w:eastAsia="Times New Roman"/>
          <w:sz w:val="22"/>
          <w:szCs w:val="22"/>
          <w:lang w:val="pt-BR"/>
        </w:rPr>
      </w:pPr>
      <w:r w:rsidRPr="005C5064">
        <w:rPr>
          <w:rFonts w:eastAsia="Times New Roman"/>
          <w:sz w:val="22"/>
          <w:szCs w:val="22"/>
          <w:lang w:val="pt-BR"/>
        </w:rPr>
        <w:t xml:space="preserve">Uma forma de apoiar os esforços da região da ALC para combater a mudança climática é </w:t>
      </w:r>
      <w:r w:rsidRPr="005C5064">
        <w:rPr>
          <w:rFonts w:eastAsia="Times New Roman"/>
          <w:b/>
          <w:bCs/>
          <w:sz w:val="22"/>
          <w:szCs w:val="22"/>
          <w:lang w:val="pt-BR"/>
        </w:rPr>
        <w:t>promover práticas agrícolas regenerativas.</w:t>
      </w:r>
      <w:r w:rsidRPr="005C5064">
        <w:rPr>
          <w:rFonts w:eastAsia="Times New Roman"/>
          <w:sz w:val="22"/>
          <w:szCs w:val="22"/>
          <w:lang w:val="pt-BR"/>
        </w:rPr>
        <w:t xml:space="preserve"> Essas práticas </w:t>
      </w:r>
      <w:r w:rsidR="00425361" w:rsidRPr="005C5064">
        <w:rPr>
          <w:rFonts w:eastAsia="Times New Roman"/>
          <w:sz w:val="22"/>
          <w:szCs w:val="22"/>
          <w:lang w:val="pt-BR"/>
        </w:rPr>
        <w:t>concentram-se em</w:t>
      </w:r>
      <w:r w:rsidRPr="005C5064">
        <w:rPr>
          <w:rFonts w:eastAsia="Times New Roman"/>
          <w:sz w:val="22"/>
          <w:szCs w:val="22"/>
          <w:lang w:val="pt-BR"/>
        </w:rPr>
        <w:t xml:space="preserve"> solo</w:t>
      </w:r>
      <w:r w:rsidR="00425361" w:rsidRPr="005C5064">
        <w:rPr>
          <w:rFonts w:eastAsia="Times New Roman"/>
          <w:sz w:val="22"/>
          <w:szCs w:val="22"/>
          <w:lang w:val="pt-BR"/>
        </w:rPr>
        <w:t>s</w:t>
      </w:r>
      <w:r w:rsidRPr="005C5064">
        <w:rPr>
          <w:rFonts w:eastAsia="Times New Roman"/>
          <w:sz w:val="22"/>
          <w:szCs w:val="22"/>
          <w:lang w:val="pt-BR"/>
        </w:rPr>
        <w:t xml:space="preserve"> saudáve</w:t>
      </w:r>
      <w:r w:rsidR="00425361" w:rsidRPr="005C5064">
        <w:rPr>
          <w:rFonts w:eastAsia="Times New Roman"/>
          <w:sz w:val="22"/>
          <w:szCs w:val="22"/>
          <w:lang w:val="pt-BR"/>
        </w:rPr>
        <w:t>is</w:t>
      </w:r>
      <w:r w:rsidRPr="005C5064">
        <w:rPr>
          <w:rFonts w:eastAsia="Times New Roman"/>
          <w:sz w:val="22"/>
          <w:szCs w:val="22"/>
          <w:lang w:val="pt-BR"/>
        </w:rPr>
        <w:t xml:space="preserve"> e maximiza</w:t>
      </w:r>
      <w:r w:rsidR="00425361" w:rsidRPr="005C5064">
        <w:rPr>
          <w:rFonts w:eastAsia="Times New Roman"/>
          <w:sz w:val="22"/>
          <w:szCs w:val="22"/>
          <w:lang w:val="pt-BR"/>
        </w:rPr>
        <w:t>m</w:t>
      </w:r>
      <w:r w:rsidRPr="005C5064">
        <w:rPr>
          <w:rFonts w:eastAsia="Times New Roman"/>
          <w:sz w:val="22"/>
          <w:szCs w:val="22"/>
          <w:lang w:val="pt-BR"/>
        </w:rPr>
        <w:t xml:space="preserve"> o sequestro de carbono por meio de métodos baseados na natureza como o </w:t>
      </w:r>
      <w:r w:rsidR="00425361" w:rsidRPr="005C5064">
        <w:rPr>
          <w:rFonts w:eastAsia="Times New Roman"/>
          <w:sz w:val="22"/>
          <w:szCs w:val="22"/>
          <w:lang w:val="pt-BR"/>
        </w:rPr>
        <w:t>plantio direto</w:t>
      </w:r>
      <w:r w:rsidRPr="005C5064">
        <w:rPr>
          <w:rFonts w:eastAsia="Times New Roman"/>
          <w:sz w:val="22"/>
          <w:szCs w:val="22"/>
          <w:lang w:val="pt-BR"/>
        </w:rPr>
        <w:t xml:space="preserve">, </w:t>
      </w:r>
      <w:r w:rsidR="00B45817" w:rsidRPr="005C5064">
        <w:rPr>
          <w:rFonts w:eastAsia="Times New Roman"/>
          <w:sz w:val="22"/>
          <w:szCs w:val="22"/>
          <w:lang w:val="pt-BR"/>
        </w:rPr>
        <w:t xml:space="preserve">cultivo de plantas de cobertura </w:t>
      </w:r>
      <w:r w:rsidRPr="005C5064">
        <w:rPr>
          <w:rFonts w:eastAsia="Times New Roman"/>
          <w:sz w:val="22"/>
          <w:szCs w:val="22"/>
          <w:lang w:val="pt-BR"/>
        </w:rPr>
        <w:t>e rotação de cult</w:t>
      </w:r>
      <w:r w:rsidR="00B45817" w:rsidRPr="005C5064">
        <w:rPr>
          <w:rFonts w:eastAsia="Times New Roman"/>
          <w:sz w:val="22"/>
          <w:szCs w:val="22"/>
          <w:lang w:val="pt-BR"/>
        </w:rPr>
        <w:t>ura</w:t>
      </w:r>
      <w:r w:rsidRPr="005C5064">
        <w:rPr>
          <w:rFonts w:eastAsia="Times New Roman"/>
          <w:sz w:val="22"/>
          <w:szCs w:val="22"/>
          <w:lang w:val="pt-BR"/>
        </w:rPr>
        <w:t>s.</w:t>
      </w:r>
    </w:p>
    <w:p w14:paraId="17C1EA6B" w14:textId="2463A880" w:rsidR="001B7DAE" w:rsidRPr="005C5064" w:rsidRDefault="001B7DAE" w:rsidP="001B7DAE">
      <w:pPr>
        <w:pStyle w:val="ListParagraph0"/>
        <w:numPr>
          <w:ilvl w:val="0"/>
          <w:numId w:val="24"/>
        </w:numPr>
        <w:ind w:left="2520" w:hanging="540"/>
        <w:jc w:val="both"/>
        <w:rPr>
          <w:rFonts w:eastAsia="Times New Roman"/>
          <w:sz w:val="22"/>
          <w:szCs w:val="22"/>
          <w:lang w:val="pt-BR"/>
        </w:rPr>
      </w:pPr>
      <w:r w:rsidRPr="005C5064">
        <w:rPr>
          <w:rFonts w:eastAsia="Times New Roman"/>
          <w:sz w:val="22"/>
          <w:szCs w:val="22"/>
          <w:lang w:val="pt-BR"/>
        </w:rPr>
        <w:t xml:space="preserve">Para incentivar ainda mais práticas </w:t>
      </w:r>
      <w:r w:rsidR="00B45817" w:rsidRPr="005C5064">
        <w:rPr>
          <w:rFonts w:eastAsia="Times New Roman"/>
          <w:sz w:val="22"/>
          <w:szCs w:val="22"/>
          <w:lang w:val="pt-BR"/>
        </w:rPr>
        <w:t xml:space="preserve">sustentáveis </w:t>
      </w:r>
      <w:r w:rsidRPr="005C5064">
        <w:rPr>
          <w:rFonts w:eastAsia="Times New Roman"/>
          <w:sz w:val="22"/>
          <w:szCs w:val="22"/>
          <w:lang w:val="pt-BR"/>
        </w:rPr>
        <w:t xml:space="preserve">de gestão da terra, os países da ALC devem </w:t>
      </w:r>
      <w:r w:rsidRPr="005C5064">
        <w:rPr>
          <w:rFonts w:eastAsia="Times New Roman"/>
          <w:b/>
          <w:bCs/>
          <w:sz w:val="22"/>
          <w:szCs w:val="22"/>
          <w:lang w:val="pt-BR"/>
        </w:rPr>
        <w:t xml:space="preserve">promover incentivos e políticas </w:t>
      </w:r>
      <w:r w:rsidR="00B45817" w:rsidRPr="005C5064">
        <w:rPr>
          <w:rFonts w:eastAsia="Times New Roman"/>
          <w:b/>
          <w:bCs/>
          <w:sz w:val="22"/>
          <w:szCs w:val="22"/>
          <w:lang w:val="pt-BR"/>
        </w:rPr>
        <w:t xml:space="preserve">que sejam </w:t>
      </w:r>
      <w:r w:rsidRPr="005C5064">
        <w:rPr>
          <w:rFonts w:eastAsia="Times New Roman"/>
          <w:b/>
          <w:bCs/>
          <w:sz w:val="22"/>
          <w:szCs w:val="22"/>
          <w:lang w:val="pt-BR"/>
        </w:rPr>
        <w:t>base</w:t>
      </w:r>
      <w:r w:rsidR="00B45817" w:rsidRPr="005C5064">
        <w:rPr>
          <w:rFonts w:eastAsia="Times New Roman"/>
          <w:b/>
          <w:bCs/>
          <w:sz w:val="22"/>
          <w:szCs w:val="22"/>
          <w:lang w:val="pt-BR"/>
        </w:rPr>
        <w:t>adas</w:t>
      </w:r>
      <w:r w:rsidRPr="005C5064">
        <w:rPr>
          <w:rFonts w:eastAsia="Times New Roman"/>
          <w:b/>
          <w:bCs/>
          <w:sz w:val="22"/>
          <w:szCs w:val="22"/>
          <w:lang w:val="pt-BR"/>
        </w:rPr>
        <w:t xml:space="preserve"> em evidência</w:t>
      </w:r>
      <w:r w:rsidR="00B45817" w:rsidRPr="005C5064">
        <w:rPr>
          <w:rFonts w:eastAsia="Times New Roman"/>
          <w:b/>
          <w:bCs/>
          <w:sz w:val="22"/>
          <w:szCs w:val="22"/>
          <w:lang w:val="pt-BR"/>
        </w:rPr>
        <w:t>s</w:t>
      </w:r>
      <w:r w:rsidRPr="005C5064">
        <w:rPr>
          <w:rFonts w:eastAsia="Times New Roman"/>
          <w:b/>
          <w:bCs/>
          <w:sz w:val="22"/>
          <w:szCs w:val="22"/>
          <w:lang w:val="pt-BR"/>
        </w:rPr>
        <w:t xml:space="preserve"> e apoiem o uso de soluções climáticas.</w:t>
      </w:r>
      <w:r w:rsidRPr="005C5064">
        <w:rPr>
          <w:rFonts w:eastAsia="Times New Roman"/>
          <w:sz w:val="22"/>
          <w:szCs w:val="22"/>
          <w:lang w:val="pt-BR"/>
        </w:rPr>
        <w:t xml:space="preserve"> Exemplos dessas políticas incluem a fixação de preço do carbono, incentivos fiscais e subsídios. Incentivando práticas sustentáveis, ajudamos a proteger a biodiversidade da ALC </w:t>
      </w:r>
      <w:r w:rsidR="00B45817" w:rsidRPr="005C5064">
        <w:rPr>
          <w:rFonts w:eastAsia="Times New Roman"/>
          <w:sz w:val="22"/>
          <w:szCs w:val="22"/>
          <w:lang w:val="pt-BR"/>
        </w:rPr>
        <w:t xml:space="preserve">e </w:t>
      </w:r>
      <w:r w:rsidRPr="005C5064">
        <w:rPr>
          <w:rFonts w:eastAsia="Times New Roman"/>
          <w:sz w:val="22"/>
          <w:szCs w:val="22"/>
          <w:lang w:val="pt-BR"/>
        </w:rPr>
        <w:t>reduzi</w:t>
      </w:r>
      <w:r w:rsidR="00B45817" w:rsidRPr="005C5064">
        <w:rPr>
          <w:rFonts w:eastAsia="Times New Roman"/>
          <w:sz w:val="22"/>
          <w:szCs w:val="22"/>
          <w:lang w:val="pt-BR"/>
        </w:rPr>
        <w:t>r</w:t>
      </w:r>
      <w:r w:rsidRPr="005C5064">
        <w:rPr>
          <w:rFonts w:eastAsia="Times New Roman"/>
          <w:sz w:val="22"/>
          <w:szCs w:val="22"/>
          <w:lang w:val="pt-BR"/>
        </w:rPr>
        <w:t xml:space="preserve"> a pegada de carbono da região.</w:t>
      </w:r>
    </w:p>
    <w:p w14:paraId="054ADBB9" w14:textId="77777777" w:rsidR="001B7DAE" w:rsidRPr="005C5064" w:rsidRDefault="001B7DAE" w:rsidP="001B7DAE">
      <w:pPr>
        <w:pStyle w:val="Heading3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lang w:val="pt-BR"/>
        </w:rPr>
      </w:pPr>
    </w:p>
    <w:p w14:paraId="23DBFB4F" w14:textId="77777777" w:rsidR="001B7DAE" w:rsidRPr="005C5064" w:rsidRDefault="001B7DAE" w:rsidP="001B7DAE">
      <w:pPr>
        <w:pStyle w:val="Heading3"/>
        <w:ind w:left="1440"/>
        <w:rPr>
          <w:rFonts w:ascii="Times New Roman" w:hAnsi="Times New Roman" w:cs="Times New Roman"/>
          <w:sz w:val="22"/>
          <w:szCs w:val="22"/>
          <w:lang w:val="pt-BR"/>
        </w:rPr>
      </w:pPr>
      <w:bookmarkStart w:id="19" w:name="_Toc131067755"/>
      <w:bookmarkStart w:id="20" w:name="_Toc131518817"/>
      <w:r w:rsidRPr="005C5064">
        <w:rPr>
          <w:rFonts w:ascii="Times New Roman" w:hAnsi="Times New Roman" w:cs="Times New Roman"/>
          <w:sz w:val="22"/>
          <w:szCs w:val="22"/>
          <w:lang w:val="pt-BR"/>
        </w:rPr>
        <w:t>ESTRATÉGIA 3 – Financiamento Climático: Ações para Atender às Necessidades de Financiamento</w:t>
      </w:r>
      <w:bookmarkEnd w:id="19"/>
      <w:bookmarkEnd w:id="20"/>
      <w:r w:rsidRPr="005C5064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</w:p>
    <w:p w14:paraId="4944DAE4" w14:textId="77777777" w:rsidR="001B7DAE" w:rsidRPr="005C5064" w:rsidRDefault="001B7DAE" w:rsidP="001B7DAE">
      <w:pPr>
        <w:jc w:val="both"/>
        <w:rPr>
          <w:sz w:val="22"/>
          <w:szCs w:val="22"/>
          <w:lang w:val="pt-BR"/>
        </w:rPr>
      </w:pPr>
    </w:p>
    <w:p w14:paraId="718E4AD2" w14:textId="424DC922" w:rsidR="001B7DAE" w:rsidRPr="005C5064" w:rsidRDefault="001B7DAE" w:rsidP="001B7DAE">
      <w:pPr>
        <w:ind w:left="144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O financiamento dirigido a apoiar investimentos em mitigação climática (redução e/ou sequestro de emissões de gases de efeito estufa) e adaptação climática (aumento da resiliência </w:t>
      </w:r>
      <w:r w:rsidR="003E5973" w:rsidRPr="005C5064">
        <w:rPr>
          <w:sz w:val="22"/>
          <w:szCs w:val="22"/>
          <w:lang w:val="pt-BR"/>
        </w:rPr>
        <w:t>d</w:t>
      </w:r>
      <w:r w:rsidRPr="005C5064">
        <w:rPr>
          <w:sz w:val="22"/>
          <w:szCs w:val="22"/>
          <w:lang w:val="pt-BR"/>
        </w:rPr>
        <w:t xml:space="preserve">e sistemas </w:t>
      </w:r>
      <w:r w:rsidR="003E5973" w:rsidRPr="005C5064">
        <w:rPr>
          <w:sz w:val="22"/>
          <w:szCs w:val="22"/>
          <w:lang w:val="pt-BR"/>
        </w:rPr>
        <w:t xml:space="preserve">humanos e </w:t>
      </w:r>
      <w:r w:rsidRPr="005C5064">
        <w:rPr>
          <w:sz w:val="22"/>
          <w:szCs w:val="22"/>
          <w:lang w:val="pt-BR"/>
        </w:rPr>
        <w:t xml:space="preserve">ecológicos aos impactos negativos da mudança climática. </w:t>
      </w:r>
      <w:r w:rsidR="003E5973" w:rsidRPr="005C5064">
        <w:rPr>
          <w:sz w:val="22"/>
          <w:szCs w:val="22"/>
          <w:lang w:val="pt-BR"/>
        </w:rPr>
        <w:t>Como</w:t>
      </w:r>
      <w:r w:rsidRPr="005C5064">
        <w:rPr>
          <w:sz w:val="22"/>
          <w:szCs w:val="22"/>
          <w:lang w:val="pt-BR"/>
        </w:rPr>
        <w:t xml:space="preserve"> tema transversal em apoio as discussões sobre mudança climática no nível </w:t>
      </w:r>
      <w:r w:rsidR="003E5973" w:rsidRPr="005C5064">
        <w:rPr>
          <w:sz w:val="22"/>
          <w:szCs w:val="22"/>
          <w:lang w:val="pt-BR"/>
        </w:rPr>
        <w:t>m</w:t>
      </w:r>
      <w:r w:rsidRPr="005C5064">
        <w:rPr>
          <w:sz w:val="22"/>
          <w:szCs w:val="22"/>
          <w:lang w:val="pt-BR"/>
        </w:rPr>
        <w:t>inisterial, esse é um assunto cr</w:t>
      </w:r>
      <w:r w:rsidR="003E5973" w:rsidRPr="005C5064">
        <w:rPr>
          <w:sz w:val="22"/>
          <w:szCs w:val="22"/>
          <w:lang w:val="pt-BR"/>
        </w:rPr>
        <w:t>ucial</w:t>
      </w:r>
      <w:r w:rsidRPr="005C5064">
        <w:rPr>
          <w:sz w:val="22"/>
          <w:szCs w:val="22"/>
          <w:lang w:val="pt-BR"/>
        </w:rPr>
        <w:t xml:space="preserve"> para o hemisfério, que </w:t>
      </w:r>
      <w:r w:rsidR="003E5973" w:rsidRPr="005C5064">
        <w:rPr>
          <w:sz w:val="22"/>
          <w:szCs w:val="22"/>
          <w:lang w:val="pt-BR"/>
        </w:rPr>
        <w:t>deve</w:t>
      </w:r>
      <w:r w:rsidRPr="005C5064">
        <w:rPr>
          <w:sz w:val="22"/>
          <w:szCs w:val="22"/>
          <w:lang w:val="pt-BR"/>
        </w:rPr>
        <w:t xml:space="preserve"> </w:t>
      </w:r>
      <w:r w:rsidR="003E5973" w:rsidRPr="005C5064">
        <w:rPr>
          <w:sz w:val="22"/>
          <w:szCs w:val="22"/>
          <w:lang w:val="pt-BR"/>
        </w:rPr>
        <w:t>efetua</w:t>
      </w:r>
      <w:r w:rsidRPr="005C5064">
        <w:rPr>
          <w:sz w:val="22"/>
          <w:szCs w:val="22"/>
          <w:lang w:val="pt-BR"/>
        </w:rPr>
        <w:t xml:space="preserve">r transações multibilionárias envolvendo </w:t>
      </w:r>
      <w:r w:rsidR="003E5973" w:rsidRPr="005C5064">
        <w:rPr>
          <w:sz w:val="22"/>
          <w:szCs w:val="22"/>
          <w:lang w:val="pt-BR"/>
        </w:rPr>
        <w:t>recurso</w:t>
      </w:r>
      <w:r w:rsidRPr="005C5064">
        <w:rPr>
          <w:sz w:val="22"/>
          <w:szCs w:val="22"/>
          <w:lang w:val="pt-BR"/>
        </w:rPr>
        <w:t>s públic</w:t>
      </w:r>
      <w:r w:rsidR="003E5973" w:rsidRPr="005C5064">
        <w:rPr>
          <w:sz w:val="22"/>
          <w:szCs w:val="22"/>
          <w:lang w:val="pt-BR"/>
        </w:rPr>
        <w:t>o</w:t>
      </w:r>
      <w:r w:rsidRPr="005C5064">
        <w:rPr>
          <w:sz w:val="22"/>
          <w:szCs w:val="22"/>
          <w:lang w:val="pt-BR"/>
        </w:rPr>
        <w:t>s, multilaterais e privad</w:t>
      </w:r>
      <w:r w:rsidR="003E5973" w:rsidRPr="005C5064">
        <w:rPr>
          <w:sz w:val="22"/>
          <w:szCs w:val="22"/>
          <w:lang w:val="pt-BR"/>
        </w:rPr>
        <w:t>o</w:t>
      </w:r>
      <w:r w:rsidRPr="005C5064">
        <w:rPr>
          <w:sz w:val="22"/>
          <w:szCs w:val="22"/>
          <w:lang w:val="pt-BR"/>
        </w:rPr>
        <w:t>s.</w:t>
      </w:r>
    </w:p>
    <w:p w14:paraId="7AD94D00" w14:textId="77777777" w:rsidR="001B7DAE" w:rsidRPr="005C5064" w:rsidRDefault="001B7DAE" w:rsidP="001B7DAE">
      <w:pPr>
        <w:ind w:left="1440"/>
        <w:jc w:val="both"/>
        <w:rPr>
          <w:sz w:val="22"/>
          <w:szCs w:val="22"/>
          <w:lang w:val="pt-BR"/>
        </w:rPr>
      </w:pPr>
    </w:p>
    <w:p w14:paraId="7D6BFCCC" w14:textId="690D782B" w:rsidR="001B7DAE" w:rsidRPr="005C5064" w:rsidRDefault="001B7DAE" w:rsidP="001B7DAE">
      <w:pPr>
        <w:ind w:left="144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Na recente Conferência COP27, os países chegaram a um acordo sobre um fundo para “perdas e danos” em apoio aos países vulneráveis devastados por impactos climáticos. Os níveis de financiamento e operacionalização desse fundo serão definidos na próxima COP28 no fim de 2023. Com relação à mitigação, ainda há interesse considerável da parte dos países desenvolvidos e do setor privado para investir em descarbonização e transição através </w:t>
      </w:r>
      <w:r w:rsidR="003E5973" w:rsidRPr="005C5064">
        <w:rPr>
          <w:sz w:val="22"/>
          <w:szCs w:val="22"/>
          <w:lang w:val="pt-BR"/>
        </w:rPr>
        <w:t xml:space="preserve">da diplomacia ou </w:t>
      </w:r>
      <w:r w:rsidRPr="005C5064">
        <w:rPr>
          <w:sz w:val="22"/>
          <w:szCs w:val="22"/>
          <w:lang w:val="pt-BR"/>
        </w:rPr>
        <w:t xml:space="preserve">de instituições </w:t>
      </w:r>
      <w:r w:rsidR="003E5973" w:rsidRPr="005C5064">
        <w:rPr>
          <w:sz w:val="22"/>
          <w:szCs w:val="22"/>
          <w:lang w:val="pt-BR"/>
        </w:rPr>
        <w:t xml:space="preserve">multilaterais </w:t>
      </w:r>
      <w:r w:rsidRPr="005C5064">
        <w:rPr>
          <w:sz w:val="22"/>
          <w:szCs w:val="22"/>
          <w:lang w:val="pt-BR"/>
        </w:rPr>
        <w:t>de desenvolvimento (por exemplo, Banco Mundial, GCF, GEF) e através do investimento estrangeiro direto</w:t>
      </w:r>
      <w:r w:rsidR="003E5973" w:rsidRPr="005C5064">
        <w:rPr>
          <w:sz w:val="22"/>
          <w:szCs w:val="22"/>
          <w:lang w:val="pt-BR"/>
        </w:rPr>
        <w:t>,</w:t>
      </w:r>
      <w:r w:rsidRPr="005C5064">
        <w:rPr>
          <w:sz w:val="22"/>
          <w:szCs w:val="22"/>
          <w:lang w:val="pt-BR"/>
        </w:rPr>
        <w:t xml:space="preserve"> respectivamente, ajudando assim os países em desenvolvimento a alcançar suas </w:t>
      </w:r>
      <w:r w:rsidR="003E5973" w:rsidRPr="005C5064">
        <w:rPr>
          <w:sz w:val="22"/>
          <w:szCs w:val="22"/>
          <w:lang w:val="pt-BR"/>
        </w:rPr>
        <w:t>ND</w:t>
      </w:r>
      <w:r w:rsidRPr="005C5064">
        <w:rPr>
          <w:sz w:val="22"/>
          <w:szCs w:val="22"/>
          <w:lang w:val="pt-BR"/>
        </w:rPr>
        <w:t xml:space="preserve">C.  </w:t>
      </w:r>
    </w:p>
    <w:p w14:paraId="32CE0B6E" w14:textId="77777777" w:rsidR="001B7DAE" w:rsidRPr="005C5064" w:rsidRDefault="001B7DAE" w:rsidP="001B7DAE">
      <w:pPr>
        <w:jc w:val="both"/>
        <w:rPr>
          <w:b/>
          <w:bCs/>
          <w:sz w:val="22"/>
          <w:szCs w:val="22"/>
          <w:lang w:val="pt-BR"/>
        </w:rPr>
      </w:pPr>
    </w:p>
    <w:p w14:paraId="25995567" w14:textId="482CC77D" w:rsidR="001B7DAE" w:rsidRPr="005C5064" w:rsidRDefault="001B7DAE" w:rsidP="001B7DAE">
      <w:pPr>
        <w:ind w:left="1980"/>
        <w:jc w:val="both"/>
        <w:rPr>
          <w:b/>
          <w:bCs/>
          <w:sz w:val="22"/>
          <w:szCs w:val="22"/>
          <w:lang w:val="pt-BR"/>
        </w:rPr>
      </w:pPr>
      <w:r w:rsidRPr="005C5064">
        <w:rPr>
          <w:b/>
          <w:bCs/>
          <w:sz w:val="22"/>
          <w:szCs w:val="22"/>
          <w:lang w:val="pt-BR"/>
        </w:rPr>
        <w:t xml:space="preserve">Avaliações do financiamento climático e </w:t>
      </w:r>
      <w:r w:rsidR="003E5973" w:rsidRPr="005C5064">
        <w:rPr>
          <w:b/>
          <w:bCs/>
          <w:sz w:val="22"/>
          <w:szCs w:val="22"/>
          <w:lang w:val="pt-BR"/>
        </w:rPr>
        <w:t>compartilhamento</w:t>
      </w:r>
      <w:r w:rsidRPr="005C5064">
        <w:rPr>
          <w:b/>
          <w:bCs/>
          <w:sz w:val="22"/>
          <w:szCs w:val="22"/>
          <w:lang w:val="pt-BR"/>
        </w:rPr>
        <w:t xml:space="preserve"> de conhecimento</w:t>
      </w:r>
      <w:r w:rsidR="003E5973" w:rsidRPr="005C5064">
        <w:rPr>
          <w:b/>
          <w:bCs/>
          <w:sz w:val="22"/>
          <w:szCs w:val="22"/>
          <w:lang w:val="pt-BR"/>
        </w:rPr>
        <w:t>s</w:t>
      </w:r>
    </w:p>
    <w:p w14:paraId="066E0D1D" w14:textId="4DEA476F" w:rsidR="001B7DAE" w:rsidRPr="005C5064" w:rsidRDefault="001B7DAE" w:rsidP="001B7DAE">
      <w:pPr>
        <w:ind w:left="198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Para garantir recursos de financiamento climático, os </w:t>
      </w:r>
      <w:r w:rsidR="003E5973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>stados</w:t>
      </w:r>
      <w:r w:rsidR="003E5973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>membros devem considerar as seguintes ações</w:t>
      </w:r>
      <w:r w:rsidR="003E5973" w:rsidRPr="005C5064">
        <w:rPr>
          <w:sz w:val="22"/>
          <w:szCs w:val="22"/>
          <w:lang w:val="pt-BR"/>
        </w:rPr>
        <w:t>.</w:t>
      </w:r>
    </w:p>
    <w:p w14:paraId="46F9C9F5" w14:textId="77777777" w:rsidR="001B7DAE" w:rsidRPr="005C5064" w:rsidRDefault="001B7DAE" w:rsidP="001B7DAE">
      <w:pPr>
        <w:ind w:firstLine="720"/>
        <w:jc w:val="both"/>
        <w:rPr>
          <w:sz w:val="22"/>
          <w:szCs w:val="22"/>
          <w:lang w:val="pt-BR"/>
        </w:rPr>
      </w:pPr>
    </w:p>
    <w:p w14:paraId="77C58D39" w14:textId="105BC3A3" w:rsidR="001B7DAE" w:rsidRPr="005C5064" w:rsidRDefault="001B7DAE" w:rsidP="001B7DAE">
      <w:pPr>
        <w:pStyle w:val="NormalWeb"/>
        <w:numPr>
          <w:ilvl w:val="0"/>
          <w:numId w:val="25"/>
        </w:numPr>
        <w:tabs>
          <w:tab w:val="clear" w:pos="720"/>
          <w:tab w:val="left" w:pos="2520"/>
        </w:tabs>
        <w:spacing w:before="0" w:beforeAutospacing="0" w:after="0" w:afterAutospacing="0"/>
        <w:ind w:left="2520" w:hanging="54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Os países do hemisfério podem </w:t>
      </w:r>
      <w:r w:rsidR="003E5973" w:rsidRPr="005C5064">
        <w:rPr>
          <w:sz w:val="22"/>
          <w:szCs w:val="22"/>
          <w:lang w:val="pt-BR"/>
        </w:rPr>
        <w:t>realiza</w:t>
      </w:r>
      <w:r w:rsidRPr="005C5064">
        <w:rPr>
          <w:sz w:val="22"/>
          <w:szCs w:val="22"/>
          <w:lang w:val="pt-BR"/>
        </w:rPr>
        <w:t xml:space="preserve">r uma </w:t>
      </w:r>
      <w:r w:rsidRPr="005C5064">
        <w:rPr>
          <w:b/>
          <w:bCs/>
          <w:sz w:val="22"/>
          <w:szCs w:val="22"/>
          <w:lang w:val="pt-BR"/>
        </w:rPr>
        <w:t>avaliação da alocação de recursos de financiamento climático para a região</w:t>
      </w:r>
      <w:r w:rsidRPr="005C5064">
        <w:rPr>
          <w:sz w:val="22"/>
          <w:szCs w:val="22"/>
          <w:lang w:val="pt-BR"/>
        </w:rPr>
        <w:t>. Isso significa identificar as diferentes fontes de financiamento climático, como investimentos do setor privado, financiamento do governo e ajuda internacional, e analisar como esses recursos são distribuídos e</w:t>
      </w:r>
      <w:r w:rsidR="003E5973" w:rsidRPr="005C5064">
        <w:rPr>
          <w:sz w:val="22"/>
          <w:szCs w:val="22"/>
          <w:lang w:val="pt-BR"/>
        </w:rPr>
        <w:t>ntre</w:t>
      </w:r>
      <w:r w:rsidRPr="005C5064">
        <w:rPr>
          <w:sz w:val="22"/>
          <w:szCs w:val="22"/>
          <w:lang w:val="pt-BR"/>
        </w:rPr>
        <w:t xml:space="preserve"> várias regiões e setores.</w:t>
      </w:r>
    </w:p>
    <w:p w14:paraId="70C7C003" w14:textId="3CAFEB73" w:rsidR="001B7DAE" w:rsidRPr="005C5064" w:rsidRDefault="001B7DAE" w:rsidP="001B7DAE">
      <w:pPr>
        <w:pStyle w:val="NormalWeb"/>
        <w:numPr>
          <w:ilvl w:val="0"/>
          <w:numId w:val="25"/>
        </w:numPr>
        <w:tabs>
          <w:tab w:val="clear" w:pos="720"/>
          <w:tab w:val="left" w:pos="2520"/>
        </w:tabs>
        <w:spacing w:before="0" w:beforeAutospacing="0" w:after="0" w:afterAutospacing="0"/>
        <w:ind w:left="2520" w:hanging="54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Para </w:t>
      </w:r>
      <w:r w:rsidR="003E5973" w:rsidRPr="005C5064">
        <w:rPr>
          <w:sz w:val="22"/>
          <w:szCs w:val="22"/>
          <w:lang w:val="pt-BR"/>
        </w:rPr>
        <w:t>enfrent</w:t>
      </w:r>
      <w:r w:rsidRPr="005C5064">
        <w:rPr>
          <w:sz w:val="22"/>
          <w:szCs w:val="22"/>
          <w:lang w:val="pt-BR"/>
        </w:rPr>
        <w:t xml:space="preserve">ar o principal obstáculo no acesso ao financiamento climático, é essencial </w:t>
      </w:r>
      <w:r w:rsidRPr="005C5064">
        <w:rPr>
          <w:b/>
          <w:bCs/>
          <w:sz w:val="22"/>
          <w:szCs w:val="22"/>
          <w:lang w:val="pt-BR"/>
        </w:rPr>
        <w:t xml:space="preserve">estabelecer um processo mais transparente e assegurar </w:t>
      </w:r>
      <w:r w:rsidRPr="005C5064">
        <w:rPr>
          <w:b/>
          <w:bCs/>
          <w:sz w:val="22"/>
          <w:szCs w:val="22"/>
          <w:lang w:val="pt-BR"/>
        </w:rPr>
        <w:lastRenderedPageBreak/>
        <w:t xml:space="preserve">maior harmonização nos procedimentos de </w:t>
      </w:r>
      <w:r w:rsidR="00E8366F" w:rsidRPr="005C5064">
        <w:rPr>
          <w:b/>
          <w:bCs/>
          <w:sz w:val="22"/>
          <w:szCs w:val="22"/>
          <w:lang w:val="pt-BR"/>
        </w:rPr>
        <w:t>solicita</w:t>
      </w:r>
      <w:r w:rsidRPr="005C5064">
        <w:rPr>
          <w:b/>
          <w:bCs/>
          <w:sz w:val="22"/>
          <w:szCs w:val="22"/>
          <w:lang w:val="pt-BR"/>
        </w:rPr>
        <w:t>ção</w:t>
      </w:r>
      <w:r w:rsidRPr="005C5064">
        <w:rPr>
          <w:sz w:val="22"/>
          <w:szCs w:val="22"/>
          <w:lang w:val="pt-BR"/>
        </w:rPr>
        <w:t xml:space="preserve">. Essas medidas </w:t>
      </w:r>
      <w:r w:rsidR="00E8366F" w:rsidRPr="005C5064">
        <w:rPr>
          <w:sz w:val="22"/>
          <w:szCs w:val="22"/>
          <w:lang w:val="pt-BR"/>
        </w:rPr>
        <w:t>ajud</w:t>
      </w:r>
      <w:r w:rsidRPr="005C5064">
        <w:rPr>
          <w:sz w:val="22"/>
          <w:szCs w:val="22"/>
          <w:lang w:val="pt-BR"/>
        </w:rPr>
        <w:t xml:space="preserve">ariam os países a </w:t>
      </w:r>
      <w:r w:rsidR="00E8366F" w:rsidRPr="005C5064">
        <w:rPr>
          <w:sz w:val="22"/>
          <w:szCs w:val="22"/>
          <w:lang w:val="pt-BR"/>
        </w:rPr>
        <w:t xml:space="preserve">entender </w:t>
      </w:r>
      <w:r w:rsidRPr="005C5064">
        <w:rPr>
          <w:sz w:val="22"/>
          <w:szCs w:val="22"/>
          <w:lang w:val="pt-BR"/>
        </w:rPr>
        <w:t xml:space="preserve">o processo e aumentariam a probabilidade de sucesso. É imperativo priorizar essas ações </w:t>
      </w:r>
      <w:r w:rsidR="00E8366F" w:rsidRPr="005C5064">
        <w:rPr>
          <w:sz w:val="22"/>
          <w:szCs w:val="22"/>
          <w:lang w:val="pt-BR"/>
        </w:rPr>
        <w:t>p</w:t>
      </w:r>
      <w:r w:rsidRPr="005C5064">
        <w:rPr>
          <w:sz w:val="22"/>
          <w:szCs w:val="22"/>
          <w:lang w:val="pt-BR"/>
        </w:rPr>
        <w:t>ara assegurar acesso equitativo ao financiamento climático a todas as nações.</w:t>
      </w:r>
    </w:p>
    <w:p w14:paraId="3A1E1A1E" w14:textId="779B3887" w:rsidR="001B7DAE" w:rsidRPr="005C5064" w:rsidRDefault="001B7DAE" w:rsidP="001B7DAE">
      <w:pPr>
        <w:pStyle w:val="NormalWeb"/>
        <w:numPr>
          <w:ilvl w:val="0"/>
          <w:numId w:val="25"/>
        </w:numPr>
        <w:tabs>
          <w:tab w:val="clear" w:pos="720"/>
          <w:tab w:val="num" w:pos="2520"/>
        </w:tabs>
        <w:spacing w:before="0" w:beforeAutospacing="0" w:after="0" w:afterAutospacing="0"/>
        <w:ind w:left="2520" w:hanging="54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Os países em desenvolvimento </w:t>
      </w:r>
      <w:r w:rsidR="00E8366F" w:rsidRPr="005C5064">
        <w:rPr>
          <w:sz w:val="22"/>
          <w:szCs w:val="22"/>
          <w:lang w:val="pt-BR"/>
        </w:rPr>
        <w:t xml:space="preserve">precisam de </w:t>
      </w:r>
      <w:r w:rsidRPr="005C5064">
        <w:rPr>
          <w:b/>
          <w:bCs/>
          <w:sz w:val="22"/>
          <w:szCs w:val="22"/>
          <w:lang w:val="pt-BR"/>
        </w:rPr>
        <w:t>for</w:t>
      </w:r>
      <w:r w:rsidR="00E8366F" w:rsidRPr="005C5064">
        <w:rPr>
          <w:b/>
          <w:bCs/>
          <w:sz w:val="22"/>
          <w:szCs w:val="22"/>
          <w:lang w:val="pt-BR"/>
        </w:rPr>
        <w:t>taleciment</w:t>
      </w:r>
      <w:r w:rsidRPr="005C5064">
        <w:rPr>
          <w:b/>
          <w:bCs/>
          <w:sz w:val="22"/>
          <w:szCs w:val="22"/>
          <w:lang w:val="pt-BR"/>
        </w:rPr>
        <w:t>o d</w:t>
      </w:r>
      <w:r w:rsidR="00E8366F" w:rsidRPr="005C5064">
        <w:rPr>
          <w:b/>
          <w:bCs/>
          <w:sz w:val="22"/>
          <w:szCs w:val="22"/>
          <w:lang w:val="pt-BR"/>
        </w:rPr>
        <w:t>a</w:t>
      </w:r>
      <w:r w:rsidRPr="005C5064">
        <w:rPr>
          <w:b/>
          <w:bCs/>
          <w:sz w:val="22"/>
          <w:szCs w:val="22"/>
          <w:lang w:val="pt-BR"/>
        </w:rPr>
        <w:t xml:space="preserve"> capacidade institucional para permitir acesso eficaz ao financiamento climático e sua gestão</w:t>
      </w:r>
      <w:r w:rsidRPr="005C5064">
        <w:rPr>
          <w:sz w:val="22"/>
          <w:szCs w:val="22"/>
          <w:lang w:val="pt-BR"/>
        </w:rPr>
        <w:t xml:space="preserve">. Isso inclui melhorar </w:t>
      </w:r>
      <w:r w:rsidR="00E8366F" w:rsidRPr="005C5064">
        <w:rPr>
          <w:sz w:val="22"/>
          <w:szCs w:val="22"/>
          <w:lang w:val="pt-BR"/>
        </w:rPr>
        <w:t>os marc</w:t>
      </w:r>
      <w:r w:rsidRPr="005C5064">
        <w:rPr>
          <w:sz w:val="22"/>
          <w:szCs w:val="22"/>
          <w:lang w:val="pt-BR"/>
        </w:rPr>
        <w:t>os legais, formar expertise técnica e desenvolver habilidades de gestão financeira.</w:t>
      </w:r>
    </w:p>
    <w:p w14:paraId="2FDCC173" w14:textId="4B59AB32" w:rsidR="001B7DAE" w:rsidRPr="005C5064" w:rsidRDefault="001B7DAE" w:rsidP="001B7DAE">
      <w:pPr>
        <w:pStyle w:val="NormalWeb"/>
        <w:numPr>
          <w:ilvl w:val="0"/>
          <w:numId w:val="25"/>
        </w:numPr>
        <w:tabs>
          <w:tab w:val="clear" w:pos="720"/>
          <w:tab w:val="num" w:pos="2520"/>
        </w:tabs>
        <w:spacing w:before="0" w:beforeAutospacing="0" w:after="0" w:afterAutospacing="0"/>
        <w:ind w:left="2520" w:hanging="54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Desenvolver um </w:t>
      </w:r>
      <w:r w:rsidR="00E8366F" w:rsidRPr="005C5064">
        <w:rPr>
          <w:b/>
          <w:bCs/>
          <w:sz w:val="22"/>
          <w:szCs w:val="22"/>
          <w:lang w:val="pt-BR"/>
        </w:rPr>
        <w:t xml:space="preserve">centro </w:t>
      </w:r>
      <w:r w:rsidRPr="005C5064">
        <w:rPr>
          <w:b/>
          <w:bCs/>
          <w:sz w:val="22"/>
          <w:szCs w:val="22"/>
          <w:lang w:val="pt-BR"/>
        </w:rPr>
        <w:t xml:space="preserve">hemisférico de informação </w:t>
      </w:r>
      <w:r w:rsidR="00E8366F" w:rsidRPr="005C5064">
        <w:rPr>
          <w:b/>
          <w:bCs/>
          <w:sz w:val="22"/>
          <w:szCs w:val="22"/>
          <w:lang w:val="pt-BR"/>
        </w:rPr>
        <w:t>sobr</w:t>
      </w:r>
      <w:r w:rsidRPr="005C5064">
        <w:rPr>
          <w:b/>
          <w:bCs/>
          <w:sz w:val="22"/>
          <w:szCs w:val="22"/>
          <w:lang w:val="pt-BR"/>
        </w:rPr>
        <w:t>e financiamento climático</w:t>
      </w:r>
      <w:r w:rsidRPr="005C5064">
        <w:rPr>
          <w:sz w:val="22"/>
          <w:szCs w:val="22"/>
          <w:lang w:val="pt-BR"/>
        </w:rPr>
        <w:t xml:space="preserve"> que compartilharia informação sobre novas fontes de financiamento, como </w:t>
      </w:r>
      <w:r w:rsidR="00E8366F" w:rsidRPr="005C5064">
        <w:rPr>
          <w:sz w:val="22"/>
          <w:szCs w:val="22"/>
          <w:lang w:val="pt-BR"/>
        </w:rPr>
        <w:t>títulos verdes</w:t>
      </w:r>
      <w:r w:rsidRPr="005C5064">
        <w:rPr>
          <w:sz w:val="22"/>
          <w:szCs w:val="22"/>
          <w:lang w:val="pt-BR"/>
        </w:rPr>
        <w:t xml:space="preserve">, fundos de investimento climático e outros mecanismos inovadores </w:t>
      </w:r>
      <w:r w:rsidR="00E8366F" w:rsidRPr="005C5064">
        <w:rPr>
          <w:sz w:val="22"/>
          <w:szCs w:val="22"/>
          <w:lang w:val="pt-BR"/>
        </w:rPr>
        <w:t xml:space="preserve">que </w:t>
      </w:r>
      <w:r w:rsidRPr="005C5064">
        <w:rPr>
          <w:sz w:val="22"/>
          <w:szCs w:val="22"/>
          <w:lang w:val="pt-BR"/>
        </w:rPr>
        <w:t>podem ajudar a mobilizar os recursos necessários para abordar a mudança climática na região.</w:t>
      </w:r>
    </w:p>
    <w:p w14:paraId="42F6165E" w14:textId="0FDFA209" w:rsidR="001B7DAE" w:rsidRPr="005C5064" w:rsidRDefault="001B7DAE" w:rsidP="001B7DAE">
      <w:pPr>
        <w:pStyle w:val="NormalWeb"/>
        <w:numPr>
          <w:ilvl w:val="0"/>
          <w:numId w:val="25"/>
        </w:numPr>
        <w:tabs>
          <w:tab w:val="clear" w:pos="720"/>
          <w:tab w:val="num" w:pos="2520"/>
        </w:tabs>
        <w:spacing w:before="0" w:beforeAutospacing="0" w:after="0" w:afterAutospacing="0"/>
        <w:ind w:left="2520" w:hanging="54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Promover </w:t>
      </w:r>
      <w:r w:rsidR="00945F6D">
        <w:rPr>
          <w:sz w:val="22"/>
          <w:szCs w:val="22"/>
          <w:lang w:val="pt-BR"/>
        </w:rPr>
        <w:t xml:space="preserve">o </w:t>
      </w:r>
      <w:r w:rsidR="00E8366F" w:rsidRPr="005C5064">
        <w:rPr>
          <w:b/>
          <w:bCs/>
          <w:sz w:val="22"/>
          <w:szCs w:val="22"/>
          <w:lang w:val="pt-BR"/>
        </w:rPr>
        <w:t>intercâmbio</w:t>
      </w:r>
      <w:r w:rsidRPr="005C5064">
        <w:rPr>
          <w:b/>
          <w:bCs/>
          <w:sz w:val="22"/>
          <w:szCs w:val="22"/>
          <w:lang w:val="pt-BR"/>
        </w:rPr>
        <w:t xml:space="preserve"> de conhecimento e for</w:t>
      </w:r>
      <w:r w:rsidR="00E8366F" w:rsidRPr="005C5064">
        <w:rPr>
          <w:b/>
          <w:bCs/>
          <w:sz w:val="22"/>
          <w:szCs w:val="22"/>
          <w:lang w:val="pt-BR"/>
        </w:rPr>
        <w:t xml:space="preserve">talecimento </w:t>
      </w:r>
      <w:r w:rsidRPr="005C5064">
        <w:rPr>
          <w:b/>
          <w:bCs/>
          <w:sz w:val="22"/>
          <w:szCs w:val="22"/>
          <w:lang w:val="pt-BR"/>
        </w:rPr>
        <w:t>d</w:t>
      </w:r>
      <w:r w:rsidR="00E8366F" w:rsidRPr="005C5064">
        <w:rPr>
          <w:b/>
          <w:bCs/>
          <w:sz w:val="22"/>
          <w:szCs w:val="22"/>
          <w:lang w:val="pt-BR"/>
        </w:rPr>
        <w:t>a</w:t>
      </w:r>
      <w:r w:rsidRPr="005C5064">
        <w:rPr>
          <w:b/>
          <w:bCs/>
          <w:sz w:val="22"/>
          <w:szCs w:val="22"/>
          <w:lang w:val="pt-BR"/>
        </w:rPr>
        <w:t xml:space="preserve"> capacidade</w:t>
      </w:r>
      <w:r w:rsidRPr="005C5064">
        <w:rPr>
          <w:sz w:val="22"/>
          <w:szCs w:val="22"/>
          <w:lang w:val="pt-BR"/>
        </w:rPr>
        <w:t xml:space="preserve"> e fomentar</w:t>
      </w:r>
      <w:r w:rsidR="00E8366F" w:rsidRPr="005C5064">
        <w:rPr>
          <w:sz w:val="22"/>
          <w:szCs w:val="22"/>
          <w:lang w:val="pt-BR"/>
        </w:rPr>
        <w:t xml:space="preserve"> a</w:t>
      </w:r>
      <w:r w:rsidRPr="005C5064">
        <w:rPr>
          <w:sz w:val="22"/>
          <w:szCs w:val="22"/>
          <w:lang w:val="pt-BR"/>
        </w:rPr>
        <w:t xml:space="preserve"> colaboração entre países e parceiros internacionais, para facilitar </w:t>
      </w:r>
      <w:r w:rsidR="00E8366F" w:rsidRPr="005C5064">
        <w:rPr>
          <w:sz w:val="22"/>
          <w:szCs w:val="22"/>
          <w:lang w:val="pt-BR"/>
        </w:rPr>
        <w:t>o compartilhamento</w:t>
      </w:r>
      <w:r w:rsidRPr="005C5064">
        <w:rPr>
          <w:sz w:val="22"/>
          <w:szCs w:val="22"/>
          <w:lang w:val="pt-BR"/>
        </w:rPr>
        <w:t xml:space="preserve"> de melhores práticas e for</w:t>
      </w:r>
      <w:r w:rsidR="00E8366F" w:rsidRPr="005C5064">
        <w:rPr>
          <w:sz w:val="22"/>
          <w:szCs w:val="22"/>
          <w:lang w:val="pt-BR"/>
        </w:rPr>
        <w:t>talece</w:t>
      </w:r>
      <w:r w:rsidRPr="005C5064">
        <w:rPr>
          <w:sz w:val="22"/>
          <w:szCs w:val="22"/>
          <w:lang w:val="pt-BR"/>
        </w:rPr>
        <w:t xml:space="preserve">r </w:t>
      </w:r>
      <w:r w:rsidR="00E8366F" w:rsidRPr="005C5064">
        <w:rPr>
          <w:sz w:val="22"/>
          <w:szCs w:val="22"/>
          <w:lang w:val="pt-BR"/>
        </w:rPr>
        <w:t xml:space="preserve">a </w:t>
      </w:r>
      <w:r w:rsidRPr="005C5064">
        <w:rPr>
          <w:sz w:val="22"/>
          <w:szCs w:val="22"/>
          <w:lang w:val="pt-BR"/>
        </w:rPr>
        <w:t>capacidade em áreas como desenho, financiamento e implementação</w:t>
      </w:r>
      <w:r w:rsidR="00E8366F" w:rsidRPr="005C5064">
        <w:rPr>
          <w:sz w:val="22"/>
          <w:szCs w:val="22"/>
          <w:lang w:val="pt-BR"/>
        </w:rPr>
        <w:t xml:space="preserve"> de projetos</w:t>
      </w:r>
      <w:r w:rsidRPr="005C5064">
        <w:rPr>
          <w:sz w:val="22"/>
          <w:szCs w:val="22"/>
          <w:lang w:val="pt-BR"/>
        </w:rPr>
        <w:t xml:space="preserve">. Considerar a inclusão de alianças entre diferentes atores </w:t>
      </w:r>
      <w:r w:rsidR="00E8366F" w:rsidRPr="005C5064">
        <w:rPr>
          <w:sz w:val="22"/>
          <w:szCs w:val="22"/>
          <w:lang w:val="pt-BR"/>
        </w:rPr>
        <w:t>d</w:t>
      </w:r>
      <w:r w:rsidRPr="005C5064">
        <w:rPr>
          <w:sz w:val="22"/>
          <w:szCs w:val="22"/>
          <w:lang w:val="pt-BR"/>
        </w:rPr>
        <w:t>a região, inclu</w:t>
      </w:r>
      <w:r w:rsidR="00E8366F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>i</w:t>
      </w:r>
      <w:r w:rsidR="00E8366F" w:rsidRPr="005C5064">
        <w:rPr>
          <w:sz w:val="22"/>
          <w:szCs w:val="22"/>
          <w:lang w:val="pt-BR"/>
        </w:rPr>
        <w:t>ve</w:t>
      </w:r>
      <w:r w:rsidRPr="005C5064">
        <w:rPr>
          <w:sz w:val="22"/>
          <w:szCs w:val="22"/>
          <w:lang w:val="pt-BR"/>
        </w:rPr>
        <w:t xml:space="preserve"> governos, organizações da sociedade civil, setor privado e organizações internacionais, </w:t>
      </w:r>
      <w:r w:rsidR="00E8366F" w:rsidRPr="005C5064">
        <w:rPr>
          <w:sz w:val="22"/>
          <w:szCs w:val="22"/>
          <w:lang w:val="pt-BR"/>
        </w:rPr>
        <w:t xml:space="preserve">de modo </w:t>
      </w:r>
      <w:r w:rsidRPr="005C5064">
        <w:rPr>
          <w:sz w:val="22"/>
          <w:szCs w:val="22"/>
          <w:lang w:val="pt-BR"/>
        </w:rPr>
        <w:t>a alavancar expertise e recursos para abordar os desafios do financiamento climático na região.</w:t>
      </w:r>
    </w:p>
    <w:p w14:paraId="75C4F9D3" w14:textId="77777777" w:rsidR="001B7DAE" w:rsidRPr="005C5064" w:rsidRDefault="001B7DAE" w:rsidP="00D04605">
      <w:pPr>
        <w:pStyle w:val="NormalWeb"/>
        <w:spacing w:before="0" w:beforeAutospacing="0" w:after="0" w:afterAutospacing="0"/>
        <w:jc w:val="both"/>
        <w:rPr>
          <w:sz w:val="22"/>
          <w:szCs w:val="22"/>
          <w:lang w:val="pt-BR"/>
        </w:rPr>
      </w:pPr>
    </w:p>
    <w:p w14:paraId="20B10027" w14:textId="6737BB6A" w:rsidR="001B7DAE" w:rsidRPr="005C5064" w:rsidRDefault="001B7DAE" w:rsidP="001B7DAE">
      <w:pPr>
        <w:pStyle w:val="Heading3"/>
        <w:ind w:left="1440"/>
        <w:rPr>
          <w:rFonts w:ascii="Times New Roman" w:hAnsi="Times New Roman" w:cs="Times New Roman"/>
          <w:sz w:val="22"/>
          <w:szCs w:val="22"/>
          <w:lang w:val="pt-BR"/>
        </w:rPr>
      </w:pPr>
      <w:bookmarkStart w:id="21" w:name="_Toc131067756"/>
      <w:bookmarkStart w:id="22" w:name="_Toc131518818"/>
      <w:r w:rsidRPr="005C5064">
        <w:rPr>
          <w:rFonts w:ascii="Times New Roman" w:hAnsi="Times New Roman" w:cs="Times New Roman"/>
          <w:sz w:val="22"/>
          <w:szCs w:val="22"/>
          <w:lang w:val="pt-BR"/>
        </w:rPr>
        <w:t xml:space="preserve">ESTRATÉGIA 4 – Cooperação Regional e Integração para Enfrentar a Crise Climática e Garantir o Desenvolvimento Sustentável </w:t>
      </w:r>
      <w:r w:rsidR="00E8366F" w:rsidRPr="005C5064">
        <w:rPr>
          <w:rFonts w:ascii="Times New Roman" w:hAnsi="Times New Roman" w:cs="Times New Roman"/>
          <w:sz w:val="22"/>
          <w:szCs w:val="22"/>
          <w:lang w:val="pt-BR"/>
        </w:rPr>
        <w:t>no</w:t>
      </w:r>
      <w:r w:rsidRPr="005C5064">
        <w:rPr>
          <w:rFonts w:ascii="Times New Roman" w:hAnsi="Times New Roman" w:cs="Times New Roman"/>
          <w:sz w:val="22"/>
          <w:szCs w:val="22"/>
          <w:lang w:val="pt-BR"/>
        </w:rPr>
        <w:t xml:space="preserve"> Longo Prazo</w:t>
      </w:r>
      <w:bookmarkEnd w:id="21"/>
      <w:bookmarkEnd w:id="22"/>
      <w:r w:rsidRPr="005C5064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</w:p>
    <w:p w14:paraId="415F8C3E" w14:textId="77777777" w:rsidR="001B7DAE" w:rsidRPr="005C5064" w:rsidRDefault="001B7DAE" w:rsidP="001B7DAE">
      <w:pPr>
        <w:rPr>
          <w:lang w:val="pt-BR"/>
        </w:rPr>
      </w:pPr>
    </w:p>
    <w:p w14:paraId="09940995" w14:textId="20B5FAC3" w:rsidR="001B7DAE" w:rsidRPr="005C5064" w:rsidRDefault="001B7DAE" w:rsidP="001B7DAE">
      <w:pPr>
        <w:ind w:left="144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Reconhecer os graves desafios enfrentados pela região</w:t>
      </w:r>
      <w:r w:rsidR="00C65C1C" w:rsidRPr="005C5064">
        <w:rPr>
          <w:sz w:val="22"/>
          <w:szCs w:val="22"/>
          <w:lang w:val="pt-BR"/>
        </w:rPr>
        <w:t xml:space="preserve"> e</w:t>
      </w:r>
      <w:r w:rsidRPr="005C5064">
        <w:rPr>
          <w:sz w:val="22"/>
          <w:szCs w:val="22"/>
          <w:lang w:val="pt-BR"/>
        </w:rPr>
        <w:t xml:space="preserve"> o valor de trabalhar junto</w:t>
      </w:r>
      <w:r w:rsidR="00C65C1C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 xml:space="preserve"> para um desenvolvimento sustentável integrado e inclusivo por meio de mais sistemas de energia, estradas</w:t>
      </w:r>
      <w:r w:rsidR="00C65C1C" w:rsidRPr="005C5064">
        <w:rPr>
          <w:sz w:val="22"/>
          <w:szCs w:val="22"/>
          <w:lang w:val="pt-BR"/>
        </w:rPr>
        <w:t xml:space="preserve"> e</w:t>
      </w:r>
      <w:r w:rsidRPr="005C5064">
        <w:rPr>
          <w:sz w:val="22"/>
          <w:szCs w:val="22"/>
          <w:lang w:val="pt-BR"/>
        </w:rPr>
        <w:t xml:space="preserve"> comércio </w:t>
      </w:r>
      <w:r w:rsidR="00C65C1C" w:rsidRPr="005C5064">
        <w:rPr>
          <w:sz w:val="22"/>
          <w:szCs w:val="22"/>
          <w:lang w:val="pt-BR"/>
        </w:rPr>
        <w:t xml:space="preserve">intrarregional </w:t>
      </w:r>
      <w:r w:rsidRPr="005C5064">
        <w:rPr>
          <w:sz w:val="22"/>
          <w:szCs w:val="22"/>
          <w:lang w:val="pt-BR"/>
        </w:rPr>
        <w:t>e alinha</w:t>
      </w:r>
      <w:r w:rsidR="00C65C1C" w:rsidRPr="005C5064">
        <w:rPr>
          <w:sz w:val="22"/>
          <w:szCs w:val="22"/>
          <w:lang w:val="pt-BR"/>
        </w:rPr>
        <w:t>r as</w:t>
      </w:r>
      <w:r w:rsidRPr="005C5064">
        <w:rPr>
          <w:sz w:val="22"/>
          <w:szCs w:val="22"/>
          <w:lang w:val="pt-BR"/>
        </w:rPr>
        <w:t xml:space="preserve"> políticas para fortalecer </w:t>
      </w:r>
      <w:r w:rsidR="00C65C1C" w:rsidRPr="005C5064">
        <w:rPr>
          <w:sz w:val="22"/>
          <w:szCs w:val="22"/>
          <w:lang w:val="pt-BR"/>
        </w:rPr>
        <w:t xml:space="preserve">as </w:t>
      </w:r>
      <w:r w:rsidRPr="005C5064">
        <w:rPr>
          <w:sz w:val="22"/>
          <w:szCs w:val="22"/>
          <w:lang w:val="pt-BR"/>
        </w:rPr>
        <w:t xml:space="preserve">capacidades nacionais pode ajudar a região das Américas a </w:t>
      </w:r>
      <w:r w:rsidR="00C65C1C" w:rsidRPr="005C5064">
        <w:rPr>
          <w:sz w:val="22"/>
          <w:szCs w:val="22"/>
          <w:lang w:val="pt-BR"/>
        </w:rPr>
        <w:t>construi</w:t>
      </w:r>
      <w:r w:rsidRPr="005C5064">
        <w:rPr>
          <w:sz w:val="22"/>
          <w:szCs w:val="22"/>
          <w:lang w:val="pt-BR"/>
        </w:rPr>
        <w:t xml:space="preserve">r maior resiliência, </w:t>
      </w:r>
      <w:r w:rsidR="00C65C1C" w:rsidRPr="005C5064">
        <w:rPr>
          <w:sz w:val="22"/>
          <w:szCs w:val="22"/>
          <w:lang w:val="pt-BR"/>
        </w:rPr>
        <w:t>bem</w:t>
      </w:r>
      <w:r w:rsidRPr="005C5064">
        <w:rPr>
          <w:sz w:val="22"/>
          <w:szCs w:val="22"/>
          <w:lang w:val="pt-BR"/>
        </w:rPr>
        <w:t xml:space="preserve"> como aumentar o poder de barganha no cenário mundial, especialmente no contexto dos novos fundos a serem negociados na COP28. Não há dúvidas de que expandir e aprofundar a cooperação transfronteiriça na região </w:t>
      </w:r>
      <w:r w:rsidR="00C65C1C" w:rsidRPr="005C5064">
        <w:rPr>
          <w:sz w:val="22"/>
          <w:szCs w:val="22"/>
          <w:lang w:val="pt-BR"/>
        </w:rPr>
        <w:t xml:space="preserve">nos </w:t>
      </w:r>
      <w:r w:rsidRPr="005C5064">
        <w:rPr>
          <w:sz w:val="22"/>
          <w:szCs w:val="22"/>
          <w:lang w:val="pt-BR"/>
        </w:rPr>
        <w:t xml:space="preserve">ajudará a </w:t>
      </w:r>
      <w:r w:rsidR="00C65C1C" w:rsidRPr="005C5064">
        <w:rPr>
          <w:sz w:val="22"/>
          <w:szCs w:val="22"/>
          <w:lang w:val="pt-BR"/>
        </w:rPr>
        <w:t>enfrent</w:t>
      </w:r>
      <w:r w:rsidRPr="005C5064">
        <w:rPr>
          <w:sz w:val="22"/>
          <w:szCs w:val="22"/>
          <w:lang w:val="pt-BR"/>
        </w:rPr>
        <w:t xml:space="preserve">ar a crise climática </w:t>
      </w:r>
      <w:r w:rsidR="00C65C1C" w:rsidRPr="005C5064">
        <w:rPr>
          <w:sz w:val="22"/>
          <w:szCs w:val="22"/>
          <w:lang w:val="pt-BR"/>
        </w:rPr>
        <w:t xml:space="preserve">que está </w:t>
      </w:r>
      <w:r w:rsidRPr="005C5064">
        <w:rPr>
          <w:sz w:val="22"/>
          <w:szCs w:val="22"/>
          <w:lang w:val="pt-BR"/>
        </w:rPr>
        <w:t xml:space="preserve">cada vez pior. </w:t>
      </w:r>
    </w:p>
    <w:p w14:paraId="0F40518E" w14:textId="77777777" w:rsidR="001B7DAE" w:rsidRPr="005C5064" w:rsidRDefault="001B7DAE" w:rsidP="001B7DAE">
      <w:pPr>
        <w:jc w:val="both"/>
        <w:rPr>
          <w:b/>
          <w:bCs/>
          <w:sz w:val="22"/>
          <w:szCs w:val="22"/>
          <w:lang w:val="pt-BR"/>
        </w:rPr>
      </w:pPr>
    </w:p>
    <w:p w14:paraId="31855F72" w14:textId="6B718310" w:rsidR="001B7DAE" w:rsidRPr="005C5064" w:rsidRDefault="001B7DAE" w:rsidP="001B7DAE">
      <w:pPr>
        <w:ind w:left="1980"/>
        <w:jc w:val="both"/>
        <w:rPr>
          <w:sz w:val="22"/>
          <w:szCs w:val="22"/>
          <w:lang w:val="pt-BR"/>
        </w:rPr>
      </w:pPr>
      <w:r w:rsidRPr="005C5064">
        <w:rPr>
          <w:b/>
          <w:bCs/>
          <w:sz w:val="22"/>
          <w:szCs w:val="22"/>
          <w:lang w:val="pt-BR"/>
        </w:rPr>
        <w:t xml:space="preserve">Abordar impedimentos à integração institucional harmonizando e fortalecendo instituições e processos </w:t>
      </w:r>
      <w:r w:rsidR="00C65C1C" w:rsidRPr="005C5064">
        <w:rPr>
          <w:b/>
          <w:bCs/>
          <w:sz w:val="22"/>
          <w:szCs w:val="22"/>
          <w:lang w:val="pt-BR"/>
        </w:rPr>
        <w:t>em</w:t>
      </w:r>
      <w:r w:rsidRPr="005C5064">
        <w:rPr>
          <w:b/>
          <w:bCs/>
          <w:sz w:val="22"/>
          <w:szCs w:val="22"/>
          <w:lang w:val="pt-BR"/>
        </w:rPr>
        <w:t xml:space="preserve"> toda a região e resolvendo limitações de recursos</w:t>
      </w:r>
      <w:r w:rsidR="00C65C1C" w:rsidRPr="005C5064">
        <w:rPr>
          <w:b/>
          <w:bCs/>
          <w:sz w:val="22"/>
          <w:szCs w:val="22"/>
          <w:lang w:val="pt-BR"/>
        </w:rPr>
        <w:t xml:space="preserve"> e </w:t>
      </w:r>
      <w:r w:rsidRPr="005C5064">
        <w:rPr>
          <w:b/>
          <w:bCs/>
          <w:sz w:val="22"/>
          <w:szCs w:val="22"/>
          <w:lang w:val="pt-BR"/>
        </w:rPr>
        <w:t>capacidade.</w:t>
      </w:r>
      <w:r w:rsidRPr="005C5064">
        <w:rPr>
          <w:sz w:val="22"/>
          <w:szCs w:val="22"/>
          <w:lang w:val="pt-BR"/>
        </w:rPr>
        <w:t> </w:t>
      </w:r>
    </w:p>
    <w:p w14:paraId="64AB6E5B" w14:textId="77777777" w:rsidR="001B7DAE" w:rsidRPr="005C5064" w:rsidRDefault="001B7DAE" w:rsidP="001B7DAE">
      <w:pPr>
        <w:jc w:val="both"/>
        <w:rPr>
          <w:i/>
          <w:iCs/>
          <w:sz w:val="22"/>
          <w:szCs w:val="22"/>
          <w:lang w:val="pt-BR"/>
        </w:rPr>
      </w:pPr>
    </w:p>
    <w:p w14:paraId="1FB58003" w14:textId="7CBDFE23" w:rsidR="001B7DAE" w:rsidRPr="005C5064" w:rsidRDefault="001B7DAE" w:rsidP="001B7DAE">
      <w:pPr>
        <w:numPr>
          <w:ilvl w:val="0"/>
          <w:numId w:val="26"/>
        </w:numPr>
        <w:tabs>
          <w:tab w:val="clear" w:pos="720"/>
          <w:tab w:val="num" w:pos="1440"/>
          <w:tab w:val="left" w:pos="2520"/>
        </w:tabs>
        <w:ind w:left="2520" w:hanging="54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Fomentar uma cultura de vontade política e colaboração para </w:t>
      </w:r>
      <w:r w:rsidRPr="005C5064">
        <w:rPr>
          <w:b/>
          <w:bCs/>
          <w:sz w:val="22"/>
          <w:szCs w:val="22"/>
          <w:lang w:val="pt-BR"/>
        </w:rPr>
        <w:t xml:space="preserve">priorizar a integração institucional na América Latina e </w:t>
      </w:r>
      <w:r w:rsidR="00C65C1C" w:rsidRPr="005C5064">
        <w:rPr>
          <w:b/>
          <w:bCs/>
          <w:sz w:val="22"/>
          <w:szCs w:val="22"/>
          <w:lang w:val="pt-BR"/>
        </w:rPr>
        <w:t>n</w:t>
      </w:r>
      <w:r w:rsidRPr="005C5064">
        <w:rPr>
          <w:b/>
          <w:bCs/>
          <w:sz w:val="22"/>
          <w:szCs w:val="22"/>
          <w:lang w:val="pt-BR"/>
        </w:rPr>
        <w:t>o Caribe</w:t>
      </w:r>
      <w:r w:rsidRPr="005C5064">
        <w:rPr>
          <w:sz w:val="22"/>
          <w:szCs w:val="22"/>
          <w:lang w:val="pt-BR"/>
        </w:rPr>
        <w:t>.</w:t>
      </w:r>
    </w:p>
    <w:p w14:paraId="10FCBC99" w14:textId="4897CD83" w:rsidR="001B7DAE" w:rsidRPr="005C5064" w:rsidRDefault="001B7DAE" w:rsidP="001B7DAE">
      <w:pPr>
        <w:numPr>
          <w:ilvl w:val="0"/>
          <w:numId w:val="26"/>
        </w:numPr>
        <w:tabs>
          <w:tab w:val="clear" w:pos="720"/>
          <w:tab w:val="num" w:pos="1440"/>
          <w:tab w:val="left" w:pos="2520"/>
        </w:tabs>
        <w:ind w:left="2520" w:hanging="540"/>
        <w:jc w:val="both"/>
        <w:rPr>
          <w:sz w:val="22"/>
          <w:szCs w:val="22"/>
          <w:lang w:val="pt-BR"/>
        </w:rPr>
      </w:pPr>
      <w:r w:rsidRPr="005C5064">
        <w:rPr>
          <w:b/>
          <w:bCs/>
          <w:sz w:val="22"/>
          <w:szCs w:val="22"/>
          <w:lang w:val="pt-BR"/>
        </w:rPr>
        <w:t>Abordar restrições de recursos e capacidade</w:t>
      </w:r>
      <w:r w:rsidRPr="005C5064">
        <w:rPr>
          <w:sz w:val="22"/>
          <w:szCs w:val="22"/>
          <w:lang w:val="pt-BR"/>
        </w:rPr>
        <w:t xml:space="preserve"> através de mecanismos de financiamento inovadores e parcerias, inclu</w:t>
      </w:r>
      <w:r w:rsidR="00C65C1C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>i</w:t>
      </w:r>
      <w:r w:rsidR="00C65C1C" w:rsidRPr="005C5064">
        <w:rPr>
          <w:sz w:val="22"/>
          <w:szCs w:val="22"/>
          <w:lang w:val="pt-BR"/>
        </w:rPr>
        <w:t>ve</w:t>
      </w:r>
      <w:r w:rsidRPr="005C5064">
        <w:rPr>
          <w:sz w:val="22"/>
          <w:szCs w:val="22"/>
          <w:lang w:val="pt-BR"/>
        </w:rPr>
        <w:t xml:space="preserve"> parcerias p</w:t>
      </w:r>
      <w:r w:rsidR="00C65C1C" w:rsidRPr="005C5064">
        <w:rPr>
          <w:sz w:val="22"/>
          <w:szCs w:val="22"/>
          <w:lang w:val="pt-BR"/>
        </w:rPr>
        <w:t>ú</w:t>
      </w:r>
      <w:r w:rsidRPr="005C5064">
        <w:rPr>
          <w:sz w:val="22"/>
          <w:szCs w:val="22"/>
          <w:lang w:val="pt-BR"/>
        </w:rPr>
        <w:t>blico-privadas e cooperação internacional.</w:t>
      </w:r>
    </w:p>
    <w:p w14:paraId="4ADBF453" w14:textId="506C898F" w:rsidR="001B7DAE" w:rsidRPr="005C5064" w:rsidRDefault="001B7DAE" w:rsidP="001B7DAE">
      <w:pPr>
        <w:numPr>
          <w:ilvl w:val="0"/>
          <w:numId w:val="26"/>
        </w:numPr>
        <w:tabs>
          <w:tab w:val="clear" w:pos="720"/>
          <w:tab w:val="num" w:pos="1440"/>
          <w:tab w:val="left" w:pos="2520"/>
        </w:tabs>
        <w:ind w:left="2520" w:hanging="540"/>
        <w:jc w:val="both"/>
        <w:rPr>
          <w:b/>
          <w:bCs/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Superar diferenças políticas e sociais através d</w:t>
      </w:r>
      <w:r w:rsidR="00C65C1C" w:rsidRPr="005C5064">
        <w:rPr>
          <w:sz w:val="22"/>
          <w:szCs w:val="22"/>
          <w:lang w:val="pt-BR"/>
        </w:rPr>
        <w:t xml:space="preserve">e </w:t>
      </w:r>
      <w:r w:rsidRPr="005C5064">
        <w:rPr>
          <w:b/>
          <w:bCs/>
          <w:sz w:val="22"/>
          <w:szCs w:val="22"/>
          <w:lang w:val="pt-BR"/>
        </w:rPr>
        <w:t xml:space="preserve">diálogos abertos e construtivos que </w:t>
      </w:r>
      <w:r w:rsidR="00C65C1C" w:rsidRPr="005C5064">
        <w:rPr>
          <w:b/>
          <w:bCs/>
          <w:sz w:val="22"/>
          <w:szCs w:val="22"/>
          <w:lang w:val="pt-BR"/>
        </w:rPr>
        <w:t>procur</w:t>
      </w:r>
      <w:r w:rsidRPr="005C5064">
        <w:rPr>
          <w:b/>
          <w:bCs/>
          <w:sz w:val="22"/>
          <w:szCs w:val="22"/>
          <w:lang w:val="pt-BR"/>
        </w:rPr>
        <w:t xml:space="preserve">em encontrar </w:t>
      </w:r>
      <w:r w:rsidR="00C65C1C" w:rsidRPr="005C5064">
        <w:rPr>
          <w:b/>
          <w:bCs/>
          <w:sz w:val="22"/>
          <w:szCs w:val="22"/>
          <w:lang w:val="pt-BR"/>
        </w:rPr>
        <w:t xml:space="preserve">interesses </w:t>
      </w:r>
      <w:r w:rsidRPr="005C5064">
        <w:rPr>
          <w:b/>
          <w:bCs/>
          <w:sz w:val="22"/>
          <w:szCs w:val="22"/>
          <w:lang w:val="pt-BR"/>
        </w:rPr>
        <w:t>comu</w:t>
      </w:r>
      <w:r w:rsidR="00C65C1C" w:rsidRPr="005C5064">
        <w:rPr>
          <w:b/>
          <w:bCs/>
          <w:sz w:val="22"/>
          <w:szCs w:val="22"/>
          <w:lang w:val="pt-BR"/>
        </w:rPr>
        <w:t>ns</w:t>
      </w:r>
      <w:r w:rsidRPr="005C5064">
        <w:rPr>
          <w:b/>
          <w:bCs/>
          <w:sz w:val="22"/>
          <w:szCs w:val="22"/>
          <w:lang w:val="pt-BR"/>
        </w:rPr>
        <w:t xml:space="preserve"> e formar consenso acerca de esforços de integração institucional.</w:t>
      </w:r>
    </w:p>
    <w:p w14:paraId="7338FD93" w14:textId="77777777" w:rsidR="001B7DAE" w:rsidRPr="005C5064" w:rsidRDefault="001B7DAE" w:rsidP="001B7DAE">
      <w:pPr>
        <w:ind w:left="1440"/>
        <w:jc w:val="both"/>
        <w:rPr>
          <w:b/>
          <w:bCs/>
          <w:sz w:val="22"/>
          <w:szCs w:val="22"/>
          <w:lang w:val="pt-BR"/>
        </w:rPr>
      </w:pPr>
    </w:p>
    <w:p w14:paraId="6C64E00B" w14:textId="5F7A7D5C" w:rsidR="001B7DAE" w:rsidRPr="005C5064" w:rsidRDefault="001B7DAE" w:rsidP="001B7DAE">
      <w:pPr>
        <w:ind w:left="1980"/>
        <w:jc w:val="both"/>
        <w:rPr>
          <w:b/>
          <w:bCs/>
          <w:sz w:val="22"/>
          <w:szCs w:val="22"/>
          <w:lang w:val="pt-BR"/>
        </w:rPr>
      </w:pPr>
      <w:r w:rsidRPr="005C5064">
        <w:rPr>
          <w:b/>
          <w:bCs/>
          <w:sz w:val="22"/>
          <w:szCs w:val="22"/>
          <w:lang w:val="pt-BR"/>
        </w:rPr>
        <w:lastRenderedPageBreak/>
        <w:t xml:space="preserve">Melhorar a coordenação de políticas funcionais nas áreas de desafios comuns, inclusive </w:t>
      </w:r>
      <w:r w:rsidR="005F6776" w:rsidRPr="005C5064">
        <w:rPr>
          <w:b/>
          <w:bCs/>
          <w:sz w:val="22"/>
          <w:szCs w:val="22"/>
          <w:lang w:val="pt-BR"/>
        </w:rPr>
        <w:t xml:space="preserve">construção de </w:t>
      </w:r>
      <w:r w:rsidRPr="005C5064">
        <w:rPr>
          <w:b/>
          <w:bCs/>
          <w:sz w:val="22"/>
          <w:szCs w:val="22"/>
          <w:lang w:val="pt-BR"/>
        </w:rPr>
        <w:t>resiliência climática</w:t>
      </w:r>
      <w:r w:rsidR="005F6776" w:rsidRPr="005C5064">
        <w:rPr>
          <w:b/>
          <w:bCs/>
          <w:sz w:val="22"/>
          <w:szCs w:val="22"/>
          <w:lang w:val="pt-BR"/>
        </w:rPr>
        <w:t xml:space="preserve"> e</w:t>
      </w:r>
      <w:r w:rsidRPr="005C5064">
        <w:rPr>
          <w:b/>
          <w:bCs/>
          <w:sz w:val="22"/>
          <w:szCs w:val="22"/>
          <w:lang w:val="pt-BR"/>
        </w:rPr>
        <w:t xml:space="preserve"> infraestrutura climática e redução de subsídios aos combustíveis f</w:t>
      </w:r>
      <w:r w:rsidR="00C65C1C" w:rsidRPr="005C5064">
        <w:rPr>
          <w:b/>
          <w:bCs/>
          <w:sz w:val="22"/>
          <w:szCs w:val="22"/>
          <w:lang w:val="pt-BR"/>
        </w:rPr>
        <w:t>ó</w:t>
      </w:r>
      <w:r w:rsidRPr="005C5064">
        <w:rPr>
          <w:b/>
          <w:bCs/>
          <w:sz w:val="22"/>
          <w:szCs w:val="22"/>
          <w:lang w:val="pt-BR"/>
        </w:rPr>
        <w:t>sseis, e reduzi</w:t>
      </w:r>
      <w:r w:rsidR="005F6776" w:rsidRPr="005C5064">
        <w:rPr>
          <w:b/>
          <w:bCs/>
          <w:sz w:val="22"/>
          <w:szCs w:val="22"/>
          <w:lang w:val="pt-BR"/>
        </w:rPr>
        <w:t>r</w:t>
      </w:r>
      <w:r w:rsidRPr="005C5064">
        <w:rPr>
          <w:b/>
          <w:bCs/>
          <w:sz w:val="22"/>
          <w:szCs w:val="22"/>
          <w:lang w:val="pt-BR"/>
        </w:rPr>
        <w:t xml:space="preserve"> a competição danosa entre </w:t>
      </w:r>
      <w:r w:rsidR="00C65C1C" w:rsidRPr="005C5064">
        <w:rPr>
          <w:b/>
          <w:bCs/>
          <w:sz w:val="22"/>
          <w:szCs w:val="22"/>
          <w:lang w:val="pt-BR"/>
        </w:rPr>
        <w:t>E</w:t>
      </w:r>
      <w:r w:rsidRPr="005C5064">
        <w:rPr>
          <w:b/>
          <w:bCs/>
          <w:sz w:val="22"/>
          <w:szCs w:val="22"/>
          <w:lang w:val="pt-BR"/>
        </w:rPr>
        <w:t>stados</w:t>
      </w:r>
      <w:r w:rsidR="00C65C1C" w:rsidRPr="005C5064">
        <w:rPr>
          <w:b/>
          <w:bCs/>
          <w:sz w:val="22"/>
          <w:szCs w:val="22"/>
          <w:lang w:val="pt-BR"/>
        </w:rPr>
        <w:t xml:space="preserve"> </w:t>
      </w:r>
      <w:r w:rsidRPr="005C5064">
        <w:rPr>
          <w:b/>
          <w:bCs/>
          <w:sz w:val="22"/>
          <w:szCs w:val="22"/>
          <w:lang w:val="pt-BR"/>
        </w:rPr>
        <w:t>membros.</w:t>
      </w:r>
    </w:p>
    <w:p w14:paraId="74F3F8B5" w14:textId="77777777" w:rsidR="001B7DAE" w:rsidRPr="005C5064" w:rsidRDefault="001B7DAE" w:rsidP="001B7DAE">
      <w:pPr>
        <w:jc w:val="both"/>
        <w:rPr>
          <w:b/>
          <w:bCs/>
          <w:sz w:val="22"/>
          <w:szCs w:val="22"/>
          <w:lang w:val="pt-BR"/>
        </w:rPr>
      </w:pPr>
    </w:p>
    <w:p w14:paraId="4E993B8D" w14:textId="799EBE30" w:rsidR="001B7DAE" w:rsidRPr="005C5064" w:rsidRDefault="00F3515F" w:rsidP="001B7DAE">
      <w:pPr>
        <w:pStyle w:val="NormalWeb"/>
        <w:numPr>
          <w:ilvl w:val="0"/>
          <w:numId w:val="27"/>
        </w:numPr>
        <w:tabs>
          <w:tab w:val="clear" w:pos="720"/>
          <w:tab w:val="num" w:pos="2520"/>
        </w:tabs>
        <w:spacing w:before="0" w:beforeAutospacing="0" w:after="0" w:afterAutospacing="0"/>
        <w:ind w:left="2520" w:hanging="54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Incentiv</w:t>
      </w:r>
      <w:r w:rsidR="001B7DAE" w:rsidRPr="005C5064">
        <w:rPr>
          <w:sz w:val="22"/>
          <w:szCs w:val="22"/>
          <w:lang w:val="pt-BR"/>
        </w:rPr>
        <w:t xml:space="preserve">ar </w:t>
      </w:r>
      <w:r w:rsidRPr="005C5064">
        <w:rPr>
          <w:sz w:val="22"/>
          <w:szCs w:val="22"/>
          <w:lang w:val="pt-BR"/>
        </w:rPr>
        <w:t xml:space="preserve">os </w:t>
      </w:r>
      <w:r w:rsidR="001B7DAE" w:rsidRPr="005C5064">
        <w:rPr>
          <w:sz w:val="22"/>
          <w:szCs w:val="22"/>
          <w:lang w:val="pt-BR"/>
        </w:rPr>
        <w:t xml:space="preserve">líderes políticos a trabalharem para uma </w:t>
      </w:r>
      <w:r w:rsidR="001B7DAE" w:rsidRPr="005C5064">
        <w:rPr>
          <w:b/>
          <w:bCs/>
          <w:sz w:val="22"/>
          <w:szCs w:val="22"/>
          <w:lang w:val="pt-BR"/>
        </w:rPr>
        <w:t>visão compartilhada de desenvolvimento sustentável</w:t>
      </w:r>
      <w:r w:rsidR="001B7DAE" w:rsidRPr="005C5064">
        <w:rPr>
          <w:sz w:val="22"/>
          <w:szCs w:val="22"/>
          <w:lang w:val="pt-BR"/>
        </w:rPr>
        <w:t>, que priorize a redução da co</w:t>
      </w:r>
      <w:r w:rsidRPr="005C5064">
        <w:rPr>
          <w:sz w:val="22"/>
          <w:szCs w:val="22"/>
          <w:lang w:val="pt-BR"/>
        </w:rPr>
        <w:t>mpeti</w:t>
      </w:r>
      <w:r w:rsidR="001B7DAE" w:rsidRPr="005C5064">
        <w:rPr>
          <w:sz w:val="22"/>
          <w:szCs w:val="22"/>
          <w:lang w:val="pt-BR"/>
        </w:rPr>
        <w:t>ção danosa e a promoção d</w:t>
      </w:r>
      <w:r w:rsidRPr="005C5064">
        <w:rPr>
          <w:sz w:val="22"/>
          <w:szCs w:val="22"/>
          <w:lang w:val="pt-BR"/>
        </w:rPr>
        <w:t>a</w:t>
      </w:r>
      <w:r w:rsidR="001B7DAE" w:rsidRPr="005C5064">
        <w:rPr>
          <w:sz w:val="22"/>
          <w:szCs w:val="22"/>
          <w:lang w:val="pt-BR"/>
        </w:rPr>
        <w:t xml:space="preserve"> cooperação e integração regional.</w:t>
      </w:r>
    </w:p>
    <w:p w14:paraId="678E7D8A" w14:textId="71078DFA" w:rsidR="001B7DAE" w:rsidRPr="005C5064" w:rsidRDefault="001B7DAE" w:rsidP="001B7DAE">
      <w:pPr>
        <w:pStyle w:val="NormalWeb"/>
        <w:numPr>
          <w:ilvl w:val="0"/>
          <w:numId w:val="27"/>
        </w:numPr>
        <w:tabs>
          <w:tab w:val="clear" w:pos="720"/>
          <w:tab w:val="num" w:pos="2520"/>
        </w:tabs>
        <w:spacing w:before="0" w:beforeAutospacing="0" w:after="0" w:afterAutospacing="0"/>
        <w:ind w:left="2520" w:hanging="540"/>
        <w:jc w:val="both"/>
        <w:rPr>
          <w:b/>
          <w:bCs/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Promover a necessidade de maior transparência e responsabilidade nos processos de form</w:t>
      </w:r>
      <w:r w:rsidR="00F3515F" w:rsidRPr="005C5064">
        <w:rPr>
          <w:sz w:val="22"/>
          <w:szCs w:val="22"/>
          <w:lang w:val="pt-BR"/>
        </w:rPr>
        <w:t>ul</w:t>
      </w:r>
      <w:r w:rsidRPr="005C5064">
        <w:rPr>
          <w:sz w:val="22"/>
          <w:szCs w:val="22"/>
          <w:lang w:val="pt-BR"/>
        </w:rPr>
        <w:t xml:space="preserve">ação de políticas, assegurando que </w:t>
      </w:r>
      <w:r w:rsidRPr="005C5064">
        <w:rPr>
          <w:b/>
          <w:bCs/>
          <w:sz w:val="22"/>
          <w:szCs w:val="22"/>
          <w:lang w:val="pt-BR"/>
        </w:rPr>
        <w:t xml:space="preserve">a tomada de decisões </w:t>
      </w:r>
      <w:r w:rsidR="00F3515F" w:rsidRPr="005C5064">
        <w:rPr>
          <w:b/>
          <w:bCs/>
          <w:sz w:val="22"/>
          <w:szCs w:val="22"/>
          <w:lang w:val="pt-BR"/>
        </w:rPr>
        <w:t>seja</w:t>
      </w:r>
      <w:r w:rsidRPr="005C5064">
        <w:rPr>
          <w:b/>
          <w:bCs/>
          <w:sz w:val="22"/>
          <w:szCs w:val="22"/>
          <w:lang w:val="pt-BR"/>
        </w:rPr>
        <w:t xml:space="preserve"> informada por evidência</w:t>
      </w:r>
      <w:r w:rsidR="00F3515F" w:rsidRPr="005C5064">
        <w:rPr>
          <w:b/>
          <w:bCs/>
          <w:sz w:val="22"/>
          <w:szCs w:val="22"/>
          <w:lang w:val="pt-BR"/>
        </w:rPr>
        <w:t>s</w:t>
      </w:r>
      <w:r w:rsidRPr="005C5064">
        <w:rPr>
          <w:b/>
          <w:bCs/>
          <w:sz w:val="22"/>
          <w:szCs w:val="22"/>
          <w:lang w:val="pt-BR"/>
        </w:rPr>
        <w:t xml:space="preserve"> cientifica</w:t>
      </w:r>
      <w:r w:rsidR="00F3515F" w:rsidRPr="005C5064">
        <w:rPr>
          <w:b/>
          <w:bCs/>
          <w:sz w:val="22"/>
          <w:szCs w:val="22"/>
          <w:lang w:val="pt-BR"/>
        </w:rPr>
        <w:t>s</w:t>
      </w:r>
      <w:r w:rsidRPr="005C5064">
        <w:rPr>
          <w:b/>
          <w:bCs/>
          <w:sz w:val="22"/>
          <w:szCs w:val="22"/>
          <w:lang w:val="pt-BR"/>
        </w:rPr>
        <w:t xml:space="preserve"> sólida</w:t>
      </w:r>
      <w:r w:rsidR="00F3515F" w:rsidRPr="005C5064">
        <w:rPr>
          <w:b/>
          <w:bCs/>
          <w:sz w:val="22"/>
          <w:szCs w:val="22"/>
          <w:lang w:val="pt-BR"/>
        </w:rPr>
        <w:t>s</w:t>
      </w:r>
      <w:r w:rsidRPr="005C5064">
        <w:rPr>
          <w:b/>
          <w:bCs/>
          <w:sz w:val="22"/>
          <w:szCs w:val="22"/>
          <w:lang w:val="pt-BR"/>
        </w:rPr>
        <w:t xml:space="preserve"> e orientada pelos princípios de equidade e justiça social.</w:t>
      </w:r>
    </w:p>
    <w:p w14:paraId="607317DC" w14:textId="7E5F6BF6" w:rsidR="001B7DAE" w:rsidRPr="005C5064" w:rsidRDefault="001B7DAE" w:rsidP="001B7DAE">
      <w:pPr>
        <w:pStyle w:val="NormalWeb"/>
        <w:numPr>
          <w:ilvl w:val="0"/>
          <w:numId w:val="27"/>
        </w:numPr>
        <w:tabs>
          <w:tab w:val="clear" w:pos="720"/>
          <w:tab w:val="num" w:pos="2520"/>
        </w:tabs>
        <w:spacing w:before="0" w:beforeAutospacing="0" w:after="0" w:afterAutospacing="0"/>
        <w:ind w:left="2520" w:hanging="540"/>
        <w:jc w:val="both"/>
        <w:rPr>
          <w:sz w:val="22"/>
          <w:szCs w:val="22"/>
          <w:lang w:val="pt-BR"/>
        </w:rPr>
      </w:pPr>
      <w:r w:rsidRPr="005C5064">
        <w:rPr>
          <w:b/>
          <w:bCs/>
          <w:sz w:val="22"/>
          <w:szCs w:val="22"/>
          <w:lang w:val="pt-BR"/>
        </w:rPr>
        <w:t xml:space="preserve">Facilitar o diálogo e </w:t>
      </w:r>
      <w:r w:rsidR="00F3515F" w:rsidRPr="005C5064">
        <w:rPr>
          <w:b/>
          <w:bCs/>
          <w:sz w:val="22"/>
          <w:szCs w:val="22"/>
          <w:lang w:val="pt-BR"/>
        </w:rPr>
        <w:t>o compartilhamento</w:t>
      </w:r>
      <w:r w:rsidRPr="005C5064">
        <w:rPr>
          <w:b/>
          <w:bCs/>
          <w:sz w:val="22"/>
          <w:szCs w:val="22"/>
          <w:lang w:val="pt-BR"/>
        </w:rPr>
        <w:t xml:space="preserve"> de conhecimento</w:t>
      </w:r>
      <w:r w:rsidRPr="005C5064">
        <w:rPr>
          <w:sz w:val="22"/>
          <w:szCs w:val="22"/>
          <w:lang w:val="pt-BR"/>
        </w:rPr>
        <w:t xml:space="preserve"> entre os </w:t>
      </w:r>
      <w:r w:rsidR="00F3515F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>stados</w:t>
      </w:r>
      <w:r w:rsidR="00F3515F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>membros, organizações da sociedade civil e outras partes interessadas para identificar e abordar desafios comuns, alavancar recursos compartilhados e construir um futuro mais resiliente e sustentável para todos.</w:t>
      </w:r>
    </w:p>
    <w:p w14:paraId="3A672F02" w14:textId="77777777" w:rsidR="001B7DAE" w:rsidRPr="005C5064" w:rsidRDefault="001B7DAE" w:rsidP="001B7DAE">
      <w:pPr>
        <w:pStyle w:val="Heading1"/>
        <w:rPr>
          <w:rFonts w:ascii="Times New Roman" w:hAnsi="Times New Roman"/>
          <w:szCs w:val="22"/>
          <w:lang w:val="pt-BR"/>
        </w:rPr>
      </w:pPr>
    </w:p>
    <w:p w14:paraId="238342A2" w14:textId="64792D74" w:rsidR="001B7DAE" w:rsidRPr="005C5064" w:rsidRDefault="001B7DAE" w:rsidP="001B7DAE">
      <w:pPr>
        <w:pStyle w:val="Heading1"/>
        <w:rPr>
          <w:rFonts w:ascii="Times New Roman" w:hAnsi="Times New Roman"/>
          <w:lang w:val="pt-BR"/>
        </w:rPr>
      </w:pPr>
      <w:bookmarkStart w:id="23" w:name="_Toc131067757"/>
      <w:bookmarkStart w:id="24" w:name="_Toc131518819"/>
      <w:r w:rsidRPr="005C5064">
        <w:rPr>
          <w:rFonts w:ascii="Times New Roman" w:hAnsi="Times New Roman"/>
          <w:lang w:val="pt-BR"/>
        </w:rPr>
        <w:t>MANDATOS D</w:t>
      </w:r>
      <w:r w:rsidR="00F3515F" w:rsidRPr="005C5064">
        <w:rPr>
          <w:rFonts w:ascii="Times New Roman" w:hAnsi="Times New Roman"/>
          <w:lang w:val="pt-BR"/>
        </w:rPr>
        <w:t>E</w:t>
      </w:r>
      <w:r w:rsidRPr="005C5064">
        <w:rPr>
          <w:rFonts w:ascii="Times New Roman" w:hAnsi="Times New Roman"/>
          <w:lang w:val="pt-BR"/>
        </w:rPr>
        <w:t xml:space="preserve"> DESENVOLVIMENTO SUSTENTÁVEL DA OEA</w:t>
      </w:r>
      <w:bookmarkEnd w:id="23"/>
      <w:bookmarkEnd w:id="24"/>
    </w:p>
    <w:p w14:paraId="7DA011B2" w14:textId="77777777" w:rsidR="001B7DAE" w:rsidRPr="005C5064" w:rsidRDefault="001B7DAE" w:rsidP="001B7DAE">
      <w:pPr>
        <w:pStyle w:val="Heading1"/>
        <w:rPr>
          <w:rFonts w:ascii="Times New Roman" w:hAnsi="Times New Roman"/>
          <w:szCs w:val="22"/>
          <w:lang w:val="pt-BR"/>
        </w:rPr>
      </w:pPr>
      <w:r w:rsidRPr="005C5064">
        <w:rPr>
          <w:rFonts w:ascii="Times New Roman" w:hAnsi="Times New Roman"/>
          <w:szCs w:val="22"/>
          <w:lang w:val="pt-BR"/>
        </w:rPr>
        <w:t xml:space="preserve"> </w:t>
      </w:r>
    </w:p>
    <w:p w14:paraId="00D3D97F" w14:textId="0E863583" w:rsidR="001B7DAE" w:rsidRPr="005C5064" w:rsidRDefault="001B7DAE" w:rsidP="001B7DAE">
      <w:pPr>
        <w:tabs>
          <w:tab w:val="num" w:pos="720"/>
        </w:tabs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ab/>
        <w:t xml:space="preserve">Na busca de maior desenvolvimento sustentável e ação climática, a OEA apoia ativamente os </w:t>
      </w:r>
      <w:r w:rsidR="00F3515F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>stados</w:t>
      </w:r>
      <w:r w:rsidR="00F3515F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 xml:space="preserve">membros no desenvolvimento e implementação de iniciativas que </w:t>
      </w:r>
      <w:r w:rsidR="00F3515F" w:rsidRPr="005C5064">
        <w:rPr>
          <w:sz w:val="22"/>
          <w:szCs w:val="22"/>
          <w:lang w:val="pt-BR"/>
        </w:rPr>
        <w:t>abord</w:t>
      </w:r>
      <w:r w:rsidRPr="005C5064">
        <w:rPr>
          <w:sz w:val="22"/>
          <w:szCs w:val="22"/>
          <w:lang w:val="pt-BR"/>
        </w:rPr>
        <w:t xml:space="preserve">am aspectos importantes desses desafios. Essas ações são instruídas por </w:t>
      </w:r>
      <w:r w:rsidR="00F3515F" w:rsidRPr="005C5064">
        <w:rPr>
          <w:sz w:val="22"/>
          <w:szCs w:val="22"/>
          <w:lang w:val="pt-BR"/>
        </w:rPr>
        <w:t xml:space="preserve">vários </w:t>
      </w:r>
      <w:r w:rsidRPr="005C5064">
        <w:rPr>
          <w:sz w:val="22"/>
          <w:szCs w:val="22"/>
          <w:lang w:val="pt-BR"/>
        </w:rPr>
        <w:t>mandatos de níve</w:t>
      </w:r>
      <w:r w:rsidR="00F3515F" w:rsidRPr="005C5064">
        <w:rPr>
          <w:sz w:val="22"/>
          <w:szCs w:val="22"/>
          <w:lang w:val="pt-BR"/>
        </w:rPr>
        <w:t>l</w:t>
      </w:r>
      <w:r w:rsidRPr="005C5064">
        <w:rPr>
          <w:sz w:val="22"/>
          <w:szCs w:val="22"/>
          <w:lang w:val="pt-BR"/>
        </w:rPr>
        <w:t xml:space="preserve"> ministeria</w:t>
      </w:r>
      <w:r w:rsidR="00F3515F" w:rsidRPr="005C5064">
        <w:rPr>
          <w:sz w:val="22"/>
          <w:szCs w:val="22"/>
          <w:lang w:val="pt-BR"/>
        </w:rPr>
        <w:t>l</w:t>
      </w:r>
      <w:r w:rsidRPr="005C5064">
        <w:rPr>
          <w:sz w:val="22"/>
          <w:szCs w:val="22"/>
          <w:lang w:val="pt-BR"/>
        </w:rPr>
        <w:t>, inclu</w:t>
      </w:r>
      <w:r w:rsidR="00F3515F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>i</w:t>
      </w:r>
      <w:r w:rsidR="00F3515F" w:rsidRPr="005C5064">
        <w:rPr>
          <w:sz w:val="22"/>
          <w:szCs w:val="22"/>
          <w:lang w:val="pt-BR"/>
        </w:rPr>
        <w:t xml:space="preserve">ve </w:t>
      </w:r>
      <w:r w:rsidRPr="005C5064">
        <w:rPr>
          <w:sz w:val="22"/>
          <w:szCs w:val="22"/>
          <w:lang w:val="pt-BR"/>
        </w:rPr>
        <w:t>o</w:t>
      </w:r>
      <w:r w:rsidR="00F3515F" w:rsidRPr="005C5064">
        <w:rPr>
          <w:sz w:val="22"/>
          <w:szCs w:val="22"/>
          <w:lang w:val="pt-BR"/>
        </w:rPr>
        <w:t>s</w:t>
      </w:r>
      <w:r w:rsidRPr="005C5064">
        <w:rPr>
          <w:sz w:val="22"/>
          <w:szCs w:val="22"/>
          <w:lang w:val="pt-BR"/>
        </w:rPr>
        <w:t xml:space="preserve"> seguinte</w:t>
      </w:r>
      <w:r w:rsidR="00F3515F" w:rsidRPr="005C5064">
        <w:rPr>
          <w:sz w:val="22"/>
          <w:szCs w:val="22"/>
          <w:lang w:val="pt-BR"/>
        </w:rPr>
        <w:t>s.</w:t>
      </w:r>
    </w:p>
    <w:p w14:paraId="5A4B8C1E" w14:textId="77777777" w:rsidR="001B7DAE" w:rsidRPr="005C5064" w:rsidRDefault="001B7DAE" w:rsidP="001B7DAE">
      <w:pPr>
        <w:tabs>
          <w:tab w:val="num" w:pos="720"/>
        </w:tabs>
        <w:jc w:val="both"/>
        <w:rPr>
          <w:sz w:val="22"/>
          <w:szCs w:val="22"/>
          <w:lang w:val="pt-BR"/>
        </w:rPr>
      </w:pPr>
    </w:p>
    <w:p w14:paraId="1F4B3078" w14:textId="7F79564A" w:rsidR="001B7DAE" w:rsidRPr="005C5064" w:rsidRDefault="00C745F6" w:rsidP="001B7DAE">
      <w:pPr>
        <w:pStyle w:val="ListParagraph0"/>
        <w:numPr>
          <w:ilvl w:val="0"/>
          <w:numId w:val="21"/>
        </w:numPr>
        <w:ind w:left="1440" w:hanging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A Carta </w:t>
      </w:r>
      <w:r w:rsidR="001B7DAE" w:rsidRPr="005C5064">
        <w:rPr>
          <w:sz w:val="22"/>
          <w:szCs w:val="22"/>
          <w:lang w:val="pt-BR"/>
        </w:rPr>
        <w:t xml:space="preserve">da OEA </w:t>
      </w:r>
      <w:r w:rsidRPr="005C5064">
        <w:rPr>
          <w:sz w:val="22"/>
          <w:szCs w:val="22"/>
          <w:lang w:val="pt-BR"/>
        </w:rPr>
        <w:t>estipul</w:t>
      </w:r>
      <w:r w:rsidR="001B7DAE" w:rsidRPr="005C5064">
        <w:rPr>
          <w:sz w:val="22"/>
          <w:szCs w:val="22"/>
          <w:lang w:val="pt-BR"/>
        </w:rPr>
        <w:t xml:space="preserve">a que </w:t>
      </w:r>
      <w:r w:rsidRPr="005C5064">
        <w:rPr>
          <w:sz w:val="22"/>
          <w:szCs w:val="22"/>
          <w:lang w:val="pt-BR"/>
        </w:rPr>
        <w:t>o</w:t>
      </w:r>
      <w:r w:rsidR="001B7DAE" w:rsidRPr="005C5064">
        <w:rPr>
          <w:sz w:val="22"/>
          <w:szCs w:val="22"/>
          <w:lang w:val="pt-BR"/>
        </w:rPr>
        <w:t xml:space="preserve"> Co</w:t>
      </w:r>
      <w:r w:rsidRPr="005C5064">
        <w:rPr>
          <w:sz w:val="22"/>
          <w:szCs w:val="22"/>
          <w:lang w:val="pt-BR"/>
        </w:rPr>
        <w:t>nselho</w:t>
      </w:r>
      <w:r w:rsidR="001B7DAE" w:rsidRPr="005C5064">
        <w:rPr>
          <w:sz w:val="22"/>
          <w:szCs w:val="22"/>
          <w:lang w:val="pt-BR"/>
        </w:rPr>
        <w:t xml:space="preserve"> Interamerican</w:t>
      </w:r>
      <w:r w:rsidRPr="005C5064">
        <w:rPr>
          <w:sz w:val="22"/>
          <w:szCs w:val="22"/>
          <w:lang w:val="pt-BR"/>
        </w:rPr>
        <w:t>o</w:t>
      </w:r>
      <w:r w:rsidR="001B7DAE" w:rsidRPr="005C5064">
        <w:rPr>
          <w:sz w:val="22"/>
          <w:szCs w:val="22"/>
          <w:lang w:val="pt-BR"/>
        </w:rPr>
        <w:t xml:space="preserve"> de Desenvolvimento Integral (CIDI) </w:t>
      </w:r>
      <w:r w:rsidRPr="005C5064">
        <w:rPr>
          <w:sz w:val="22"/>
          <w:szCs w:val="22"/>
          <w:lang w:val="pt-BR"/>
        </w:rPr>
        <w:t xml:space="preserve">deve </w:t>
      </w:r>
      <w:r w:rsidR="001B7DAE" w:rsidRPr="005C5064">
        <w:rPr>
          <w:sz w:val="22"/>
          <w:szCs w:val="22"/>
          <w:lang w:val="pt-BR"/>
        </w:rPr>
        <w:t>promov</w:t>
      </w:r>
      <w:r w:rsidRPr="005C5064">
        <w:rPr>
          <w:sz w:val="22"/>
          <w:szCs w:val="22"/>
          <w:lang w:val="pt-BR"/>
        </w:rPr>
        <w:t xml:space="preserve">er </w:t>
      </w:r>
      <w:r w:rsidR="001B7DAE" w:rsidRPr="005C5064">
        <w:rPr>
          <w:sz w:val="22"/>
          <w:szCs w:val="22"/>
          <w:lang w:val="pt-BR"/>
        </w:rPr>
        <w:t xml:space="preserve">a cooperação entre os </w:t>
      </w:r>
      <w:r w:rsidRPr="005C5064">
        <w:rPr>
          <w:sz w:val="22"/>
          <w:szCs w:val="22"/>
          <w:lang w:val="pt-BR"/>
        </w:rPr>
        <w:t>E</w:t>
      </w:r>
      <w:r w:rsidR="001B7DAE" w:rsidRPr="005C5064">
        <w:rPr>
          <w:sz w:val="22"/>
          <w:szCs w:val="22"/>
          <w:lang w:val="pt-BR"/>
        </w:rPr>
        <w:t>stados</w:t>
      </w:r>
      <w:r w:rsidRPr="005C5064">
        <w:rPr>
          <w:sz w:val="22"/>
          <w:szCs w:val="22"/>
          <w:lang w:val="pt-BR"/>
        </w:rPr>
        <w:t xml:space="preserve"> </w:t>
      </w:r>
      <w:r w:rsidR="001B7DAE" w:rsidRPr="005C5064">
        <w:rPr>
          <w:sz w:val="22"/>
          <w:szCs w:val="22"/>
          <w:lang w:val="pt-BR"/>
        </w:rPr>
        <w:t xml:space="preserve">membros para </w:t>
      </w:r>
      <w:r w:rsidRPr="005C5064">
        <w:rPr>
          <w:sz w:val="22"/>
          <w:szCs w:val="22"/>
          <w:lang w:val="pt-BR"/>
        </w:rPr>
        <w:t xml:space="preserve">obter um </w:t>
      </w:r>
      <w:r w:rsidR="001B7DAE" w:rsidRPr="005C5064">
        <w:rPr>
          <w:sz w:val="22"/>
          <w:szCs w:val="22"/>
          <w:lang w:val="pt-BR"/>
        </w:rPr>
        <w:t xml:space="preserve">desenvolvimento integral. </w:t>
      </w:r>
      <w:r w:rsidRPr="005C5064">
        <w:rPr>
          <w:sz w:val="22"/>
          <w:szCs w:val="22"/>
          <w:lang w:val="pt-BR"/>
        </w:rPr>
        <w:t xml:space="preserve">A Carta </w:t>
      </w:r>
      <w:r w:rsidR="001B7DAE" w:rsidRPr="005C5064">
        <w:rPr>
          <w:sz w:val="22"/>
          <w:szCs w:val="22"/>
          <w:lang w:val="pt-BR"/>
        </w:rPr>
        <w:t xml:space="preserve">também </w:t>
      </w:r>
      <w:r w:rsidR="002F4CA2" w:rsidRPr="005C5064">
        <w:rPr>
          <w:sz w:val="22"/>
          <w:szCs w:val="22"/>
          <w:lang w:val="pt-BR"/>
        </w:rPr>
        <w:t xml:space="preserve">estabelece que o </w:t>
      </w:r>
      <w:r w:rsidR="001B7DAE" w:rsidRPr="005C5064">
        <w:rPr>
          <w:sz w:val="22"/>
          <w:szCs w:val="22"/>
          <w:lang w:val="pt-BR"/>
        </w:rPr>
        <w:t xml:space="preserve">CIDI </w:t>
      </w:r>
      <w:r w:rsidR="002F4CA2" w:rsidRPr="005C5064">
        <w:rPr>
          <w:sz w:val="22"/>
          <w:szCs w:val="22"/>
          <w:lang w:val="pt-BR"/>
        </w:rPr>
        <w:t>deve</w:t>
      </w:r>
      <w:r w:rsidR="001B7DAE" w:rsidRPr="005C5064">
        <w:rPr>
          <w:sz w:val="22"/>
          <w:szCs w:val="22"/>
          <w:lang w:val="pt-BR"/>
        </w:rPr>
        <w:t xml:space="preserve"> “promover, coordenar e atribuir responsabilidade pela execução de programas e projetos de desenvolvimento aos órgãos subsidiários e organizações relevantes, </w:t>
      </w:r>
      <w:r w:rsidR="002F4CA2" w:rsidRPr="005C5064">
        <w:rPr>
          <w:sz w:val="22"/>
          <w:szCs w:val="22"/>
          <w:lang w:val="pt-BR"/>
        </w:rPr>
        <w:t>com</w:t>
      </w:r>
      <w:r w:rsidR="001B7DAE" w:rsidRPr="005C5064">
        <w:rPr>
          <w:sz w:val="22"/>
          <w:szCs w:val="22"/>
          <w:lang w:val="pt-BR"/>
        </w:rPr>
        <w:t xml:space="preserve"> base </w:t>
      </w:r>
      <w:r w:rsidR="002F4CA2" w:rsidRPr="005C5064">
        <w:rPr>
          <w:sz w:val="22"/>
          <w:szCs w:val="22"/>
          <w:lang w:val="pt-BR"/>
        </w:rPr>
        <w:t>n</w:t>
      </w:r>
      <w:r w:rsidR="001B7DAE" w:rsidRPr="005C5064">
        <w:rPr>
          <w:sz w:val="22"/>
          <w:szCs w:val="22"/>
          <w:lang w:val="pt-BR"/>
        </w:rPr>
        <w:t xml:space="preserve">as prioridades identificadas pelos </w:t>
      </w:r>
      <w:r w:rsidR="002F4CA2" w:rsidRPr="005C5064">
        <w:rPr>
          <w:sz w:val="22"/>
          <w:szCs w:val="22"/>
          <w:lang w:val="pt-BR"/>
        </w:rPr>
        <w:t>E</w:t>
      </w:r>
      <w:r w:rsidR="001B7DAE" w:rsidRPr="005C5064">
        <w:rPr>
          <w:sz w:val="22"/>
          <w:szCs w:val="22"/>
          <w:lang w:val="pt-BR"/>
        </w:rPr>
        <w:t>stados</w:t>
      </w:r>
      <w:r w:rsidR="002F4CA2" w:rsidRPr="005C5064">
        <w:rPr>
          <w:sz w:val="22"/>
          <w:szCs w:val="22"/>
          <w:lang w:val="pt-BR"/>
        </w:rPr>
        <w:t xml:space="preserve"> </w:t>
      </w:r>
      <w:r w:rsidR="001B7DAE" w:rsidRPr="005C5064">
        <w:rPr>
          <w:sz w:val="22"/>
          <w:szCs w:val="22"/>
          <w:lang w:val="pt-BR"/>
        </w:rPr>
        <w:t xml:space="preserve">membros, em áreas como </w:t>
      </w:r>
      <w:r w:rsidR="0009440A" w:rsidRPr="005C5064">
        <w:rPr>
          <w:sz w:val="22"/>
          <w:szCs w:val="22"/>
          <w:lang w:val="pt-BR"/>
        </w:rPr>
        <w:t xml:space="preserve">o </w:t>
      </w:r>
      <w:r w:rsidR="001B7DAE" w:rsidRPr="005C5064">
        <w:rPr>
          <w:sz w:val="22"/>
          <w:szCs w:val="22"/>
          <w:lang w:val="pt-BR"/>
        </w:rPr>
        <w:t>desenvolvimento econômico e social, incluindo com</w:t>
      </w:r>
      <w:r w:rsidR="0009440A" w:rsidRPr="005C5064">
        <w:rPr>
          <w:sz w:val="22"/>
          <w:szCs w:val="22"/>
          <w:lang w:val="pt-BR"/>
        </w:rPr>
        <w:t>é</w:t>
      </w:r>
      <w:r w:rsidR="001B7DAE" w:rsidRPr="005C5064">
        <w:rPr>
          <w:sz w:val="22"/>
          <w:szCs w:val="22"/>
          <w:lang w:val="pt-BR"/>
        </w:rPr>
        <w:t>rcio, turismo, integração e meio ambiente.”</w:t>
      </w:r>
    </w:p>
    <w:p w14:paraId="228F3B2B" w14:textId="68F76DD1" w:rsidR="001B7DAE" w:rsidRPr="005C5064" w:rsidRDefault="001B7DAE" w:rsidP="001B7DAE">
      <w:pPr>
        <w:pStyle w:val="ListParagraph0"/>
        <w:numPr>
          <w:ilvl w:val="0"/>
          <w:numId w:val="21"/>
        </w:numPr>
        <w:ind w:left="1440" w:hanging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Na Assembleia Geral da OEA realizada em 14 de junho de 2016, os </w:t>
      </w:r>
      <w:r w:rsidR="00C745F6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>stados</w:t>
      </w:r>
      <w:r w:rsidR="00C745F6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 xml:space="preserve">membros da OEA aprovaram o Programa Interamericano de Desenvolvimento Sustentável (PIDS) que estabelece ações prioritárias para o desenvolvimento sustentável </w:t>
      </w:r>
      <w:r w:rsidR="0009440A" w:rsidRPr="005C5064">
        <w:rPr>
          <w:sz w:val="22"/>
          <w:szCs w:val="22"/>
          <w:lang w:val="pt-BR"/>
        </w:rPr>
        <w:t>em seis</w:t>
      </w:r>
      <w:r w:rsidRPr="005C5064">
        <w:rPr>
          <w:sz w:val="22"/>
          <w:szCs w:val="22"/>
          <w:lang w:val="pt-BR"/>
        </w:rPr>
        <w:t xml:space="preserve"> áreas: (1) gestão do risco de desastres; (2) gestão sustentável de ecossistemas; (3) gestão integrada de recursos hídricos; (4) cidades e comunidades sustentáveis; (5) gestão de energia sustentável, priorizando a promoção de energia limpa, renovável e ambientalmente sustentável e </w:t>
      </w:r>
      <w:r w:rsidR="007F0F0F" w:rsidRPr="005C5064">
        <w:rPr>
          <w:sz w:val="22"/>
          <w:szCs w:val="22"/>
          <w:lang w:val="pt-BR"/>
        </w:rPr>
        <w:t xml:space="preserve">a </w:t>
      </w:r>
      <w:r w:rsidRPr="005C5064">
        <w:rPr>
          <w:sz w:val="22"/>
          <w:szCs w:val="22"/>
          <w:lang w:val="pt-BR"/>
        </w:rPr>
        <w:t xml:space="preserve">eficiência energética; (6) fortalecimento e </w:t>
      </w:r>
      <w:r w:rsidR="002B62C1" w:rsidRPr="005C5064">
        <w:rPr>
          <w:sz w:val="22"/>
          <w:szCs w:val="22"/>
          <w:lang w:val="pt-BR"/>
        </w:rPr>
        <w:t>constru</w:t>
      </w:r>
      <w:r w:rsidRPr="005C5064">
        <w:rPr>
          <w:sz w:val="22"/>
          <w:szCs w:val="22"/>
          <w:lang w:val="pt-BR"/>
        </w:rPr>
        <w:t xml:space="preserve">ção de capacidade </w:t>
      </w:r>
      <w:r w:rsidR="002B62C1" w:rsidRPr="005C5064">
        <w:rPr>
          <w:sz w:val="22"/>
          <w:szCs w:val="22"/>
          <w:lang w:val="pt-BR"/>
        </w:rPr>
        <w:t>de</w:t>
      </w:r>
      <w:r w:rsidRPr="005C5064">
        <w:rPr>
          <w:sz w:val="22"/>
          <w:szCs w:val="22"/>
          <w:lang w:val="pt-BR"/>
        </w:rPr>
        <w:t xml:space="preserve"> instituições eficientes, eficazes, responsáveis e inclusivas para o desenvolvimento sustentável. O PIDS visa a garantir que o trabalho da Secretaria</w:t>
      </w:r>
      <w:r w:rsidR="002B62C1" w:rsidRPr="005C5064">
        <w:rPr>
          <w:sz w:val="22"/>
          <w:szCs w:val="22"/>
          <w:lang w:val="pt-BR"/>
        </w:rPr>
        <w:t>-</w:t>
      </w:r>
      <w:r w:rsidRPr="005C5064">
        <w:rPr>
          <w:sz w:val="22"/>
          <w:szCs w:val="22"/>
          <w:lang w:val="pt-BR"/>
        </w:rPr>
        <w:t xml:space="preserve">Geral em desenvolvimento sustentável esteja alinhado com a implementação no </w:t>
      </w:r>
      <w:r w:rsidR="002B62C1" w:rsidRPr="005C5064">
        <w:rPr>
          <w:sz w:val="22"/>
          <w:szCs w:val="22"/>
          <w:lang w:val="pt-BR"/>
        </w:rPr>
        <w:t>h</w:t>
      </w:r>
      <w:r w:rsidRPr="005C5064">
        <w:rPr>
          <w:sz w:val="22"/>
          <w:szCs w:val="22"/>
          <w:lang w:val="pt-BR"/>
        </w:rPr>
        <w:t xml:space="preserve">emisfério da Agenda 2030 </w:t>
      </w:r>
      <w:r w:rsidR="002B62C1" w:rsidRPr="005C5064">
        <w:rPr>
          <w:sz w:val="22"/>
          <w:szCs w:val="22"/>
          <w:lang w:val="pt-BR"/>
        </w:rPr>
        <w:t>para o</w:t>
      </w:r>
      <w:r w:rsidRPr="005C5064">
        <w:rPr>
          <w:sz w:val="22"/>
          <w:szCs w:val="22"/>
          <w:lang w:val="pt-BR"/>
        </w:rPr>
        <w:t xml:space="preserve"> Desenvolvimento Sustentável e o Acordo de Paris sobre Mudança Climática e que seus objetivos e resultados sejam orientados pel</w:t>
      </w:r>
      <w:r w:rsidR="002B62C1" w:rsidRPr="005C5064">
        <w:rPr>
          <w:sz w:val="22"/>
          <w:szCs w:val="22"/>
          <w:lang w:val="pt-BR"/>
        </w:rPr>
        <w:t>o</w:t>
      </w:r>
      <w:r w:rsidRPr="005C5064">
        <w:rPr>
          <w:sz w:val="22"/>
          <w:szCs w:val="22"/>
          <w:lang w:val="pt-BR"/>
        </w:rPr>
        <w:t>s ODS aprovad</w:t>
      </w:r>
      <w:r w:rsidR="002B62C1" w:rsidRPr="005C5064">
        <w:rPr>
          <w:sz w:val="22"/>
          <w:szCs w:val="22"/>
          <w:lang w:val="pt-BR"/>
        </w:rPr>
        <w:t>o</w:t>
      </w:r>
      <w:r w:rsidRPr="005C5064">
        <w:rPr>
          <w:sz w:val="22"/>
          <w:szCs w:val="22"/>
          <w:lang w:val="pt-BR"/>
        </w:rPr>
        <w:t xml:space="preserve">s pelos </w:t>
      </w:r>
      <w:r w:rsidR="002B62C1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>stados</w:t>
      </w:r>
      <w:r w:rsidR="002B62C1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 xml:space="preserve">membros e contribuam para a sua realização. </w:t>
      </w:r>
    </w:p>
    <w:p w14:paraId="6BDDB6B6" w14:textId="10CDD54F" w:rsidR="001B7DAE" w:rsidRPr="005C5064" w:rsidRDefault="001B7DAE" w:rsidP="001B7DAE">
      <w:pPr>
        <w:pStyle w:val="ListParagraph0"/>
        <w:numPr>
          <w:ilvl w:val="0"/>
          <w:numId w:val="21"/>
        </w:numPr>
        <w:ind w:left="1440" w:hanging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O PIDS também estabelece que o trabalho da Secretaria</w:t>
      </w:r>
      <w:r w:rsidR="002B62C1" w:rsidRPr="005C5064">
        <w:rPr>
          <w:sz w:val="22"/>
          <w:szCs w:val="22"/>
          <w:lang w:val="pt-BR"/>
        </w:rPr>
        <w:t>-</w:t>
      </w:r>
      <w:r w:rsidRPr="005C5064">
        <w:rPr>
          <w:sz w:val="22"/>
          <w:szCs w:val="22"/>
          <w:lang w:val="pt-BR"/>
        </w:rPr>
        <w:t xml:space="preserve">Geral deve contribuir diretamente para o apoio </w:t>
      </w:r>
      <w:r w:rsidR="002B62C1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 xml:space="preserve"> seus esforços de cumpri</w:t>
      </w:r>
      <w:r w:rsidR="002B62C1" w:rsidRPr="005C5064">
        <w:rPr>
          <w:sz w:val="22"/>
          <w:szCs w:val="22"/>
          <w:lang w:val="pt-BR"/>
        </w:rPr>
        <w:t>mento d</w:t>
      </w:r>
      <w:r w:rsidR="00463C4E" w:rsidRPr="005C5064">
        <w:rPr>
          <w:sz w:val="22"/>
          <w:szCs w:val="22"/>
          <w:lang w:val="pt-BR"/>
        </w:rPr>
        <w:t>o</w:t>
      </w:r>
      <w:r w:rsidRPr="005C5064">
        <w:rPr>
          <w:sz w:val="22"/>
          <w:szCs w:val="22"/>
          <w:lang w:val="pt-BR"/>
        </w:rPr>
        <w:t xml:space="preserve"> </w:t>
      </w:r>
      <w:r w:rsidR="00C04DCD" w:rsidRPr="005C5064">
        <w:rPr>
          <w:sz w:val="22"/>
          <w:szCs w:val="22"/>
          <w:lang w:val="pt-BR"/>
        </w:rPr>
        <w:t>OD</w:t>
      </w:r>
      <w:r w:rsidRPr="005C5064">
        <w:rPr>
          <w:sz w:val="22"/>
          <w:szCs w:val="22"/>
          <w:lang w:val="pt-BR"/>
        </w:rPr>
        <w:t>S</w:t>
      </w:r>
      <w:r w:rsidR="00C04DCD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>11</w:t>
      </w:r>
      <w:r w:rsidR="00463C4E" w:rsidRPr="005C5064">
        <w:rPr>
          <w:sz w:val="22"/>
          <w:szCs w:val="22"/>
          <w:lang w:val="pt-BR"/>
        </w:rPr>
        <w:t>,</w:t>
      </w:r>
      <w:r w:rsidRPr="005C5064">
        <w:rPr>
          <w:sz w:val="22"/>
          <w:szCs w:val="22"/>
          <w:lang w:val="pt-BR"/>
        </w:rPr>
        <w:t xml:space="preserve"> “Tornar as cidades e assentamentos inclusivos, seguros, resilientes e sustentáveis”</w:t>
      </w:r>
      <w:r w:rsidR="00463C4E" w:rsidRPr="005C5064">
        <w:rPr>
          <w:sz w:val="22"/>
          <w:szCs w:val="22"/>
          <w:lang w:val="pt-BR"/>
        </w:rPr>
        <w:t>,</w:t>
      </w:r>
      <w:r w:rsidRPr="005C5064">
        <w:rPr>
          <w:sz w:val="22"/>
          <w:szCs w:val="22"/>
          <w:lang w:val="pt-BR"/>
        </w:rPr>
        <w:t xml:space="preserve"> </w:t>
      </w:r>
      <w:r w:rsidR="00C04DCD" w:rsidRPr="005C5064">
        <w:rPr>
          <w:sz w:val="22"/>
          <w:szCs w:val="22"/>
          <w:lang w:val="pt-BR"/>
        </w:rPr>
        <w:t>OD</w:t>
      </w:r>
      <w:r w:rsidRPr="005C5064">
        <w:rPr>
          <w:sz w:val="22"/>
          <w:szCs w:val="22"/>
          <w:lang w:val="pt-BR"/>
        </w:rPr>
        <w:t>S</w:t>
      </w:r>
      <w:r w:rsidR="00C04DCD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 xml:space="preserve">15, </w:t>
      </w:r>
      <w:r w:rsidRPr="005C5064">
        <w:rPr>
          <w:sz w:val="22"/>
          <w:szCs w:val="22"/>
          <w:lang w:val="pt-BR"/>
        </w:rPr>
        <w:lastRenderedPageBreak/>
        <w:t>“Proteger, re</w:t>
      </w:r>
      <w:r w:rsidR="00463C4E" w:rsidRPr="005C5064">
        <w:rPr>
          <w:sz w:val="22"/>
          <w:szCs w:val="22"/>
          <w:lang w:val="pt-BR"/>
        </w:rPr>
        <w:t>cuper</w:t>
      </w:r>
      <w:r w:rsidRPr="005C5064">
        <w:rPr>
          <w:sz w:val="22"/>
          <w:szCs w:val="22"/>
          <w:lang w:val="pt-BR"/>
        </w:rPr>
        <w:t>ar e promover o uso sustentável de ecossistemas terrestres, gerir de forma sustentável as florestas, combater a desertificação, deter e reverter a degradação d</w:t>
      </w:r>
      <w:r w:rsidR="004F71FD">
        <w:rPr>
          <w:sz w:val="22"/>
          <w:szCs w:val="22"/>
          <w:lang w:val="pt-BR"/>
        </w:rPr>
        <w:t>a terra</w:t>
      </w:r>
      <w:r w:rsidRPr="005C5064">
        <w:rPr>
          <w:sz w:val="22"/>
          <w:szCs w:val="22"/>
          <w:lang w:val="pt-BR"/>
        </w:rPr>
        <w:t xml:space="preserve"> e deter a perda d</w:t>
      </w:r>
      <w:r w:rsidR="002B62C1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 xml:space="preserve"> biodiversidade”</w:t>
      </w:r>
      <w:r w:rsidR="00463C4E" w:rsidRPr="005C5064">
        <w:rPr>
          <w:sz w:val="22"/>
          <w:szCs w:val="22"/>
          <w:lang w:val="pt-BR"/>
        </w:rPr>
        <w:t>,</w:t>
      </w:r>
      <w:r w:rsidRPr="005C5064">
        <w:rPr>
          <w:sz w:val="22"/>
          <w:szCs w:val="22"/>
          <w:lang w:val="pt-BR"/>
        </w:rPr>
        <w:t xml:space="preserve"> </w:t>
      </w:r>
      <w:r w:rsidR="00C04DCD" w:rsidRPr="005C5064">
        <w:rPr>
          <w:sz w:val="22"/>
          <w:szCs w:val="22"/>
          <w:lang w:val="pt-BR"/>
        </w:rPr>
        <w:t>e OD</w:t>
      </w:r>
      <w:r w:rsidRPr="005C5064">
        <w:rPr>
          <w:sz w:val="22"/>
          <w:szCs w:val="22"/>
          <w:lang w:val="pt-BR"/>
        </w:rPr>
        <w:t>S</w:t>
      </w:r>
      <w:r w:rsidR="00C04DCD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>7</w:t>
      </w:r>
      <w:r w:rsidR="00463C4E" w:rsidRPr="005C5064">
        <w:rPr>
          <w:sz w:val="22"/>
          <w:szCs w:val="22"/>
          <w:lang w:val="pt-BR"/>
        </w:rPr>
        <w:t>,</w:t>
      </w:r>
      <w:r w:rsidRPr="005C5064">
        <w:rPr>
          <w:sz w:val="22"/>
          <w:szCs w:val="22"/>
          <w:lang w:val="pt-BR"/>
        </w:rPr>
        <w:t xml:space="preserve"> “Garantir acesso </w:t>
      </w:r>
      <w:r w:rsidR="002B62C1" w:rsidRPr="005C5064">
        <w:rPr>
          <w:sz w:val="22"/>
          <w:szCs w:val="22"/>
          <w:lang w:val="pt-BR"/>
        </w:rPr>
        <w:t>à</w:t>
      </w:r>
      <w:r w:rsidRPr="005C5064">
        <w:rPr>
          <w:sz w:val="22"/>
          <w:szCs w:val="22"/>
          <w:lang w:val="pt-BR"/>
        </w:rPr>
        <w:t xml:space="preserve"> energia barata, confiável, </w:t>
      </w:r>
      <w:r w:rsidR="004F71FD">
        <w:rPr>
          <w:sz w:val="22"/>
          <w:szCs w:val="22"/>
          <w:lang w:val="pt-BR"/>
        </w:rPr>
        <w:t>sustentável e renovável para todos</w:t>
      </w:r>
      <w:r w:rsidRPr="005C5064">
        <w:rPr>
          <w:sz w:val="22"/>
          <w:szCs w:val="22"/>
          <w:lang w:val="pt-BR"/>
        </w:rPr>
        <w:t>”</w:t>
      </w:r>
      <w:r w:rsidR="00463C4E" w:rsidRPr="005C5064">
        <w:rPr>
          <w:sz w:val="22"/>
          <w:szCs w:val="22"/>
          <w:lang w:val="pt-BR"/>
        </w:rPr>
        <w:t>,</w:t>
      </w:r>
      <w:r w:rsidRPr="005C5064">
        <w:rPr>
          <w:sz w:val="22"/>
          <w:szCs w:val="22"/>
          <w:lang w:val="pt-BR"/>
        </w:rPr>
        <w:t xml:space="preserve"> </w:t>
      </w:r>
      <w:r w:rsidR="00463C4E" w:rsidRPr="005C5064">
        <w:rPr>
          <w:sz w:val="22"/>
          <w:szCs w:val="22"/>
          <w:lang w:val="pt-BR"/>
        </w:rPr>
        <w:t>be</w:t>
      </w:r>
      <w:r w:rsidRPr="005C5064">
        <w:rPr>
          <w:sz w:val="22"/>
          <w:szCs w:val="22"/>
          <w:lang w:val="pt-BR"/>
        </w:rPr>
        <w:t>m como metas inter</w:t>
      </w:r>
      <w:r w:rsidR="00463C4E" w:rsidRPr="005C5064">
        <w:rPr>
          <w:sz w:val="22"/>
          <w:szCs w:val="22"/>
          <w:lang w:val="pt-BR"/>
        </w:rPr>
        <w:t>-</w:t>
      </w:r>
      <w:r w:rsidRPr="005C5064">
        <w:rPr>
          <w:sz w:val="22"/>
          <w:szCs w:val="22"/>
          <w:lang w:val="pt-BR"/>
        </w:rPr>
        <w:t>relacionadas de outros ODS da Agenda 2030 e seus elementos transversais.</w:t>
      </w:r>
    </w:p>
    <w:p w14:paraId="33B75902" w14:textId="0BC47030" w:rsidR="001B7DAE" w:rsidRPr="005C5064" w:rsidRDefault="001B7DAE" w:rsidP="001B7DAE">
      <w:pPr>
        <w:pStyle w:val="ListParagraph0"/>
        <w:numPr>
          <w:ilvl w:val="0"/>
          <w:numId w:val="21"/>
        </w:numPr>
        <w:ind w:left="1440" w:hanging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A ligação entre mudança climática, desastres e segurança também v</w:t>
      </w:r>
      <w:r w:rsidR="004D5008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 xml:space="preserve">m recebendo atenção dos </w:t>
      </w:r>
      <w:r w:rsidR="002B62C1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>stados</w:t>
      </w:r>
      <w:r w:rsidR="002B62C1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>membros da OEA desde 2002. N</w:t>
      </w:r>
      <w:r w:rsidR="002B62C1" w:rsidRPr="005C5064">
        <w:rPr>
          <w:sz w:val="22"/>
          <w:szCs w:val="22"/>
          <w:lang w:val="pt-BR"/>
        </w:rPr>
        <w:t>o</w:t>
      </w:r>
      <w:r w:rsidRPr="005C5064">
        <w:rPr>
          <w:sz w:val="22"/>
          <w:szCs w:val="22"/>
          <w:lang w:val="pt-BR"/>
        </w:rPr>
        <w:t xml:space="preserve"> </w:t>
      </w:r>
      <w:r w:rsidR="002B62C1" w:rsidRPr="005C5064">
        <w:rPr>
          <w:sz w:val="22"/>
          <w:szCs w:val="22"/>
          <w:lang w:val="pt-BR"/>
        </w:rPr>
        <w:t>T</w:t>
      </w:r>
      <w:r w:rsidRPr="005C5064">
        <w:rPr>
          <w:sz w:val="22"/>
          <w:szCs w:val="22"/>
          <w:lang w:val="pt-BR"/>
        </w:rPr>
        <w:t>rigésim</w:t>
      </w:r>
      <w:r w:rsidR="002B62C1" w:rsidRPr="005C5064">
        <w:rPr>
          <w:sz w:val="22"/>
          <w:szCs w:val="22"/>
          <w:lang w:val="pt-BR"/>
        </w:rPr>
        <w:t>o S</w:t>
      </w:r>
      <w:r w:rsidRPr="005C5064">
        <w:rPr>
          <w:sz w:val="22"/>
          <w:szCs w:val="22"/>
          <w:lang w:val="pt-BR"/>
        </w:rPr>
        <w:t>egund</w:t>
      </w:r>
      <w:r w:rsidR="002B62C1" w:rsidRPr="005C5064">
        <w:rPr>
          <w:sz w:val="22"/>
          <w:szCs w:val="22"/>
          <w:lang w:val="pt-BR"/>
        </w:rPr>
        <w:t xml:space="preserve">o Período Ordinário de Sessões </w:t>
      </w:r>
      <w:r w:rsidRPr="005C5064">
        <w:rPr>
          <w:sz w:val="22"/>
          <w:szCs w:val="22"/>
          <w:lang w:val="pt-BR"/>
        </w:rPr>
        <w:t xml:space="preserve">da Assembleia Geral </w:t>
      </w:r>
      <w:r w:rsidR="00E92967">
        <w:rPr>
          <w:sz w:val="22"/>
          <w:szCs w:val="22"/>
          <w:lang w:val="pt-BR"/>
        </w:rPr>
        <w:t>(</w:t>
      </w:r>
      <w:r w:rsidRPr="005C5064">
        <w:rPr>
          <w:sz w:val="22"/>
          <w:szCs w:val="22"/>
          <w:lang w:val="pt-BR"/>
        </w:rPr>
        <w:t>Barbados, 2002</w:t>
      </w:r>
      <w:r w:rsidR="00E92967">
        <w:rPr>
          <w:sz w:val="22"/>
          <w:szCs w:val="22"/>
          <w:lang w:val="pt-BR"/>
        </w:rPr>
        <w:t>)</w:t>
      </w:r>
      <w:r w:rsidRPr="005C5064">
        <w:rPr>
          <w:sz w:val="22"/>
          <w:szCs w:val="22"/>
          <w:lang w:val="pt-BR"/>
        </w:rPr>
        <w:t xml:space="preserve">, os </w:t>
      </w:r>
      <w:r w:rsidR="00C04DCD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>stados</w:t>
      </w:r>
      <w:r w:rsidR="00C04DCD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 xml:space="preserve">membros declararam que “a segurança do Hemisfério engloba fatores políticos, econômicos, sociais, sanitários e ambientais.” Eles </w:t>
      </w:r>
      <w:r w:rsidR="002B62C1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>cordaram também que “os Estados</w:t>
      </w:r>
      <w:r w:rsidR="002B62C1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>membros devem aumentar e aprofundar a colaboração e coordenação a fim de abordar de forma mais foca</w:t>
      </w:r>
      <w:r w:rsidR="002B62C1" w:rsidRPr="005C5064">
        <w:rPr>
          <w:sz w:val="22"/>
          <w:szCs w:val="22"/>
          <w:lang w:val="pt-BR"/>
        </w:rPr>
        <w:t>liza</w:t>
      </w:r>
      <w:r w:rsidRPr="005C5064">
        <w:rPr>
          <w:sz w:val="22"/>
          <w:szCs w:val="22"/>
          <w:lang w:val="pt-BR"/>
        </w:rPr>
        <w:t xml:space="preserve">da as novas ameaças, preocupações e outros desafios multidimensionais à segurança hemisférica.” </w:t>
      </w:r>
      <w:r w:rsidR="002B62C1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 xml:space="preserve">m 2003, na Conferência Especial sobre Segurança, no México, </w:t>
      </w:r>
      <w:r w:rsidR="00E92967" w:rsidRPr="005C5064">
        <w:rPr>
          <w:sz w:val="22"/>
          <w:szCs w:val="22"/>
          <w:lang w:val="pt-BR"/>
        </w:rPr>
        <w:t>foi acordado</w:t>
      </w:r>
      <w:r w:rsidR="00E92967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 xml:space="preserve">um novo conceito de “Segurança Multidimensional” incluindo novas ameaças, </w:t>
      </w:r>
      <w:r w:rsidR="00463C4E" w:rsidRPr="005C5064">
        <w:rPr>
          <w:sz w:val="22"/>
          <w:szCs w:val="22"/>
          <w:lang w:val="pt-BR"/>
        </w:rPr>
        <w:t xml:space="preserve">como </w:t>
      </w:r>
      <w:r w:rsidRPr="005C5064">
        <w:rPr>
          <w:sz w:val="22"/>
          <w:szCs w:val="22"/>
          <w:lang w:val="pt-BR"/>
        </w:rPr>
        <w:t>desastres naturais e causados pelo ser humano</w:t>
      </w:r>
      <w:r w:rsidR="00463C4E" w:rsidRPr="005C5064">
        <w:rPr>
          <w:sz w:val="22"/>
          <w:szCs w:val="22"/>
          <w:lang w:val="pt-BR"/>
        </w:rPr>
        <w:t xml:space="preserve"> e </w:t>
      </w:r>
      <w:r w:rsidRPr="005C5064">
        <w:rPr>
          <w:sz w:val="22"/>
          <w:szCs w:val="22"/>
          <w:lang w:val="pt-BR"/>
        </w:rPr>
        <w:t>degradação ambiental.</w:t>
      </w:r>
    </w:p>
    <w:p w14:paraId="1BDE62FE" w14:textId="5FC6582D" w:rsidR="001B7DAE" w:rsidRPr="005C5064" w:rsidRDefault="001B7DAE" w:rsidP="001B7DAE">
      <w:pPr>
        <w:pStyle w:val="ListParagraph0"/>
        <w:numPr>
          <w:ilvl w:val="0"/>
          <w:numId w:val="21"/>
        </w:numPr>
        <w:ind w:left="1440" w:hanging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A ligação entre mudança climática e energia foi o foco d</w:t>
      </w:r>
      <w:r w:rsidR="00463C4E" w:rsidRPr="005C5064">
        <w:rPr>
          <w:sz w:val="22"/>
          <w:szCs w:val="22"/>
          <w:lang w:val="pt-BR"/>
        </w:rPr>
        <w:t>o</w:t>
      </w:r>
      <w:r w:rsidRPr="005C5064">
        <w:rPr>
          <w:sz w:val="22"/>
          <w:szCs w:val="22"/>
          <w:lang w:val="pt-BR"/>
        </w:rPr>
        <w:t xml:space="preserve"> </w:t>
      </w:r>
      <w:r w:rsidR="00152909" w:rsidRPr="005C5064">
        <w:rPr>
          <w:sz w:val="22"/>
          <w:szCs w:val="22"/>
          <w:lang w:val="pt-BR"/>
        </w:rPr>
        <w:t xml:space="preserve">Trigésimo Sétimo Período Ordinário de Sessões </w:t>
      </w:r>
      <w:r w:rsidRPr="005C5064">
        <w:rPr>
          <w:sz w:val="22"/>
          <w:szCs w:val="22"/>
          <w:lang w:val="pt-BR"/>
        </w:rPr>
        <w:t xml:space="preserve">da Assembleia Geral no Panamá, em 2007. Os </w:t>
      </w:r>
      <w:r w:rsidR="00152909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>stados</w:t>
      </w:r>
      <w:r w:rsidR="00152909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 xml:space="preserve">membros aprovaram a </w:t>
      </w:r>
      <w:r w:rsidR="00E92967">
        <w:rPr>
          <w:sz w:val="22"/>
          <w:szCs w:val="22"/>
          <w:lang w:val="pt-BR"/>
        </w:rPr>
        <w:t>“</w:t>
      </w:r>
      <w:r w:rsidRPr="005C5064">
        <w:rPr>
          <w:sz w:val="22"/>
          <w:szCs w:val="22"/>
          <w:lang w:val="pt-BR"/>
        </w:rPr>
        <w:t>Declaração do Panamá: Energia para o Desenvolvimento Sustentável</w:t>
      </w:r>
      <w:r w:rsidR="00E92967">
        <w:rPr>
          <w:sz w:val="22"/>
          <w:szCs w:val="22"/>
          <w:lang w:val="pt-BR"/>
        </w:rPr>
        <w:t>”</w:t>
      </w:r>
      <w:r w:rsidRPr="005C5064">
        <w:rPr>
          <w:sz w:val="22"/>
          <w:szCs w:val="22"/>
          <w:lang w:val="pt-BR"/>
        </w:rPr>
        <w:t xml:space="preserve"> e sublinh</w:t>
      </w:r>
      <w:r w:rsidR="00286151" w:rsidRPr="005C5064">
        <w:rPr>
          <w:sz w:val="22"/>
          <w:szCs w:val="22"/>
          <w:lang w:val="pt-BR"/>
        </w:rPr>
        <w:t>aram</w:t>
      </w:r>
      <w:r w:rsidRPr="005C5064">
        <w:rPr>
          <w:sz w:val="22"/>
          <w:szCs w:val="22"/>
          <w:lang w:val="pt-BR"/>
        </w:rPr>
        <w:t xml:space="preserve"> que a governança democrática, instituições democráticas fortes, o estado de </w:t>
      </w:r>
      <w:r w:rsidR="00152909" w:rsidRPr="005C5064">
        <w:rPr>
          <w:sz w:val="22"/>
          <w:szCs w:val="22"/>
          <w:lang w:val="pt-BR"/>
        </w:rPr>
        <w:t>direito</w:t>
      </w:r>
      <w:r w:rsidRPr="005C5064">
        <w:rPr>
          <w:sz w:val="22"/>
          <w:szCs w:val="22"/>
          <w:lang w:val="pt-BR"/>
        </w:rPr>
        <w:t xml:space="preserve"> e o respeito </w:t>
      </w:r>
      <w:r w:rsidR="00152909" w:rsidRPr="005C5064">
        <w:rPr>
          <w:sz w:val="22"/>
          <w:szCs w:val="22"/>
          <w:lang w:val="pt-BR"/>
        </w:rPr>
        <w:t>a</w:t>
      </w:r>
      <w:r w:rsidRPr="005C5064">
        <w:rPr>
          <w:sz w:val="22"/>
          <w:szCs w:val="22"/>
          <w:lang w:val="pt-BR"/>
        </w:rPr>
        <w:t xml:space="preserve">os direitos humanos e liberdades fundamentais são elementos essenciais no avanço dos objetivos de desenvolvimento energético e sustentável dos </w:t>
      </w:r>
      <w:r w:rsidR="00152909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>stados</w:t>
      </w:r>
      <w:r w:rsidR="00152909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>membros e da região, combatendo a exclusão social e fomentando o bem p</w:t>
      </w:r>
      <w:r w:rsidR="00152909" w:rsidRPr="005C5064">
        <w:rPr>
          <w:sz w:val="22"/>
          <w:szCs w:val="22"/>
          <w:lang w:val="pt-BR"/>
        </w:rPr>
        <w:t>ú</w:t>
      </w:r>
      <w:r w:rsidRPr="005C5064">
        <w:rPr>
          <w:sz w:val="22"/>
          <w:szCs w:val="22"/>
          <w:lang w:val="pt-BR"/>
        </w:rPr>
        <w:t>blico.</w:t>
      </w:r>
      <w:r w:rsidRPr="005C5064">
        <w:rPr>
          <w:rStyle w:val="FootnoteReference"/>
          <w:sz w:val="22"/>
          <w:szCs w:val="22"/>
          <w:u w:val="single"/>
          <w:lang w:val="pt-BR"/>
        </w:rPr>
        <w:footnoteReference w:id="34"/>
      </w:r>
      <w:r w:rsidRPr="005C5064">
        <w:rPr>
          <w:sz w:val="22"/>
          <w:szCs w:val="22"/>
          <w:vertAlign w:val="superscript"/>
          <w:lang w:val="pt-BR"/>
        </w:rPr>
        <w:t>/</w:t>
      </w:r>
    </w:p>
    <w:p w14:paraId="3D8865C4" w14:textId="77777777" w:rsidR="001B7DAE" w:rsidRPr="005D0CB8" w:rsidRDefault="001B7DAE" w:rsidP="005D0CB8">
      <w:pPr>
        <w:jc w:val="both"/>
        <w:rPr>
          <w:sz w:val="22"/>
          <w:szCs w:val="22"/>
          <w:lang w:val="pt-BR"/>
        </w:rPr>
      </w:pPr>
    </w:p>
    <w:p w14:paraId="34B4F296" w14:textId="142EEF00" w:rsidR="001B7DAE" w:rsidRPr="005C5064" w:rsidRDefault="001B7DAE" w:rsidP="001B7DAE">
      <w:pPr>
        <w:ind w:firstLine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A principal entidade dentro da OEA responsável por cumprir esses e outros mandatos de desenvolvimento sustentável é o Departamento de Desenvolvimento Sustentável (DSD) da Secretaria Executiva </w:t>
      </w:r>
      <w:r w:rsidR="00152909" w:rsidRPr="005C5064">
        <w:rPr>
          <w:sz w:val="22"/>
          <w:szCs w:val="22"/>
          <w:lang w:val="pt-BR"/>
        </w:rPr>
        <w:t>de</w:t>
      </w:r>
      <w:r w:rsidRPr="005C5064">
        <w:rPr>
          <w:sz w:val="22"/>
          <w:szCs w:val="22"/>
          <w:lang w:val="pt-BR"/>
        </w:rPr>
        <w:t xml:space="preserve"> Desenvolvimento Integral (SEDI).  Por mais de 60 anos a SEDI/DSD vem se dedicando a apoiar os </w:t>
      </w:r>
      <w:r w:rsidR="00152909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>stados</w:t>
      </w:r>
      <w:r w:rsidR="00152909" w:rsidRPr="005C5064">
        <w:rPr>
          <w:sz w:val="22"/>
          <w:szCs w:val="22"/>
          <w:lang w:val="pt-BR"/>
        </w:rPr>
        <w:t xml:space="preserve"> </w:t>
      </w:r>
      <w:r w:rsidRPr="005C5064">
        <w:rPr>
          <w:sz w:val="22"/>
          <w:szCs w:val="22"/>
          <w:lang w:val="pt-BR"/>
        </w:rPr>
        <w:t xml:space="preserve">membros a alcançar o desenvolvimento inclusivo e </w:t>
      </w:r>
      <w:r w:rsidRPr="005C5064">
        <w:rPr>
          <w:b/>
          <w:bCs/>
          <w:sz w:val="22"/>
          <w:szCs w:val="22"/>
          <w:lang w:val="pt-BR"/>
        </w:rPr>
        <w:t>sustentável por meio de assistência técnica e diálogo regional sobre políticas de questões hídricas</w:t>
      </w:r>
      <w:r w:rsidR="00152909" w:rsidRPr="005C5064">
        <w:rPr>
          <w:b/>
          <w:bCs/>
          <w:sz w:val="22"/>
          <w:szCs w:val="22"/>
          <w:lang w:val="pt-BR"/>
        </w:rPr>
        <w:t xml:space="preserve"> e</w:t>
      </w:r>
      <w:r w:rsidRPr="005C5064">
        <w:rPr>
          <w:b/>
          <w:bCs/>
          <w:sz w:val="22"/>
          <w:szCs w:val="22"/>
          <w:lang w:val="pt-BR"/>
        </w:rPr>
        <w:t xml:space="preserve"> energéticas, desastres naturais e mudança climática</w:t>
      </w:r>
      <w:r w:rsidRPr="005C5064">
        <w:rPr>
          <w:sz w:val="22"/>
          <w:szCs w:val="22"/>
          <w:lang w:val="pt-BR"/>
        </w:rPr>
        <w:t xml:space="preserve">. O trabalho da OEA </w:t>
      </w:r>
      <w:r w:rsidR="00152909" w:rsidRPr="005C5064">
        <w:rPr>
          <w:sz w:val="22"/>
          <w:szCs w:val="22"/>
          <w:lang w:val="pt-BR"/>
        </w:rPr>
        <w:t>concentrou-se</w:t>
      </w:r>
      <w:r w:rsidRPr="005C5064">
        <w:rPr>
          <w:sz w:val="22"/>
          <w:szCs w:val="22"/>
          <w:lang w:val="pt-BR"/>
        </w:rPr>
        <w:t xml:space="preserve"> n</w:t>
      </w:r>
      <w:r w:rsidR="00152909" w:rsidRPr="005C5064">
        <w:rPr>
          <w:sz w:val="22"/>
          <w:szCs w:val="22"/>
          <w:lang w:val="pt-BR"/>
        </w:rPr>
        <w:t>o</w:t>
      </w:r>
      <w:r w:rsidRPr="005C5064">
        <w:rPr>
          <w:sz w:val="22"/>
          <w:szCs w:val="22"/>
          <w:lang w:val="pt-BR"/>
        </w:rPr>
        <w:t xml:space="preserve"> for</w:t>
      </w:r>
      <w:r w:rsidR="00152909" w:rsidRPr="005C5064">
        <w:rPr>
          <w:sz w:val="22"/>
          <w:szCs w:val="22"/>
          <w:lang w:val="pt-BR"/>
        </w:rPr>
        <w:t xml:space="preserve">talecimento </w:t>
      </w:r>
      <w:r w:rsidRPr="005C5064">
        <w:rPr>
          <w:sz w:val="22"/>
          <w:szCs w:val="22"/>
          <w:lang w:val="pt-BR"/>
        </w:rPr>
        <w:t>d</w:t>
      </w:r>
      <w:r w:rsidR="00152909" w:rsidRPr="005C5064">
        <w:rPr>
          <w:sz w:val="22"/>
          <w:szCs w:val="22"/>
          <w:lang w:val="pt-BR"/>
        </w:rPr>
        <w:t xml:space="preserve">a </w:t>
      </w:r>
      <w:r w:rsidRPr="005C5064">
        <w:rPr>
          <w:sz w:val="22"/>
          <w:szCs w:val="22"/>
          <w:lang w:val="pt-BR"/>
        </w:rPr>
        <w:t xml:space="preserve">capacidade de indivíduos e instituições para gerar impactos tangíveis. </w:t>
      </w:r>
      <w:r w:rsidR="00152909" w:rsidRPr="005C5064">
        <w:rPr>
          <w:sz w:val="22"/>
          <w:szCs w:val="22"/>
          <w:lang w:val="pt-BR"/>
        </w:rPr>
        <w:t>No futuro</w:t>
      </w:r>
      <w:r w:rsidRPr="005C5064">
        <w:rPr>
          <w:sz w:val="22"/>
          <w:szCs w:val="22"/>
          <w:lang w:val="pt-BR"/>
        </w:rPr>
        <w:t>, a OEA irá alavancar suas capacidades técnicas e institucionais para implementar intervenções de mudança climática que levarão a grandes ganhos ambientais de longo prazo para a região.</w:t>
      </w:r>
    </w:p>
    <w:p w14:paraId="1CCB2AED" w14:textId="77777777" w:rsidR="001B7DAE" w:rsidRPr="005C5064" w:rsidRDefault="001B7DAE" w:rsidP="005D0CB8">
      <w:pPr>
        <w:jc w:val="both"/>
        <w:rPr>
          <w:sz w:val="22"/>
          <w:szCs w:val="22"/>
          <w:lang w:val="pt-BR"/>
        </w:rPr>
      </w:pPr>
    </w:p>
    <w:p w14:paraId="393A960C" w14:textId="46F746AB" w:rsidR="001B7DAE" w:rsidRPr="005C5064" w:rsidRDefault="001B7DAE" w:rsidP="001B7DAE">
      <w:pPr>
        <w:pStyle w:val="Heading1"/>
        <w:jc w:val="both"/>
        <w:rPr>
          <w:rFonts w:ascii="Times New Roman" w:hAnsi="Times New Roman"/>
          <w:lang w:val="pt-BR"/>
        </w:rPr>
      </w:pPr>
      <w:bookmarkStart w:id="25" w:name="_Toc131067758"/>
      <w:bookmarkStart w:id="26" w:name="_Toc131518820"/>
      <w:r w:rsidRPr="005C5064">
        <w:rPr>
          <w:rFonts w:ascii="Times New Roman" w:hAnsi="Times New Roman"/>
          <w:lang w:val="pt-BR"/>
        </w:rPr>
        <w:t>QUARTA REUNI</w:t>
      </w:r>
      <w:r w:rsidR="00152909" w:rsidRPr="005C5064">
        <w:rPr>
          <w:rFonts w:ascii="Times New Roman" w:hAnsi="Times New Roman"/>
          <w:lang w:val="pt-BR"/>
        </w:rPr>
        <w:t>Ã</w:t>
      </w:r>
      <w:r w:rsidRPr="005C5064">
        <w:rPr>
          <w:rFonts w:ascii="Times New Roman" w:hAnsi="Times New Roman"/>
          <w:lang w:val="pt-BR"/>
        </w:rPr>
        <w:t xml:space="preserve">O INTERAMERICANA DE MINISTROS E ALTAS AUTORIDADES </w:t>
      </w:r>
      <w:r w:rsidR="00832729" w:rsidRPr="005C5064">
        <w:rPr>
          <w:rFonts w:ascii="Times New Roman" w:hAnsi="Times New Roman"/>
          <w:lang w:val="pt-BR"/>
        </w:rPr>
        <w:t>D</w:t>
      </w:r>
      <w:r w:rsidRPr="005C5064">
        <w:rPr>
          <w:rFonts w:ascii="Times New Roman" w:hAnsi="Times New Roman"/>
          <w:lang w:val="pt-BR"/>
        </w:rPr>
        <w:t>E DESENVOLVIMENTO SUSTENTÁVEL</w:t>
      </w:r>
      <w:bookmarkEnd w:id="25"/>
      <w:bookmarkEnd w:id="26"/>
      <w:r w:rsidRPr="005C5064">
        <w:rPr>
          <w:rFonts w:ascii="Times New Roman" w:hAnsi="Times New Roman"/>
          <w:lang w:val="pt-BR"/>
        </w:rPr>
        <w:t xml:space="preserve"> </w:t>
      </w:r>
    </w:p>
    <w:p w14:paraId="179B1CEF" w14:textId="77777777" w:rsidR="001B7DAE" w:rsidRPr="005C5064" w:rsidRDefault="001B7DAE" w:rsidP="001B7DAE">
      <w:pPr>
        <w:rPr>
          <w:lang w:val="pt-BR"/>
        </w:rPr>
      </w:pPr>
    </w:p>
    <w:p w14:paraId="34B1B6BF" w14:textId="7D067D87" w:rsidR="001B7DAE" w:rsidRPr="005C5064" w:rsidRDefault="001B7DAE" w:rsidP="001B7DAE">
      <w:pPr>
        <w:ind w:firstLine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 xml:space="preserve">Os Ministros e Altas Autoridades </w:t>
      </w:r>
      <w:r w:rsidR="00832729" w:rsidRPr="005C5064">
        <w:rPr>
          <w:sz w:val="22"/>
          <w:szCs w:val="22"/>
          <w:lang w:val="pt-BR"/>
        </w:rPr>
        <w:t>de</w:t>
      </w:r>
      <w:r w:rsidRPr="005C5064">
        <w:rPr>
          <w:sz w:val="22"/>
          <w:szCs w:val="22"/>
          <w:lang w:val="pt-BR"/>
        </w:rPr>
        <w:t xml:space="preserve"> Desenvolvimento Sustentável deverão se reunir com o objetivo de formar consenso acerca de políticas, atividades, projetos e outras soluções importantes que permitem que as Américas enfoquem melhor coletivamente as causas da mudança climática e a resiliência aos seus impactos.</w:t>
      </w:r>
    </w:p>
    <w:p w14:paraId="20BC8086" w14:textId="77777777" w:rsidR="001B7DAE" w:rsidRPr="005C5064" w:rsidRDefault="001B7DAE" w:rsidP="001B7DAE">
      <w:pPr>
        <w:ind w:firstLine="720"/>
        <w:jc w:val="both"/>
        <w:rPr>
          <w:sz w:val="22"/>
          <w:szCs w:val="22"/>
          <w:lang w:val="pt-BR"/>
        </w:rPr>
      </w:pPr>
    </w:p>
    <w:p w14:paraId="7A9B64ED" w14:textId="5731A47E" w:rsidR="001B7DAE" w:rsidRPr="005C5064" w:rsidRDefault="001B7DAE" w:rsidP="001B7DAE">
      <w:pPr>
        <w:ind w:firstLine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Além dos impactos atuais e projetados da mudança climática citad</w:t>
      </w:r>
      <w:r w:rsidR="006A4AF3" w:rsidRPr="005C5064">
        <w:rPr>
          <w:sz w:val="22"/>
          <w:szCs w:val="22"/>
          <w:lang w:val="pt-BR"/>
        </w:rPr>
        <w:t>os</w:t>
      </w:r>
      <w:r w:rsidRPr="005C5064">
        <w:rPr>
          <w:sz w:val="22"/>
          <w:szCs w:val="22"/>
          <w:lang w:val="pt-BR"/>
        </w:rPr>
        <w:t xml:space="preserve"> acima, os esforços globais para combater essas ameaças foram afetados por outros eventos. Em particular, a pandemia mundial de COVID-19 e o conflito armado entre </w:t>
      </w:r>
      <w:r w:rsidR="006A4AF3" w:rsidRPr="005C5064">
        <w:rPr>
          <w:sz w:val="22"/>
          <w:szCs w:val="22"/>
          <w:lang w:val="pt-BR"/>
        </w:rPr>
        <w:t xml:space="preserve">a </w:t>
      </w:r>
      <w:r w:rsidRPr="005C5064">
        <w:rPr>
          <w:sz w:val="22"/>
          <w:szCs w:val="22"/>
          <w:lang w:val="pt-BR"/>
        </w:rPr>
        <w:t xml:space="preserve">Rússia e </w:t>
      </w:r>
      <w:r w:rsidR="006A4AF3" w:rsidRPr="005C5064">
        <w:rPr>
          <w:sz w:val="22"/>
          <w:szCs w:val="22"/>
          <w:lang w:val="pt-BR"/>
        </w:rPr>
        <w:t xml:space="preserve">a </w:t>
      </w:r>
      <w:r w:rsidRPr="005C5064">
        <w:rPr>
          <w:sz w:val="22"/>
          <w:szCs w:val="22"/>
          <w:lang w:val="pt-BR"/>
        </w:rPr>
        <w:t>Ucrânia exacerbaram esses impactos</w:t>
      </w:r>
      <w:r w:rsidR="00E92967">
        <w:rPr>
          <w:sz w:val="22"/>
          <w:szCs w:val="22"/>
          <w:lang w:val="pt-BR"/>
        </w:rPr>
        <w:t>,</w:t>
      </w:r>
      <w:r w:rsidRPr="005C5064">
        <w:rPr>
          <w:sz w:val="22"/>
          <w:szCs w:val="22"/>
          <w:lang w:val="pt-BR"/>
        </w:rPr>
        <w:t xml:space="preserve"> demonstrando </w:t>
      </w:r>
      <w:r w:rsidR="00463C4E" w:rsidRPr="005C5064">
        <w:rPr>
          <w:sz w:val="22"/>
          <w:szCs w:val="22"/>
          <w:lang w:val="pt-BR"/>
        </w:rPr>
        <w:lastRenderedPageBreak/>
        <w:t xml:space="preserve">como </w:t>
      </w:r>
      <w:r w:rsidRPr="005C5064">
        <w:rPr>
          <w:sz w:val="22"/>
          <w:szCs w:val="22"/>
          <w:lang w:val="pt-BR"/>
        </w:rPr>
        <w:t xml:space="preserve">o mundo e nossa região </w:t>
      </w:r>
      <w:r w:rsidR="00463C4E" w:rsidRPr="005C5064">
        <w:rPr>
          <w:sz w:val="22"/>
          <w:szCs w:val="22"/>
          <w:lang w:val="pt-BR"/>
        </w:rPr>
        <w:t xml:space="preserve">dependem </w:t>
      </w:r>
      <w:r w:rsidRPr="005C5064">
        <w:rPr>
          <w:sz w:val="22"/>
          <w:szCs w:val="22"/>
          <w:lang w:val="pt-BR"/>
        </w:rPr>
        <w:t>de terceiros para manter sua segurança alimentar e energética e continuar co</w:t>
      </w:r>
      <w:r w:rsidR="00463C4E" w:rsidRPr="005C5064">
        <w:rPr>
          <w:sz w:val="22"/>
          <w:szCs w:val="22"/>
          <w:lang w:val="pt-BR"/>
        </w:rPr>
        <w:t>m o</w:t>
      </w:r>
      <w:r w:rsidRPr="005C5064">
        <w:rPr>
          <w:sz w:val="22"/>
          <w:szCs w:val="22"/>
          <w:lang w:val="pt-BR"/>
        </w:rPr>
        <w:t xml:space="preserve"> crescimento econômico. Um enfoque que enfatiza o fortalecimento da integração e cooperação regiona</w:t>
      </w:r>
      <w:r w:rsidR="00463C4E" w:rsidRPr="005C5064">
        <w:rPr>
          <w:sz w:val="22"/>
          <w:szCs w:val="22"/>
          <w:lang w:val="pt-BR"/>
        </w:rPr>
        <w:t>l</w:t>
      </w:r>
      <w:r w:rsidRPr="005C5064">
        <w:rPr>
          <w:sz w:val="22"/>
          <w:szCs w:val="22"/>
          <w:lang w:val="pt-BR"/>
        </w:rPr>
        <w:t xml:space="preserve"> ajudará a mitigar a mudança climática </w:t>
      </w:r>
      <w:r w:rsidR="00463C4E" w:rsidRPr="005C5064">
        <w:rPr>
          <w:sz w:val="22"/>
          <w:szCs w:val="22"/>
          <w:lang w:val="pt-BR"/>
        </w:rPr>
        <w:t>e</w:t>
      </w:r>
      <w:r w:rsidRPr="005C5064">
        <w:rPr>
          <w:sz w:val="22"/>
          <w:szCs w:val="22"/>
          <w:lang w:val="pt-BR"/>
        </w:rPr>
        <w:t xml:space="preserve"> aumentar a resiliência a seus impactos. Existe consenso de que um caminho verde que promova investimentos neutros em função do carbono, empregos justos e verdes, redução da poluição, infraestrutura sustentável e resiliente e atrair investimento privado são o caminho para garantir sustentabilidade de longo prazo e atingir uma recuperação inclusiva para todos.</w:t>
      </w:r>
    </w:p>
    <w:p w14:paraId="367BC68B" w14:textId="77777777" w:rsidR="001B7DAE" w:rsidRPr="005C5064" w:rsidRDefault="001B7DAE" w:rsidP="005D0CB8">
      <w:pPr>
        <w:jc w:val="both"/>
        <w:rPr>
          <w:sz w:val="22"/>
          <w:szCs w:val="22"/>
          <w:lang w:val="pt-BR"/>
        </w:rPr>
      </w:pPr>
    </w:p>
    <w:p w14:paraId="457C9272" w14:textId="2B029D64" w:rsidR="001B7DAE" w:rsidRPr="005C5064" w:rsidRDefault="00932C5C" w:rsidP="001B7DAE">
      <w:pPr>
        <w:ind w:firstLine="720"/>
        <w:jc w:val="both"/>
        <w:rPr>
          <w:sz w:val="22"/>
          <w:szCs w:val="22"/>
          <w:lang w:val="pt-BR"/>
        </w:rPr>
      </w:pPr>
      <w:r w:rsidRPr="005C5064">
        <w:rPr>
          <w:sz w:val="22"/>
          <w:szCs w:val="22"/>
          <w:lang w:val="pt-BR"/>
        </w:rPr>
        <w:t>P</w:t>
      </w:r>
      <w:r w:rsidR="001B7DAE" w:rsidRPr="005C5064">
        <w:rPr>
          <w:sz w:val="22"/>
          <w:szCs w:val="22"/>
          <w:lang w:val="pt-BR"/>
        </w:rPr>
        <w:t>or isso</w:t>
      </w:r>
      <w:r w:rsidRPr="005C5064">
        <w:rPr>
          <w:sz w:val="22"/>
          <w:szCs w:val="22"/>
          <w:lang w:val="pt-BR"/>
        </w:rPr>
        <w:t>,</w:t>
      </w:r>
      <w:r w:rsidR="001B7DAE" w:rsidRPr="005C5064">
        <w:rPr>
          <w:sz w:val="22"/>
          <w:szCs w:val="22"/>
          <w:lang w:val="pt-BR"/>
        </w:rPr>
        <w:t xml:space="preserve"> faz sentido trabalharmos juntos, </w:t>
      </w:r>
      <w:r w:rsidR="00463C4E" w:rsidRPr="005C5064">
        <w:rPr>
          <w:sz w:val="22"/>
          <w:szCs w:val="22"/>
          <w:lang w:val="pt-BR"/>
        </w:rPr>
        <w:t xml:space="preserve">como </w:t>
      </w:r>
      <w:r w:rsidR="001B7DAE" w:rsidRPr="005C5064">
        <w:rPr>
          <w:sz w:val="22"/>
          <w:szCs w:val="22"/>
          <w:lang w:val="pt-BR"/>
        </w:rPr>
        <w:t>Américas, nas causas e efeitos comuns da mudança climática, enquanto alcançamos nossa tão desejada sustentabilidade e crescimento econômico, mas sem destruir os ecossistemas que não dão ar, alimento e água.</w:t>
      </w:r>
    </w:p>
    <w:p w14:paraId="61E719FC" w14:textId="44E2252F" w:rsidR="00D201EC" w:rsidRPr="005C5064" w:rsidRDefault="00D201EC" w:rsidP="005D0CB8">
      <w:pPr>
        <w:jc w:val="both"/>
        <w:rPr>
          <w:sz w:val="22"/>
          <w:szCs w:val="22"/>
          <w:lang w:val="pt-BR"/>
        </w:rPr>
      </w:pPr>
    </w:p>
    <w:p w14:paraId="2338B51D" w14:textId="250050AA" w:rsidR="00F42138" w:rsidRPr="00E954AD" w:rsidRDefault="005D0CB8" w:rsidP="00F42138">
      <w:pPr>
        <w:outlineLvl w:val="0"/>
        <w:rPr>
          <w:sz w:val="22"/>
          <w:szCs w:val="22"/>
        </w:rPr>
      </w:pPr>
      <w:bookmarkStart w:id="27" w:name="_Toc131518821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8234268" wp14:editId="471C815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737770" w14:textId="4649EFC3" w:rsidR="005D0CB8" w:rsidRPr="005D0CB8" w:rsidRDefault="005D0C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CIDRP03817P04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3426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2737770" w14:textId="4649EFC3" w:rsidR="005D0CB8" w:rsidRPr="005D0CB8" w:rsidRDefault="005D0CB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CIDRP03817P04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End w:id="27"/>
    </w:p>
    <w:sectPr w:rsidR="00F42138" w:rsidRPr="00E954AD" w:rsidSect="00D04605"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7E73" w14:textId="77777777" w:rsidR="00770B08" w:rsidRDefault="00770B08">
      <w:r>
        <w:separator/>
      </w:r>
    </w:p>
  </w:endnote>
  <w:endnote w:type="continuationSeparator" w:id="0">
    <w:p w14:paraId="3224F647" w14:textId="77777777" w:rsidR="00770B08" w:rsidRDefault="0077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2CC1" w14:textId="77777777" w:rsidR="00770B08" w:rsidRDefault="00770B08">
      <w:r>
        <w:separator/>
      </w:r>
    </w:p>
  </w:footnote>
  <w:footnote w:type="continuationSeparator" w:id="0">
    <w:p w14:paraId="763887A7" w14:textId="77777777" w:rsidR="00770B08" w:rsidRDefault="00770B08">
      <w:r>
        <w:continuationSeparator/>
      </w:r>
    </w:p>
  </w:footnote>
  <w:footnote w:id="1">
    <w:p w14:paraId="4415A9FA" w14:textId="4BC89F38" w:rsidR="00642BA0" w:rsidRPr="00D04605" w:rsidRDefault="00642BA0" w:rsidP="00642BA0">
      <w:pPr>
        <w:pStyle w:val="FootnoteText"/>
        <w:tabs>
          <w:tab w:val="left" w:pos="360"/>
        </w:tabs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vertAlign w:val="baseline"/>
          <w:lang w:val="pt-BR"/>
        </w:rPr>
        <w:footnoteRef/>
      </w:r>
      <w:r w:rsidRPr="00D04605">
        <w:rPr>
          <w:lang w:val="pt-BR"/>
        </w:rPr>
        <w:tab/>
      </w:r>
      <w:r w:rsidRPr="00D04605">
        <w:rPr>
          <w:noProof/>
          <w:lang w:val="pt-BR"/>
        </w:rPr>
        <w:t xml:space="preserve">Assembleia Geral das Nações Unidas, </w:t>
      </w:r>
      <w:r w:rsidR="002249EC" w:rsidRPr="00D04605">
        <w:rPr>
          <w:noProof/>
          <w:lang w:val="pt-BR"/>
        </w:rPr>
        <w:t>T</w:t>
      </w:r>
      <w:r w:rsidRPr="00D04605">
        <w:rPr>
          <w:noProof/>
          <w:lang w:val="pt-BR"/>
        </w:rPr>
        <w:t>ransformar nosso Mundo: Agenda 2030 para o Desenvolvimento Sustentável, 21 de outubro de 2015, A/RES/70/1, septuagésima sessão, itens 15 e 116 da Agenda.</w:t>
      </w:r>
    </w:p>
  </w:footnote>
  <w:footnote w:id="2">
    <w:p w14:paraId="0E26A4F5" w14:textId="6A911291" w:rsidR="00642BA0" w:rsidRPr="00D04605" w:rsidRDefault="00642BA0" w:rsidP="00642BA0">
      <w:pPr>
        <w:pStyle w:val="FootnoteText"/>
        <w:tabs>
          <w:tab w:val="left" w:pos="360"/>
        </w:tabs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  <w:lang w:val="pt-BR"/>
        </w:rPr>
        <w:tab/>
      </w:r>
      <w:r w:rsidRPr="00D04605">
        <w:rPr>
          <w:noProof/>
          <w:lang w:val="pt-BR"/>
        </w:rPr>
        <w:t>IX Cúpula das Américas, Nosso Futuro Verde Sustentável, 9 de junho de 2022, Los Angeles, Estados Unidos.</w:t>
      </w:r>
    </w:p>
  </w:footnote>
  <w:footnote w:id="3">
    <w:p w14:paraId="7B92F14A" w14:textId="5A822735" w:rsidR="00642BA0" w:rsidRPr="00D04605" w:rsidRDefault="00642BA0" w:rsidP="00642BA0">
      <w:pPr>
        <w:pStyle w:val="FootnoteText"/>
        <w:tabs>
          <w:tab w:val="left" w:pos="360"/>
        </w:tabs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  <w:lang w:val="pt-BR"/>
        </w:rPr>
        <w:tab/>
      </w:r>
      <w:r w:rsidRPr="00D04605">
        <w:rPr>
          <w:noProof/>
          <w:lang w:val="pt-BR"/>
        </w:rPr>
        <w:t xml:space="preserve">Declaração dos Líderes de Glasgow sobre Florestas e Uso da Terra – Conferência </w:t>
      </w:r>
      <w:r w:rsidR="002249EC" w:rsidRPr="00D04605">
        <w:rPr>
          <w:noProof/>
          <w:lang w:val="pt-BR"/>
        </w:rPr>
        <w:t>da ONU sobr</w:t>
      </w:r>
      <w:r w:rsidRPr="00D04605">
        <w:rPr>
          <w:noProof/>
          <w:lang w:val="pt-BR"/>
        </w:rPr>
        <w:t>e Mudança Climática (COP26) na SEC – Glasgow 2021.</w:t>
      </w:r>
    </w:p>
  </w:footnote>
  <w:footnote w:id="4">
    <w:p w14:paraId="4F3F9D1E" w14:textId="4E26F09F" w:rsidR="00642BA0" w:rsidRPr="00D04605" w:rsidRDefault="00642BA0" w:rsidP="00642BA0">
      <w:pPr>
        <w:pStyle w:val="FootnoteText"/>
        <w:tabs>
          <w:tab w:val="left" w:pos="360"/>
        </w:tabs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  <w:lang w:val="pt-BR"/>
        </w:rPr>
        <w:tab/>
      </w:r>
      <w:r w:rsidRPr="00D04605">
        <w:rPr>
          <w:noProof/>
          <w:lang w:val="pt-BR"/>
        </w:rPr>
        <w:t>IX Cúpula das Américas, Acelerando a Transição Justa para a Energia Limpa, Sustentável e Renovável, 9 de junho de 2022, Los Angeles, Estados Unidos.</w:t>
      </w:r>
    </w:p>
  </w:footnote>
  <w:footnote w:id="5">
    <w:p w14:paraId="567B5DD7" w14:textId="4649765B" w:rsidR="00642BA0" w:rsidRPr="00D04605" w:rsidRDefault="00642BA0" w:rsidP="00642BA0">
      <w:pPr>
        <w:pStyle w:val="FootnoteText"/>
        <w:tabs>
          <w:tab w:val="left" w:pos="360"/>
        </w:tabs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  <w:lang w:val="pt-BR"/>
        </w:rPr>
        <w:tab/>
      </w:r>
      <w:r w:rsidRPr="00D04605">
        <w:rPr>
          <w:noProof/>
          <w:lang w:val="pt-BR"/>
        </w:rPr>
        <w:t>Conferência d</w:t>
      </w:r>
      <w:r w:rsidR="00413111" w:rsidRPr="00D04605">
        <w:rPr>
          <w:noProof/>
          <w:lang w:val="pt-BR"/>
        </w:rPr>
        <w:t>a</w:t>
      </w:r>
      <w:r w:rsidRPr="00D04605">
        <w:rPr>
          <w:noProof/>
          <w:lang w:val="pt-BR"/>
        </w:rPr>
        <w:t>s Part</w:t>
      </w:r>
      <w:r w:rsidR="00413111" w:rsidRPr="00D04605">
        <w:rPr>
          <w:noProof/>
          <w:lang w:val="pt-BR"/>
        </w:rPr>
        <w:t>e</w:t>
      </w:r>
      <w:r w:rsidRPr="00D04605">
        <w:rPr>
          <w:noProof/>
          <w:lang w:val="pt-BR"/>
        </w:rPr>
        <w:t xml:space="preserve">s </w:t>
      </w:r>
      <w:r w:rsidR="00413111" w:rsidRPr="00D04605">
        <w:rPr>
          <w:noProof/>
          <w:lang w:val="pt-BR"/>
        </w:rPr>
        <w:t>n</w:t>
      </w:r>
      <w:r w:rsidRPr="00D04605">
        <w:rPr>
          <w:noProof/>
          <w:lang w:val="pt-BR"/>
        </w:rPr>
        <w:t>a Convenção</w:t>
      </w:r>
      <w:r w:rsidR="00413111" w:rsidRPr="00D04605">
        <w:rPr>
          <w:noProof/>
          <w:lang w:val="pt-BR"/>
        </w:rPr>
        <w:t>-</w:t>
      </w:r>
      <w:r w:rsidRPr="00D04605">
        <w:rPr>
          <w:noProof/>
          <w:lang w:val="pt-BR"/>
        </w:rPr>
        <w:t xml:space="preserve">Quadro das Nações Unidas sobre Mudança Climática, Sharm el-Sheikh, Egito, 20 de novembro de 2022, acordos de financiamento para responder a perdas e danos associados a efeitos adversos da mudança climática, incluindo </w:t>
      </w:r>
      <w:r w:rsidR="00413111" w:rsidRPr="00D04605">
        <w:rPr>
          <w:noProof/>
          <w:lang w:val="pt-BR"/>
        </w:rPr>
        <w:t xml:space="preserve">um </w:t>
      </w:r>
      <w:r w:rsidRPr="00D04605">
        <w:rPr>
          <w:noProof/>
          <w:lang w:val="pt-BR"/>
        </w:rPr>
        <w:t>foco na abordagem d</w:t>
      </w:r>
      <w:r w:rsidR="00B30137" w:rsidRPr="00D04605">
        <w:rPr>
          <w:noProof/>
          <w:lang w:val="pt-BR"/>
        </w:rPr>
        <w:t>e</w:t>
      </w:r>
      <w:r w:rsidRPr="00D04605">
        <w:rPr>
          <w:noProof/>
          <w:lang w:val="pt-BR"/>
        </w:rPr>
        <w:t xml:space="preserve"> perdas e danos, Decisão -/CP.27 -/CMA.4, Vigésima</w:t>
      </w:r>
      <w:r w:rsidR="00413111" w:rsidRPr="00D04605">
        <w:rPr>
          <w:noProof/>
          <w:lang w:val="pt-BR"/>
        </w:rPr>
        <w:t xml:space="preserve"> </w:t>
      </w:r>
      <w:r w:rsidRPr="00D04605">
        <w:rPr>
          <w:noProof/>
          <w:lang w:val="pt-BR"/>
        </w:rPr>
        <w:t xml:space="preserve">sétima sessão (versão não editada). </w:t>
      </w:r>
    </w:p>
  </w:footnote>
  <w:footnote w:id="6">
    <w:p w14:paraId="55CBE80E" w14:textId="0B4E550F" w:rsidR="00642BA0" w:rsidRPr="00D04605" w:rsidRDefault="00642BA0" w:rsidP="00642BA0">
      <w:pPr>
        <w:pStyle w:val="FootnoteText"/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  <w:lang w:val="pt-BR"/>
        </w:rPr>
        <w:tab/>
      </w:r>
      <w:r w:rsidRPr="00D04605">
        <w:rPr>
          <w:noProof/>
          <w:lang w:val="pt-BR"/>
        </w:rPr>
        <w:t>Ibid.</w:t>
      </w:r>
    </w:p>
  </w:footnote>
  <w:footnote w:id="7">
    <w:p w14:paraId="0A9250F5" w14:textId="5721C550" w:rsidR="00642BA0" w:rsidRPr="00D04605" w:rsidRDefault="00642BA0" w:rsidP="00642BA0">
      <w:pPr>
        <w:pStyle w:val="FootnoteText"/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  <w:lang w:val="pt-BR"/>
        </w:rPr>
        <w:tab/>
      </w:r>
      <w:r w:rsidRPr="00D04605">
        <w:rPr>
          <w:noProof/>
          <w:lang w:val="pt-BR"/>
        </w:rPr>
        <w:t>Conferência d</w:t>
      </w:r>
      <w:r w:rsidR="00413111" w:rsidRPr="00D04605">
        <w:rPr>
          <w:noProof/>
          <w:lang w:val="pt-BR"/>
        </w:rPr>
        <w:t>a</w:t>
      </w:r>
      <w:r w:rsidRPr="00D04605">
        <w:rPr>
          <w:noProof/>
          <w:lang w:val="pt-BR"/>
        </w:rPr>
        <w:t>s Part</w:t>
      </w:r>
      <w:r w:rsidR="00413111" w:rsidRPr="00D04605">
        <w:rPr>
          <w:noProof/>
          <w:lang w:val="pt-BR"/>
        </w:rPr>
        <w:t>e</w:t>
      </w:r>
      <w:r w:rsidRPr="00D04605">
        <w:rPr>
          <w:noProof/>
          <w:lang w:val="pt-BR"/>
        </w:rPr>
        <w:t xml:space="preserve">s </w:t>
      </w:r>
      <w:r w:rsidR="00413111" w:rsidRPr="00D04605">
        <w:rPr>
          <w:noProof/>
          <w:lang w:val="pt-BR"/>
        </w:rPr>
        <w:t>n</w:t>
      </w:r>
      <w:r w:rsidRPr="00D04605">
        <w:rPr>
          <w:noProof/>
          <w:lang w:val="pt-BR"/>
        </w:rPr>
        <w:t>a Convenção sobre Diversidade Biológica, Quadro Mundial de Biodiversidade de Kunming-Montreal, 18 de dezembro de 2022, Montreal, Canadá, CBD/COP/15/L.25, Décima</w:t>
      </w:r>
      <w:r w:rsidR="00413111" w:rsidRPr="00D04605">
        <w:rPr>
          <w:noProof/>
          <w:lang w:val="pt-BR"/>
        </w:rPr>
        <w:t xml:space="preserve"> </w:t>
      </w:r>
      <w:r w:rsidRPr="00D04605">
        <w:rPr>
          <w:noProof/>
          <w:lang w:val="pt-BR"/>
        </w:rPr>
        <w:t>quinta reunião – Parte II item 9A da Agenda.</w:t>
      </w:r>
    </w:p>
  </w:footnote>
  <w:footnote w:id="8">
    <w:p w14:paraId="2A3881C0" w14:textId="459B75FD" w:rsidR="00642BA0" w:rsidRPr="00D04605" w:rsidRDefault="00642BA0" w:rsidP="00642BA0">
      <w:pPr>
        <w:pStyle w:val="FootnoteText"/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  <w:lang w:val="pt-BR"/>
        </w:rPr>
        <w:tab/>
      </w:r>
      <w:r w:rsidRPr="00D04605">
        <w:rPr>
          <w:noProof/>
          <w:lang w:val="pt-BR"/>
        </w:rPr>
        <w:t>Conforme relatado pela Secretaria da UNFCCC.</w:t>
      </w:r>
    </w:p>
  </w:footnote>
  <w:footnote w:id="9">
    <w:p w14:paraId="54D665CF" w14:textId="780A4246" w:rsidR="00642BA0" w:rsidRPr="00D04605" w:rsidRDefault="00642BA0" w:rsidP="00642BA0">
      <w:pPr>
        <w:pStyle w:val="FootnoteText"/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  <w:lang w:val="pt-BR"/>
        </w:rPr>
        <w:tab/>
      </w:r>
      <w:r w:rsidRPr="00D04605">
        <w:rPr>
          <w:noProof/>
          <w:lang w:val="pt-BR"/>
        </w:rPr>
        <w:t xml:space="preserve">IPCC, 2022: Resumo para Responsáveis pela Formulação de Políticas. Em: Mudança Climática 2022: Mitigação da Mudança Climática. Contribuição do Grupo de Trabalho III para o Sexto Relatório de Avaliação do Painel Intergovernamental </w:t>
      </w:r>
      <w:r w:rsidR="00413111" w:rsidRPr="00D04605">
        <w:rPr>
          <w:noProof/>
          <w:lang w:val="pt-BR"/>
        </w:rPr>
        <w:t>sobr</w:t>
      </w:r>
      <w:r w:rsidRPr="00D04605">
        <w:rPr>
          <w:noProof/>
          <w:lang w:val="pt-BR"/>
        </w:rPr>
        <w:t>e Mudança Climática [P.R. Shukla, J. Skea, R. Slade, A. Al Khourdajie, R. van Diemen, D. McCollum, M. Pathak, S. Some, P. Vyas, R. Fradera, M. Belkacemi, A. Hasija, G. Lisboa, S. Luz, J. Malley (eds.)].</w:t>
      </w:r>
    </w:p>
  </w:footnote>
  <w:footnote w:id="10">
    <w:p w14:paraId="400CA5D8" w14:textId="3C9D6FB1" w:rsidR="00642BA0" w:rsidRPr="00D04605" w:rsidRDefault="00642BA0" w:rsidP="00642BA0">
      <w:pPr>
        <w:pStyle w:val="FootnoteText"/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</w:rPr>
        <w:tab/>
      </w:r>
      <w:r w:rsidR="007302F2" w:rsidRPr="00D04605">
        <w:t>Climate Central: Program on Sea Level Rise</w:t>
      </w:r>
      <w:r w:rsidRPr="00D04605">
        <w:rPr>
          <w:noProof/>
        </w:rPr>
        <w:t xml:space="preserve">. </w:t>
      </w:r>
      <w:r w:rsidRPr="00D04605">
        <w:rPr>
          <w:noProof/>
          <w:lang w:val="pt-BR"/>
        </w:rPr>
        <w:t xml:space="preserve">Disponível em </w:t>
      </w:r>
      <w:hyperlink r:id="rId1" w:history="1">
        <w:r w:rsidRPr="00D04605">
          <w:rPr>
            <w:rStyle w:val="Hyperlink"/>
            <w:noProof/>
            <w:lang w:val="pt-BR"/>
          </w:rPr>
          <w:t>https://sealevel.climatecentral.org/maps/mapping-choices</w:t>
        </w:r>
      </w:hyperlink>
    </w:p>
  </w:footnote>
  <w:footnote w:id="11">
    <w:p w14:paraId="40431BAC" w14:textId="7ED2A14E" w:rsidR="00642BA0" w:rsidRPr="00D04605" w:rsidRDefault="00642BA0" w:rsidP="00642BA0">
      <w:pPr>
        <w:pStyle w:val="FootnoteText"/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  <w:lang w:val="pt-BR"/>
        </w:rPr>
        <w:tab/>
      </w:r>
      <w:r w:rsidRPr="00D04605">
        <w:rPr>
          <w:noProof/>
          <w:lang w:val="pt-BR"/>
        </w:rPr>
        <w:t xml:space="preserve">Cidades da América Latina e </w:t>
      </w:r>
      <w:r w:rsidR="007302F2" w:rsidRPr="00D04605">
        <w:rPr>
          <w:noProof/>
          <w:lang w:val="pt-BR"/>
        </w:rPr>
        <w:t>d</w:t>
      </w:r>
      <w:r w:rsidRPr="00D04605">
        <w:rPr>
          <w:noProof/>
          <w:lang w:val="pt-BR"/>
        </w:rPr>
        <w:t xml:space="preserve">o Caribe em risco de aumento do nível do mar. Observatório Urbano Mundial da UN-HABITAT 2008. Disponível em </w:t>
      </w:r>
      <w:hyperlink r:id="rId2" w:history="1">
        <w:r w:rsidRPr="00D04605">
          <w:rPr>
            <w:rStyle w:val="Hyperlink"/>
            <w:noProof/>
            <w:lang w:val="pt-BR"/>
          </w:rPr>
          <w:t>https://www.preventionweb.net/files/5649_latinamericascaribbean.pdf</w:t>
        </w:r>
      </w:hyperlink>
    </w:p>
  </w:footnote>
  <w:footnote w:id="12">
    <w:p w14:paraId="698964E8" w14:textId="71831C87" w:rsidR="00642BA0" w:rsidRPr="00D04605" w:rsidRDefault="00642BA0" w:rsidP="00642BA0">
      <w:pPr>
        <w:pStyle w:val="FootnoteText"/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  <w:lang w:val="pt-BR"/>
        </w:rPr>
        <w:tab/>
      </w:r>
      <w:r w:rsidRPr="00D04605">
        <w:rPr>
          <w:noProof/>
          <w:lang w:val="pt-BR"/>
        </w:rPr>
        <w:t xml:space="preserve">Rigaud, Kanta Kumari; de Sherbinin, Alex; Jones, Bryan; Bergmann, Jonas; Clement, Viviane; Ober, Kayly; Schewe, Jacob; Adamo, Susana; McCusker, Brent; Heuser, Silke; Midgley, Amelia. 2018. Groundswell: Preparação para a Migração Climática Interna. Banco Mundial. </w:t>
      </w:r>
      <w:hyperlink r:id="rId3" w:history="1">
        <w:r w:rsidRPr="00D04605">
          <w:rPr>
            <w:rStyle w:val="Hyperlink"/>
            <w:noProof/>
            <w:lang w:val="pt-BR"/>
          </w:rPr>
          <w:t>https://openknowledge.worldbank.org/handle/10986/2946</w:t>
        </w:r>
      </w:hyperlink>
      <w:r w:rsidRPr="00D04605">
        <w:rPr>
          <w:noProof/>
          <w:lang w:val="pt-BR"/>
        </w:rPr>
        <w:t xml:space="preserve">  </w:t>
      </w:r>
    </w:p>
  </w:footnote>
  <w:footnote w:id="13">
    <w:p w14:paraId="56F106CD" w14:textId="4DEA5629" w:rsidR="00642BA0" w:rsidRPr="00D04605" w:rsidRDefault="00642BA0" w:rsidP="00642BA0">
      <w:pPr>
        <w:pStyle w:val="FootnoteText"/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</w:rPr>
        <w:tab/>
        <w:t xml:space="preserve">Joëlle Gergis. </w:t>
      </w:r>
      <w:r w:rsidR="00F67003" w:rsidRPr="00D04605">
        <w:t>The terrible truth of climate change</w:t>
      </w:r>
      <w:r w:rsidRPr="00D04605">
        <w:rPr>
          <w:noProof/>
        </w:rPr>
        <w:t xml:space="preserve">. </w:t>
      </w:r>
      <w:r w:rsidRPr="00D04605">
        <w:rPr>
          <w:noProof/>
          <w:lang w:val="pt-BR"/>
        </w:rPr>
        <w:t xml:space="preserve">Agosto de 2019. Disponível em </w:t>
      </w:r>
      <w:hyperlink r:id="rId4" w:history="1">
        <w:r w:rsidRPr="00D04605">
          <w:rPr>
            <w:rStyle w:val="Hyperlink"/>
            <w:noProof/>
            <w:lang w:val="pt-BR"/>
          </w:rPr>
          <w:t>https://www.themonthly.com.au/issue/2019/august/1566136800/jo-lle-gergis/terrible-truth-climate-change</w:t>
        </w:r>
      </w:hyperlink>
    </w:p>
  </w:footnote>
  <w:footnote w:id="14">
    <w:p w14:paraId="779EBD3D" w14:textId="31F84B1F" w:rsidR="00642BA0" w:rsidRPr="00D04605" w:rsidRDefault="00642BA0" w:rsidP="00642BA0">
      <w:pPr>
        <w:pStyle w:val="FootnoteText"/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</w:rPr>
        <w:tab/>
        <w:t xml:space="preserve">Global Assessment Report on Biodiversity and Ecosystem Services. Intergovernmental Science-Policy Platform on Biodiversity and Ecosystem Services (IPBES). </w:t>
      </w:r>
      <w:r w:rsidR="000152CA" w:rsidRPr="00D04605">
        <w:rPr>
          <w:noProof/>
          <w:lang w:val="pt-BR"/>
        </w:rPr>
        <w:t>Disponível em</w:t>
      </w:r>
      <w:r w:rsidRPr="00D04605">
        <w:rPr>
          <w:noProof/>
          <w:lang w:val="pt-BR"/>
        </w:rPr>
        <w:t xml:space="preserve"> </w:t>
      </w:r>
      <w:hyperlink r:id="rId5" w:history="1">
        <w:r w:rsidRPr="00D04605">
          <w:rPr>
            <w:rStyle w:val="Hyperlink"/>
            <w:noProof/>
            <w:lang w:val="pt-BR"/>
          </w:rPr>
          <w:t>https://ipbes.net/global-assessment-report-biodiversity-ecosystem-services</w:t>
        </w:r>
      </w:hyperlink>
    </w:p>
  </w:footnote>
  <w:footnote w:id="15">
    <w:p w14:paraId="1FCEB40A" w14:textId="12149879" w:rsidR="00642BA0" w:rsidRPr="00D04605" w:rsidRDefault="00642BA0" w:rsidP="00642BA0">
      <w:pPr>
        <w:pStyle w:val="FootnoteText"/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</w:rPr>
        <w:tab/>
        <w:t xml:space="preserve">Anna Wellenstein, Julie Rozenberg, Sara Turner, Brian Walsh. Climate change and poverty: the perfect storm. </w:t>
      </w:r>
      <w:r w:rsidRPr="00D04605">
        <w:rPr>
          <w:noProof/>
          <w:lang w:val="pt-BR"/>
        </w:rPr>
        <w:t xml:space="preserve">February 2, 2022. </w:t>
      </w:r>
      <w:r w:rsidR="000152CA" w:rsidRPr="00D04605">
        <w:rPr>
          <w:noProof/>
          <w:lang w:val="pt-BR"/>
        </w:rPr>
        <w:t>Disponível em</w:t>
      </w:r>
      <w:r w:rsidRPr="00D04605">
        <w:rPr>
          <w:noProof/>
          <w:lang w:val="pt-BR"/>
        </w:rPr>
        <w:t xml:space="preserve"> </w:t>
      </w:r>
      <w:hyperlink r:id="rId6" w:history="1">
        <w:r w:rsidRPr="00D04605">
          <w:rPr>
            <w:rStyle w:val="Hyperlink"/>
            <w:noProof/>
            <w:lang w:val="pt-BR"/>
          </w:rPr>
          <w:t>https://blogs.worldbank.org/latinamerica/climate-change-and-poverty-perfect-storm?cid=SHR_BlogSiteTweetable_EN_EXT</w:t>
        </w:r>
      </w:hyperlink>
      <w:r w:rsidRPr="00D04605">
        <w:rPr>
          <w:noProof/>
          <w:lang w:val="pt-BR"/>
        </w:rPr>
        <w:t xml:space="preserve"> </w:t>
      </w:r>
    </w:p>
  </w:footnote>
  <w:footnote w:id="16">
    <w:p w14:paraId="57DDA63E" w14:textId="3B2A258F" w:rsidR="00642BA0" w:rsidRPr="00D04605" w:rsidRDefault="00642BA0" w:rsidP="00642BA0">
      <w:pPr>
        <w:pStyle w:val="FootnoteText"/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</w:rPr>
        <w:tab/>
        <w:t xml:space="preserve">Juan Ignacio Coda. Promoting Climate Change Action in Latin América and the Caribbean. </w:t>
      </w:r>
      <w:r w:rsidRPr="00D04605">
        <w:rPr>
          <w:noProof/>
          <w:lang w:val="pt-BR"/>
        </w:rPr>
        <w:t>14</w:t>
      </w:r>
      <w:r w:rsidR="0047008D" w:rsidRPr="00D04605">
        <w:rPr>
          <w:noProof/>
          <w:lang w:val="pt-BR"/>
        </w:rPr>
        <w:t xml:space="preserve"> de abril de</w:t>
      </w:r>
      <w:r w:rsidRPr="00D04605">
        <w:rPr>
          <w:noProof/>
          <w:lang w:val="pt-BR"/>
        </w:rPr>
        <w:t xml:space="preserve"> 2021. </w:t>
      </w:r>
      <w:r w:rsidR="000152CA" w:rsidRPr="00D04605">
        <w:rPr>
          <w:noProof/>
          <w:lang w:val="pt-BR"/>
        </w:rPr>
        <w:t>Disponível em</w:t>
      </w:r>
      <w:r w:rsidRPr="00D04605">
        <w:rPr>
          <w:noProof/>
          <w:lang w:val="pt-BR"/>
        </w:rPr>
        <w:t xml:space="preserve"> </w:t>
      </w:r>
      <w:hyperlink r:id="rId7" w:history="1">
        <w:r w:rsidRPr="00D04605">
          <w:rPr>
            <w:rStyle w:val="Hyperlink"/>
            <w:noProof/>
            <w:lang w:val="pt-BR"/>
          </w:rPr>
          <w:t>https://www.worldbank.org/en/results/2021/04/14/promoting-climate-change-action-in-latin-america-and-the-caribbean</w:t>
        </w:r>
      </w:hyperlink>
      <w:r w:rsidRPr="00D04605">
        <w:rPr>
          <w:noProof/>
          <w:lang w:val="pt-BR"/>
        </w:rPr>
        <w:t xml:space="preserve"> </w:t>
      </w:r>
    </w:p>
  </w:footnote>
  <w:footnote w:id="17">
    <w:p w14:paraId="6D3F84B8" w14:textId="5AEFC35A" w:rsidR="00642BA0" w:rsidRPr="00D04605" w:rsidRDefault="00642BA0" w:rsidP="00642BA0">
      <w:pPr>
        <w:pStyle w:val="FootnoteText"/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</w:rPr>
        <w:tab/>
        <w:t xml:space="preserve">Why Latin America’s economy has been so badly hurt by covid-19. </w:t>
      </w:r>
      <w:r w:rsidRPr="00D04605">
        <w:rPr>
          <w:noProof/>
          <w:lang w:val="pt-BR"/>
        </w:rPr>
        <w:t>The Economist. 13</w:t>
      </w:r>
      <w:r w:rsidR="0047008D" w:rsidRPr="00D04605">
        <w:rPr>
          <w:noProof/>
          <w:lang w:val="pt-BR"/>
        </w:rPr>
        <w:t xml:space="preserve"> de maio de</w:t>
      </w:r>
      <w:r w:rsidRPr="00D04605">
        <w:rPr>
          <w:noProof/>
          <w:lang w:val="pt-BR"/>
        </w:rPr>
        <w:t xml:space="preserve"> 2021. </w:t>
      </w:r>
      <w:r w:rsidR="000152CA" w:rsidRPr="00D04605">
        <w:rPr>
          <w:noProof/>
          <w:lang w:val="pt-BR"/>
        </w:rPr>
        <w:t>Disponível em</w:t>
      </w:r>
      <w:r w:rsidRPr="00D04605">
        <w:rPr>
          <w:noProof/>
          <w:lang w:val="pt-BR"/>
        </w:rPr>
        <w:t xml:space="preserve"> </w:t>
      </w:r>
      <w:hyperlink r:id="rId8" w:history="1">
        <w:r w:rsidRPr="00D04605">
          <w:rPr>
            <w:rStyle w:val="Hyperlink"/>
            <w:noProof/>
            <w:lang w:val="pt-BR"/>
          </w:rPr>
          <w:t>https://www.economist.com/the-americas/2021/05/13/why-latin-americas-economy-has-been-so-badly-hurt-by-covid-19</w:t>
        </w:r>
      </w:hyperlink>
      <w:r w:rsidRPr="00D04605">
        <w:rPr>
          <w:noProof/>
          <w:lang w:val="pt-BR"/>
        </w:rPr>
        <w:t xml:space="preserve"> </w:t>
      </w:r>
    </w:p>
  </w:footnote>
  <w:footnote w:id="18">
    <w:p w14:paraId="38D36BC6" w14:textId="3B263CD2" w:rsidR="00642BA0" w:rsidRPr="00D04605" w:rsidRDefault="00642BA0" w:rsidP="00642BA0">
      <w:pPr>
        <w:pStyle w:val="FootnoteText"/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  <w:lang w:val="pt-BR"/>
        </w:rPr>
        <w:tab/>
      </w:r>
      <w:r w:rsidR="0047008D" w:rsidRPr="00D04605">
        <w:rPr>
          <w:noProof/>
          <w:lang w:val="pt-BR"/>
        </w:rPr>
        <w:t>C</w:t>
      </w:r>
      <w:r w:rsidRPr="00D04605">
        <w:rPr>
          <w:noProof/>
          <w:lang w:val="pt-BR"/>
        </w:rPr>
        <w:t>E</w:t>
      </w:r>
      <w:r w:rsidR="0047008D" w:rsidRPr="00D04605">
        <w:rPr>
          <w:noProof/>
          <w:lang w:val="pt-BR"/>
        </w:rPr>
        <w:t>PAL</w:t>
      </w:r>
      <w:r w:rsidRPr="00D04605">
        <w:rPr>
          <w:noProof/>
          <w:lang w:val="pt-BR"/>
        </w:rPr>
        <w:t>, Panorama</w:t>
      </w:r>
      <w:r w:rsidR="0047008D" w:rsidRPr="00D04605">
        <w:rPr>
          <w:noProof/>
          <w:lang w:val="pt-BR"/>
        </w:rPr>
        <w:t xml:space="preserve"> Social 2022</w:t>
      </w:r>
      <w:r w:rsidRPr="00D04605">
        <w:rPr>
          <w:noProof/>
          <w:lang w:val="pt-BR"/>
        </w:rPr>
        <w:t xml:space="preserve">. </w:t>
      </w:r>
      <w:r w:rsidR="000152CA" w:rsidRPr="00D04605">
        <w:rPr>
          <w:noProof/>
          <w:lang w:val="pt-BR"/>
        </w:rPr>
        <w:t>Disponível em</w:t>
      </w:r>
      <w:r w:rsidRPr="00D04605">
        <w:rPr>
          <w:noProof/>
          <w:lang w:val="pt-BR"/>
        </w:rPr>
        <w:t xml:space="preserve"> </w:t>
      </w:r>
      <w:hyperlink r:id="rId9" w:history="1">
        <w:r w:rsidRPr="00D04605">
          <w:rPr>
            <w:rStyle w:val="Hyperlink"/>
            <w:noProof/>
            <w:lang w:val="pt-BR"/>
          </w:rPr>
          <w:t>https://repositorio.cepal.org/handle/11362/48518</w:t>
        </w:r>
      </w:hyperlink>
      <w:r w:rsidRPr="00D04605">
        <w:rPr>
          <w:noProof/>
          <w:lang w:val="pt-BR"/>
        </w:rPr>
        <w:t xml:space="preserve"> </w:t>
      </w:r>
    </w:p>
  </w:footnote>
  <w:footnote w:id="19">
    <w:p w14:paraId="21DA582F" w14:textId="44F8180F" w:rsidR="00642BA0" w:rsidRPr="00D04605" w:rsidRDefault="00642BA0" w:rsidP="00642BA0">
      <w:pPr>
        <w:pStyle w:val="FootnoteText"/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  <w:lang w:val="pt-BR"/>
        </w:rPr>
        <w:tab/>
      </w:r>
      <w:r w:rsidRPr="00D04605">
        <w:rPr>
          <w:noProof/>
          <w:lang w:val="pt-BR"/>
        </w:rPr>
        <w:t>A</w:t>
      </w:r>
      <w:r w:rsidR="0047008D" w:rsidRPr="00D04605">
        <w:rPr>
          <w:noProof/>
          <w:lang w:val="pt-BR"/>
        </w:rPr>
        <w:t xml:space="preserve">provado pelos Estados membros em </w:t>
      </w:r>
      <w:r w:rsidRPr="00D04605">
        <w:rPr>
          <w:noProof/>
          <w:lang w:val="pt-BR"/>
        </w:rPr>
        <w:t>31</w:t>
      </w:r>
      <w:r w:rsidR="0047008D" w:rsidRPr="00D04605">
        <w:rPr>
          <w:noProof/>
          <w:lang w:val="pt-BR"/>
        </w:rPr>
        <w:t xml:space="preserve"> de outubro de</w:t>
      </w:r>
      <w:r w:rsidRPr="00D04605">
        <w:rPr>
          <w:noProof/>
          <w:lang w:val="pt-BR"/>
        </w:rPr>
        <w:t xml:space="preserve"> 2016, </w:t>
      </w:r>
      <w:r w:rsidR="0047008D" w:rsidRPr="00D04605">
        <w:rPr>
          <w:noProof/>
          <w:lang w:val="pt-BR"/>
        </w:rPr>
        <w:t xml:space="preserve">mediante a resolução </w:t>
      </w:r>
      <w:r w:rsidRPr="00D04605">
        <w:rPr>
          <w:noProof/>
          <w:color w:val="171717"/>
          <w:lang w:val="pt-BR"/>
        </w:rPr>
        <w:t xml:space="preserve">AG/RES.1 (LI-E/16) </w:t>
      </w:r>
    </w:p>
  </w:footnote>
  <w:footnote w:id="20">
    <w:p w14:paraId="5075C0F7" w14:textId="524A7CBB" w:rsidR="00642BA0" w:rsidRPr="00D04605" w:rsidRDefault="00642BA0" w:rsidP="00642BA0">
      <w:pPr>
        <w:pStyle w:val="FootnoteText"/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  <w:lang w:val="pt-BR"/>
        </w:rPr>
        <w:t xml:space="preserve"> </w:t>
      </w:r>
      <w:r w:rsidR="00D04605">
        <w:rPr>
          <w:noProof/>
          <w:lang w:val="pt-BR"/>
        </w:rPr>
        <w:t>.</w:t>
      </w:r>
      <w:r w:rsidR="00D04605">
        <w:rPr>
          <w:noProof/>
          <w:lang w:val="pt-BR"/>
        </w:rPr>
        <w:tab/>
      </w:r>
      <w:r w:rsidR="00B97324" w:rsidRPr="00D04605">
        <w:rPr>
          <w:noProof/>
          <w:lang w:val="pt-BR"/>
        </w:rPr>
        <w:t xml:space="preserve">Programa das Nações </w:t>
      </w:r>
      <w:r w:rsidRPr="00D04605">
        <w:rPr>
          <w:noProof/>
          <w:lang w:val="pt-BR"/>
        </w:rPr>
        <w:t>Uni</w:t>
      </w:r>
      <w:r w:rsidR="00B97324" w:rsidRPr="00D04605">
        <w:rPr>
          <w:noProof/>
          <w:lang w:val="pt-BR"/>
        </w:rPr>
        <w:t xml:space="preserve">das para o Meio Ambiente </w:t>
      </w:r>
      <w:r w:rsidRPr="00D04605">
        <w:rPr>
          <w:noProof/>
          <w:lang w:val="pt-BR"/>
        </w:rPr>
        <w:t xml:space="preserve">(2022). </w:t>
      </w:r>
      <w:r w:rsidRPr="00D04605">
        <w:rPr>
          <w:noProof/>
        </w:rPr>
        <w:t xml:space="preserve">Emissions Gap Report 2022: The Closing Window — Climate crisis calls for rapid transformation of societies. </w:t>
      </w:r>
      <w:r w:rsidRPr="00D04605">
        <w:rPr>
          <w:noProof/>
          <w:lang w:val="pt-BR"/>
        </w:rPr>
        <w:t>Nair</w:t>
      </w:r>
      <w:r w:rsidR="00BA21F4" w:rsidRPr="00D04605">
        <w:rPr>
          <w:noProof/>
          <w:lang w:val="pt-BR"/>
        </w:rPr>
        <w:t>ó</w:t>
      </w:r>
      <w:r w:rsidRPr="00D04605">
        <w:rPr>
          <w:noProof/>
          <w:lang w:val="pt-BR"/>
        </w:rPr>
        <w:t xml:space="preserve">bi. </w:t>
      </w:r>
      <w:r w:rsidR="000152CA" w:rsidRPr="00D04605">
        <w:rPr>
          <w:noProof/>
          <w:lang w:val="pt-BR"/>
        </w:rPr>
        <w:t>Disponível em</w:t>
      </w:r>
      <w:r w:rsidRPr="00D04605">
        <w:rPr>
          <w:noProof/>
          <w:lang w:val="pt-BR"/>
        </w:rPr>
        <w:t xml:space="preserve"> </w:t>
      </w:r>
      <w:hyperlink r:id="rId10" w:history="1">
        <w:r w:rsidRPr="00D04605">
          <w:rPr>
            <w:rStyle w:val="Hyperlink"/>
            <w:noProof/>
            <w:lang w:val="pt-BR"/>
          </w:rPr>
          <w:t>https://www.unep.org/emissions-gap-report-2022</w:t>
        </w:r>
      </w:hyperlink>
      <w:r w:rsidRPr="00D04605">
        <w:rPr>
          <w:noProof/>
          <w:lang w:val="pt-BR"/>
        </w:rPr>
        <w:t xml:space="preserve"> </w:t>
      </w:r>
    </w:p>
  </w:footnote>
  <w:footnote w:id="21">
    <w:p w14:paraId="50789EEB" w14:textId="2897D76E" w:rsidR="00642BA0" w:rsidRPr="00D04605" w:rsidRDefault="00642BA0" w:rsidP="00642BA0">
      <w:pPr>
        <w:pStyle w:val="FootnoteText"/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  <w:lang w:val="pt-BR"/>
        </w:rPr>
        <w:t xml:space="preserve"> </w:t>
      </w:r>
      <w:r w:rsidR="00D04605">
        <w:rPr>
          <w:noProof/>
          <w:lang w:val="pt-BR"/>
        </w:rPr>
        <w:t>.</w:t>
      </w:r>
      <w:r w:rsidR="00D04605">
        <w:rPr>
          <w:noProof/>
          <w:lang w:val="pt-BR"/>
        </w:rPr>
        <w:tab/>
      </w:r>
      <w:r w:rsidR="00B97324" w:rsidRPr="00D04605">
        <w:rPr>
          <w:noProof/>
          <w:lang w:val="pt-BR"/>
        </w:rPr>
        <w:t>Programa das Nações Unidas para o Meio Amb</w:t>
      </w:r>
      <w:r w:rsidR="00BA21F4" w:rsidRPr="00D04605">
        <w:rPr>
          <w:noProof/>
          <w:lang w:val="pt-BR"/>
        </w:rPr>
        <w:t>iente</w:t>
      </w:r>
      <w:r w:rsidRPr="00D04605">
        <w:rPr>
          <w:noProof/>
          <w:lang w:val="pt-BR"/>
        </w:rPr>
        <w:t xml:space="preserve"> (2022). </w:t>
      </w:r>
      <w:r w:rsidRPr="00D04605">
        <w:rPr>
          <w:noProof/>
        </w:rPr>
        <w:t xml:space="preserve">Emissions Gap Report 2022: The Closing Window — Climate crisis calls for rapid transformation of societies. </w:t>
      </w:r>
      <w:r w:rsidRPr="00D04605">
        <w:rPr>
          <w:noProof/>
          <w:lang w:val="pt-BR"/>
        </w:rPr>
        <w:t>Nair</w:t>
      </w:r>
      <w:r w:rsidR="00BA21F4" w:rsidRPr="00D04605">
        <w:rPr>
          <w:noProof/>
          <w:lang w:val="pt-BR"/>
        </w:rPr>
        <w:t>ó</w:t>
      </w:r>
      <w:r w:rsidRPr="00D04605">
        <w:rPr>
          <w:noProof/>
          <w:lang w:val="pt-BR"/>
        </w:rPr>
        <w:t xml:space="preserve">bi. </w:t>
      </w:r>
      <w:r w:rsidR="000152CA" w:rsidRPr="00D04605">
        <w:rPr>
          <w:noProof/>
          <w:lang w:val="pt-BR"/>
        </w:rPr>
        <w:t>Disponível em</w:t>
      </w:r>
      <w:r w:rsidRPr="00D04605">
        <w:rPr>
          <w:noProof/>
          <w:lang w:val="pt-BR"/>
        </w:rPr>
        <w:t xml:space="preserve"> </w:t>
      </w:r>
      <w:hyperlink r:id="rId11" w:history="1">
        <w:r w:rsidRPr="00D04605">
          <w:rPr>
            <w:rStyle w:val="Hyperlink"/>
            <w:noProof/>
            <w:lang w:val="pt-BR"/>
          </w:rPr>
          <w:t>https://www.unep.org/emissions-gap-report-2022</w:t>
        </w:r>
      </w:hyperlink>
      <w:r w:rsidRPr="00D04605">
        <w:rPr>
          <w:noProof/>
          <w:lang w:val="pt-BR"/>
        </w:rPr>
        <w:t xml:space="preserve"> </w:t>
      </w:r>
    </w:p>
  </w:footnote>
  <w:footnote w:id="22">
    <w:p w14:paraId="3E757962" w14:textId="2F9E0E94" w:rsidR="00642BA0" w:rsidRPr="00D04605" w:rsidRDefault="00642BA0" w:rsidP="00642BA0">
      <w:pPr>
        <w:pStyle w:val="FootnoteText"/>
        <w:ind w:left="720" w:hanging="360"/>
        <w:jc w:val="both"/>
        <w:rPr>
          <w:noProof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</w:rPr>
        <w:t xml:space="preserve"> </w:t>
      </w:r>
      <w:r w:rsidR="00D04605">
        <w:rPr>
          <w:noProof/>
        </w:rPr>
        <w:t>.</w:t>
      </w:r>
      <w:r w:rsidR="00D04605">
        <w:rPr>
          <w:noProof/>
        </w:rPr>
        <w:tab/>
      </w:r>
      <w:r w:rsidRPr="00D04605">
        <w:rPr>
          <w:noProof/>
        </w:rPr>
        <w:t xml:space="preserve">Ibid. </w:t>
      </w:r>
    </w:p>
  </w:footnote>
  <w:footnote w:id="23">
    <w:p w14:paraId="3BBE808A" w14:textId="1AF3CA35" w:rsidR="00642BA0" w:rsidRPr="00D04605" w:rsidRDefault="00642BA0" w:rsidP="00642BA0">
      <w:pPr>
        <w:pStyle w:val="FootnoteText"/>
        <w:ind w:left="720" w:hanging="360"/>
        <w:jc w:val="both"/>
        <w:rPr>
          <w:noProof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</w:rPr>
        <w:tab/>
        <w:t>IPCC, 2014: Climate Change 2014: Mitigation of Climate Change. Contribution of Working Group III to the Fifth Assessment Report of the Intergovernmental Panel on Climate Change [Edenhofer, O., R. Pichs-Madruga, Y. Sokona, E. Farahani, S. Kadner, K. Seyboth, A. Adler, I. Baum, S. Brunner, P. Eickemeier, B. Kriemann, J. Savolainen, S. Schlömer, C. von Stechow, T. Zwickel and J.C. Minx (eds.)].</w:t>
      </w:r>
    </w:p>
  </w:footnote>
  <w:footnote w:id="24">
    <w:p w14:paraId="1656031B" w14:textId="15A11259" w:rsidR="00642BA0" w:rsidRPr="00D04605" w:rsidRDefault="00642BA0" w:rsidP="00642BA0">
      <w:pPr>
        <w:pStyle w:val="FootnoteText"/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  <w:lang w:val="pt-BR"/>
        </w:rPr>
        <w:tab/>
      </w:r>
      <w:r w:rsidR="00CB0521" w:rsidRPr="00D04605">
        <w:rPr>
          <w:noProof/>
          <w:lang w:val="pt-BR"/>
        </w:rPr>
        <w:t xml:space="preserve">Coalizão Clima e Ar Limpo do Programa das Nações Unidas para o Meio Ambiente </w:t>
      </w:r>
      <w:r w:rsidRPr="00D04605">
        <w:rPr>
          <w:noProof/>
          <w:lang w:val="pt-BR"/>
        </w:rPr>
        <w:t xml:space="preserve">(2021). </w:t>
      </w:r>
      <w:r w:rsidRPr="00D04605">
        <w:rPr>
          <w:noProof/>
        </w:rPr>
        <w:t xml:space="preserve">Global Methane Assessment: Benefits and Costs of Mitigating Methane Emissions. </w:t>
      </w:r>
      <w:r w:rsidRPr="00D04605">
        <w:rPr>
          <w:noProof/>
          <w:lang w:val="pt-BR"/>
        </w:rPr>
        <w:t>Nair</w:t>
      </w:r>
      <w:r w:rsidR="001B5084" w:rsidRPr="00D04605">
        <w:rPr>
          <w:noProof/>
          <w:lang w:val="pt-BR"/>
        </w:rPr>
        <w:t>ó</w:t>
      </w:r>
      <w:r w:rsidRPr="00D04605">
        <w:rPr>
          <w:noProof/>
          <w:lang w:val="pt-BR"/>
        </w:rPr>
        <w:t xml:space="preserve">bi: </w:t>
      </w:r>
      <w:r w:rsidR="001B5084" w:rsidRPr="00D04605">
        <w:rPr>
          <w:noProof/>
          <w:lang w:val="pt-BR"/>
        </w:rPr>
        <w:t>Programa das Nações Unidas para o Meio Ambiente</w:t>
      </w:r>
      <w:r w:rsidRPr="00D04605">
        <w:rPr>
          <w:noProof/>
          <w:lang w:val="pt-BR"/>
        </w:rPr>
        <w:t>.</w:t>
      </w:r>
    </w:p>
  </w:footnote>
  <w:footnote w:id="25">
    <w:p w14:paraId="7CC1D588" w14:textId="5F49918F" w:rsidR="00642BA0" w:rsidRPr="00D04605" w:rsidRDefault="00642BA0" w:rsidP="00642BA0">
      <w:pPr>
        <w:pStyle w:val="FootnoteText"/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  <w:lang w:val="pt-BR"/>
        </w:rPr>
        <w:tab/>
      </w:r>
      <w:r w:rsidRPr="00D04605">
        <w:rPr>
          <w:noProof/>
          <w:lang w:val="pt-BR"/>
        </w:rPr>
        <w:t>Ibid.</w:t>
      </w:r>
    </w:p>
  </w:footnote>
  <w:footnote w:id="26">
    <w:p w14:paraId="3329C17C" w14:textId="14963DAA" w:rsidR="00642BA0" w:rsidRPr="00D04605" w:rsidRDefault="00642BA0" w:rsidP="00642BA0">
      <w:pPr>
        <w:pStyle w:val="FootnoteText"/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  <w:lang w:val="pt-BR"/>
        </w:rPr>
        <w:tab/>
      </w:r>
      <w:r w:rsidRPr="00D04605">
        <w:rPr>
          <w:noProof/>
          <w:lang w:val="pt-BR"/>
        </w:rPr>
        <w:t>Ibid.</w:t>
      </w:r>
    </w:p>
  </w:footnote>
  <w:footnote w:id="27">
    <w:p w14:paraId="63F08E48" w14:textId="4C4F0E5F" w:rsidR="00642BA0" w:rsidRPr="00D04605" w:rsidRDefault="00642BA0" w:rsidP="00642BA0">
      <w:pPr>
        <w:pStyle w:val="FootnoteText"/>
        <w:ind w:left="720" w:hanging="360"/>
        <w:jc w:val="both"/>
        <w:rPr>
          <w:noProof/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  <w:lang w:val="pt-BR"/>
        </w:rPr>
        <w:tab/>
      </w:r>
      <w:r w:rsidR="00B55361" w:rsidRPr="00D04605">
        <w:rPr>
          <w:noProof/>
          <w:lang w:val="pt-BR"/>
        </w:rPr>
        <w:t xml:space="preserve">Mudança </w:t>
      </w:r>
      <w:r w:rsidRPr="00D04605">
        <w:rPr>
          <w:noProof/>
          <w:lang w:val="pt-BR"/>
        </w:rPr>
        <w:t>Clim</w:t>
      </w:r>
      <w:r w:rsidR="00B55361" w:rsidRPr="00D04605">
        <w:rPr>
          <w:noProof/>
          <w:lang w:val="pt-BR"/>
        </w:rPr>
        <w:t>ática</w:t>
      </w:r>
      <w:r w:rsidRPr="00D04605">
        <w:rPr>
          <w:noProof/>
          <w:lang w:val="pt-BR"/>
        </w:rPr>
        <w:t xml:space="preserve"> | </w:t>
      </w:r>
      <w:r w:rsidR="00B55361" w:rsidRPr="00D04605">
        <w:rPr>
          <w:noProof/>
          <w:lang w:val="pt-BR"/>
        </w:rPr>
        <w:t>Subsídios aos combustíveis fósseis</w:t>
      </w:r>
      <w:r w:rsidRPr="00D04605">
        <w:rPr>
          <w:noProof/>
          <w:lang w:val="pt-BR"/>
        </w:rPr>
        <w:t xml:space="preserve">. </w:t>
      </w:r>
      <w:r w:rsidR="00B55361" w:rsidRPr="00D04605">
        <w:rPr>
          <w:noProof/>
          <w:lang w:val="pt-BR"/>
        </w:rPr>
        <w:t xml:space="preserve">Fundo Monetário </w:t>
      </w:r>
      <w:r w:rsidRPr="00D04605">
        <w:rPr>
          <w:noProof/>
          <w:lang w:val="pt-BR"/>
        </w:rPr>
        <w:t>Interna</w:t>
      </w:r>
      <w:r w:rsidR="00B55361" w:rsidRPr="00D04605">
        <w:rPr>
          <w:noProof/>
          <w:lang w:val="pt-BR"/>
        </w:rPr>
        <w:t>c</w:t>
      </w:r>
      <w:r w:rsidRPr="00D04605">
        <w:rPr>
          <w:noProof/>
          <w:lang w:val="pt-BR"/>
        </w:rPr>
        <w:t xml:space="preserve">ional. </w:t>
      </w:r>
      <w:r w:rsidR="000152CA" w:rsidRPr="00D04605">
        <w:rPr>
          <w:noProof/>
          <w:lang w:val="pt-BR"/>
        </w:rPr>
        <w:t>Disponível em</w:t>
      </w:r>
      <w:r w:rsidRPr="00D04605">
        <w:rPr>
          <w:noProof/>
          <w:lang w:val="pt-BR"/>
        </w:rPr>
        <w:t xml:space="preserve"> </w:t>
      </w:r>
      <w:hyperlink r:id="rId12" w:history="1">
        <w:r w:rsidRPr="00D04605">
          <w:rPr>
            <w:rStyle w:val="Hyperlink"/>
            <w:noProof/>
            <w:lang w:val="pt-BR"/>
          </w:rPr>
          <w:t>https://www.imf.org/en/Topics/climate-change/energy-subsidies</w:t>
        </w:r>
      </w:hyperlink>
      <w:r w:rsidRPr="00D04605">
        <w:rPr>
          <w:noProof/>
          <w:lang w:val="pt-BR"/>
        </w:rPr>
        <w:t xml:space="preserve"> </w:t>
      </w:r>
    </w:p>
  </w:footnote>
  <w:footnote w:id="28">
    <w:p w14:paraId="1E8F5100" w14:textId="70C0F266" w:rsidR="00642BA0" w:rsidRPr="00D04605" w:rsidRDefault="00642BA0" w:rsidP="00642BA0">
      <w:pPr>
        <w:pStyle w:val="FootnoteText"/>
        <w:ind w:left="720" w:hanging="360"/>
        <w:jc w:val="both"/>
        <w:rPr>
          <w:lang w:val="pt-BR"/>
        </w:rPr>
      </w:pPr>
      <w:r w:rsidRPr="00D04605">
        <w:rPr>
          <w:rStyle w:val="FootnoteReference"/>
          <w:vertAlign w:val="baseline"/>
          <w:lang w:val="pt-BR"/>
        </w:rPr>
        <w:footnoteRef/>
      </w:r>
      <w:r w:rsidRPr="00D04605">
        <w:rPr>
          <w:lang w:val="pt-BR"/>
        </w:rPr>
        <w:tab/>
      </w:r>
      <w:r w:rsidRPr="00D04605">
        <w:rPr>
          <w:lang w:val="pt-BR"/>
        </w:rPr>
        <w:t>U.S. Geological Survey</w:t>
      </w:r>
    </w:p>
  </w:footnote>
  <w:footnote w:id="29">
    <w:p w14:paraId="7B23359A" w14:textId="5936A639" w:rsidR="00642BA0" w:rsidRPr="00D04605" w:rsidRDefault="00642BA0" w:rsidP="00642BA0">
      <w:pPr>
        <w:pStyle w:val="FootnoteText"/>
        <w:ind w:left="720" w:hanging="360"/>
        <w:jc w:val="both"/>
        <w:rPr>
          <w:lang w:val="pt-BR"/>
        </w:rPr>
      </w:pPr>
      <w:r w:rsidRPr="00D04605">
        <w:rPr>
          <w:rStyle w:val="FootnoteReference"/>
          <w:vertAlign w:val="baseline"/>
          <w:lang w:val="pt-BR"/>
        </w:rPr>
        <w:footnoteRef/>
      </w:r>
      <w:r w:rsidRPr="00D04605">
        <w:rPr>
          <w:lang w:val="pt-BR"/>
        </w:rPr>
        <w:tab/>
      </w:r>
      <w:r w:rsidRPr="00D04605">
        <w:rPr>
          <w:lang w:val="pt-BR"/>
        </w:rPr>
        <w:t>Conforme definido pelo Congresso Mundial de Conservação de 2016.</w:t>
      </w:r>
    </w:p>
  </w:footnote>
  <w:footnote w:id="30">
    <w:p w14:paraId="10CC5587" w14:textId="2093BACA" w:rsidR="00642BA0" w:rsidRPr="00D04605" w:rsidRDefault="00642BA0" w:rsidP="00642BA0">
      <w:pPr>
        <w:pStyle w:val="FootnoteText"/>
        <w:ind w:left="720" w:hanging="360"/>
        <w:jc w:val="both"/>
        <w:rPr>
          <w:lang w:val="pt-BR"/>
        </w:rPr>
      </w:pPr>
      <w:r w:rsidRPr="00D04605">
        <w:rPr>
          <w:rStyle w:val="FootnoteReference"/>
          <w:vertAlign w:val="baseline"/>
          <w:lang w:val="pt-BR"/>
        </w:rPr>
        <w:footnoteRef/>
      </w:r>
      <w:r w:rsidRPr="00D04605">
        <w:rPr>
          <w:lang w:val="pt-BR"/>
        </w:rPr>
        <w:tab/>
      </w:r>
      <w:r w:rsidRPr="00D04605">
        <w:rPr>
          <w:lang w:val="pt-BR"/>
        </w:rPr>
        <w:t>Conforme definido pela Secretaria da UNFCCC.</w:t>
      </w:r>
    </w:p>
  </w:footnote>
  <w:footnote w:id="31">
    <w:p w14:paraId="09F9C3D5" w14:textId="4DF84429" w:rsidR="00642BA0" w:rsidRPr="00D04605" w:rsidRDefault="00642BA0" w:rsidP="00642BA0">
      <w:pPr>
        <w:pStyle w:val="FootnoteText"/>
        <w:ind w:left="720" w:hanging="360"/>
        <w:jc w:val="both"/>
        <w:rPr>
          <w:lang w:val="es-US"/>
        </w:rPr>
      </w:pPr>
      <w:r w:rsidRPr="00D04605">
        <w:rPr>
          <w:rStyle w:val="FootnoteReference"/>
          <w:vertAlign w:val="baseline"/>
          <w:lang w:val="pt-BR"/>
        </w:rPr>
        <w:footnoteRef/>
      </w:r>
      <w:r w:rsidRPr="00D04605">
        <w:rPr>
          <w:lang w:val="es-US"/>
        </w:rPr>
        <w:tab/>
        <w:t>UNFCCC</w:t>
      </w:r>
    </w:p>
  </w:footnote>
  <w:footnote w:id="32">
    <w:p w14:paraId="4DDA872A" w14:textId="5E9FB59A" w:rsidR="00642BA0" w:rsidRPr="00D04605" w:rsidRDefault="00642BA0" w:rsidP="00642BA0">
      <w:pPr>
        <w:pStyle w:val="FootnoteText"/>
        <w:tabs>
          <w:tab w:val="left" w:pos="360"/>
        </w:tabs>
        <w:ind w:left="720" w:hanging="360"/>
        <w:jc w:val="both"/>
        <w:rPr>
          <w:noProof/>
          <w:lang w:val="es-US"/>
        </w:rPr>
      </w:pPr>
      <w:r w:rsidRPr="00D04605">
        <w:rPr>
          <w:rStyle w:val="FootnoteReference"/>
          <w:vertAlign w:val="baseline"/>
          <w:lang w:val="pt-BR"/>
        </w:rPr>
        <w:footnoteRef/>
      </w:r>
      <w:r w:rsidRPr="00D04605">
        <w:rPr>
          <w:lang w:val="es-US"/>
        </w:rPr>
        <w:tab/>
      </w:r>
      <w:r w:rsidRPr="00D04605">
        <w:rPr>
          <w:noProof/>
          <w:lang w:val="es-US"/>
        </w:rPr>
        <w:t>O</w:t>
      </w:r>
      <w:r w:rsidR="000152CA" w:rsidRPr="00D04605">
        <w:rPr>
          <w:noProof/>
          <w:lang w:val="es-US"/>
        </w:rPr>
        <w:t>E</w:t>
      </w:r>
      <w:r w:rsidRPr="00D04605">
        <w:rPr>
          <w:noProof/>
          <w:lang w:val="es-US"/>
        </w:rPr>
        <w:t>A, 2022; Glaciares tropicales y cambio climático, perspectivas desde las NDC y la adaptación: Análisis y propuestas desde los escenarios de Bolivia, Perú, Ecuador y Colombia.</w:t>
      </w:r>
    </w:p>
  </w:footnote>
  <w:footnote w:id="33">
    <w:p w14:paraId="5380265B" w14:textId="23150C75" w:rsidR="00642BA0" w:rsidRPr="00D04605" w:rsidRDefault="00642BA0" w:rsidP="00642BA0">
      <w:pPr>
        <w:pStyle w:val="FootnoteText"/>
        <w:ind w:left="720" w:hanging="360"/>
        <w:jc w:val="both"/>
        <w:rPr>
          <w:lang w:val="pt-BR"/>
        </w:rPr>
      </w:pPr>
      <w:r w:rsidRPr="00D04605">
        <w:rPr>
          <w:rStyle w:val="FootnoteReference"/>
          <w:noProof/>
          <w:vertAlign w:val="baseline"/>
          <w:lang w:val="pt-BR"/>
        </w:rPr>
        <w:footnoteRef/>
      </w:r>
      <w:r w:rsidRPr="00D04605">
        <w:rPr>
          <w:noProof/>
          <w:lang w:val="pt-BR"/>
        </w:rPr>
        <w:tab/>
      </w:r>
      <w:r w:rsidR="006216BE" w:rsidRPr="00D04605">
        <w:rPr>
          <w:noProof/>
          <w:lang w:val="pt-BR"/>
        </w:rPr>
        <w:t xml:space="preserve">Departamento de Assuntos Econômicos e Sociais das Nações </w:t>
      </w:r>
      <w:r w:rsidRPr="00D04605">
        <w:rPr>
          <w:noProof/>
          <w:lang w:val="pt-BR"/>
        </w:rPr>
        <w:t>Uni</w:t>
      </w:r>
      <w:r w:rsidR="006216BE" w:rsidRPr="00D04605">
        <w:rPr>
          <w:noProof/>
          <w:lang w:val="pt-BR"/>
        </w:rPr>
        <w:t>das</w:t>
      </w:r>
      <w:r w:rsidRPr="00D04605">
        <w:rPr>
          <w:noProof/>
          <w:lang w:val="pt-BR"/>
        </w:rPr>
        <w:t xml:space="preserve">. </w:t>
      </w:r>
      <w:r w:rsidR="00E45FC5" w:rsidRPr="00D04605">
        <w:rPr>
          <w:noProof/>
          <w:lang w:val="pt-BR"/>
        </w:rPr>
        <w:t>Es</w:t>
      </w:r>
      <w:r w:rsidRPr="00D04605">
        <w:rPr>
          <w:noProof/>
          <w:lang w:val="pt-BR"/>
        </w:rPr>
        <w:t>tat</w:t>
      </w:r>
      <w:r w:rsidR="00E45FC5" w:rsidRPr="00D04605">
        <w:rPr>
          <w:noProof/>
          <w:lang w:val="pt-BR"/>
        </w:rPr>
        <w:t>í</w:t>
      </w:r>
      <w:r w:rsidRPr="00D04605">
        <w:rPr>
          <w:noProof/>
          <w:lang w:val="pt-BR"/>
        </w:rPr>
        <w:t>stic</w:t>
      </w:r>
      <w:r w:rsidR="00E45FC5" w:rsidRPr="00D04605">
        <w:rPr>
          <w:noProof/>
          <w:lang w:val="pt-BR"/>
        </w:rPr>
        <w:t>a</w:t>
      </w:r>
      <w:r w:rsidRPr="00D04605">
        <w:rPr>
          <w:noProof/>
          <w:lang w:val="pt-BR"/>
        </w:rPr>
        <w:t xml:space="preserve">s. </w:t>
      </w:r>
      <w:r w:rsidR="00E45FC5" w:rsidRPr="00D04605">
        <w:rPr>
          <w:noProof/>
          <w:lang w:val="pt-BR"/>
        </w:rPr>
        <w:t>Base de dados sobre os indicadores dos ODS</w:t>
      </w:r>
      <w:r w:rsidRPr="00D04605">
        <w:rPr>
          <w:noProof/>
          <w:lang w:val="pt-BR"/>
        </w:rPr>
        <w:t xml:space="preserve">. </w:t>
      </w:r>
      <w:r w:rsidR="000152CA" w:rsidRPr="00D04605">
        <w:rPr>
          <w:noProof/>
          <w:lang w:val="pt-BR"/>
        </w:rPr>
        <w:t>Disponível em</w:t>
      </w:r>
      <w:r w:rsidRPr="00D04605">
        <w:rPr>
          <w:noProof/>
          <w:lang w:val="pt-BR"/>
        </w:rPr>
        <w:t xml:space="preserve"> </w:t>
      </w:r>
      <w:hyperlink r:id="rId13" w:history="1">
        <w:r w:rsidRPr="00D04605">
          <w:rPr>
            <w:rStyle w:val="Hyperlink"/>
            <w:noProof/>
            <w:lang w:val="pt-BR"/>
          </w:rPr>
          <w:t>https://unstats.un.org/sdgs/dataportal/database</w:t>
        </w:r>
      </w:hyperlink>
      <w:r w:rsidRPr="00D04605">
        <w:rPr>
          <w:lang w:val="pt-BR"/>
        </w:rPr>
        <w:t xml:space="preserve"> </w:t>
      </w:r>
    </w:p>
  </w:footnote>
  <w:footnote w:id="34">
    <w:p w14:paraId="570AF1FC" w14:textId="54CBCD53" w:rsidR="001B7DAE" w:rsidRPr="00D04605" w:rsidRDefault="001B7DAE" w:rsidP="001B7DAE">
      <w:pPr>
        <w:pStyle w:val="FootnoteText"/>
        <w:ind w:left="720" w:hanging="360"/>
        <w:jc w:val="both"/>
      </w:pPr>
      <w:r w:rsidRPr="00D04605">
        <w:rPr>
          <w:rStyle w:val="FootnoteReference"/>
          <w:vertAlign w:val="baseline"/>
        </w:rPr>
        <w:footnoteRef/>
      </w:r>
      <w:r w:rsidRPr="00D04605">
        <w:rPr>
          <w:lang w:val="pt-BR"/>
        </w:rPr>
        <w:t>.</w:t>
      </w:r>
      <w:r w:rsidRPr="00D04605">
        <w:rPr>
          <w:lang w:val="pt-BR"/>
        </w:rPr>
        <w:tab/>
      </w:r>
      <w:r w:rsidRPr="00D04605">
        <w:rPr>
          <w:noProof/>
          <w:lang w:val="pt-BR"/>
        </w:rPr>
        <w:t>Declara</w:t>
      </w:r>
      <w:r w:rsidR="00832729" w:rsidRPr="00D04605">
        <w:rPr>
          <w:noProof/>
          <w:lang w:val="pt-BR"/>
        </w:rPr>
        <w:t xml:space="preserve">ção do </w:t>
      </w:r>
      <w:r w:rsidRPr="00D04605">
        <w:rPr>
          <w:noProof/>
          <w:lang w:val="pt-BR"/>
        </w:rPr>
        <w:t>Panam</w:t>
      </w:r>
      <w:r w:rsidR="00832729" w:rsidRPr="00D04605">
        <w:rPr>
          <w:noProof/>
          <w:lang w:val="pt-BR"/>
        </w:rPr>
        <w:t>á</w:t>
      </w:r>
      <w:r w:rsidRPr="00D04605">
        <w:rPr>
          <w:noProof/>
          <w:lang w:val="pt-BR"/>
        </w:rPr>
        <w:t>: Energ</w:t>
      </w:r>
      <w:r w:rsidR="00832729" w:rsidRPr="00D04605">
        <w:rPr>
          <w:noProof/>
          <w:lang w:val="pt-BR"/>
        </w:rPr>
        <w:t xml:space="preserve">ia para o Desenvolvimento </w:t>
      </w:r>
      <w:r w:rsidRPr="00D04605">
        <w:rPr>
          <w:noProof/>
          <w:lang w:val="pt-BR"/>
        </w:rPr>
        <w:t>Sust</w:t>
      </w:r>
      <w:r w:rsidR="00832729" w:rsidRPr="00D04605">
        <w:rPr>
          <w:noProof/>
          <w:lang w:val="pt-BR"/>
        </w:rPr>
        <w:t>entável</w:t>
      </w:r>
      <w:r w:rsidRPr="00D04605">
        <w:rPr>
          <w:noProof/>
          <w:lang w:val="pt-BR"/>
        </w:rPr>
        <w:t>. Adot</w:t>
      </w:r>
      <w:r w:rsidR="00832729" w:rsidRPr="00D04605">
        <w:rPr>
          <w:noProof/>
          <w:lang w:val="pt-BR"/>
        </w:rPr>
        <w:t>ada na quarta sessão plenária</w:t>
      </w:r>
      <w:r w:rsidRPr="00D04605">
        <w:rPr>
          <w:noProof/>
          <w:lang w:val="pt-BR"/>
        </w:rPr>
        <w:t xml:space="preserve">, </w:t>
      </w:r>
      <w:r w:rsidR="00832729" w:rsidRPr="00D04605">
        <w:rPr>
          <w:noProof/>
          <w:lang w:val="pt-BR"/>
        </w:rPr>
        <w:t xml:space="preserve">realizada em </w:t>
      </w:r>
      <w:r w:rsidRPr="00D04605">
        <w:rPr>
          <w:noProof/>
          <w:lang w:val="pt-BR"/>
        </w:rPr>
        <w:t>5</w:t>
      </w:r>
      <w:r w:rsidR="00832729" w:rsidRPr="00D04605">
        <w:rPr>
          <w:noProof/>
          <w:lang w:val="pt-BR"/>
        </w:rPr>
        <w:t xml:space="preserve"> de junho de</w:t>
      </w:r>
      <w:r w:rsidRPr="00D04605">
        <w:rPr>
          <w:noProof/>
          <w:lang w:val="pt-BR"/>
        </w:rPr>
        <w:t xml:space="preserve"> 2007</w:t>
      </w:r>
      <w:r w:rsidRPr="00D04605">
        <w:rPr>
          <w:lang w:val="pt-BR"/>
        </w:rPr>
        <w:t xml:space="preserve">. </w:t>
      </w:r>
      <w:r w:rsidRPr="00D04605">
        <w:t>AG/DEC. 52 (XXXVII-O/07).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11E8C3DB" w:rsidR="0073480E" w:rsidRDefault="00D046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09C0FE" wp14:editId="032929A5">
              <wp:simplePos x="0" y="0"/>
              <wp:positionH relativeFrom="column">
                <wp:posOffset>440055</wp:posOffset>
              </wp:positionH>
              <wp:positionV relativeFrom="paragraph">
                <wp:posOffset>-429895</wp:posOffset>
              </wp:positionV>
              <wp:extent cx="4728845" cy="733425"/>
              <wp:effectExtent l="0" t="0" r="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50D9C4" w14:textId="77777777" w:rsidR="00D04605" w:rsidRPr="00D14E35" w:rsidRDefault="00D04605" w:rsidP="00D04605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D14E3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ORGANIZAÇÃO DOS ESTADOS AMERICANOS </w:t>
                          </w:r>
                        </w:p>
                        <w:p w14:paraId="06BEE9C8" w14:textId="77777777" w:rsidR="00D04605" w:rsidRDefault="00D04605" w:rsidP="00D04605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651B4C42" w14:textId="77777777" w:rsidR="00D04605" w:rsidRDefault="00D04605" w:rsidP="00D04605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9C0F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4.65pt;margin-top:-33.85pt;width:372.3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" stroked="f">
              <v:textbox>
                <w:txbxContent>
                  <w:p w14:paraId="2650D9C4" w14:textId="77777777" w:rsidR="00D04605" w:rsidRPr="00D14E35" w:rsidRDefault="00D04605" w:rsidP="00D04605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D14E35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ORGANIZAÇÃO DOS ESTADOS AMERICANOS </w:t>
                    </w:r>
                  </w:p>
                  <w:p w14:paraId="06BEE9C8" w14:textId="77777777" w:rsidR="00D04605" w:rsidRDefault="00D04605" w:rsidP="00D04605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14:paraId="651B4C42" w14:textId="77777777" w:rsidR="00D04605" w:rsidRDefault="00D04605" w:rsidP="00D04605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16283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7702C8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14" name="Picture 1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14" name="Picture 1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283A"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2C07" w14:textId="6AAE3530" w:rsidR="00D04605" w:rsidRDefault="00D04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B2DFF"/>
    <w:multiLevelType w:val="multilevel"/>
    <w:tmpl w:val="ECEE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C1A0B"/>
    <w:multiLevelType w:val="hybridMultilevel"/>
    <w:tmpl w:val="CB261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3" w15:restartNumberingAfterBreak="0">
    <w:nsid w:val="4592470F"/>
    <w:multiLevelType w:val="multilevel"/>
    <w:tmpl w:val="5F9E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4B48F3"/>
    <w:multiLevelType w:val="multilevel"/>
    <w:tmpl w:val="93D0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6A1902"/>
    <w:multiLevelType w:val="hybridMultilevel"/>
    <w:tmpl w:val="EC1A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D63B4F"/>
    <w:multiLevelType w:val="hybridMultilevel"/>
    <w:tmpl w:val="05328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77409A4"/>
    <w:multiLevelType w:val="multilevel"/>
    <w:tmpl w:val="2FEC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AA1F04"/>
    <w:multiLevelType w:val="multilevel"/>
    <w:tmpl w:val="85E8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95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4698558">
    <w:abstractNumId w:val="17"/>
  </w:num>
  <w:num w:numId="3" w16cid:durableId="1581521973">
    <w:abstractNumId w:val="2"/>
  </w:num>
  <w:num w:numId="4" w16cid:durableId="301736865">
    <w:abstractNumId w:val="26"/>
  </w:num>
  <w:num w:numId="5" w16cid:durableId="659120708">
    <w:abstractNumId w:val="12"/>
  </w:num>
  <w:num w:numId="6" w16cid:durableId="446238289">
    <w:abstractNumId w:val="15"/>
  </w:num>
  <w:num w:numId="7" w16cid:durableId="2092122670">
    <w:abstractNumId w:val="24"/>
  </w:num>
  <w:num w:numId="8" w16cid:durableId="1080176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2986542">
    <w:abstractNumId w:val="7"/>
  </w:num>
  <w:num w:numId="10" w16cid:durableId="837189508">
    <w:abstractNumId w:val="1"/>
  </w:num>
  <w:num w:numId="11" w16cid:durableId="1569463546">
    <w:abstractNumId w:val="22"/>
  </w:num>
  <w:num w:numId="12" w16cid:durableId="986933173">
    <w:abstractNumId w:val="4"/>
  </w:num>
  <w:num w:numId="13" w16cid:durableId="739136584">
    <w:abstractNumId w:val="8"/>
  </w:num>
  <w:num w:numId="14" w16cid:durableId="852720782">
    <w:abstractNumId w:val="20"/>
  </w:num>
  <w:num w:numId="15" w16cid:durableId="1997606597">
    <w:abstractNumId w:val="25"/>
  </w:num>
  <w:num w:numId="16" w16cid:durableId="534316886">
    <w:abstractNumId w:val="18"/>
  </w:num>
  <w:num w:numId="17" w16cid:durableId="259221299">
    <w:abstractNumId w:val="11"/>
  </w:num>
  <w:num w:numId="18" w16cid:durableId="1033657348">
    <w:abstractNumId w:val="0"/>
  </w:num>
  <w:num w:numId="19" w16cid:durableId="26490101">
    <w:abstractNumId w:val="6"/>
  </w:num>
  <w:num w:numId="20" w16cid:durableId="1108157713">
    <w:abstractNumId w:val="3"/>
  </w:num>
  <w:num w:numId="21" w16cid:durableId="272252237">
    <w:abstractNumId w:val="16"/>
  </w:num>
  <w:num w:numId="22" w16cid:durableId="1638490160">
    <w:abstractNumId w:val="14"/>
  </w:num>
  <w:num w:numId="23" w16cid:durableId="1735084863">
    <w:abstractNumId w:val="21"/>
  </w:num>
  <w:num w:numId="24" w16cid:durableId="2002661872">
    <w:abstractNumId w:val="10"/>
  </w:num>
  <w:num w:numId="25" w16cid:durableId="338119643">
    <w:abstractNumId w:val="13"/>
  </w:num>
  <w:num w:numId="26" w16cid:durableId="1601527554">
    <w:abstractNumId w:val="5"/>
  </w:num>
  <w:num w:numId="27" w16cid:durableId="729619332">
    <w:abstractNumId w:val="23"/>
  </w:num>
  <w:num w:numId="28" w16cid:durableId="120077979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6421"/>
    <w:rsid w:val="00011272"/>
    <w:rsid w:val="000129E8"/>
    <w:rsid w:val="000152CA"/>
    <w:rsid w:val="00015AC3"/>
    <w:rsid w:val="0001707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85387"/>
    <w:rsid w:val="0009440A"/>
    <w:rsid w:val="000969F9"/>
    <w:rsid w:val="000B43F5"/>
    <w:rsid w:val="000C3438"/>
    <w:rsid w:val="000D4368"/>
    <w:rsid w:val="000D6070"/>
    <w:rsid w:val="000E313E"/>
    <w:rsid w:val="000E439E"/>
    <w:rsid w:val="000F66CD"/>
    <w:rsid w:val="00104A78"/>
    <w:rsid w:val="001069A4"/>
    <w:rsid w:val="00106D57"/>
    <w:rsid w:val="0011253B"/>
    <w:rsid w:val="00113579"/>
    <w:rsid w:val="00114B3F"/>
    <w:rsid w:val="001259E2"/>
    <w:rsid w:val="0012611C"/>
    <w:rsid w:val="00132295"/>
    <w:rsid w:val="001405C9"/>
    <w:rsid w:val="00143A09"/>
    <w:rsid w:val="00150AE4"/>
    <w:rsid w:val="00151EEB"/>
    <w:rsid w:val="00152909"/>
    <w:rsid w:val="00152D2E"/>
    <w:rsid w:val="00153DD8"/>
    <w:rsid w:val="00156C78"/>
    <w:rsid w:val="0016283A"/>
    <w:rsid w:val="0016660D"/>
    <w:rsid w:val="00166C73"/>
    <w:rsid w:val="00171B89"/>
    <w:rsid w:val="00183054"/>
    <w:rsid w:val="00183C2C"/>
    <w:rsid w:val="001842C2"/>
    <w:rsid w:val="00187D59"/>
    <w:rsid w:val="001916B1"/>
    <w:rsid w:val="001A7458"/>
    <w:rsid w:val="001A7833"/>
    <w:rsid w:val="001B0AB0"/>
    <w:rsid w:val="001B5084"/>
    <w:rsid w:val="001B7DAE"/>
    <w:rsid w:val="001C6DC5"/>
    <w:rsid w:val="001D738C"/>
    <w:rsid w:val="001E188F"/>
    <w:rsid w:val="001E3150"/>
    <w:rsid w:val="001E3C78"/>
    <w:rsid w:val="001F2739"/>
    <w:rsid w:val="002024FE"/>
    <w:rsid w:val="00203839"/>
    <w:rsid w:val="002050F0"/>
    <w:rsid w:val="00222AFE"/>
    <w:rsid w:val="002249EC"/>
    <w:rsid w:val="00224C3F"/>
    <w:rsid w:val="00225597"/>
    <w:rsid w:val="00234996"/>
    <w:rsid w:val="00235CB9"/>
    <w:rsid w:val="00257436"/>
    <w:rsid w:val="0027412E"/>
    <w:rsid w:val="0027648A"/>
    <w:rsid w:val="00277682"/>
    <w:rsid w:val="00286151"/>
    <w:rsid w:val="0028696A"/>
    <w:rsid w:val="00286D8C"/>
    <w:rsid w:val="002A03E9"/>
    <w:rsid w:val="002A1985"/>
    <w:rsid w:val="002A1CB2"/>
    <w:rsid w:val="002A3CB5"/>
    <w:rsid w:val="002A3E9B"/>
    <w:rsid w:val="002B2DE0"/>
    <w:rsid w:val="002B62C1"/>
    <w:rsid w:val="002B657F"/>
    <w:rsid w:val="002C161A"/>
    <w:rsid w:val="002C6B0D"/>
    <w:rsid w:val="002E0114"/>
    <w:rsid w:val="002E2CC7"/>
    <w:rsid w:val="002E609F"/>
    <w:rsid w:val="002F0A27"/>
    <w:rsid w:val="002F4CA2"/>
    <w:rsid w:val="002F5352"/>
    <w:rsid w:val="003005EA"/>
    <w:rsid w:val="00305E93"/>
    <w:rsid w:val="003248CA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842AF"/>
    <w:rsid w:val="00385DF8"/>
    <w:rsid w:val="00386BB6"/>
    <w:rsid w:val="003923A6"/>
    <w:rsid w:val="003A5B70"/>
    <w:rsid w:val="003B40C4"/>
    <w:rsid w:val="003C332F"/>
    <w:rsid w:val="003D0721"/>
    <w:rsid w:val="003D4305"/>
    <w:rsid w:val="003E5973"/>
    <w:rsid w:val="003E687F"/>
    <w:rsid w:val="003F023D"/>
    <w:rsid w:val="003F4FA0"/>
    <w:rsid w:val="003F6FF7"/>
    <w:rsid w:val="003F7F43"/>
    <w:rsid w:val="00413111"/>
    <w:rsid w:val="00413FE5"/>
    <w:rsid w:val="00414A9D"/>
    <w:rsid w:val="00421AA1"/>
    <w:rsid w:val="004252A1"/>
    <w:rsid w:val="00425361"/>
    <w:rsid w:val="00433754"/>
    <w:rsid w:val="004574FB"/>
    <w:rsid w:val="00457B19"/>
    <w:rsid w:val="00461F49"/>
    <w:rsid w:val="0046301C"/>
    <w:rsid w:val="00463A6B"/>
    <w:rsid w:val="00463C4E"/>
    <w:rsid w:val="0046512F"/>
    <w:rsid w:val="00467A8F"/>
    <w:rsid w:val="0047008D"/>
    <w:rsid w:val="00476255"/>
    <w:rsid w:val="00490731"/>
    <w:rsid w:val="00493B12"/>
    <w:rsid w:val="00496643"/>
    <w:rsid w:val="004A1D26"/>
    <w:rsid w:val="004A4788"/>
    <w:rsid w:val="004A6065"/>
    <w:rsid w:val="004B2B39"/>
    <w:rsid w:val="004B387B"/>
    <w:rsid w:val="004B38EB"/>
    <w:rsid w:val="004B4D00"/>
    <w:rsid w:val="004B5C41"/>
    <w:rsid w:val="004C0487"/>
    <w:rsid w:val="004C64CD"/>
    <w:rsid w:val="004C76F3"/>
    <w:rsid w:val="004D2279"/>
    <w:rsid w:val="004D44C9"/>
    <w:rsid w:val="004D5008"/>
    <w:rsid w:val="004E3316"/>
    <w:rsid w:val="004F0030"/>
    <w:rsid w:val="004F4571"/>
    <w:rsid w:val="004F6805"/>
    <w:rsid w:val="004F71FD"/>
    <w:rsid w:val="00502854"/>
    <w:rsid w:val="0050667F"/>
    <w:rsid w:val="005112C3"/>
    <w:rsid w:val="00520C82"/>
    <w:rsid w:val="005224F6"/>
    <w:rsid w:val="005336D0"/>
    <w:rsid w:val="00534BD5"/>
    <w:rsid w:val="0053678B"/>
    <w:rsid w:val="00540938"/>
    <w:rsid w:val="00542B9B"/>
    <w:rsid w:val="005462E3"/>
    <w:rsid w:val="0055186F"/>
    <w:rsid w:val="00564C90"/>
    <w:rsid w:val="00564FA3"/>
    <w:rsid w:val="005A3BEE"/>
    <w:rsid w:val="005A5372"/>
    <w:rsid w:val="005B5F61"/>
    <w:rsid w:val="005B7D03"/>
    <w:rsid w:val="005C20AF"/>
    <w:rsid w:val="005C5064"/>
    <w:rsid w:val="005D0CB8"/>
    <w:rsid w:val="005D44CE"/>
    <w:rsid w:val="005D74F2"/>
    <w:rsid w:val="005E085B"/>
    <w:rsid w:val="005F1F66"/>
    <w:rsid w:val="005F29C1"/>
    <w:rsid w:val="005F6776"/>
    <w:rsid w:val="005F78BB"/>
    <w:rsid w:val="00602980"/>
    <w:rsid w:val="006123C5"/>
    <w:rsid w:val="00614A67"/>
    <w:rsid w:val="006216BE"/>
    <w:rsid w:val="006374D0"/>
    <w:rsid w:val="006418AF"/>
    <w:rsid w:val="00642BA0"/>
    <w:rsid w:val="00642E4A"/>
    <w:rsid w:val="00642E66"/>
    <w:rsid w:val="0064648A"/>
    <w:rsid w:val="00646B87"/>
    <w:rsid w:val="00655B90"/>
    <w:rsid w:val="00660E53"/>
    <w:rsid w:val="00663D49"/>
    <w:rsid w:val="00666B25"/>
    <w:rsid w:val="00670E8A"/>
    <w:rsid w:val="00684F45"/>
    <w:rsid w:val="00686FEA"/>
    <w:rsid w:val="00691B9D"/>
    <w:rsid w:val="006A1A6B"/>
    <w:rsid w:val="006A35EA"/>
    <w:rsid w:val="006A483E"/>
    <w:rsid w:val="006A4AF3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23E"/>
    <w:rsid w:val="006F0712"/>
    <w:rsid w:val="00701768"/>
    <w:rsid w:val="00701CE3"/>
    <w:rsid w:val="0070498C"/>
    <w:rsid w:val="00707D1F"/>
    <w:rsid w:val="00721843"/>
    <w:rsid w:val="00721B32"/>
    <w:rsid w:val="00722693"/>
    <w:rsid w:val="00723DE2"/>
    <w:rsid w:val="0072562F"/>
    <w:rsid w:val="007302F2"/>
    <w:rsid w:val="00730E0A"/>
    <w:rsid w:val="007325A6"/>
    <w:rsid w:val="0073480E"/>
    <w:rsid w:val="0073589F"/>
    <w:rsid w:val="007414F6"/>
    <w:rsid w:val="007443E9"/>
    <w:rsid w:val="007504ED"/>
    <w:rsid w:val="007519B3"/>
    <w:rsid w:val="00756FEC"/>
    <w:rsid w:val="007648E4"/>
    <w:rsid w:val="007703A2"/>
    <w:rsid w:val="00770B08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44DD"/>
    <w:rsid w:val="007B5591"/>
    <w:rsid w:val="007B6AD7"/>
    <w:rsid w:val="007B7D90"/>
    <w:rsid w:val="007C2A94"/>
    <w:rsid w:val="007C3954"/>
    <w:rsid w:val="007C4184"/>
    <w:rsid w:val="007C565B"/>
    <w:rsid w:val="007C6CAB"/>
    <w:rsid w:val="007D0B50"/>
    <w:rsid w:val="007D2223"/>
    <w:rsid w:val="007D3DC1"/>
    <w:rsid w:val="007D6038"/>
    <w:rsid w:val="007D764E"/>
    <w:rsid w:val="007E4931"/>
    <w:rsid w:val="007E4BB3"/>
    <w:rsid w:val="007E57B0"/>
    <w:rsid w:val="007F0F0F"/>
    <w:rsid w:val="007F13AB"/>
    <w:rsid w:val="007F22EF"/>
    <w:rsid w:val="007F2774"/>
    <w:rsid w:val="007F54C8"/>
    <w:rsid w:val="007F764A"/>
    <w:rsid w:val="008023AC"/>
    <w:rsid w:val="008026FE"/>
    <w:rsid w:val="00815A1F"/>
    <w:rsid w:val="00821E7C"/>
    <w:rsid w:val="00827358"/>
    <w:rsid w:val="00832729"/>
    <w:rsid w:val="0084046A"/>
    <w:rsid w:val="0084065E"/>
    <w:rsid w:val="00842E89"/>
    <w:rsid w:val="00857157"/>
    <w:rsid w:val="00860083"/>
    <w:rsid w:val="00860DE1"/>
    <w:rsid w:val="00865686"/>
    <w:rsid w:val="00865B5C"/>
    <w:rsid w:val="008814B8"/>
    <w:rsid w:val="008819DA"/>
    <w:rsid w:val="00882D98"/>
    <w:rsid w:val="008872EA"/>
    <w:rsid w:val="00887A65"/>
    <w:rsid w:val="0089063B"/>
    <w:rsid w:val="00890C34"/>
    <w:rsid w:val="008917B9"/>
    <w:rsid w:val="00894E3E"/>
    <w:rsid w:val="008A2F14"/>
    <w:rsid w:val="008A5FEC"/>
    <w:rsid w:val="008B1F3C"/>
    <w:rsid w:val="008C254E"/>
    <w:rsid w:val="008C6621"/>
    <w:rsid w:val="008D447A"/>
    <w:rsid w:val="008D6983"/>
    <w:rsid w:val="008F747C"/>
    <w:rsid w:val="0090209F"/>
    <w:rsid w:val="00912E89"/>
    <w:rsid w:val="00920867"/>
    <w:rsid w:val="00921B83"/>
    <w:rsid w:val="00925C19"/>
    <w:rsid w:val="009304AE"/>
    <w:rsid w:val="00930A84"/>
    <w:rsid w:val="00932C5C"/>
    <w:rsid w:val="00932ED3"/>
    <w:rsid w:val="00933F63"/>
    <w:rsid w:val="00934888"/>
    <w:rsid w:val="0093527F"/>
    <w:rsid w:val="00942059"/>
    <w:rsid w:val="00945F6D"/>
    <w:rsid w:val="0096142F"/>
    <w:rsid w:val="00962EF0"/>
    <w:rsid w:val="00963C74"/>
    <w:rsid w:val="00970A5D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4E71"/>
    <w:rsid w:val="00A06AF5"/>
    <w:rsid w:val="00A115F5"/>
    <w:rsid w:val="00A12EA0"/>
    <w:rsid w:val="00A13E2C"/>
    <w:rsid w:val="00A232CD"/>
    <w:rsid w:val="00A323C5"/>
    <w:rsid w:val="00A333B1"/>
    <w:rsid w:val="00A33687"/>
    <w:rsid w:val="00A34777"/>
    <w:rsid w:val="00A36552"/>
    <w:rsid w:val="00A37386"/>
    <w:rsid w:val="00A504F9"/>
    <w:rsid w:val="00A52CAE"/>
    <w:rsid w:val="00A52FAA"/>
    <w:rsid w:val="00A5438A"/>
    <w:rsid w:val="00A57C7B"/>
    <w:rsid w:val="00A61635"/>
    <w:rsid w:val="00A67CD8"/>
    <w:rsid w:val="00A74B2B"/>
    <w:rsid w:val="00A76B89"/>
    <w:rsid w:val="00A851C2"/>
    <w:rsid w:val="00A86D6C"/>
    <w:rsid w:val="00A870BA"/>
    <w:rsid w:val="00A9203C"/>
    <w:rsid w:val="00A94127"/>
    <w:rsid w:val="00A946F7"/>
    <w:rsid w:val="00A96D30"/>
    <w:rsid w:val="00AA2AE0"/>
    <w:rsid w:val="00AA4DDC"/>
    <w:rsid w:val="00AA7CBB"/>
    <w:rsid w:val="00AB7175"/>
    <w:rsid w:val="00AC3A0C"/>
    <w:rsid w:val="00AC4232"/>
    <w:rsid w:val="00AC7FA2"/>
    <w:rsid w:val="00AD6394"/>
    <w:rsid w:val="00AE13AF"/>
    <w:rsid w:val="00AE49E6"/>
    <w:rsid w:val="00AE609C"/>
    <w:rsid w:val="00AF06BC"/>
    <w:rsid w:val="00AF0C03"/>
    <w:rsid w:val="00B16016"/>
    <w:rsid w:val="00B234AF"/>
    <w:rsid w:val="00B27F1B"/>
    <w:rsid w:val="00B30137"/>
    <w:rsid w:val="00B41475"/>
    <w:rsid w:val="00B4160C"/>
    <w:rsid w:val="00B43107"/>
    <w:rsid w:val="00B439EC"/>
    <w:rsid w:val="00B45817"/>
    <w:rsid w:val="00B50945"/>
    <w:rsid w:val="00B51E62"/>
    <w:rsid w:val="00B53242"/>
    <w:rsid w:val="00B5382C"/>
    <w:rsid w:val="00B55361"/>
    <w:rsid w:val="00B5671C"/>
    <w:rsid w:val="00B574A4"/>
    <w:rsid w:val="00B5781C"/>
    <w:rsid w:val="00B61CB2"/>
    <w:rsid w:val="00B624CF"/>
    <w:rsid w:val="00B63B4B"/>
    <w:rsid w:val="00B65CCC"/>
    <w:rsid w:val="00B6694A"/>
    <w:rsid w:val="00B90377"/>
    <w:rsid w:val="00B90CD0"/>
    <w:rsid w:val="00B930C9"/>
    <w:rsid w:val="00B94C7D"/>
    <w:rsid w:val="00B97324"/>
    <w:rsid w:val="00B97D8D"/>
    <w:rsid w:val="00BA063B"/>
    <w:rsid w:val="00BA21F4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4547"/>
    <w:rsid w:val="00C04DCD"/>
    <w:rsid w:val="00C05556"/>
    <w:rsid w:val="00C223D4"/>
    <w:rsid w:val="00C41591"/>
    <w:rsid w:val="00C45F98"/>
    <w:rsid w:val="00C464AA"/>
    <w:rsid w:val="00C46BCF"/>
    <w:rsid w:val="00C501D0"/>
    <w:rsid w:val="00C52216"/>
    <w:rsid w:val="00C607E3"/>
    <w:rsid w:val="00C61825"/>
    <w:rsid w:val="00C63C8F"/>
    <w:rsid w:val="00C65C1C"/>
    <w:rsid w:val="00C745F6"/>
    <w:rsid w:val="00C878A5"/>
    <w:rsid w:val="00C90BA2"/>
    <w:rsid w:val="00C92818"/>
    <w:rsid w:val="00CA12D4"/>
    <w:rsid w:val="00CB0521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0472"/>
    <w:rsid w:val="00D04605"/>
    <w:rsid w:val="00D07BD9"/>
    <w:rsid w:val="00D12A50"/>
    <w:rsid w:val="00D201EC"/>
    <w:rsid w:val="00D31989"/>
    <w:rsid w:val="00D324C0"/>
    <w:rsid w:val="00D32A6A"/>
    <w:rsid w:val="00D42F19"/>
    <w:rsid w:val="00D44534"/>
    <w:rsid w:val="00D521A3"/>
    <w:rsid w:val="00D57730"/>
    <w:rsid w:val="00D643E9"/>
    <w:rsid w:val="00D64EA6"/>
    <w:rsid w:val="00D676CC"/>
    <w:rsid w:val="00D701D5"/>
    <w:rsid w:val="00D80335"/>
    <w:rsid w:val="00D83AEC"/>
    <w:rsid w:val="00D92C6E"/>
    <w:rsid w:val="00DA060B"/>
    <w:rsid w:val="00DA169D"/>
    <w:rsid w:val="00DA1B1C"/>
    <w:rsid w:val="00DA5D07"/>
    <w:rsid w:val="00DA67FE"/>
    <w:rsid w:val="00DB360D"/>
    <w:rsid w:val="00DB3B6E"/>
    <w:rsid w:val="00DC4BF4"/>
    <w:rsid w:val="00DC520A"/>
    <w:rsid w:val="00DD0139"/>
    <w:rsid w:val="00DE50DC"/>
    <w:rsid w:val="00DE7A78"/>
    <w:rsid w:val="00E0149A"/>
    <w:rsid w:val="00E0378E"/>
    <w:rsid w:val="00E03A57"/>
    <w:rsid w:val="00E0528B"/>
    <w:rsid w:val="00E06590"/>
    <w:rsid w:val="00E071F5"/>
    <w:rsid w:val="00E16177"/>
    <w:rsid w:val="00E209E8"/>
    <w:rsid w:val="00E22E7D"/>
    <w:rsid w:val="00E23168"/>
    <w:rsid w:val="00E30565"/>
    <w:rsid w:val="00E3284A"/>
    <w:rsid w:val="00E40079"/>
    <w:rsid w:val="00E45FC5"/>
    <w:rsid w:val="00E51CC2"/>
    <w:rsid w:val="00E611EA"/>
    <w:rsid w:val="00E61585"/>
    <w:rsid w:val="00E8366F"/>
    <w:rsid w:val="00E87A0E"/>
    <w:rsid w:val="00E90F30"/>
    <w:rsid w:val="00E92967"/>
    <w:rsid w:val="00E946CB"/>
    <w:rsid w:val="00E954AD"/>
    <w:rsid w:val="00EB1163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17B86"/>
    <w:rsid w:val="00F213D6"/>
    <w:rsid w:val="00F256C7"/>
    <w:rsid w:val="00F31B9A"/>
    <w:rsid w:val="00F3515F"/>
    <w:rsid w:val="00F42138"/>
    <w:rsid w:val="00F4735E"/>
    <w:rsid w:val="00F524DB"/>
    <w:rsid w:val="00F53223"/>
    <w:rsid w:val="00F663E8"/>
    <w:rsid w:val="00F67003"/>
    <w:rsid w:val="00F76DC9"/>
    <w:rsid w:val="00F773E4"/>
    <w:rsid w:val="00F8105E"/>
    <w:rsid w:val="00F87541"/>
    <w:rsid w:val="00FA6A04"/>
    <w:rsid w:val="00FA6BFB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1E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01EC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link w:val="BodyText2Char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3A57"/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201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01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201E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57157"/>
    <w:pPr>
      <w:tabs>
        <w:tab w:val="right" w:leader="dot" w:pos="8640"/>
      </w:tabs>
      <w:spacing w:before="120" w:line="276" w:lineRule="auto"/>
      <w:ind w:right="180"/>
    </w:pPr>
    <w:rPr>
      <w:rFonts w:asciiTheme="minorHAnsi" w:eastAsia="Calibri" w:hAnsiTheme="minorHAnsi" w:cstheme="minorHAnsi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201EC"/>
    <w:pPr>
      <w:spacing w:before="120" w:line="276" w:lineRule="auto"/>
      <w:ind w:left="220"/>
    </w:pPr>
    <w:rPr>
      <w:rFonts w:asciiTheme="minorHAnsi" w:eastAsia="Calibr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201EC"/>
    <w:pPr>
      <w:spacing w:line="276" w:lineRule="auto"/>
      <w:ind w:left="440"/>
    </w:pPr>
    <w:rPr>
      <w:rFonts w:asciiTheme="minorHAnsi" w:eastAsia="Calibri" w:hAnsiTheme="minorHAnsi" w:cstheme="minorHAnsi"/>
    </w:rPr>
  </w:style>
  <w:style w:type="character" w:customStyle="1" w:styleId="Heading1Char">
    <w:name w:val="Heading 1 Char"/>
    <w:basedOn w:val="DefaultParagraphFont"/>
    <w:link w:val="Heading1"/>
    <w:rsid w:val="00642BA0"/>
    <w:rPr>
      <w:rFonts w:ascii="Arial" w:hAnsi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642BA0"/>
    <w:rPr>
      <w:rFonts w:ascii="Arial" w:hAnsi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642BA0"/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42BA0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semiHidden/>
    <w:rsid w:val="0064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st.com/the-americas/2021/05/13/why-latin-americas-economy-has-been-so-badly-hurt-by-covid-19" TargetMode="External"/><Relationship Id="rId13" Type="http://schemas.openxmlformats.org/officeDocument/2006/relationships/hyperlink" Target="https://unstats.un.org/sdgs/dataportal/database" TargetMode="External"/><Relationship Id="rId3" Type="http://schemas.openxmlformats.org/officeDocument/2006/relationships/hyperlink" Target="https://openknowledge.worldbank.org/handle/10986/2946" TargetMode="External"/><Relationship Id="rId7" Type="http://schemas.openxmlformats.org/officeDocument/2006/relationships/hyperlink" Target="https://www.worldbank.org/en/results/2021/04/14/promoting-climate-change-action-in-latin-america-and-the-caribbean" TargetMode="External"/><Relationship Id="rId12" Type="http://schemas.openxmlformats.org/officeDocument/2006/relationships/hyperlink" Target="https://www.imf.org/en/Topics/climate-change/energy-subsidies" TargetMode="External"/><Relationship Id="rId2" Type="http://schemas.openxmlformats.org/officeDocument/2006/relationships/hyperlink" Target="https://www.preventionweb.net/files/5649_latinamericascaribbean.pdf" TargetMode="External"/><Relationship Id="rId1" Type="http://schemas.openxmlformats.org/officeDocument/2006/relationships/hyperlink" Target="https://sealevel.climatecentral.org/maps/mapping-choices" TargetMode="External"/><Relationship Id="rId6" Type="http://schemas.openxmlformats.org/officeDocument/2006/relationships/hyperlink" Target="https://blogs.worldbank.org/latinamerica/climate-change-and-poverty-perfect-storm?cid=SHR_BlogSiteTweetable_EN_EXT" TargetMode="External"/><Relationship Id="rId11" Type="http://schemas.openxmlformats.org/officeDocument/2006/relationships/hyperlink" Target="https://www.unep.org/emissions-gap-report-2022" TargetMode="External"/><Relationship Id="rId5" Type="http://schemas.openxmlformats.org/officeDocument/2006/relationships/hyperlink" Target="https://ipbes.net/global-assessment-report-biodiversity-ecosystem-services" TargetMode="External"/><Relationship Id="rId10" Type="http://schemas.openxmlformats.org/officeDocument/2006/relationships/hyperlink" Target="https://www.unep.org/emissions-gap-report-2022" TargetMode="External"/><Relationship Id="rId4" Type="http://schemas.openxmlformats.org/officeDocument/2006/relationships/hyperlink" Target="https://www.themonthly.com.au/issue/2019/august/1566136800/jo-lle-gergis/terrible-truth-climate-change" TargetMode="External"/><Relationship Id="rId9" Type="http://schemas.openxmlformats.org/officeDocument/2006/relationships/hyperlink" Target="https://repositorio.cepal.org/handle/11362/48518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87</TotalTime>
  <Pages>22</Pages>
  <Words>9139</Words>
  <Characters>52093</Characters>
  <Application>Microsoft Office Word</Application>
  <DocSecurity>0</DocSecurity>
  <Lines>434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61110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Santos, Ada</cp:lastModifiedBy>
  <cp:revision>36</cp:revision>
  <cp:lastPrinted>2018-08-24T15:52:00Z</cp:lastPrinted>
  <dcterms:created xsi:type="dcterms:W3CDTF">2023-04-04T14:39:00Z</dcterms:created>
  <dcterms:modified xsi:type="dcterms:W3CDTF">2023-04-04T20:47:00Z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