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87371" w14:textId="77777777" w:rsidR="00722693" w:rsidRPr="00D47959" w:rsidRDefault="00FA607C" w:rsidP="002D4050">
      <w:pPr>
        <w:tabs>
          <w:tab w:val="left" w:pos="7200"/>
        </w:tabs>
        <w:ind w:right="-1080"/>
        <w:rPr>
          <w:sz w:val="22"/>
          <w:szCs w:val="22"/>
          <w:lang w:val="pt-BR"/>
        </w:rPr>
      </w:pPr>
      <w:bookmarkStart w:id="0" w:name="_top"/>
      <w:bookmarkEnd w:id="0"/>
      <w:r w:rsidRPr="00F9631B">
        <w:rPr>
          <w:sz w:val="22"/>
          <w:szCs w:val="22"/>
        </w:rPr>
        <w:tab/>
      </w:r>
      <w:r w:rsidRPr="00D47959">
        <w:rPr>
          <w:sz w:val="22"/>
          <w:szCs w:val="22"/>
          <w:lang w:val="pt-BR"/>
        </w:rPr>
        <w:t>OEA/Ser.W</w:t>
      </w:r>
    </w:p>
    <w:p w14:paraId="2BD87372" w14:textId="26C756B2" w:rsidR="00722693" w:rsidRPr="00D47959" w:rsidRDefault="00FA607C" w:rsidP="002D4050">
      <w:pPr>
        <w:tabs>
          <w:tab w:val="left" w:pos="7200"/>
        </w:tabs>
        <w:ind w:right="-1080"/>
        <w:rPr>
          <w:sz w:val="22"/>
          <w:szCs w:val="22"/>
          <w:lang w:val="pt-BR"/>
        </w:rPr>
      </w:pPr>
      <w:r w:rsidRPr="00D47959">
        <w:rPr>
          <w:sz w:val="22"/>
          <w:szCs w:val="22"/>
          <w:lang w:val="pt-BR"/>
        </w:rPr>
        <w:tab/>
        <w:t xml:space="preserve">CIDI/INF. </w:t>
      </w:r>
      <w:r w:rsidR="00D1595A">
        <w:rPr>
          <w:sz w:val="22"/>
          <w:szCs w:val="22"/>
          <w:lang w:val="pt-BR"/>
        </w:rPr>
        <w:t>565/23</w:t>
      </w:r>
    </w:p>
    <w:p w14:paraId="2BD87373" w14:textId="4B8D57AF" w:rsidR="00921E9E" w:rsidRPr="00F9631B" w:rsidRDefault="00FA607C" w:rsidP="002D4050">
      <w:pPr>
        <w:pBdr>
          <w:bottom w:val="single" w:sz="12" w:space="1" w:color="auto"/>
        </w:pBdr>
        <w:tabs>
          <w:tab w:val="left" w:pos="7200"/>
        </w:tabs>
        <w:ind w:right="-389"/>
        <w:rPr>
          <w:sz w:val="22"/>
          <w:szCs w:val="22"/>
        </w:rPr>
      </w:pPr>
      <w:r w:rsidRPr="00D47959">
        <w:rPr>
          <w:sz w:val="22"/>
          <w:szCs w:val="22"/>
          <w:lang w:val="pt-BR"/>
        </w:rPr>
        <w:tab/>
      </w:r>
      <w:r w:rsidR="00D1595A">
        <w:rPr>
          <w:sz w:val="22"/>
          <w:szCs w:val="22"/>
        </w:rPr>
        <w:t xml:space="preserve">18 </w:t>
      </w:r>
      <w:r w:rsidRPr="00F9631B">
        <w:rPr>
          <w:sz w:val="22"/>
          <w:szCs w:val="22"/>
        </w:rPr>
        <w:t>août 2023</w:t>
      </w:r>
    </w:p>
    <w:p w14:paraId="2BD87374" w14:textId="77777777" w:rsidR="00921E9E" w:rsidRPr="00F9631B" w:rsidRDefault="00FA607C" w:rsidP="002D4050">
      <w:pPr>
        <w:pBdr>
          <w:bottom w:val="single" w:sz="12" w:space="1" w:color="auto"/>
        </w:pBdr>
        <w:tabs>
          <w:tab w:val="left" w:pos="7200"/>
        </w:tabs>
        <w:ind w:right="-389"/>
        <w:rPr>
          <w:sz w:val="22"/>
          <w:szCs w:val="22"/>
        </w:rPr>
      </w:pPr>
      <w:r w:rsidRPr="00F9631B">
        <w:rPr>
          <w:sz w:val="22"/>
          <w:szCs w:val="22"/>
        </w:rPr>
        <w:tab/>
        <w:t>Original: anglais</w:t>
      </w:r>
    </w:p>
    <w:p w14:paraId="2BD87375" w14:textId="77777777" w:rsidR="00921E9E" w:rsidRPr="00F9631B" w:rsidRDefault="00921E9E" w:rsidP="002D4050">
      <w:pPr>
        <w:pBdr>
          <w:bottom w:val="single" w:sz="12" w:space="1" w:color="auto"/>
        </w:pBdr>
        <w:tabs>
          <w:tab w:val="left" w:pos="7200"/>
        </w:tabs>
        <w:ind w:right="-389"/>
        <w:rPr>
          <w:sz w:val="22"/>
          <w:szCs w:val="22"/>
        </w:rPr>
      </w:pPr>
    </w:p>
    <w:p w14:paraId="2BD87376" w14:textId="77777777" w:rsidR="00722693" w:rsidRPr="00F9631B" w:rsidRDefault="00722693" w:rsidP="002D4050">
      <w:pPr>
        <w:tabs>
          <w:tab w:val="left" w:pos="7200"/>
        </w:tabs>
        <w:ind w:right="-1080"/>
        <w:rPr>
          <w:sz w:val="22"/>
          <w:szCs w:val="22"/>
        </w:rPr>
      </w:pPr>
    </w:p>
    <w:p w14:paraId="2BD87378" w14:textId="77777777" w:rsidR="00723DE2" w:rsidRPr="00F9631B" w:rsidRDefault="00723DE2" w:rsidP="002D4050">
      <w:pPr>
        <w:rPr>
          <w:rFonts w:eastAsia="Calibri"/>
          <w:sz w:val="22"/>
          <w:szCs w:val="22"/>
        </w:rPr>
      </w:pPr>
    </w:p>
    <w:p w14:paraId="2BD87379" w14:textId="77777777" w:rsidR="0069766D" w:rsidRPr="00F9631B" w:rsidRDefault="0069766D" w:rsidP="002D4050">
      <w:pPr>
        <w:jc w:val="center"/>
        <w:rPr>
          <w:rFonts w:eastAsia="Calibri"/>
          <w:sz w:val="22"/>
          <w:szCs w:val="22"/>
        </w:rPr>
      </w:pPr>
      <w:r w:rsidRPr="00F9631B">
        <w:rPr>
          <w:sz w:val="22"/>
          <w:szCs w:val="22"/>
        </w:rPr>
        <w:t xml:space="preserve">DOCUMENT DE RÉFLEXION </w:t>
      </w:r>
    </w:p>
    <w:p w14:paraId="2BD8737A" w14:textId="77777777" w:rsidR="0069766D" w:rsidRPr="00F9631B" w:rsidRDefault="0069766D" w:rsidP="00D47959">
      <w:pPr>
        <w:rPr>
          <w:rFonts w:eastAsia="Calibri"/>
          <w:sz w:val="22"/>
          <w:szCs w:val="22"/>
        </w:rPr>
      </w:pPr>
    </w:p>
    <w:p w14:paraId="2BD8737B" w14:textId="77777777" w:rsidR="0069766D" w:rsidRPr="00F9631B" w:rsidRDefault="0069766D" w:rsidP="002D4050">
      <w:pPr>
        <w:jc w:val="center"/>
        <w:rPr>
          <w:rFonts w:eastAsia="Calibri"/>
          <w:caps/>
          <w:sz w:val="22"/>
          <w:szCs w:val="22"/>
        </w:rPr>
      </w:pPr>
      <w:r w:rsidRPr="00F9631B">
        <w:rPr>
          <w:caps/>
          <w:sz w:val="22"/>
          <w:szCs w:val="22"/>
        </w:rPr>
        <w:t xml:space="preserve">Réunion ordinaire du </w:t>
      </w:r>
    </w:p>
    <w:p w14:paraId="2BD8737C" w14:textId="77777777" w:rsidR="0069766D" w:rsidRPr="00F9631B" w:rsidRDefault="0069766D" w:rsidP="002D4050">
      <w:pPr>
        <w:jc w:val="center"/>
        <w:rPr>
          <w:rFonts w:eastAsia="Calibri"/>
          <w:caps/>
          <w:sz w:val="22"/>
          <w:szCs w:val="22"/>
        </w:rPr>
      </w:pPr>
      <w:r w:rsidRPr="00F9631B">
        <w:rPr>
          <w:caps/>
          <w:sz w:val="22"/>
          <w:szCs w:val="22"/>
        </w:rPr>
        <w:t xml:space="preserve">Conseil interaméricain pour le développement intégré (CIDI) </w:t>
      </w:r>
    </w:p>
    <w:p w14:paraId="2BD8737D" w14:textId="724E3B6B" w:rsidR="0069766D" w:rsidRPr="00F9631B" w:rsidRDefault="006D0467" w:rsidP="002D4050">
      <w:pPr>
        <w:jc w:val="center"/>
        <w:rPr>
          <w:caps/>
          <w:sz w:val="22"/>
          <w:szCs w:val="22"/>
        </w:rPr>
      </w:pPr>
      <w:r w:rsidRPr="00F9631B">
        <w:rPr>
          <w:caps/>
          <w:sz w:val="22"/>
          <w:szCs w:val="22"/>
        </w:rPr>
        <w:t>29 AOÛT 2023</w:t>
      </w:r>
    </w:p>
    <w:p w14:paraId="2BD8737E" w14:textId="77777777" w:rsidR="0069766D" w:rsidRPr="00F9631B" w:rsidRDefault="0069766D" w:rsidP="00D47959">
      <w:pPr>
        <w:rPr>
          <w:caps/>
          <w:sz w:val="22"/>
          <w:szCs w:val="22"/>
        </w:rPr>
      </w:pPr>
    </w:p>
    <w:p w14:paraId="2BD8737F" w14:textId="77777777" w:rsidR="0069766D" w:rsidRPr="00F9631B" w:rsidRDefault="0069766D" w:rsidP="00D47959">
      <w:pPr>
        <w:rPr>
          <w:rFonts w:eastAsia="Calibri"/>
          <w:sz w:val="22"/>
          <w:szCs w:val="22"/>
        </w:rPr>
      </w:pPr>
    </w:p>
    <w:p w14:paraId="7E3E8B61" w14:textId="18AB947A" w:rsidR="0098477A" w:rsidRPr="00F9631B" w:rsidRDefault="0069766D" w:rsidP="008D35AB">
      <w:pPr>
        <w:ind w:left="1627" w:hanging="1627"/>
        <w:jc w:val="both"/>
        <w:rPr>
          <w:b/>
          <w:bCs/>
          <w:sz w:val="22"/>
          <w:szCs w:val="22"/>
          <w:u w:val="single"/>
        </w:rPr>
      </w:pPr>
      <w:r w:rsidRPr="00F9631B">
        <w:rPr>
          <w:b/>
          <w:sz w:val="22"/>
          <w:szCs w:val="22"/>
        </w:rPr>
        <w:t xml:space="preserve">THÈME : LES NÉOBANQUES COMME OUTIL DE DÉVELOPPEMENT </w:t>
      </w:r>
    </w:p>
    <w:p w14:paraId="2BD87382" w14:textId="40760F09" w:rsidR="0069766D" w:rsidRPr="00F9631B" w:rsidRDefault="0069766D" w:rsidP="00D47959">
      <w:pPr>
        <w:rPr>
          <w:sz w:val="22"/>
          <w:szCs w:val="22"/>
        </w:rPr>
      </w:pPr>
    </w:p>
    <w:p w14:paraId="2BD87383" w14:textId="77777777" w:rsidR="0069766D" w:rsidRPr="00F9631B" w:rsidRDefault="0069766D" w:rsidP="002D4050">
      <w:pPr>
        <w:tabs>
          <w:tab w:val="left" w:pos="720"/>
          <w:tab w:val="left" w:pos="1440"/>
          <w:tab w:val="left" w:pos="2160"/>
        </w:tabs>
        <w:jc w:val="both"/>
        <w:rPr>
          <w:sz w:val="22"/>
          <w:szCs w:val="22"/>
        </w:rPr>
      </w:pPr>
    </w:p>
    <w:p w14:paraId="2BD87384" w14:textId="671F8041" w:rsidR="0069766D" w:rsidRPr="00F9631B" w:rsidRDefault="0069766D" w:rsidP="00AD650D">
      <w:pPr>
        <w:numPr>
          <w:ilvl w:val="0"/>
          <w:numId w:val="1"/>
        </w:numPr>
        <w:tabs>
          <w:tab w:val="left" w:pos="720"/>
          <w:tab w:val="left" w:pos="1440"/>
          <w:tab w:val="left" w:pos="2160"/>
        </w:tabs>
        <w:ind w:left="0" w:firstLine="0"/>
        <w:jc w:val="both"/>
        <w:rPr>
          <w:b/>
          <w:sz w:val="22"/>
          <w:szCs w:val="22"/>
        </w:rPr>
      </w:pPr>
      <w:r w:rsidRPr="00F9631B">
        <w:rPr>
          <w:b/>
          <w:sz w:val="22"/>
          <w:szCs w:val="22"/>
        </w:rPr>
        <w:t xml:space="preserve">Contexte et justification </w:t>
      </w:r>
    </w:p>
    <w:p w14:paraId="5E1827C7" w14:textId="77777777" w:rsidR="00A070F2" w:rsidRPr="00F9631B" w:rsidRDefault="00A070F2" w:rsidP="00D47959">
      <w:pPr>
        <w:jc w:val="both"/>
        <w:rPr>
          <w:color w:val="000000"/>
          <w:sz w:val="22"/>
          <w:szCs w:val="22"/>
        </w:rPr>
      </w:pPr>
    </w:p>
    <w:p w14:paraId="2CF9E0E6" w14:textId="3C7CC191" w:rsidR="007B0066" w:rsidRPr="00F9631B" w:rsidRDefault="007B0066" w:rsidP="007B0066">
      <w:pPr>
        <w:ind w:firstLine="720"/>
        <w:jc w:val="both"/>
        <w:rPr>
          <w:color w:val="000000"/>
          <w:sz w:val="22"/>
          <w:szCs w:val="22"/>
        </w:rPr>
      </w:pPr>
      <w:r w:rsidRPr="00F9631B">
        <w:rPr>
          <w:color w:val="000000"/>
          <w:sz w:val="22"/>
          <w:szCs w:val="22"/>
        </w:rPr>
        <w:t xml:space="preserve">En Amérique latine et dans les Caraïbes, </w:t>
      </w:r>
      <w:r w:rsidRPr="00F9631B">
        <w:rPr>
          <w:sz w:val="22"/>
          <w:szCs w:val="22"/>
        </w:rPr>
        <w:t>près de 60 % des transactions se font en espèces et sept personnes sur dix ne sont pas bancarisées ou le sont insuffisamment.</w:t>
      </w:r>
      <w:r w:rsidRPr="00F9631B">
        <w:rPr>
          <w:color w:val="000000"/>
          <w:sz w:val="22"/>
          <w:szCs w:val="22"/>
        </w:rPr>
        <w:t xml:space="preserve"> Cette situation a alimenté l'un des taux d'inégalité des revenus les plus élevés au monde.</w:t>
      </w:r>
      <w:r w:rsidRPr="00F9631B">
        <w:rPr>
          <w:rStyle w:val="FootnoteReference"/>
          <w:color w:val="000000"/>
          <w:sz w:val="22"/>
          <w:szCs w:val="22"/>
          <w:u w:val="single"/>
        </w:rPr>
        <w:footnoteReference w:id="1"/>
      </w:r>
      <w:r w:rsidRPr="00CF00C0">
        <w:rPr>
          <w:color w:val="000000"/>
          <w:sz w:val="22"/>
          <w:szCs w:val="22"/>
          <w:vertAlign w:val="superscript"/>
        </w:rPr>
        <w:t>/</w:t>
      </w:r>
    </w:p>
    <w:p w14:paraId="09359347" w14:textId="77777777" w:rsidR="007B0066" w:rsidRPr="00F9631B" w:rsidRDefault="007B0066" w:rsidP="00D47959">
      <w:pPr>
        <w:jc w:val="both"/>
        <w:rPr>
          <w:color w:val="000000"/>
          <w:sz w:val="22"/>
          <w:szCs w:val="22"/>
        </w:rPr>
      </w:pPr>
    </w:p>
    <w:p w14:paraId="675FB55A" w14:textId="1401652B" w:rsidR="007B0066" w:rsidRPr="00F9631B" w:rsidRDefault="007B0066" w:rsidP="007B0066">
      <w:pPr>
        <w:ind w:firstLine="720"/>
        <w:jc w:val="both"/>
        <w:rPr>
          <w:color w:val="000000"/>
          <w:sz w:val="22"/>
          <w:szCs w:val="22"/>
        </w:rPr>
      </w:pPr>
      <w:r w:rsidRPr="00F9631B">
        <w:rPr>
          <w:color w:val="000000"/>
          <w:sz w:val="22"/>
          <w:szCs w:val="22"/>
        </w:rPr>
        <w:t xml:space="preserve">Au cours de la dernière décennie, les </w:t>
      </w:r>
      <w:proofErr w:type="spellStart"/>
      <w:r w:rsidRPr="00F9631B">
        <w:rPr>
          <w:color w:val="000000"/>
          <w:sz w:val="22"/>
          <w:szCs w:val="22"/>
        </w:rPr>
        <w:t>néobanques</w:t>
      </w:r>
      <w:proofErr w:type="spellEnd"/>
      <w:r w:rsidRPr="00F9631B">
        <w:rPr>
          <w:color w:val="000000"/>
          <w:sz w:val="22"/>
          <w:szCs w:val="22"/>
        </w:rPr>
        <w:t xml:space="preserve"> ont émergé dans le cadre de solutions innovantes de technologie financière (fintech) visant à accroître l'inclusion financière dans la région. Les clients accèdent à leurs comptes dans les </w:t>
      </w:r>
      <w:proofErr w:type="spellStart"/>
      <w:r w:rsidRPr="00F9631B">
        <w:rPr>
          <w:color w:val="000000"/>
          <w:sz w:val="22"/>
          <w:szCs w:val="22"/>
        </w:rPr>
        <w:t>néobanques</w:t>
      </w:r>
      <w:proofErr w:type="spellEnd"/>
      <w:r w:rsidRPr="00F9631B">
        <w:rPr>
          <w:color w:val="000000"/>
          <w:sz w:val="22"/>
          <w:szCs w:val="22"/>
        </w:rPr>
        <w:t xml:space="preserve"> par le biais d'applications mobiles et de portails en ligne. Ces nouveaux acteurs n'ont pas de succursales physiques et n'ont donc pas de dépenses telles que le loyer, l'électricité et les investissements dans les infrastructures, qui représentent un pourcentage important des dépenses des établissements bancaires conventionnels. Par conséquent, les </w:t>
      </w:r>
      <w:proofErr w:type="spellStart"/>
      <w:r w:rsidRPr="00F9631B">
        <w:rPr>
          <w:color w:val="000000"/>
          <w:sz w:val="22"/>
          <w:szCs w:val="22"/>
        </w:rPr>
        <w:t>néobanques</w:t>
      </w:r>
      <w:proofErr w:type="spellEnd"/>
      <w:r w:rsidRPr="00F9631B">
        <w:rPr>
          <w:color w:val="000000"/>
          <w:sz w:val="22"/>
          <w:szCs w:val="22"/>
        </w:rPr>
        <w:t xml:space="preserve"> offrent des frais moins élevés à leurs clients. </w:t>
      </w:r>
    </w:p>
    <w:p w14:paraId="5DBD1E20" w14:textId="77777777" w:rsidR="007B0066" w:rsidRPr="00F9631B" w:rsidRDefault="007B0066" w:rsidP="00D47959">
      <w:pPr>
        <w:jc w:val="both"/>
        <w:rPr>
          <w:color w:val="000000"/>
          <w:sz w:val="22"/>
          <w:szCs w:val="22"/>
        </w:rPr>
      </w:pPr>
    </w:p>
    <w:p w14:paraId="3B39A910" w14:textId="77777777" w:rsidR="007B0066" w:rsidRPr="00F9631B" w:rsidRDefault="007B0066" w:rsidP="007B0066">
      <w:pPr>
        <w:ind w:firstLine="720"/>
        <w:jc w:val="both"/>
        <w:rPr>
          <w:color w:val="000000"/>
          <w:sz w:val="22"/>
          <w:szCs w:val="22"/>
        </w:rPr>
      </w:pPr>
      <w:r w:rsidRPr="00F9631B">
        <w:rPr>
          <w:color w:val="000000"/>
          <w:sz w:val="22"/>
          <w:szCs w:val="22"/>
        </w:rPr>
        <w:t xml:space="preserve">En règle générale, les </w:t>
      </w:r>
      <w:proofErr w:type="spellStart"/>
      <w:r w:rsidRPr="00F9631B">
        <w:rPr>
          <w:color w:val="000000"/>
          <w:sz w:val="22"/>
          <w:szCs w:val="22"/>
        </w:rPr>
        <w:t>néobanques</w:t>
      </w:r>
      <w:proofErr w:type="spellEnd"/>
      <w:r w:rsidRPr="00F9631B">
        <w:rPr>
          <w:color w:val="000000"/>
          <w:sz w:val="22"/>
          <w:szCs w:val="22"/>
        </w:rPr>
        <w:t xml:space="preserve"> ne possèdent pas de licence bancaire traditionnelle et leur offre reste limitée (comptes courants, transferts d'argent, cartes de débit) par rapport aux banques conventionnelles. Cependant, en s'associant à des banques agréées, les </w:t>
      </w:r>
      <w:proofErr w:type="spellStart"/>
      <w:r w:rsidRPr="00F9631B">
        <w:rPr>
          <w:color w:val="000000"/>
          <w:sz w:val="22"/>
          <w:szCs w:val="22"/>
        </w:rPr>
        <w:t>néobanques</w:t>
      </w:r>
      <w:proofErr w:type="spellEnd"/>
      <w:r w:rsidRPr="00F9631B">
        <w:rPr>
          <w:color w:val="000000"/>
          <w:sz w:val="22"/>
          <w:szCs w:val="22"/>
        </w:rPr>
        <w:t xml:space="preserve"> peuvent offrir à leurs clients une gamme plus large de services financiers (cartes de crédit, prêts, etc.).</w:t>
      </w:r>
    </w:p>
    <w:p w14:paraId="2E1792D2" w14:textId="77777777" w:rsidR="007B0066" w:rsidRPr="00F9631B" w:rsidRDefault="007B0066" w:rsidP="00D47959">
      <w:pPr>
        <w:jc w:val="both"/>
        <w:rPr>
          <w:color w:val="000000"/>
          <w:sz w:val="22"/>
          <w:szCs w:val="22"/>
        </w:rPr>
      </w:pPr>
    </w:p>
    <w:p w14:paraId="59684B1E" w14:textId="77777777" w:rsidR="007B0066" w:rsidRPr="00F9631B" w:rsidRDefault="007B0066" w:rsidP="007B0066">
      <w:pPr>
        <w:ind w:firstLine="720"/>
        <w:jc w:val="both"/>
        <w:rPr>
          <w:color w:val="000000"/>
          <w:sz w:val="22"/>
          <w:szCs w:val="22"/>
        </w:rPr>
      </w:pPr>
      <w:r w:rsidRPr="00F9631B">
        <w:rPr>
          <w:sz w:val="22"/>
          <w:szCs w:val="22"/>
        </w:rPr>
        <w:t xml:space="preserve">Les </w:t>
      </w:r>
      <w:proofErr w:type="spellStart"/>
      <w:r w:rsidRPr="00F9631B">
        <w:rPr>
          <w:sz w:val="22"/>
          <w:szCs w:val="22"/>
        </w:rPr>
        <w:t>néobanques</w:t>
      </w:r>
      <w:proofErr w:type="spellEnd"/>
      <w:r w:rsidRPr="00F9631B">
        <w:rPr>
          <w:sz w:val="22"/>
          <w:szCs w:val="22"/>
        </w:rPr>
        <w:t xml:space="preserve"> ont contraint les banques conventionnelles à s'alléger, à devenir plus rapides et plus performantes, et à réagir en lançant leurs propres initiatives de banque numérique pour servir de nouveaux segments et de nouveaux marchés.</w:t>
      </w:r>
      <w:r w:rsidRPr="00F9631B">
        <w:rPr>
          <w:sz w:val="22"/>
          <w:szCs w:val="22"/>
          <w:shd w:val="clear" w:color="auto" w:fill="FFFFFF"/>
        </w:rPr>
        <w:t xml:space="preserve"> En fait, une </w:t>
      </w:r>
      <w:proofErr w:type="spellStart"/>
      <w:r w:rsidRPr="00F9631B">
        <w:rPr>
          <w:sz w:val="22"/>
          <w:szCs w:val="22"/>
          <w:shd w:val="clear" w:color="auto" w:fill="FFFFFF"/>
        </w:rPr>
        <w:t>néobanque</w:t>
      </w:r>
      <w:proofErr w:type="spellEnd"/>
      <w:r w:rsidRPr="00F9631B">
        <w:rPr>
          <w:sz w:val="22"/>
          <w:szCs w:val="22"/>
          <w:shd w:val="clear" w:color="auto" w:fill="FFFFFF"/>
        </w:rPr>
        <w:t xml:space="preserve"> sur trois dans la région est aujourd'hui issue d'une entreprise dérivée d’une banque conventionnelle. Cette concurrence accrue des </w:t>
      </w:r>
      <w:proofErr w:type="spellStart"/>
      <w:r w:rsidRPr="00F9631B">
        <w:rPr>
          <w:sz w:val="22"/>
          <w:szCs w:val="22"/>
          <w:shd w:val="clear" w:color="auto" w:fill="FFFFFF"/>
        </w:rPr>
        <w:t>néobanques</w:t>
      </w:r>
      <w:proofErr w:type="spellEnd"/>
      <w:r w:rsidRPr="00F9631B">
        <w:rPr>
          <w:sz w:val="22"/>
          <w:szCs w:val="22"/>
          <w:shd w:val="clear" w:color="auto" w:fill="FFFFFF"/>
        </w:rPr>
        <w:t xml:space="preserve"> réduit le coût des services financiers. </w:t>
      </w:r>
    </w:p>
    <w:p w14:paraId="1116AD05" w14:textId="77777777" w:rsidR="007B0066" w:rsidRPr="00F9631B" w:rsidRDefault="007B0066" w:rsidP="00D47959">
      <w:pPr>
        <w:jc w:val="both"/>
        <w:rPr>
          <w:color w:val="58585A"/>
          <w:sz w:val="22"/>
          <w:szCs w:val="22"/>
          <w:shd w:val="clear" w:color="auto" w:fill="FFFFFF"/>
        </w:rPr>
      </w:pPr>
    </w:p>
    <w:p w14:paraId="2DF85A9B" w14:textId="191AA754" w:rsidR="007B0066" w:rsidRPr="00F9631B" w:rsidRDefault="007B0066" w:rsidP="007B0066">
      <w:pPr>
        <w:ind w:firstLine="720"/>
        <w:jc w:val="both"/>
        <w:rPr>
          <w:sz w:val="22"/>
          <w:szCs w:val="22"/>
        </w:rPr>
      </w:pPr>
      <w:r w:rsidRPr="00F9631B">
        <w:rPr>
          <w:sz w:val="22"/>
          <w:szCs w:val="22"/>
        </w:rPr>
        <w:t xml:space="preserve">Les </w:t>
      </w:r>
      <w:proofErr w:type="spellStart"/>
      <w:r w:rsidRPr="00F9631B">
        <w:rPr>
          <w:sz w:val="22"/>
          <w:szCs w:val="22"/>
        </w:rPr>
        <w:t>néobanques</w:t>
      </w:r>
      <w:proofErr w:type="spellEnd"/>
      <w:r w:rsidRPr="00F9631B">
        <w:rPr>
          <w:sz w:val="22"/>
          <w:szCs w:val="22"/>
        </w:rPr>
        <w:t xml:space="preserve"> ont</w:t>
      </w:r>
      <w:r w:rsidRPr="00F9631B">
        <w:rPr>
          <w:color w:val="000000"/>
          <w:sz w:val="22"/>
          <w:szCs w:val="22"/>
        </w:rPr>
        <w:t xml:space="preserve"> donc joué un rôle central dans l'amélioration de l'inclusion financière dans la région. Plus de 80 millions de Latino-Américains étaient clients de </w:t>
      </w:r>
      <w:proofErr w:type="spellStart"/>
      <w:r w:rsidRPr="00F9631B">
        <w:rPr>
          <w:color w:val="000000"/>
          <w:sz w:val="22"/>
          <w:szCs w:val="22"/>
        </w:rPr>
        <w:t>néobanques</w:t>
      </w:r>
      <w:proofErr w:type="spellEnd"/>
      <w:r w:rsidRPr="00F9631B">
        <w:rPr>
          <w:color w:val="000000"/>
          <w:sz w:val="22"/>
          <w:szCs w:val="22"/>
        </w:rPr>
        <w:t xml:space="preserve"> en 2021. Les trois quarts des plus de 60 </w:t>
      </w:r>
      <w:proofErr w:type="spellStart"/>
      <w:r w:rsidRPr="00F9631B">
        <w:rPr>
          <w:color w:val="000000"/>
          <w:sz w:val="22"/>
          <w:szCs w:val="22"/>
        </w:rPr>
        <w:t>néobanques</w:t>
      </w:r>
      <w:proofErr w:type="spellEnd"/>
      <w:r w:rsidRPr="00F9631B">
        <w:rPr>
          <w:color w:val="000000"/>
          <w:sz w:val="22"/>
          <w:szCs w:val="22"/>
        </w:rPr>
        <w:t xml:space="preserve"> d'Amérique latine et des Caraïbes sont des consommateurs non bancarisés ou sous-bancarisés. Dans une étude récente, le Fonds monétaire international (FMI) souligne </w:t>
      </w:r>
      <w:r w:rsidRPr="00F9631B">
        <w:rPr>
          <w:color w:val="000000"/>
          <w:sz w:val="22"/>
          <w:szCs w:val="22"/>
        </w:rPr>
        <w:lastRenderedPageBreak/>
        <w:t xml:space="preserve">que l'ensemble du </w:t>
      </w:r>
      <w:r w:rsidRPr="00F9631B">
        <w:rPr>
          <w:sz w:val="22"/>
          <w:szCs w:val="22"/>
        </w:rPr>
        <w:t>secteur de la fintech est associé à une réduction des inégalités de revenus, à une baisse du coefficient de Gini et à un niveau d'emploi féminin plus élevé,</w:t>
      </w:r>
      <w:r w:rsidRPr="00F9631B">
        <w:rPr>
          <w:rStyle w:val="FootnoteReference"/>
          <w:sz w:val="22"/>
          <w:szCs w:val="22"/>
          <w:u w:val="single"/>
        </w:rPr>
        <w:footnoteReference w:id="2"/>
      </w:r>
      <w:r w:rsidRPr="00CF00C0">
        <w:rPr>
          <w:sz w:val="22"/>
          <w:szCs w:val="22"/>
          <w:vertAlign w:val="superscript"/>
        </w:rPr>
        <w:t>/</w:t>
      </w:r>
      <w:r w:rsidRPr="00F9631B">
        <w:rPr>
          <w:sz w:val="22"/>
          <w:szCs w:val="22"/>
        </w:rPr>
        <w:t xml:space="preserve"> contribuant ainsi directement ou indirectement à la réalisation des objectifs de développement durable (ODD), en particulier les objectifs 1, 5, 8 et 10.</w:t>
      </w:r>
    </w:p>
    <w:p w14:paraId="2BB8B238" w14:textId="77777777" w:rsidR="007B0066" w:rsidRPr="00F9631B" w:rsidRDefault="007B0066" w:rsidP="00D47959">
      <w:pPr>
        <w:jc w:val="both"/>
        <w:rPr>
          <w:sz w:val="22"/>
          <w:szCs w:val="22"/>
        </w:rPr>
      </w:pPr>
    </w:p>
    <w:p w14:paraId="6799D3E0" w14:textId="77777777" w:rsidR="007B0066" w:rsidRPr="00F9631B" w:rsidRDefault="007B0066" w:rsidP="007B0066">
      <w:pPr>
        <w:ind w:firstLine="720"/>
        <w:jc w:val="both"/>
        <w:rPr>
          <w:color w:val="000000"/>
          <w:sz w:val="22"/>
          <w:szCs w:val="22"/>
        </w:rPr>
      </w:pPr>
      <w:r w:rsidRPr="00F9631B">
        <w:rPr>
          <w:color w:val="000000"/>
          <w:sz w:val="22"/>
          <w:szCs w:val="22"/>
        </w:rPr>
        <w:t xml:space="preserve">Les </w:t>
      </w:r>
      <w:proofErr w:type="spellStart"/>
      <w:r w:rsidRPr="00F9631B">
        <w:rPr>
          <w:color w:val="000000"/>
          <w:sz w:val="22"/>
          <w:szCs w:val="22"/>
        </w:rPr>
        <w:t>néobanques</w:t>
      </w:r>
      <w:proofErr w:type="spellEnd"/>
      <w:r w:rsidRPr="00F9631B">
        <w:rPr>
          <w:color w:val="000000"/>
          <w:sz w:val="22"/>
          <w:szCs w:val="22"/>
        </w:rPr>
        <w:t xml:space="preserve"> influencent et modifient également la façon dont les gens envisagent les services bancaires. Elles proposent des services pour éduquer les clients sur l'importance de la budgétisation, de l'épargne et de l'investissement. Elles donnent aussi à leurs clients les moyens d'agir et leur permettent de gérer plus facilement leurs finances. </w:t>
      </w:r>
    </w:p>
    <w:p w14:paraId="136227CC" w14:textId="77777777" w:rsidR="007B0066" w:rsidRPr="00F9631B" w:rsidRDefault="007B0066" w:rsidP="00D47959">
      <w:pPr>
        <w:jc w:val="both"/>
        <w:rPr>
          <w:color w:val="000000"/>
          <w:sz w:val="22"/>
          <w:szCs w:val="22"/>
        </w:rPr>
      </w:pPr>
    </w:p>
    <w:p w14:paraId="379D7468" w14:textId="7DE85496" w:rsidR="007B0066" w:rsidRPr="00F9631B" w:rsidRDefault="007B0066" w:rsidP="007B0066">
      <w:pPr>
        <w:ind w:firstLine="720"/>
        <w:jc w:val="both"/>
        <w:rPr>
          <w:color w:val="000000"/>
          <w:sz w:val="22"/>
          <w:szCs w:val="22"/>
        </w:rPr>
      </w:pPr>
      <w:r w:rsidRPr="00F9631B">
        <w:rPr>
          <w:color w:val="000000"/>
          <w:sz w:val="22"/>
          <w:szCs w:val="22"/>
        </w:rPr>
        <w:t xml:space="preserve">Les </w:t>
      </w:r>
      <w:proofErr w:type="spellStart"/>
      <w:r w:rsidRPr="00F9631B">
        <w:rPr>
          <w:color w:val="000000"/>
          <w:sz w:val="22"/>
          <w:szCs w:val="22"/>
        </w:rPr>
        <w:t>néobanques</w:t>
      </w:r>
      <w:proofErr w:type="spellEnd"/>
      <w:r w:rsidRPr="00F9631B">
        <w:rPr>
          <w:color w:val="000000"/>
          <w:sz w:val="22"/>
          <w:szCs w:val="22"/>
        </w:rPr>
        <w:t xml:space="preserve"> ont également joué un rôle majeur dans l'expérimentation de nouvelles technologies, telles que l'intelligence artificielle, la biométrie et la chaîne de blocs, afin de contribuer à rendre les services bancaires plus sûrs et plus efficaces. </w:t>
      </w:r>
    </w:p>
    <w:p w14:paraId="2E879592" w14:textId="77777777" w:rsidR="007B0066" w:rsidRPr="00F9631B" w:rsidRDefault="007B0066" w:rsidP="00D47959">
      <w:pPr>
        <w:jc w:val="both"/>
        <w:rPr>
          <w:color w:val="000000"/>
          <w:sz w:val="22"/>
          <w:szCs w:val="22"/>
        </w:rPr>
      </w:pPr>
    </w:p>
    <w:p w14:paraId="2281C913" w14:textId="17FD9201" w:rsidR="007B0066" w:rsidRPr="00F9631B" w:rsidRDefault="007B0066" w:rsidP="007B0066">
      <w:pPr>
        <w:ind w:firstLine="720"/>
        <w:jc w:val="both"/>
        <w:rPr>
          <w:color w:val="000000"/>
          <w:sz w:val="22"/>
          <w:szCs w:val="22"/>
        </w:rPr>
      </w:pPr>
      <w:r w:rsidRPr="00F9631B">
        <w:rPr>
          <w:color w:val="000000"/>
          <w:sz w:val="22"/>
          <w:szCs w:val="22"/>
        </w:rPr>
        <w:t xml:space="preserve">Néanmoins, de nombreuses </w:t>
      </w:r>
      <w:proofErr w:type="spellStart"/>
      <w:r w:rsidRPr="00F9631B">
        <w:rPr>
          <w:color w:val="000000"/>
          <w:sz w:val="22"/>
          <w:szCs w:val="22"/>
        </w:rPr>
        <w:t>néobanques</w:t>
      </w:r>
      <w:proofErr w:type="spellEnd"/>
      <w:r w:rsidRPr="00F9631B">
        <w:rPr>
          <w:color w:val="000000"/>
          <w:sz w:val="22"/>
          <w:szCs w:val="22"/>
        </w:rPr>
        <w:t xml:space="preserve"> disposent d'une marge de manœuvre importante pour innover. Relativement peu d'entre elles proposent des produits et des prêts aux microentreprises et aux petites et moyennes entreprises (MPME), même si l'expérience client des MPME avec les banques conventionnelles est souvent nettement moins bonne que celle des consommateurs.</w:t>
      </w:r>
      <w:r w:rsidRPr="00F9631B">
        <w:rPr>
          <w:rStyle w:val="FootnoteReference"/>
          <w:sz w:val="22"/>
          <w:szCs w:val="22"/>
          <w:u w:val="single"/>
        </w:rPr>
        <w:footnoteReference w:id="3"/>
      </w:r>
      <w:r w:rsidRPr="00CF00C0">
        <w:rPr>
          <w:color w:val="000000"/>
          <w:sz w:val="22"/>
          <w:szCs w:val="22"/>
          <w:vertAlign w:val="superscript"/>
        </w:rPr>
        <w:t>/</w:t>
      </w:r>
    </w:p>
    <w:p w14:paraId="680B98DE" w14:textId="77777777" w:rsidR="007B0066" w:rsidRPr="00F9631B" w:rsidRDefault="007B0066" w:rsidP="00D47959">
      <w:pPr>
        <w:jc w:val="both"/>
        <w:rPr>
          <w:color w:val="000000"/>
          <w:sz w:val="22"/>
          <w:szCs w:val="22"/>
        </w:rPr>
      </w:pPr>
    </w:p>
    <w:p w14:paraId="1FF47AFB" w14:textId="75D6FF09" w:rsidR="007B0066" w:rsidRPr="00F9631B" w:rsidRDefault="007B0066" w:rsidP="007B0066">
      <w:pPr>
        <w:ind w:firstLine="720"/>
        <w:jc w:val="both"/>
        <w:rPr>
          <w:sz w:val="22"/>
          <w:szCs w:val="22"/>
        </w:rPr>
      </w:pPr>
      <w:r w:rsidRPr="00F9631B">
        <w:rPr>
          <w:sz w:val="22"/>
          <w:szCs w:val="22"/>
        </w:rPr>
        <w:t xml:space="preserve">L'expansion des </w:t>
      </w:r>
      <w:proofErr w:type="spellStart"/>
      <w:r w:rsidRPr="00F9631B">
        <w:rPr>
          <w:sz w:val="22"/>
          <w:szCs w:val="22"/>
        </w:rPr>
        <w:t>néobanques</w:t>
      </w:r>
      <w:proofErr w:type="spellEnd"/>
      <w:r w:rsidRPr="00F9631B">
        <w:rPr>
          <w:sz w:val="22"/>
          <w:szCs w:val="22"/>
        </w:rPr>
        <w:t xml:space="preserve"> et, plus important encore, de l'ensemble du secteur des fintechs, a également accru les risques systémiques, créant des défis à la fois pour la réglementation et la supervision. Comme le souligne le FMI, « si certains risques sont propres à la fintech, beaucoup d'autres sont liés à des produits et institutions sous-jacents similaires à ceux auxquels est confronté le système financier conventionnel. En particulier, la fintech peut accroître les risques opérationnels et ceux liés à la protection des données et des consommateurs ».</w:t>
      </w:r>
      <w:r w:rsidRPr="00F9631B">
        <w:rPr>
          <w:rStyle w:val="FootnoteReference"/>
          <w:sz w:val="22"/>
          <w:szCs w:val="22"/>
          <w:u w:val="single"/>
        </w:rPr>
        <w:footnoteReference w:id="4"/>
      </w:r>
      <w:r w:rsidRPr="00CF00C0">
        <w:rPr>
          <w:sz w:val="22"/>
          <w:szCs w:val="22"/>
          <w:vertAlign w:val="superscript"/>
        </w:rPr>
        <w:t>/</w:t>
      </w:r>
    </w:p>
    <w:p w14:paraId="011EAC1B" w14:textId="77777777" w:rsidR="007B0066" w:rsidRPr="00F9631B" w:rsidRDefault="007B0066" w:rsidP="00D47959">
      <w:pPr>
        <w:jc w:val="both"/>
        <w:rPr>
          <w:color w:val="000000"/>
          <w:sz w:val="22"/>
          <w:szCs w:val="22"/>
        </w:rPr>
      </w:pPr>
    </w:p>
    <w:p w14:paraId="10BD2EC6" w14:textId="5402F1D5" w:rsidR="007B0066" w:rsidRPr="00F9631B" w:rsidRDefault="007B0066" w:rsidP="007B0066">
      <w:pPr>
        <w:ind w:firstLine="720"/>
        <w:jc w:val="both"/>
        <w:rPr>
          <w:color w:val="000000"/>
          <w:sz w:val="22"/>
          <w:szCs w:val="22"/>
        </w:rPr>
      </w:pPr>
      <w:r w:rsidRPr="00F9631B">
        <w:rPr>
          <w:sz w:val="22"/>
          <w:szCs w:val="22"/>
        </w:rPr>
        <w:t xml:space="preserve">Lors du choix du cadre réglementaire, quatre options sont possibles. Tout d'abord, un pays peut ne prendre aucune mesure concrète. Deuxièmement, elle peut décider de tester et d'apprendre grâce à des outils tels que les centres d'innovation et les bacs à sable réglementaires, afin de comprendre les évolutions récentes et d'apporter des modifications réglementaires en fonction des résultats. Une troisième option consiste à élargir le périmètre en adoptant de nouvelles règles pour réglementer les entreprises de la fintech, y compris en adaptant les normes existantes. La quatrième option est la </w:t>
      </w:r>
      <w:r w:rsidRPr="00F9631B">
        <w:rPr>
          <w:sz w:val="22"/>
          <w:szCs w:val="22"/>
        </w:rPr>
        <w:lastRenderedPageBreak/>
        <w:t>réglementation sur mesure, qui reconnaît les particularités de la fintech et crée de nouvelles réglementations pour chaque innovation.</w:t>
      </w:r>
      <w:r w:rsidRPr="00F9631B">
        <w:rPr>
          <w:rStyle w:val="FootnoteReference"/>
          <w:sz w:val="22"/>
          <w:szCs w:val="22"/>
          <w:u w:val="single"/>
        </w:rPr>
        <w:footnoteReference w:id="5"/>
      </w:r>
      <w:r w:rsidRPr="00CF00C0">
        <w:rPr>
          <w:sz w:val="22"/>
          <w:szCs w:val="22"/>
          <w:vertAlign w:val="superscript"/>
        </w:rPr>
        <w:t>/</w:t>
      </w:r>
    </w:p>
    <w:p w14:paraId="44B826CA" w14:textId="77777777" w:rsidR="007B0066" w:rsidRPr="00F9631B" w:rsidRDefault="007B0066" w:rsidP="007B0066">
      <w:pPr>
        <w:jc w:val="both"/>
        <w:rPr>
          <w:color w:val="000000"/>
          <w:sz w:val="22"/>
          <w:szCs w:val="22"/>
        </w:rPr>
      </w:pPr>
    </w:p>
    <w:p w14:paraId="67B4F5F3" w14:textId="473C9D63" w:rsidR="007B0066" w:rsidRPr="00F9631B" w:rsidRDefault="007B0066" w:rsidP="007B0066">
      <w:pPr>
        <w:tabs>
          <w:tab w:val="right" w:pos="9000"/>
        </w:tabs>
        <w:ind w:firstLine="720"/>
        <w:jc w:val="both"/>
        <w:rPr>
          <w:color w:val="000000"/>
          <w:sz w:val="22"/>
          <w:szCs w:val="22"/>
        </w:rPr>
      </w:pPr>
      <w:r w:rsidRPr="00F9631B">
        <w:rPr>
          <w:sz w:val="22"/>
          <w:szCs w:val="22"/>
        </w:rPr>
        <w:t>En Amérique latine, les fintechs tendent à être réglementées le plus souvent par le type d'activité des entreprises plutôt que par le type d'entreprises fournissant des services.</w:t>
      </w:r>
      <w:r w:rsidRPr="00F9631B">
        <w:rPr>
          <w:sz w:val="22"/>
          <w:szCs w:val="22"/>
          <w:vertAlign w:val="superscript"/>
        </w:rPr>
        <w:t xml:space="preserve"> </w:t>
      </w:r>
    </w:p>
    <w:p w14:paraId="244C5647" w14:textId="77777777" w:rsidR="007B0066" w:rsidRPr="00F9631B" w:rsidRDefault="007B0066" w:rsidP="00D47959">
      <w:pPr>
        <w:tabs>
          <w:tab w:val="right" w:pos="9000"/>
        </w:tabs>
        <w:jc w:val="both"/>
        <w:rPr>
          <w:color w:val="000000"/>
          <w:sz w:val="22"/>
          <w:szCs w:val="22"/>
        </w:rPr>
      </w:pPr>
    </w:p>
    <w:p w14:paraId="4CCC6E6A" w14:textId="3A29FF5A" w:rsidR="00064D47" w:rsidRPr="00F9631B" w:rsidRDefault="00064D47" w:rsidP="00AD650D">
      <w:pPr>
        <w:numPr>
          <w:ilvl w:val="0"/>
          <w:numId w:val="1"/>
        </w:numPr>
        <w:tabs>
          <w:tab w:val="left" w:pos="720"/>
          <w:tab w:val="left" w:pos="1440"/>
          <w:tab w:val="left" w:pos="2160"/>
        </w:tabs>
        <w:ind w:left="0" w:firstLine="0"/>
        <w:jc w:val="both"/>
        <w:rPr>
          <w:b/>
          <w:sz w:val="22"/>
          <w:szCs w:val="22"/>
        </w:rPr>
      </w:pPr>
      <w:r w:rsidRPr="00F9631B">
        <w:rPr>
          <w:b/>
          <w:sz w:val="22"/>
          <w:szCs w:val="22"/>
        </w:rPr>
        <w:t>Objet de la réunion</w:t>
      </w:r>
    </w:p>
    <w:p w14:paraId="7835F064" w14:textId="77777777" w:rsidR="00A070F2" w:rsidRPr="00F9631B" w:rsidRDefault="00A070F2" w:rsidP="00A070F2">
      <w:pPr>
        <w:tabs>
          <w:tab w:val="left" w:pos="720"/>
          <w:tab w:val="left" w:pos="1440"/>
          <w:tab w:val="left" w:pos="2160"/>
        </w:tabs>
        <w:jc w:val="both"/>
        <w:rPr>
          <w:b/>
          <w:sz w:val="22"/>
          <w:szCs w:val="22"/>
        </w:rPr>
      </w:pPr>
    </w:p>
    <w:p w14:paraId="1752B581" w14:textId="30DFF5C6" w:rsidR="00CA0B3A" w:rsidRPr="00F9631B" w:rsidRDefault="00CA0B3A" w:rsidP="00CA0B3A">
      <w:pPr>
        <w:tabs>
          <w:tab w:val="left" w:pos="720"/>
          <w:tab w:val="left" w:pos="1440"/>
          <w:tab w:val="left" w:pos="2160"/>
        </w:tabs>
        <w:jc w:val="both"/>
        <w:rPr>
          <w:color w:val="333333"/>
          <w:sz w:val="22"/>
          <w:szCs w:val="22"/>
          <w:shd w:val="clear" w:color="auto" w:fill="FFFFFF"/>
        </w:rPr>
      </w:pPr>
      <w:r w:rsidRPr="00F9631B">
        <w:rPr>
          <w:sz w:val="22"/>
          <w:szCs w:val="22"/>
        </w:rPr>
        <w:tab/>
        <w:t xml:space="preserve">La réunion a pour objet de discuter du rôle des </w:t>
      </w:r>
      <w:proofErr w:type="spellStart"/>
      <w:r w:rsidRPr="00F9631B">
        <w:rPr>
          <w:sz w:val="22"/>
          <w:szCs w:val="22"/>
        </w:rPr>
        <w:t>néobanques</w:t>
      </w:r>
      <w:proofErr w:type="spellEnd"/>
      <w:r w:rsidRPr="00F9631B">
        <w:rPr>
          <w:sz w:val="22"/>
          <w:szCs w:val="22"/>
        </w:rPr>
        <w:t xml:space="preserve"> en tant qu'</w:t>
      </w:r>
      <w:r w:rsidRPr="00F9631B">
        <w:rPr>
          <w:color w:val="000000"/>
          <w:sz w:val="22"/>
          <w:szCs w:val="22"/>
        </w:rPr>
        <w:t xml:space="preserve">outil de développement dans les États membres de l'OEA, et plus particulièrement de la manière dont </w:t>
      </w:r>
      <w:r w:rsidRPr="00F9631B">
        <w:rPr>
          <w:sz w:val="22"/>
          <w:szCs w:val="22"/>
        </w:rPr>
        <w:t>l</w:t>
      </w:r>
      <w:r w:rsidRPr="00F9631B">
        <w:rPr>
          <w:color w:val="111111"/>
          <w:sz w:val="22"/>
          <w:szCs w:val="22"/>
        </w:rPr>
        <w:t xml:space="preserve">'élargissement de l'accès aux services financiers à ceux qui en ont été dépourvus à travers l’histoire, </w:t>
      </w:r>
      <w:r w:rsidRPr="00F9631B">
        <w:rPr>
          <w:sz w:val="22"/>
          <w:szCs w:val="22"/>
        </w:rPr>
        <w:t xml:space="preserve">les personnes </w:t>
      </w:r>
      <w:r w:rsidRPr="00F9631B">
        <w:rPr>
          <w:color w:val="000000"/>
          <w:sz w:val="22"/>
          <w:szCs w:val="22"/>
        </w:rPr>
        <w:t>non bancarisées et sous-bancarisées, contribue à l'autonomisation financière de ces communautés mal desservies, leur permettant ainsi de mieux se positionner pour participer pleinement à l'économie</w:t>
      </w:r>
      <w:r w:rsidRPr="00F9631B">
        <w:rPr>
          <w:sz w:val="22"/>
          <w:szCs w:val="22"/>
        </w:rPr>
        <w:t>.</w:t>
      </w:r>
    </w:p>
    <w:p w14:paraId="21BFFD4E" w14:textId="77777777" w:rsidR="00CA0B3A" w:rsidRPr="00F9631B" w:rsidRDefault="00CA0B3A" w:rsidP="00CA0B3A">
      <w:pPr>
        <w:tabs>
          <w:tab w:val="left" w:pos="720"/>
          <w:tab w:val="left" w:pos="1440"/>
          <w:tab w:val="left" w:pos="2160"/>
        </w:tabs>
        <w:jc w:val="both"/>
        <w:rPr>
          <w:color w:val="333333"/>
          <w:sz w:val="22"/>
          <w:szCs w:val="22"/>
          <w:shd w:val="clear" w:color="auto" w:fill="FFFFFF"/>
        </w:rPr>
      </w:pPr>
    </w:p>
    <w:p w14:paraId="63FBE36E" w14:textId="2F20CADC" w:rsidR="00EC720F" w:rsidRPr="00F9631B" w:rsidRDefault="00CA0B3A" w:rsidP="00EC720F">
      <w:pPr>
        <w:tabs>
          <w:tab w:val="left" w:pos="720"/>
          <w:tab w:val="left" w:pos="1440"/>
          <w:tab w:val="left" w:pos="2160"/>
        </w:tabs>
        <w:jc w:val="both"/>
        <w:rPr>
          <w:sz w:val="22"/>
          <w:szCs w:val="22"/>
        </w:rPr>
      </w:pPr>
      <w:r w:rsidRPr="00F9631B">
        <w:rPr>
          <w:color w:val="333333"/>
          <w:sz w:val="22"/>
          <w:szCs w:val="22"/>
          <w:shd w:val="clear" w:color="auto" w:fill="FFFFFF"/>
        </w:rPr>
        <w:tab/>
      </w:r>
      <w:r w:rsidRPr="00F9631B">
        <w:rPr>
          <w:sz w:val="22"/>
          <w:szCs w:val="22"/>
        </w:rPr>
        <w:t>La réunion donnera aux États membres l'occasion de présenter leurs expériences dans le secteur de la banque numérique et abordera les questions liées aux défis et aux solutions pour développer et renforcer ce secteur naissant.</w:t>
      </w:r>
    </w:p>
    <w:p w14:paraId="208B6C55" w14:textId="77777777" w:rsidR="00F1574B" w:rsidRPr="00F9631B" w:rsidRDefault="00F1574B" w:rsidP="00AD650D">
      <w:pPr>
        <w:tabs>
          <w:tab w:val="left" w:pos="720"/>
          <w:tab w:val="left" w:pos="1440"/>
        </w:tabs>
        <w:jc w:val="both"/>
        <w:rPr>
          <w:sz w:val="22"/>
          <w:szCs w:val="22"/>
        </w:rPr>
      </w:pPr>
    </w:p>
    <w:p w14:paraId="6949E9BD" w14:textId="10CD4047" w:rsidR="009F7D06" w:rsidRPr="00F9631B" w:rsidRDefault="005070DB" w:rsidP="00AD650D">
      <w:pPr>
        <w:tabs>
          <w:tab w:val="left" w:pos="720"/>
          <w:tab w:val="left" w:pos="1440"/>
        </w:tabs>
        <w:jc w:val="both"/>
        <w:rPr>
          <w:sz w:val="22"/>
          <w:szCs w:val="22"/>
        </w:rPr>
      </w:pPr>
      <w:r w:rsidRPr="00F9631B">
        <w:rPr>
          <w:sz w:val="22"/>
          <w:szCs w:val="22"/>
        </w:rPr>
        <w:tab/>
        <w:t>Les questions posées aux États membres comprendront les suivantes :</w:t>
      </w:r>
    </w:p>
    <w:p w14:paraId="5398F41D" w14:textId="77777777" w:rsidR="009F7D06" w:rsidRPr="00F9631B" w:rsidRDefault="009F7D06" w:rsidP="00AD650D">
      <w:pPr>
        <w:tabs>
          <w:tab w:val="left" w:pos="720"/>
          <w:tab w:val="left" w:pos="1440"/>
        </w:tabs>
        <w:jc w:val="both"/>
        <w:rPr>
          <w:sz w:val="22"/>
          <w:szCs w:val="22"/>
        </w:rPr>
      </w:pPr>
    </w:p>
    <w:p w14:paraId="317559A5" w14:textId="3E2947A2" w:rsidR="00FD127D" w:rsidRPr="00F9631B" w:rsidRDefault="00FD127D" w:rsidP="00AD650D">
      <w:pPr>
        <w:pStyle w:val="NormalWeb"/>
        <w:numPr>
          <w:ilvl w:val="0"/>
          <w:numId w:val="6"/>
        </w:numPr>
        <w:spacing w:before="0" w:beforeAutospacing="0" w:after="0" w:afterAutospacing="0"/>
        <w:ind w:left="1440" w:hanging="720"/>
        <w:jc w:val="both"/>
        <w:rPr>
          <w:sz w:val="22"/>
          <w:szCs w:val="22"/>
        </w:rPr>
      </w:pPr>
      <w:r w:rsidRPr="00F9631B">
        <w:rPr>
          <w:sz w:val="22"/>
          <w:szCs w:val="22"/>
        </w:rPr>
        <w:t>Quelle est l'importance du secteur bancaire numérique en tant qu'outil de développement dans les États membres de l'OEA ?</w:t>
      </w:r>
    </w:p>
    <w:p w14:paraId="7FD94943" w14:textId="5AEAC845" w:rsidR="00620262" w:rsidRPr="00F9631B" w:rsidRDefault="00620262" w:rsidP="00620262">
      <w:pPr>
        <w:pStyle w:val="NormalWeb"/>
        <w:numPr>
          <w:ilvl w:val="0"/>
          <w:numId w:val="6"/>
        </w:numPr>
        <w:spacing w:before="0" w:beforeAutospacing="0" w:after="0" w:afterAutospacing="0"/>
        <w:ind w:left="1440" w:hanging="720"/>
        <w:jc w:val="both"/>
        <w:rPr>
          <w:sz w:val="22"/>
          <w:szCs w:val="22"/>
        </w:rPr>
      </w:pPr>
      <w:r w:rsidRPr="00F9631B">
        <w:rPr>
          <w:sz w:val="22"/>
          <w:szCs w:val="22"/>
        </w:rPr>
        <w:t>Quelles sont les stratégies clés pour promouvoir un meilleur accès aux services financiers dans les États membres, notamment en ce qui concerne les MPME ?</w:t>
      </w:r>
    </w:p>
    <w:p w14:paraId="37046E5E" w14:textId="018E08DF" w:rsidR="00973D5E" w:rsidRPr="00F9631B" w:rsidRDefault="00973D5E" w:rsidP="00AD650D">
      <w:pPr>
        <w:pStyle w:val="NormalWeb"/>
        <w:numPr>
          <w:ilvl w:val="0"/>
          <w:numId w:val="6"/>
        </w:numPr>
        <w:spacing w:before="0" w:beforeAutospacing="0" w:after="0" w:afterAutospacing="0"/>
        <w:ind w:left="1440" w:hanging="720"/>
        <w:jc w:val="both"/>
        <w:rPr>
          <w:sz w:val="22"/>
          <w:szCs w:val="22"/>
        </w:rPr>
      </w:pPr>
      <w:r w:rsidRPr="00F9631B">
        <w:rPr>
          <w:sz w:val="22"/>
          <w:szCs w:val="22"/>
        </w:rPr>
        <w:t xml:space="preserve">D'après l'expérience de votre pays, les </w:t>
      </w:r>
      <w:proofErr w:type="spellStart"/>
      <w:r w:rsidRPr="00F9631B">
        <w:rPr>
          <w:sz w:val="22"/>
          <w:szCs w:val="22"/>
        </w:rPr>
        <w:t>néobanques</w:t>
      </w:r>
      <w:proofErr w:type="spellEnd"/>
      <w:r w:rsidRPr="00F9631B">
        <w:rPr>
          <w:sz w:val="22"/>
          <w:szCs w:val="22"/>
        </w:rPr>
        <w:t xml:space="preserve"> contribuent-elles à la réalisation des ODD ?</w:t>
      </w:r>
    </w:p>
    <w:p w14:paraId="574F5920" w14:textId="5CA84B45" w:rsidR="00C3529A" w:rsidRPr="00F9631B" w:rsidRDefault="008B1721" w:rsidP="00C3529A">
      <w:pPr>
        <w:pStyle w:val="NormalWeb"/>
        <w:numPr>
          <w:ilvl w:val="0"/>
          <w:numId w:val="6"/>
        </w:numPr>
        <w:spacing w:before="0" w:beforeAutospacing="0" w:after="0" w:afterAutospacing="0"/>
        <w:ind w:left="1440" w:hanging="720"/>
        <w:jc w:val="both"/>
        <w:rPr>
          <w:sz w:val="22"/>
          <w:szCs w:val="22"/>
        </w:rPr>
      </w:pPr>
      <w:r w:rsidRPr="00F9631B">
        <w:rPr>
          <w:sz w:val="22"/>
          <w:szCs w:val="22"/>
        </w:rPr>
        <w:t xml:space="preserve">Quel rôle les gouvernements devraient-ils jouer pour réglementer et superviser les </w:t>
      </w:r>
      <w:proofErr w:type="spellStart"/>
      <w:r w:rsidRPr="00F9631B">
        <w:rPr>
          <w:sz w:val="22"/>
          <w:szCs w:val="22"/>
        </w:rPr>
        <w:t>néobanques</w:t>
      </w:r>
      <w:proofErr w:type="spellEnd"/>
      <w:r w:rsidRPr="00F9631B">
        <w:rPr>
          <w:sz w:val="22"/>
          <w:szCs w:val="22"/>
        </w:rPr>
        <w:t xml:space="preserve"> ? </w:t>
      </w:r>
    </w:p>
    <w:p w14:paraId="35FF57B4" w14:textId="77777777" w:rsidR="00C3529A" w:rsidRPr="00F9631B" w:rsidRDefault="00C3529A" w:rsidP="00D47959">
      <w:pPr>
        <w:pStyle w:val="NormalWeb"/>
        <w:spacing w:before="0" w:beforeAutospacing="0" w:after="0" w:afterAutospacing="0"/>
        <w:jc w:val="both"/>
        <w:rPr>
          <w:sz w:val="22"/>
          <w:szCs w:val="22"/>
        </w:rPr>
      </w:pPr>
    </w:p>
    <w:p w14:paraId="2BD8739C" w14:textId="4D24CFE7" w:rsidR="0069766D" w:rsidRPr="00F9631B" w:rsidRDefault="0069766D" w:rsidP="00AD650D">
      <w:pPr>
        <w:numPr>
          <w:ilvl w:val="0"/>
          <w:numId w:val="1"/>
        </w:numPr>
        <w:tabs>
          <w:tab w:val="left" w:pos="720"/>
          <w:tab w:val="left" w:pos="1440"/>
          <w:tab w:val="left" w:pos="2160"/>
        </w:tabs>
        <w:ind w:left="0" w:firstLine="0"/>
        <w:jc w:val="both"/>
        <w:rPr>
          <w:b/>
          <w:sz w:val="22"/>
          <w:szCs w:val="22"/>
        </w:rPr>
      </w:pPr>
      <w:r w:rsidRPr="00F9631B">
        <w:rPr>
          <w:b/>
          <w:sz w:val="22"/>
          <w:szCs w:val="22"/>
        </w:rPr>
        <w:t xml:space="preserve">Utilité pour le SEDI </w:t>
      </w:r>
    </w:p>
    <w:p w14:paraId="1848C13D" w14:textId="77777777" w:rsidR="00A070F2" w:rsidRPr="00F9631B" w:rsidRDefault="00A070F2" w:rsidP="00A070F2">
      <w:pPr>
        <w:tabs>
          <w:tab w:val="left" w:pos="720"/>
          <w:tab w:val="left" w:pos="1440"/>
          <w:tab w:val="left" w:pos="2160"/>
        </w:tabs>
        <w:jc w:val="both"/>
        <w:rPr>
          <w:b/>
          <w:sz w:val="22"/>
          <w:szCs w:val="22"/>
        </w:rPr>
      </w:pPr>
    </w:p>
    <w:p w14:paraId="6E8B418F" w14:textId="23CF248A" w:rsidR="00EA0FA1" w:rsidRPr="00F9631B" w:rsidRDefault="00B349E4" w:rsidP="00AD650D">
      <w:pPr>
        <w:pStyle w:val="ListParagraph0"/>
        <w:numPr>
          <w:ilvl w:val="0"/>
          <w:numId w:val="3"/>
        </w:numPr>
        <w:tabs>
          <w:tab w:val="left" w:pos="720"/>
          <w:tab w:val="left" w:pos="2160"/>
        </w:tabs>
        <w:ind w:hanging="720"/>
        <w:jc w:val="both"/>
        <w:rPr>
          <w:sz w:val="22"/>
          <w:szCs w:val="22"/>
        </w:rPr>
      </w:pPr>
      <w:r w:rsidRPr="00F9631B">
        <w:rPr>
          <w:sz w:val="22"/>
          <w:szCs w:val="22"/>
        </w:rPr>
        <w:t>Promouvoir l'accès au financement en tant qu'outil permettant d'accroître l'inclusion financière, de créer des possibilités d'emploi, de contribuer à la réduction de la pauvreté et d'améliorer les moyens de subsistance</w:t>
      </w:r>
    </w:p>
    <w:p w14:paraId="0808825A" w14:textId="4CD8A865" w:rsidR="00C36F27" w:rsidRPr="00F9631B" w:rsidRDefault="0069766D" w:rsidP="00AD650D">
      <w:pPr>
        <w:pStyle w:val="ListParagraph0"/>
        <w:numPr>
          <w:ilvl w:val="0"/>
          <w:numId w:val="3"/>
        </w:numPr>
        <w:tabs>
          <w:tab w:val="left" w:pos="720"/>
          <w:tab w:val="left" w:pos="2160"/>
        </w:tabs>
        <w:ind w:hanging="720"/>
        <w:jc w:val="both"/>
        <w:rPr>
          <w:sz w:val="22"/>
          <w:szCs w:val="22"/>
        </w:rPr>
      </w:pPr>
      <w:r w:rsidRPr="00F9631B">
        <w:rPr>
          <w:sz w:val="22"/>
          <w:szCs w:val="22"/>
        </w:rPr>
        <w:t>Renforcer la mise en œuvre du Programme de développement durable à l'horizon 2030 et de ses ODD</w:t>
      </w:r>
    </w:p>
    <w:p w14:paraId="27307B6C" w14:textId="7D4CC3AD" w:rsidR="00135BCC" w:rsidRPr="00F9631B" w:rsidRDefault="00BC1052" w:rsidP="00AD650D">
      <w:pPr>
        <w:pStyle w:val="ListParagraph0"/>
        <w:numPr>
          <w:ilvl w:val="0"/>
          <w:numId w:val="3"/>
        </w:numPr>
        <w:tabs>
          <w:tab w:val="left" w:pos="720"/>
          <w:tab w:val="left" w:pos="2160"/>
        </w:tabs>
        <w:ind w:hanging="720"/>
        <w:jc w:val="both"/>
        <w:rPr>
          <w:sz w:val="22"/>
          <w:szCs w:val="22"/>
        </w:rPr>
      </w:pPr>
      <w:r w:rsidRPr="00F9631B">
        <w:rPr>
          <w:sz w:val="22"/>
          <w:szCs w:val="22"/>
        </w:rPr>
        <w:t>Favoriser le dialogue, la coopération et le partage des connaissances au niveau régional sur l'accès au financement pour les particuliers et les MPME, y compris les mécanismes de partage des bonnes pratiques et des enseignements tirés de l'expérience</w:t>
      </w:r>
    </w:p>
    <w:p w14:paraId="45310B3E" w14:textId="3F4EB27D" w:rsidR="008A611F" w:rsidRPr="00D47959" w:rsidRDefault="008A611F" w:rsidP="00D47959">
      <w:pPr>
        <w:tabs>
          <w:tab w:val="left" w:pos="720"/>
          <w:tab w:val="left" w:pos="2160"/>
        </w:tabs>
        <w:jc w:val="both"/>
        <w:rPr>
          <w:sz w:val="22"/>
          <w:szCs w:val="22"/>
        </w:rPr>
      </w:pPr>
    </w:p>
    <w:p w14:paraId="33A7440D" w14:textId="6BB0727E" w:rsidR="00DD2121" w:rsidRPr="00F9631B" w:rsidRDefault="00551063" w:rsidP="00AD650D">
      <w:pPr>
        <w:numPr>
          <w:ilvl w:val="0"/>
          <w:numId w:val="1"/>
        </w:numPr>
        <w:tabs>
          <w:tab w:val="left" w:pos="720"/>
          <w:tab w:val="left" w:pos="1440"/>
          <w:tab w:val="left" w:pos="2160"/>
        </w:tabs>
        <w:ind w:left="0" w:firstLine="0"/>
        <w:jc w:val="both"/>
        <w:rPr>
          <w:b/>
          <w:sz w:val="22"/>
          <w:szCs w:val="22"/>
        </w:rPr>
      </w:pPr>
      <w:r w:rsidRPr="00F9631B">
        <w:rPr>
          <w:b/>
          <w:sz w:val="22"/>
          <w:szCs w:val="22"/>
        </w:rPr>
        <w:t>Mandats de l’OEA</w:t>
      </w:r>
    </w:p>
    <w:p w14:paraId="4A997488" w14:textId="4B561D66" w:rsidR="00A070F2" w:rsidRPr="00F9631B" w:rsidRDefault="00A070F2" w:rsidP="00EA2AA7">
      <w:pPr>
        <w:tabs>
          <w:tab w:val="left" w:pos="720"/>
          <w:tab w:val="left" w:pos="1440"/>
          <w:tab w:val="left" w:pos="2160"/>
        </w:tabs>
        <w:jc w:val="both"/>
        <w:rPr>
          <w:sz w:val="22"/>
          <w:szCs w:val="22"/>
        </w:rPr>
      </w:pPr>
    </w:p>
    <w:p w14:paraId="256C3A61" w14:textId="7C18593F" w:rsidR="008F7931" w:rsidRPr="00F9631B" w:rsidRDefault="00A070F2" w:rsidP="00EA2AA7">
      <w:pPr>
        <w:tabs>
          <w:tab w:val="left" w:pos="720"/>
          <w:tab w:val="left" w:pos="1440"/>
          <w:tab w:val="left" w:pos="2160"/>
        </w:tabs>
        <w:jc w:val="both"/>
        <w:rPr>
          <w:sz w:val="22"/>
          <w:szCs w:val="22"/>
        </w:rPr>
      </w:pPr>
      <w:r w:rsidRPr="00F9631B">
        <w:rPr>
          <w:sz w:val="22"/>
          <w:szCs w:val="22"/>
        </w:rPr>
        <w:tab/>
        <w:t xml:space="preserve">Dans le cadre de la ligne stratégique « Promouvoir des économies inclusives et compétitives », la résolution AG/RES. 2967 (LI-O/21) adoptée par l’Assemblée générale en 2021, intitulée </w:t>
      </w:r>
      <w:r w:rsidRPr="00F9631B">
        <w:rPr>
          <w:sz w:val="22"/>
          <w:szCs w:val="22"/>
        </w:rPr>
        <w:lastRenderedPageBreak/>
        <w:t xml:space="preserve">« Encourager les initiatives continentales en matière de développement intégré : promotion de la résilience », établit les mandats suivants : </w:t>
      </w:r>
    </w:p>
    <w:p w14:paraId="44086CD6" w14:textId="77777777" w:rsidR="008F7931" w:rsidRPr="00F9631B" w:rsidRDefault="008F7931" w:rsidP="008F7931">
      <w:pPr>
        <w:tabs>
          <w:tab w:val="left" w:pos="720"/>
          <w:tab w:val="left" w:pos="1440"/>
          <w:tab w:val="left" w:pos="2160"/>
        </w:tabs>
        <w:jc w:val="both"/>
        <w:rPr>
          <w:sz w:val="22"/>
          <w:szCs w:val="22"/>
        </w:rPr>
      </w:pPr>
    </w:p>
    <w:p w14:paraId="1244202B" w14:textId="77777777" w:rsidR="008F7931" w:rsidRPr="00F9631B" w:rsidRDefault="008F7931" w:rsidP="005070DB">
      <w:pPr>
        <w:pStyle w:val="ListParagraph0"/>
        <w:numPr>
          <w:ilvl w:val="0"/>
          <w:numId w:val="11"/>
        </w:numPr>
        <w:tabs>
          <w:tab w:val="left" w:pos="720"/>
          <w:tab w:val="left" w:pos="1440"/>
        </w:tabs>
        <w:ind w:left="1440" w:hanging="720"/>
        <w:jc w:val="both"/>
        <w:rPr>
          <w:sz w:val="22"/>
          <w:szCs w:val="22"/>
        </w:rPr>
      </w:pPr>
      <w:r w:rsidRPr="00F9631B">
        <w:rPr>
          <w:sz w:val="22"/>
          <w:szCs w:val="22"/>
        </w:rPr>
        <w:t>« Tout en reconnaissant que la pandémie de COVID-19 a gravement frappé les MPME et accéléré la transformation numérique de la région et que la fracture numérique touchant les MPME a accru les inégalités entre les individus, les pays et les entreprises, de charger le SEDI de continuer à développer les capacités locales dans les États membres afin de soutenir les MPME dans les efforts qu’elles déploient pour participer pleinement à l'économie numérique et augmenter leurs possibilités de tirer parti des avantages offerts par le processus de numérisation en cours ».</w:t>
      </w:r>
    </w:p>
    <w:p w14:paraId="5A92BD9A" w14:textId="77777777" w:rsidR="008F7931" w:rsidRPr="00F9631B" w:rsidRDefault="008F7931" w:rsidP="008F7931">
      <w:pPr>
        <w:tabs>
          <w:tab w:val="left" w:pos="720"/>
        </w:tabs>
        <w:jc w:val="both"/>
        <w:rPr>
          <w:sz w:val="22"/>
          <w:szCs w:val="22"/>
        </w:rPr>
      </w:pPr>
    </w:p>
    <w:p w14:paraId="4A80AEB0" w14:textId="77777777" w:rsidR="008F7931" w:rsidRPr="00F9631B" w:rsidRDefault="008F7931" w:rsidP="008F7931">
      <w:pPr>
        <w:tabs>
          <w:tab w:val="left" w:pos="720"/>
        </w:tabs>
        <w:jc w:val="both"/>
        <w:rPr>
          <w:sz w:val="22"/>
          <w:szCs w:val="22"/>
        </w:rPr>
      </w:pPr>
    </w:p>
    <w:p w14:paraId="45BA6570" w14:textId="316DB077" w:rsidR="008F7931" w:rsidRPr="00F9631B" w:rsidRDefault="008F7931" w:rsidP="005070DB">
      <w:pPr>
        <w:pStyle w:val="ListParagraph0"/>
        <w:numPr>
          <w:ilvl w:val="0"/>
          <w:numId w:val="12"/>
        </w:numPr>
        <w:tabs>
          <w:tab w:val="left" w:pos="1440"/>
        </w:tabs>
        <w:ind w:left="1440" w:hanging="720"/>
        <w:jc w:val="both"/>
        <w:rPr>
          <w:sz w:val="22"/>
          <w:szCs w:val="22"/>
        </w:rPr>
      </w:pPr>
      <w:r w:rsidRPr="00F9631B">
        <w:rPr>
          <w:sz w:val="22"/>
          <w:szCs w:val="22"/>
        </w:rPr>
        <w:t>« D’inviter instamment les États membres, avec le soutien du SEDI, à poursuivre l'échange de bonnes pratiques et de données d'expérience en matière de priorités pour le relèvement post-COVID-19 des MPME, identifiées lors du Septième Dialogue interaméricain des chefs de MPME comme suit : 1) solutions financières tenant compte d’une perspective de genre ; 2) numérisation, commerce électronique et autres solutions technologiques ; 3) services de messagerie et d'expédition à l’international ; et 4) autonomisation économique des femmes ».</w:t>
      </w:r>
    </w:p>
    <w:p w14:paraId="1AD248D0" w14:textId="77777777" w:rsidR="008F7931" w:rsidRPr="00F9631B" w:rsidRDefault="008F7931" w:rsidP="008F7931">
      <w:pPr>
        <w:tabs>
          <w:tab w:val="left" w:pos="720"/>
        </w:tabs>
        <w:jc w:val="both"/>
        <w:rPr>
          <w:sz w:val="22"/>
          <w:szCs w:val="22"/>
        </w:rPr>
      </w:pPr>
    </w:p>
    <w:p w14:paraId="40750E29" w14:textId="4AB8A44E" w:rsidR="001831AE" w:rsidRPr="00F9631B" w:rsidRDefault="008F7931" w:rsidP="005070DB">
      <w:pPr>
        <w:pStyle w:val="BodyA"/>
        <w:ind w:firstLine="720"/>
        <w:jc w:val="both"/>
        <w:rPr>
          <w:rFonts w:ascii="Times New Roman" w:hAnsi="Times New Roman" w:cs="Times New Roman"/>
        </w:rPr>
      </w:pPr>
      <w:r w:rsidRPr="00F9631B">
        <w:rPr>
          <w:rFonts w:ascii="Times New Roman" w:hAnsi="Times New Roman" w:cs="Times New Roman"/>
        </w:rPr>
        <w:t xml:space="preserve">Lors du septième Dialogue interaméricain des chefs de MPME, qui s'est tenu les 9 et 10 septembre 2021 sur le thème « Politiques publiques, programmes et solutions pour la reprise économique des MPME après la COVID-19 », les États membres ont identifié les domaines d'action prioritaires suivants : </w:t>
      </w:r>
    </w:p>
    <w:p w14:paraId="3AD92F4A" w14:textId="77777777" w:rsidR="001831AE" w:rsidRPr="00F9631B" w:rsidRDefault="001831AE" w:rsidP="00D47959">
      <w:pPr>
        <w:pStyle w:val="BodyA"/>
        <w:jc w:val="both"/>
        <w:rPr>
          <w:rFonts w:ascii="Times New Roman" w:hAnsi="Times New Roman" w:cs="Times New Roman"/>
        </w:rPr>
      </w:pPr>
    </w:p>
    <w:p w14:paraId="10402636" w14:textId="65AD0D04" w:rsidR="008F7931" w:rsidRPr="00F9631B" w:rsidRDefault="008F7931" w:rsidP="005070DB">
      <w:pPr>
        <w:pStyle w:val="BodyA"/>
        <w:ind w:firstLine="720"/>
        <w:jc w:val="both"/>
        <w:rPr>
          <w:rFonts w:ascii="Times New Roman" w:hAnsi="Times New Roman" w:cs="Times New Roman"/>
        </w:rPr>
      </w:pPr>
      <w:r w:rsidRPr="00F9631B">
        <w:rPr>
          <w:rFonts w:ascii="Times New Roman" w:hAnsi="Times New Roman" w:cs="Times New Roman"/>
        </w:rPr>
        <w:t>« Tenir des échanges sur les dernières évolutions en matière de solutions financières pour soutenir la survie et améliorer la résilience des MPME ».</w:t>
      </w:r>
    </w:p>
    <w:p w14:paraId="3D2A6E5C" w14:textId="77777777" w:rsidR="00602B75" w:rsidRPr="00F9631B" w:rsidRDefault="00602B75" w:rsidP="00602B75">
      <w:pPr>
        <w:tabs>
          <w:tab w:val="left" w:pos="720"/>
          <w:tab w:val="left" w:pos="1440"/>
          <w:tab w:val="left" w:pos="2160"/>
        </w:tabs>
        <w:jc w:val="both"/>
        <w:rPr>
          <w:b/>
          <w:sz w:val="22"/>
          <w:szCs w:val="22"/>
        </w:rPr>
      </w:pPr>
    </w:p>
    <w:p w14:paraId="093AFA68" w14:textId="1451C491" w:rsidR="00602B75" w:rsidRPr="00F9631B" w:rsidRDefault="00602B75" w:rsidP="00AD650D">
      <w:pPr>
        <w:numPr>
          <w:ilvl w:val="0"/>
          <w:numId w:val="1"/>
        </w:numPr>
        <w:tabs>
          <w:tab w:val="left" w:pos="720"/>
          <w:tab w:val="left" w:pos="1440"/>
          <w:tab w:val="left" w:pos="2160"/>
        </w:tabs>
        <w:ind w:left="0" w:firstLine="0"/>
        <w:jc w:val="both"/>
        <w:rPr>
          <w:b/>
          <w:sz w:val="22"/>
          <w:szCs w:val="22"/>
        </w:rPr>
      </w:pPr>
      <w:r w:rsidRPr="00F9631B">
        <w:rPr>
          <w:b/>
          <w:sz w:val="22"/>
          <w:szCs w:val="22"/>
        </w:rPr>
        <w:t>Structure de la réunion</w:t>
      </w:r>
    </w:p>
    <w:p w14:paraId="447F115C" w14:textId="07DBE0CA" w:rsidR="00815E23" w:rsidRPr="00F9631B" w:rsidRDefault="00815E23" w:rsidP="00C666C2">
      <w:pPr>
        <w:tabs>
          <w:tab w:val="left" w:pos="720"/>
          <w:tab w:val="left" w:pos="1440"/>
          <w:tab w:val="left" w:pos="2160"/>
        </w:tabs>
        <w:jc w:val="both"/>
        <w:rPr>
          <w:sz w:val="22"/>
          <w:szCs w:val="22"/>
        </w:rPr>
      </w:pPr>
    </w:p>
    <w:p w14:paraId="3FD3152F" w14:textId="57FA4DFD" w:rsidR="00C666C2" w:rsidRPr="00F9631B" w:rsidRDefault="00A070F2" w:rsidP="00C666C2">
      <w:pPr>
        <w:tabs>
          <w:tab w:val="left" w:pos="720"/>
          <w:tab w:val="left" w:pos="1440"/>
          <w:tab w:val="left" w:pos="2160"/>
        </w:tabs>
        <w:jc w:val="both"/>
        <w:rPr>
          <w:sz w:val="22"/>
          <w:szCs w:val="22"/>
        </w:rPr>
      </w:pPr>
      <w:r w:rsidRPr="00F9631B">
        <w:rPr>
          <w:sz w:val="22"/>
          <w:szCs w:val="22"/>
        </w:rPr>
        <w:tab/>
        <w:t xml:space="preserve">Pour les besoins de la réunion, plusieurs intervenants seront invités à explorer le rôle des </w:t>
      </w:r>
      <w:proofErr w:type="spellStart"/>
      <w:r w:rsidRPr="00F9631B">
        <w:rPr>
          <w:sz w:val="22"/>
          <w:szCs w:val="22"/>
        </w:rPr>
        <w:t>néobanques</w:t>
      </w:r>
      <w:proofErr w:type="spellEnd"/>
      <w:r w:rsidRPr="00F9631B">
        <w:rPr>
          <w:sz w:val="22"/>
          <w:szCs w:val="22"/>
        </w:rPr>
        <w:t xml:space="preserve"> dans le développement ainsi que leur potentiel à contribuer de manière significative à la reprise économique et à la réalisation des ODD dans les États membres de l'OEA. Les États membres auront l'occasion de participer à un dialogue interactif guidé par la présidence du CIDI.</w:t>
      </w:r>
    </w:p>
    <w:p w14:paraId="020E443D" w14:textId="77777777" w:rsidR="00C666C2" w:rsidRPr="00F9631B" w:rsidRDefault="00C666C2" w:rsidP="00C666C2">
      <w:pPr>
        <w:tabs>
          <w:tab w:val="left" w:pos="720"/>
          <w:tab w:val="left" w:pos="1440"/>
          <w:tab w:val="left" w:pos="2160"/>
        </w:tabs>
        <w:jc w:val="both"/>
        <w:rPr>
          <w:sz w:val="22"/>
          <w:szCs w:val="22"/>
        </w:rPr>
      </w:pPr>
    </w:p>
    <w:p w14:paraId="5E734F28" w14:textId="31F6FD40" w:rsidR="00C666C2" w:rsidRPr="00F9631B" w:rsidRDefault="00C666C2" w:rsidP="00C666C2">
      <w:pPr>
        <w:tabs>
          <w:tab w:val="left" w:pos="720"/>
          <w:tab w:val="left" w:pos="1440"/>
          <w:tab w:val="left" w:pos="2160"/>
        </w:tabs>
        <w:jc w:val="both"/>
        <w:rPr>
          <w:sz w:val="22"/>
          <w:szCs w:val="22"/>
        </w:rPr>
      </w:pPr>
      <w:r w:rsidRPr="00F9631B">
        <w:rPr>
          <w:sz w:val="22"/>
          <w:szCs w:val="22"/>
        </w:rPr>
        <w:tab/>
        <w:t xml:space="preserve">Après la séance de questions-réponses avec les intervenants invités, la présidence invitera les délégations à partager les meilleures pratiques en matière d’élargissement de l’accès aux services financiers et à envisager des perspectives de coopération pour les MPME dans ce domaine. </w:t>
      </w:r>
    </w:p>
    <w:p w14:paraId="08B0ACDE" w14:textId="77777777" w:rsidR="00C666C2" w:rsidRPr="00D47959" w:rsidRDefault="00C666C2" w:rsidP="00D47959">
      <w:pPr>
        <w:keepNext/>
        <w:keepLines/>
        <w:tabs>
          <w:tab w:val="left" w:pos="720"/>
          <w:tab w:val="left" w:pos="1440"/>
          <w:tab w:val="left" w:pos="2160"/>
        </w:tabs>
        <w:jc w:val="both"/>
        <w:rPr>
          <w:sz w:val="22"/>
          <w:szCs w:val="22"/>
        </w:rPr>
      </w:pPr>
    </w:p>
    <w:p w14:paraId="7CE4735F" w14:textId="46BC2D92" w:rsidR="00C666C2" w:rsidRPr="00F9631B" w:rsidRDefault="00C666C2" w:rsidP="00C666C2">
      <w:pPr>
        <w:keepNext/>
        <w:keepLines/>
        <w:tabs>
          <w:tab w:val="left" w:pos="720"/>
          <w:tab w:val="left" w:pos="1440"/>
          <w:tab w:val="left" w:pos="2160"/>
        </w:tabs>
        <w:jc w:val="both"/>
        <w:rPr>
          <w:sz w:val="22"/>
          <w:szCs w:val="22"/>
        </w:rPr>
      </w:pPr>
      <w:r w:rsidRPr="00F9631B">
        <w:rPr>
          <w:sz w:val="22"/>
          <w:szCs w:val="22"/>
        </w:rPr>
        <w:tab/>
        <w:t>Panélistes invités : à préciser</w:t>
      </w:r>
    </w:p>
    <w:p w14:paraId="1FEEB808" w14:textId="66293D7C" w:rsidR="00D47959" w:rsidRDefault="00D47959" w:rsidP="00C666C2">
      <w:pPr>
        <w:tabs>
          <w:tab w:val="left" w:pos="720"/>
          <w:tab w:val="left" w:pos="1440"/>
          <w:tab w:val="left" w:pos="2160"/>
        </w:tabs>
        <w:jc w:val="both"/>
        <w:rPr>
          <w:bCs/>
          <w:sz w:val="22"/>
          <w:szCs w:val="22"/>
        </w:rPr>
      </w:pPr>
    </w:p>
    <w:p w14:paraId="593E9AB8" w14:textId="7F55F276" w:rsidR="00552628" w:rsidRPr="00F9631B" w:rsidRDefault="00C666C2" w:rsidP="00AD650D">
      <w:pPr>
        <w:numPr>
          <w:ilvl w:val="0"/>
          <w:numId w:val="1"/>
        </w:numPr>
        <w:tabs>
          <w:tab w:val="left" w:pos="720"/>
          <w:tab w:val="left" w:pos="1440"/>
          <w:tab w:val="left" w:pos="2160"/>
        </w:tabs>
        <w:ind w:left="0" w:firstLine="0"/>
        <w:jc w:val="both"/>
        <w:rPr>
          <w:b/>
          <w:sz w:val="22"/>
          <w:szCs w:val="22"/>
        </w:rPr>
      </w:pPr>
      <w:r w:rsidRPr="00F9631B">
        <w:rPr>
          <w:b/>
          <w:sz w:val="22"/>
          <w:szCs w:val="22"/>
        </w:rPr>
        <w:t>Résultat de la réunion</w:t>
      </w:r>
    </w:p>
    <w:p w14:paraId="1F43A031" w14:textId="77777777" w:rsidR="00815E23" w:rsidRPr="00F9631B" w:rsidRDefault="00815E23" w:rsidP="00815E23">
      <w:pPr>
        <w:tabs>
          <w:tab w:val="left" w:pos="720"/>
          <w:tab w:val="left" w:pos="1440"/>
          <w:tab w:val="left" w:pos="2160"/>
        </w:tabs>
        <w:jc w:val="both"/>
        <w:rPr>
          <w:b/>
          <w:sz w:val="22"/>
          <w:szCs w:val="22"/>
        </w:rPr>
      </w:pPr>
    </w:p>
    <w:p w14:paraId="1D702334" w14:textId="6B95FA1C" w:rsidR="00B64B9B" w:rsidRPr="00F9631B" w:rsidRDefault="00850101" w:rsidP="005070DB">
      <w:pPr>
        <w:pStyle w:val="ListParagraph0"/>
        <w:numPr>
          <w:ilvl w:val="0"/>
          <w:numId w:val="2"/>
        </w:numPr>
        <w:tabs>
          <w:tab w:val="left" w:pos="720"/>
          <w:tab w:val="left" w:pos="1440"/>
          <w:tab w:val="left" w:pos="2160"/>
        </w:tabs>
        <w:ind w:left="1440" w:hanging="720"/>
        <w:jc w:val="both"/>
        <w:rPr>
          <w:sz w:val="22"/>
          <w:szCs w:val="22"/>
        </w:rPr>
      </w:pPr>
      <w:r w:rsidRPr="00F9631B">
        <w:rPr>
          <w:sz w:val="22"/>
          <w:szCs w:val="22"/>
        </w:rPr>
        <w:t xml:space="preserve">Meilleure compréhension du rôle des </w:t>
      </w:r>
      <w:proofErr w:type="spellStart"/>
      <w:r w:rsidRPr="00F9631B">
        <w:rPr>
          <w:sz w:val="22"/>
          <w:szCs w:val="22"/>
        </w:rPr>
        <w:t>néobanques</w:t>
      </w:r>
      <w:proofErr w:type="spellEnd"/>
      <w:r w:rsidRPr="00F9631B">
        <w:rPr>
          <w:sz w:val="22"/>
          <w:szCs w:val="22"/>
        </w:rPr>
        <w:t xml:space="preserve"> dans le développement des États membres de l'OEA.</w:t>
      </w:r>
    </w:p>
    <w:p w14:paraId="71FFC492" w14:textId="77777777" w:rsidR="006A1AC2" w:rsidRPr="00F9631B" w:rsidRDefault="00571284" w:rsidP="005070DB">
      <w:pPr>
        <w:pStyle w:val="ListParagraph0"/>
        <w:numPr>
          <w:ilvl w:val="0"/>
          <w:numId w:val="2"/>
        </w:numPr>
        <w:tabs>
          <w:tab w:val="left" w:pos="720"/>
          <w:tab w:val="left" w:pos="1440"/>
          <w:tab w:val="left" w:pos="2160"/>
        </w:tabs>
        <w:ind w:left="1440" w:hanging="720"/>
        <w:jc w:val="both"/>
        <w:rPr>
          <w:sz w:val="22"/>
          <w:szCs w:val="22"/>
        </w:rPr>
      </w:pPr>
      <w:r w:rsidRPr="00F9631B">
        <w:rPr>
          <w:sz w:val="22"/>
          <w:szCs w:val="22"/>
        </w:rPr>
        <w:t>Les défis spécifiques rencontrés et les solutions identifiées par les États membres dans la promotion de l'accès au financement en tant qu'outil de développement partagé.</w:t>
      </w:r>
    </w:p>
    <w:p w14:paraId="72E8AE13" w14:textId="77777777" w:rsidR="006B3CA1" w:rsidRPr="00F9631B" w:rsidRDefault="0022752A" w:rsidP="005070DB">
      <w:pPr>
        <w:pStyle w:val="ListParagraph0"/>
        <w:numPr>
          <w:ilvl w:val="0"/>
          <w:numId w:val="2"/>
        </w:numPr>
        <w:tabs>
          <w:tab w:val="left" w:pos="720"/>
          <w:tab w:val="left" w:pos="1440"/>
          <w:tab w:val="left" w:pos="2160"/>
        </w:tabs>
        <w:ind w:left="1440" w:hanging="720"/>
        <w:jc w:val="both"/>
        <w:rPr>
          <w:sz w:val="22"/>
          <w:szCs w:val="22"/>
        </w:rPr>
      </w:pPr>
      <w:r w:rsidRPr="00F9631B">
        <w:rPr>
          <w:sz w:val="22"/>
          <w:szCs w:val="22"/>
        </w:rPr>
        <w:lastRenderedPageBreak/>
        <w:t>Identification des possibilités de coopération en matière d'accès au financement pour les MPME.</w:t>
      </w:r>
    </w:p>
    <w:p w14:paraId="1C27D14E" w14:textId="5C99C76B" w:rsidR="002D4050" w:rsidRPr="00F9631B" w:rsidRDefault="000E0660" w:rsidP="005070DB">
      <w:pPr>
        <w:pStyle w:val="ListParagraph0"/>
        <w:numPr>
          <w:ilvl w:val="0"/>
          <w:numId w:val="2"/>
        </w:numPr>
        <w:tabs>
          <w:tab w:val="left" w:pos="720"/>
          <w:tab w:val="left" w:pos="1440"/>
          <w:tab w:val="left" w:pos="2160"/>
        </w:tabs>
        <w:ind w:left="1440" w:hanging="720"/>
        <w:jc w:val="both"/>
        <w:rPr>
          <w:sz w:val="22"/>
          <w:szCs w:val="22"/>
        </w:rPr>
      </w:pPr>
      <w:r w:rsidRPr="00F9631B">
        <w:rPr>
          <w:sz w:val="22"/>
          <w:szCs w:val="22"/>
        </w:rPr>
        <w:t xml:space="preserve">Contribuer au dialogue et soutenir les efforts des États membres pour atteindre les ODD. </w:t>
      </w:r>
      <w:r w:rsidR="005B26EE">
        <w:rPr>
          <w:noProof/>
          <w:sz w:val="22"/>
          <w:szCs w:val="22"/>
        </w:rPr>
        <mc:AlternateContent>
          <mc:Choice Requires="wps">
            <w:drawing>
              <wp:anchor distT="0" distB="0" distL="114300" distR="114300" simplePos="0" relativeHeight="251659264" behindDoc="0" locked="1" layoutInCell="1" allowOverlap="1" wp14:anchorId="1284350E" wp14:editId="5FB9C5B7">
                <wp:simplePos x="0" y="0"/>
                <wp:positionH relativeFrom="column">
                  <wp:posOffset>-91440</wp:posOffset>
                </wp:positionH>
                <wp:positionV relativeFrom="page">
                  <wp:posOffset>9144000</wp:posOffset>
                </wp:positionV>
                <wp:extent cx="3383280" cy="228600"/>
                <wp:effectExtent l="0" t="0" r="0" b="0"/>
                <wp:wrapNone/>
                <wp:docPr id="3975539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17F72C52" w14:textId="032CF722" w:rsidR="005B26EE" w:rsidRPr="005B26EE" w:rsidRDefault="005B26EE">
                            <w:pPr>
                              <w:rPr>
                                <w:sz w:val="18"/>
                              </w:rPr>
                            </w:pPr>
                            <w:r>
                              <w:rPr>
                                <w:sz w:val="18"/>
                              </w:rPr>
                              <w:fldChar w:fldCharType="begin"/>
                            </w:r>
                            <w:r>
                              <w:rPr>
                                <w:sz w:val="18"/>
                              </w:rPr>
                              <w:instrText xml:space="preserve"> FILENAME  \* MERGEFORMAT </w:instrText>
                            </w:r>
                            <w:r>
                              <w:rPr>
                                <w:sz w:val="18"/>
                              </w:rPr>
                              <w:fldChar w:fldCharType="separate"/>
                            </w:r>
                            <w:r>
                              <w:rPr>
                                <w:noProof/>
                                <w:sz w:val="18"/>
                              </w:rPr>
                              <w:t>CIDRP03956F01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84350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17F72C52" w14:textId="032CF722" w:rsidR="005B26EE" w:rsidRPr="005B26EE" w:rsidRDefault="005B26EE">
                      <w:pPr>
                        <w:rPr>
                          <w:sz w:val="18"/>
                        </w:rPr>
                      </w:pPr>
                      <w:r>
                        <w:rPr>
                          <w:sz w:val="18"/>
                        </w:rPr>
                        <w:fldChar w:fldCharType="begin"/>
                      </w:r>
                      <w:r>
                        <w:rPr>
                          <w:sz w:val="18"/>
                        </w:rPr>
                        <w:instrText xml:space="preserve"> FILENAME  \* MERGEFORMAT </w:instrText>
                      </w:r>
                      <w:r>
                        <w:rPr>
                          <w:sz w:val="18"/>
                        </w:rPr>
                        <w:fldChar w:fldCharType="separate"/>
                      </w:r>
                      <w:r>
                        <w:rPr>
                          <w:noProof/>
                          <w:sz w:val="18"/>
                        </w:rPr>
                        <w:t>CIDRP03956F01</w:t>
                      </w:r>
                      <w:r>
                        <w:rPr>
                          <w:sz w:val="18"/>
                        </w:rPr>
                        <w:fldChar w:fldCharType="end"/>
                      </w:r>
                    </w:p>
                  </w:txbxContent>
                </v:textbox>
                <w10:wrap anchory="page"/>
                <w10:anchorlock/>
              </v:shape>
            </w:pict>
          </mc:Fallback>
        </mc:AlternateContent>
      </w:r>
    </w:p>
    <w:sectPr w:rsidR="002D4050" w:rsidRPr="00F9631B" w:rsidSect="00A870BA">
      <w:headerReference w:type="default" r:id="rId8"/>
      <w:headerReference w:type="first" r:id="rId9"/>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F94A5" w14:textId="77777777" w:rsidR="00CE48F7" w:rsidRDefault="00CE48F7">
      <w:r>
        <w:separator/>
      </w:r>
    </w:p>
  </w:endnote>
  <w:endnote w:type="continuationSeparator" w:id="0">
    <w:p w14:paraId="701654A9" w14:textId="77777777" w:rsidR="00CE48F7" w:rsidRDefault="00CE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Gothic MT">
    <w:altName w:val="Calibri"/>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CD9C9" w14:textId="77777777" w:rsidR="00CE48F7" w:rsidRDefault="00CE48F7">
      <w:r>
        <w:separator/>
      </w:r>
    </w:p>
  </w:footnote>
  <w:footnote w:type="continuationSeparator" w:id="0">
    <w:p w14:paraId="3714AFA9" w14:textId="77777777" w:rsidR="00CE48F7" w:rsidRDefault="00CE48F7">
      <w:r>
        <w:continuationSeparator/>
      </w:r>
    </w:p>
  </w:footnote>
  <w:footnote w:id="1">
    <w:p w14:paraId="1F96A3F5" w14:textId="136B12C1" w:rsidR="007B0066" w:rsidRPr="005070DB" w:rsidRDefault="007B0066" w:rsidP="005070DB">
      <w:pPr>
        <w:ind w:left="720" w:hanging="360"/>
        <w:jc w:val="both"/>
        <w:rPr>
          <w:color w:val="000000"/>
        </w:rPr>
      </w:pPr>
      <w:r>
        <w:rPr>
          <w:rStyle w:val="FootnoteReference"/>
          <w:vertAlign w:val="baseline"/>
        </w:rPr>
        <w:footnoteRef/>
      </w:r>
      <w:r>
        <w:t>.</w:t>
      </w:r>
      <w:r>
        <w:tab/>
      </w:r>
      <w:hyperlink r:id="rId1" w:history="1">
        <w:r>
          <w:rPr>
            <w:rStyle w:val="Hyperlink"/>
          </w:rPr>
          <w:t>https://latinamericareports.com/the-importance-of-fintech-for-the-future-of-latin-america/7223/</w:t>
        </w:r>
      </w:hyperlink>
      <w:r>
        <w:rPr>
          <w:color w:val="000000"/>
        </w:rPr>
        <w:t xml:space="preserve"> </w:t>
      </w:r>
    </w:p>
  </w:footnote>
  <w:footnote w:id="2">
    <w:p w14:paraId="711CB063" w14:textId="3A5EFFBB" w:rsidR="007B0066" w:rsidRPr="005B26EE" w:rsidRDefault="007B0066" w:rsidP="005070DB">
      <w:pPr>
        <w:ind w:left="720" w:hanging="360"/>
        <w:jc w:val="both"/>
      </w:pPr>
      <w:r>
        <w:rPr>
          <w:rStyle w:val="FootnoteReference"/>
          <w:vertAlign w:val="baseline"/>
        </w:rPr>
        <w:footnoteRef/>
      </w:r>
      <w:r>
        <w:t>.</w:t>
      </w:r>
      <w:r>
        <w:tab/>
        <w:t xml:space="preserve">Bakker, Bas B., Beatriz Garcia-Nunes, </w:t>
      </w:r>
      <w:proofErr w:type="spellStart"/>
      <w:r>
        <w:t>Weicheng</w:t>
      </w:r>
      <w:proofErr w:type="spellEnd"/>
      <w:r>
        <w:t xml:space="preserve"> </w:t>
      </w:r>
      <w:proofErr w:type="spellStart"/>
      <w:r>
        <w:t>Lian</w:t>
      </w:r>
      <w:proofErr w:type="spellEnd"/>
      <w:r>
        <w:t xml:space="preserve">, Yang Liu, </w:t>
      </w:r>
      <w:proofErr w:type="spellStart"/>
      <w:r>
        <w:t>Camila</w:t>
      </w:r>
      <w:proofErr w:type="spellEnd"/>
      <w:r>
        <w:t xml:space="preserve"> Perez </w:t>
      </w:r>
      <w:proofErr w:type="spellStart"/>
      <w:r>
        <w:t>Marulanda</w:t>
      </w:r>
      <w:proofErr w:type="spellEnd"/>
      <w:r>
        <w:t xml:space="preserve">, Adam Siddiq, Mariusz </w:t>
      </w:r>
      <w:proofErr w:type="spellStart"/>
      <w:r>
        <w:t>Sumlinski</w:t>
      </w:r>
      <w:proofErr w:type="spellEnd"/>
      <w:r>
        <w:t xml:space="preserve">, </w:t>
      </w:r>
      <w:proofErr w:type="spellStart"/>
      <w:r>
        <w:t>Dmitry</w:t>
      </w:r>
      <w:proofErr w:type="spellEnd"/>
      <w:r>
        <w:t xml:space="preserve"> </w:t>
      </w:r>
      <w:proofErr w:type="spellStart"/>
      <w:r>
        <w:t>Vasilyev</w:t>
      </w:r>
      <w:proofErr w:type="spellEnd"/>
      <w:r>
        <w:t xml:space="preserve"> et </w:t>
      </w:r>
      <w:proofErr w:type="spellStart"/>
      <w:r>
        <w:t>Yuanchen</w:t>
      </w:r>
      <w:proofErr w:type="spellEnd"/>
      <w:r>
        <w:t xml:space="preserve"> Yang. 2023. </w:t>
      </w:r>
      <w:r w:rsidRPr="00D47959">
        <w:rPr>
          <w:lang w:val="en-US"/>
        </w:rPr>
        <w:t xml:space="preserve">“The Rise and Impact of Fintech in Latin America.” IMF Fintech Note 2023/003, Fonds </w:t>
      </w:r>
      <w:proofErr w:type="spellStart"/>
      <w:r w:rsidRPr="00D47959">
        <w:rPr>
          <w:lang w:val="en-US"/>
        </w:rPr>
        <w:t>monétaire</w:t>
      </w:r>
      <w:proofErr w:type="spellEnd"/>
      <w:r w:rsidRPr="00D47959">
        <w:rPr>
          <w:lang w:val="en-US"/>
        </w:rPr>
        <w:t xml:space="preserve"> international, Washington, DC. </w:t>
      </w:r>
      <w:r w:rsidR="005B26EE">
        <w:fldChar w:fldCharType="begin"/>
      </w:r>
      <w:r w:rsidR="005B26EE" w:rsidRPr="005B26EE">
        <w:rPr>
          <w:lang w:val="en-US"/>
        </w:rPr>
        <w:instrText>HYPERLINK "https://www.imf.org/en/Publications/fintech-notes/Issues/2023/03/28/The-Rise-and-Impact-of-Fintech-in-Latin-America-531055"</w:instrText>
      </w:r>
      <w:r w:rsidR="005B26EE">
        <w:fldChar w:fldCharType="separate"/>
      </w:r>
      <w:r w:rsidRPr="005B26EE">
        <w:rPr>
          <w:rStyle w:val="Hyperlink"/>
        </w:rPr>
        <w:t>https://www.imf.org/en/Publications/fintech-notes/Issues/2023/03/28/The-Rise-and-Impact-of-Fintech-in-Latin-America-531055</w:t>
      </w:r>
      <w:r w:rsidR="005B26EE">
        <w:rPr>
          <w:rStyle w:val="Hyperlink"/>
          <w:lang w:val="en-US"/>
        </w:rPr>
        <w:fldChar w:fldCharType="end"/>
      </w:r>
      <w:r w:rsidRPr="005B26EE">
        <w:t xml:space="preserve"> </w:t>
      </w:r>
    </w:p>
  </w:footnote>
  <w:footnote w:id="3">
    <w:p w14:paraId="74A7C39E" w14:textId="581785BE" w:rsidR="007B0066" w:rsidRPr="005070DB" w:rsidRDefault="007B0066" w:rsidP="005070DB">
      <w:pPr>
        <w:tabs>
          <w:tab w:val="left" w:pos="720"/>
        </w:tabs>
        <w:ind w:left="720" w:hanging="360"/>
        <w:jc w:val="both"/>
        <w:rPr>
          <w:color w:val="000000"/>
          <w:sz w:val="22"/>
          <w:szCs w:val="22"/>
        </w:rPr>
      </w:pPr>
      <w:r>
        <w:rPr>
          <w:rStyle w:val="FootnoteReference"/>
          <w:vertAlign w:val="baseline"/>
        </w:rPr>
        <w:footnoteRef/>
      </w:r>
      <w:r>
        <w:rPr>
          <w:color w:val="000000"/>
        </w:rPr>
        <w:t>.</w:t>
      </w:r>
      <w:r>
        <w:rPr>
          <w:color w:val="000000"/>
        </w:rPr>
        <w:tab/>
        <w:t xml:space="preserve">Ces dernières années, c'est plutôt le secteur de la finance non conventionnelle qui a servi les MPME dans la région. </w:t>
      </w:r>
      <w:r>
        <w:t xml:space="preserve">Ce secteur comprend (1) les plateformes basées sur l'endettement, telles que les plateformes de prêt entre pairs (P2P) ; (2) les plateformes basées sur les actions qui permettent d'investir dans des actions non cotées ; et (3) le financement participatif basé sur les récompenses ou les dons. Voir Ziegler, Tania, Felipe Ferri de Camargo </w:t>
      </w:r>
      <w:proofErr w:type="spellStart"/>
      <w:r>
        <w:t>Paes</w:t>
      </w:r>
      <w:proofErr w:type="spellEnd"/>
      <w:r>
        <w:t xml:space="preserve">, Cecilia </w:t>
      </w:r>
      <w:proofErr w:type="spellStart"/>
      <w:r>
        <w:t>López</w:t>
      </w:r>
      <w:proofErr w:type="spellEnd"/>
      <w:r>
        <w:t xml:space="preserve"> </w:t>
      </w:r>
      <w:proofErr w:type="spellStart"/>
      <w:r>
        <w:t>Closs</w:t>
      </w:r>
      <w:proofErr w:type="spellEnd"/>
      <w:r>
        <w:t xml:space="preserve">, Erika </w:t>
      </w:r>
      <w:proofErr w:type="spellStart"/>
      <w:r>
        <w:t>Soki</w:t>
      </w:r>
      <w:proofErr w:type="spellEnd"/>
      <w:r>
        <w:t xml:space="preserve">, Diego Herrera et Jaime Sarmiento. 2022. “The SME Access to Digital Finance </w:t>
      </w:r>
      <w:proofErr w:type="spellStart"/>
      <w:r>
        <w:t>Study</w:t>
      </w:r>
      <w:proofErr w:type="spellEnd"/>
      <w:r>
        <w:t xml:space="preserve">: A Deep Dive </w:t>
      </w:r>
      <w:proofErr w:type="spellStart"/>
      <w:r>
        <w:t>into</w:t>
      </w:r>
      <w:proofErr w:type="spellEnd"/>
      <w:r>
        <w:t xml:space="preserve"> the Latin American Fintech </w:t>
      </w:r>
      <w:proofErr w:type="spellStart"/>
      <w:r>
        <w:t>Ecosystem</w:t>
      </w:r>
      <w:proofErr w:type="spellEnd"/>
      <w:r>
        <w:t xml:space="preserve">.” Judge Business </w:t>
      </w:r>
      <w:proofErr w:type="spellStart"/>
      <w:r>
        <w:t>School</w:t>
      </w:r>
      <w:proofErr w:type="spellEnd"/>
      <w:r>
        <w:t xml:space="preserve">, Université de Cambridge, Royaume-Uni. </w:t>
      </w:r>
      <w:hyperlink r:id="rId2" w:history="1">
        <w:r>
          <w:rPr>
            <w:rStyle w:val="Hyperlink"/>
          </w:rPr>
          <w:t>https://www.jbs.cam.ac.uk/faculty-research/centres/alternative-finance/publications/sme-access-todigital-finance-study-latam/</w:t>
        </w:r>
      </w:hyperlink>
      <w:r>
        <w:t>.</w:t>
      </w:r>
    </w:p>
  </w:footnote>
  <w:footnote w:id="4">
    <w:p w14:paraId="630875C3" w14:textId="18CF82B5" w:rsidR="007B0066" w:rsidRPr="005070DB" w:rsidRDefault="007B0066" w:rsidP="005070DB">
      <w:pPr>
        <w:tabs>
          <w:tab w:val="left" w:pos="720"/>
        </w:tabs>
        <w:ind w:left="720" w:hanging="360"/>
        <w:jc w:val="both"/>
        <w:rPr>
          <w:color w:val="000000"/>
          <w:sz w:val="22"/>
          <w:szCs w:val="22"/>
        </w:rPr>
      </w:pPr>
      <w:r>
        <w:rPr>
          <w:rStyle w:val="FootnoteReference"/>
          <w:vertAlign w:val="baseline"/>
        </w:rPr>
        <w:footnoteRef/>
      </w:r>
      <w:r>
        <w:t>.</w:t>
      </w:r>
      <w:r>
        <w:tab/>
        <w:t xml:space="preserve">Bakker et autres (2023). </w:t>
      </w:r>
    </w:p>
  </w:footnote>
  <w:footnote w:id="5">
    <w:p w14:paraId="569AB34C" w14:textId="45A3087C" w:rsidR="007B0066" w:rsidRPr="00D47959" w:rsidRDefault="007B0066" w:rsidP="005070DB">
      <w:pPr>
        <w:pStyle w:val="FootnoteText"/>
        <w:tabs>
          <w:tab w:val="left" w:pos="720"/>
        </w:tabs>
        <w:ind w:left="720" w:hanging="360"/>
        <w:jc w:val="both"/>
        <w:rPr>
          <w:lang w:val="en-US"/>
        </w:rPr>
      </w:pPr>
      <w:r>
        <w:rPr>
          <w:rStyle w:val="FootnoteReference"/>
          <w:vertAlign w:val="baseline"/>
        </w:rPr>
        <w:footnoteRef/>
      </w:r>
      <w:r>
        <w:t>.</w:t>
      </w:r>
      <w:r>
        <w:tab/>
        <w:t xml:space="preserve">Bains, Parma, </w:t>
      </w:r>
      <w:proofErr w:type="spellStart"/>
      <w:r>
        <w:t>Nobuyasu</w:t>
      </w:r>
      <w:proofErr w:type="spellEnd"/>
      <w:r>
        <w:t xml:space="preserve"> </w:t>
      </w:r>
      <w:proofErr w:type="spellStart"/>
      <w:r>
        <w:t>Sugimoto</w:t>
      </w:r>
      <w:proofErr w:type="spellEnd"/>
      <w:r>
        <w:t xml:space="preserve"> et Christopher Wilson. </w:t>
      </w:r>
      <w:r w:rsidRPr="00D47959">
        <w:rPr>
          <w:lang w:val="en-US"/>
        </w:rPr>
        <w:t>2022. “</w:t>
      </w:r>
      <w:proofErr w:type="spellStart"/>
      <w:r w:rsidRPr="00D47959">
        <w:rPr>
          <w:lang w:val="en-US"/>
        </w:rPr>
        <w:t>Bigtech</w:t>
      </w:r>
      <w:proofErr w:type="spellEnd"/>
      <w:r w:rsidRPr="00D47959">
        <w:rPr>
          <w:lang w:val="en-US"/>
        </w:rPr>
        <w:t xml:space="preserve"> in Financial Services: Regulatory Approaches and Architecture.” IMF Fintech Note 2022/002, Fonds </w:t>
      </w:r>
      <w:proofErr w:type="spellStart"/>
      <w:r w:rsidRPr="00D47959">
        <w:rPr>
          <w:lang w:val="en-US"/>
        </w:rPr>
        <w:t>monétaire</w:t>
      </w:r>
      <w:proofErr w:type="spellEnd"/>
      <w:r w:rsidRPr="00D47959">
        <w:rPr>
          <w:lang w:val="en-US"/>
        </w:rPr>
        <w:t xml:space="preserve"> international, Washington, DC. </w:t>
      </w:r>
      <w:r w:rsidR="005B26EE">
        <w:fldChar w:fldCharType="begin"/>
      </w:r>
      <w:r w:rsidR="005B26EE" w:rsidRPr="005B26EE">
        <w:rPr>
          <w:lang w:val="en-US"/>
        </w:rPr>
        <w:instrText>HYPERLINK "https://www.imf.org/en/Publications/fintech-notes/Issues/2022/01/22/BigTech-inFinancial-Services-498089"</w:instrText>
      </w:r>
      <w:r w:rsidR="005B26EE">
        <w:fldChar w:fldCharType="separate"/>
      </w:r>
      <w:r w:rsidRPr="00D47959">
        <w:rPr>
          <w:rStyle w:val="Hyperlink"/>
          <w:lang w:val="en-US"/>
        </w:rPr>
        <w:t>https://www.imf.org/en/Publications/fintech-notes/Issues/2022/01/22/BigTech-inFinancial-Services-498089</w:t>
      </w:r>
      <w:r w:rsidR="005B26EE">
        <w:rPr>
          <w:rStyle w:val="Hyperlink"/>
          <w:lang w:val="en-US"/>
        </w:rPr>
        <w:fldChar w:fldCharType="end"/>
      </w:r>
      <w:r w:rsidRPr="00D47959">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8" w14:textId="77777777" w:rsidR="0073480E" w:rsidRPr="009C75F5" w:rsidRDefault="00FA607C">
    <w:pPr>
      <w:pStyle w:val="Header"/>
      <w:jc w:val="center"/>
      <w:rPr>
        <w:sz w:val="22"/>
        <w:szCs w:val="22"/>
      </w:rPr>
    </w:pPr>
    <w:r w:rsidRPr="009C75F5">
      <w:rPr>
        <w:sz w:val="22"/>
      </w:rPr>
      <w:fldChar w:fldCharType="begin"/>
    </w:r>
    <w:r w:rsidRPr="009C75F5">
      <w:rPr>
        <w:sz w:val="22"/>
      </w:rPr>
      <w:instrText xml:space="preserve"> PAGE   \* MERGEFORMAT </w:instrText>
    </w:r>
    <w:r w:rsidRPr="009C75F5">
      <w:rPr>
        <w:sz w:val="22"/>
      </w:rPr>
      <w:fldChar w:fldCharType="separate"/>
    </w:r>
    <w:r w:rsidR="00FE7CC0">
      <w:rPr>
        <w:sz w:val="22"/>
      </w:rPr>
      <w:t>- 3 -</w:t>
    </w:r>
    <w:r w:rsidRPr="009C75F5">
      <w:rPr>
        <w:sz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873B9" w14:textId="77777777" w:rsidR="0073480E" w:rsidRDefault="00FB2A63">
    <w:pPr>
      <w:pStyle w:val="Header"/>
    </w:pPr>
    <w:r>
      <w:rPr>
        <w:noProof/>
      </w:rPr>
      <mc:AlternateContent>
        <mc:Choice Requires="wps">
          <w:drawing>
            <wp:anchor distT="0" distB="0" distL="114300" distR="114300" simplePos="0" relativeHeight="251658752" behindDoc="0" locked="0" layoutInCell="1" allowOverlap="1" wp14:anchorId="2BD873BB" wp14:editId="2EC5FF44">
              <wp:simplePos x="0" y="0"/>
              <wp:positionH relativeFrom="column">
                <wp:posOffset>440804</wp:posOffset>
              </wp:positionH>
              <wp:positionV relativeFrom="paragraph">
                <wp:posOffset>-304345</wp:posOffset>
              </wp:positionV>
              <wp:extent cx="4728845" cy="709684"/>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7096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5" w14:textId="77777777" w:rsidR="00921E9E" w:rsidRPr="00D1595A" w:rsidRDefault="00FA607C" w:rsidP="00921E9E">
                          <w:pPr>
                            <w:pStyle w:val="Header"/>
                            <w:tabs>
                              <w:tab w:val="left" w:pos="900"/>
                            </w:tabs>
                            <w:spacing w:line="0" w:lineRule="atLeast"/>
                            <w:jc w:val="center"/>
                            <w:rPr>
                              <w:rFonts w:ascii="Garamond" w:hAnsi="Garamond"/>
                              <w:b/>
                              <w:sz w:val="28"/>
                              <w:szCs w:val="28"/>
                            </w:rPr>
                          </w:pPr>
                          <w:r w:rsidRPr="00D1595A">
                            <w:rPr>
                              <w:rFonts w:ascii="Garamond" w:hAnsi="Garamond"/>
                              <w:b/>
                              <w:sz w:val="28"/>
                              <w:szCs w:val="28"/>
                            </w:rPr>
                            <w:t xml:space="preserve">ORGANISATION DES ÉTATS AMÉRICAINS </w:t>
                          </w:r>
                        </w:p>
                        <w:p w14:paraId="2BD873C6" w14:textId="77777777" w:rsidR="00921E9E" w:rsidRPr="00D1595A" w:rsidRDefault="00FA607C" w:rsidP="00921E9E">
                          <w:pPr>
                            <w:pStyle w:val="Header"/>
                            <w:tabs>
                              <w:tab w:val="left" w:pos="900"/>
                            </w:tabs>
                            <w:spacing w:line="0" w:lineRule="atLeast"/>
                            <w:jc w:val="center"/>
                            <w:rPr>
                              <w:rFonts w:ascii="Garamond" w:hAnsi="Garamond"/>
                              <w:b/>
                              <w:sz w:val="28"/>
                              <w:szCs w:val="28"/>
                            </w:rPr>
                          </w:pPr>
                          <w:r w:rsidRPr="00D1595A">
                            <w:rPr>
                              <w:rFonts w:ascii="Garamond" w:hAnsi="Garamond"/>
                              <w:b/>
                              <w:sz w:val="28"/>
                              <w:szCs w:val="28"/>
                            </w:rPr>
                            <w:t xml:space="preserve">Conseil interaméricain pour le développement intégré </w:t>
                          </w:r>
                        </w:p>
                        <w:p w14:paraId="2BD873C7" w14:textId="77777777" w:rsidR="00921E9E" w:rsidRPr="00D1595A" w:rsidRDefault="00FA607C" w:rsidP="00921E9E">
                          <w:pPr>
                            <w:pStyle w:val="Header"/>
                            <w:tabs>
                              <w:tab w:val="left" w:pos="900"/>
                            </w:tabs>
                            <w:spacing w:line="0" w:lineRule="atLeast"/>
                            <w:jc w:val="center"/>
                            <w:rPr>
                              <w:b/>
                              <w:sz w:val="28"/>
                              <w:szCs w:val="28"/>
                            </w:rPr>
                          </w:pPr>
                          <w:r w:rsidRPr="00D1595A">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73BB" id="_x0000_t202" coordsize="21600,21600" o:spt="202" path="m,l,21600r21600,l21600,xe">
              <v:stroke joinstyle="miter"/>
              <v:path gradientshapeok="t" o:connecttype="rect"/>
            </v:shapetype>
            <v:shape id="_x0000_s1027" type="#_x0000_t202" style="position:absolute;margin-left:34.7pt;margin-top:-23.95pt;width:372.35pt;height:55.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" stroked="f">
              <v:textbox>
                <w:txbxContent>
                  <w:p w14:paraId="2BD873C5" w14:textId="77777777" w:rsidR="00921E9E" w:rsidRPr="00D1595A" w:rsidRDefault="00FA607C" w:rsidP="00921E9E">
                    <w:pPr>
                      <w:pStyle w:val="Header"/>
                      <w:tabs>
                        <w:tab w:val="left" w:pos="900"/>
                      </w:tabs>
                      <w:spacing w:line="0" w:lineRule="atLeast"/>
                      <w:jc w:val="center"/>
                      <w:rPr>
                        <w:rFonts w:ascii="Garamond" w:hAnsi="Garamond"/>
                        <w:b/>
                        <w:sz w:val="28"/>
                        <w:szCs w:val="28"/>
                      </w:rPr>
                    </w:pPr>
                    <w:r w:rsidRPr="00D1595A">
                      <w:rPr>
                        <w:rFonts w:ascii="Garamond" w:hAnsi="Garamond"/>
                        <w:b/>
                        <w:sz w:val="28"/>
                        <w:szCs w:val="28"/>
                      </w:rPr>
                      <w:t xml:space="preserve">ORGANISATION DES ÉTATS AMÉRICAINS </w:t>
                    </w:r>
                  </w:p>
                  <w:p w14:paraId="2BD873C6" w14:textId="77777777" w:rsidR="00921E9E" w:rsidRPr="00D1595A" w:rsidRDefault="00FA607C" w:rsidP="00921E9E">
                    <w:pPr>
                      <w:pStyle w:val="Header"/>
                      <w:tabs>
                        <w:tab w:val="left" w:pos="900"/>
                      </w:tabs>
                      <w:spacing w:line="0" w:lineRule="atLeast"/>
                      <w:jc w:val="center"/>
                      <w:rPr>
                        <w:rFonts w:ascii="Garamond" w:hAnsi="Garamond"/>
                        <w:b/>
                        <w:sz w:val="28"/>
                        <w:szCs w:val="28"/>
                      </w:rPr>
                    </w:pPr>
                    <w:r w:rsidRPr="00D1595A">
                      <w:rPr>
                        <w:rFonts w:ascii="Garamond" w:hAnsi="Garamond"/>
                        <w:b/>
                        <w:sz w:val="28"/>
                        <w:szCs w:val="28"/>
                      </w:rPr>
                      <w:t xml:space="preserve">Conseil interaméricain pour le développement intégré </w:t>
                    </w:r>
                  </w:p>
                  <w:p w14:paraId="2BD873C7" w14:textId="77777777" w:rsidR="00921E9E" w:rsidRPr="00D1595A" w:rsidRDefault="00FA607C" w:rsidP="00921E9E">
                    <w:pPr>
                      <w:pStyle w:val="Header"/>
                      <w:tabs>
                        <w:tab w:val="left" w:pos="900"/>
                      </w:tabs>
                      <w:spacing w:line="0" w:lineRule="atLeast"/>
                      <w:jc w:val="center"/>
                      <w:rPr>
                        <w:b/>
                        <w:sz w:val="28"/>
                        <w:szCs w:val="28"/>
                      </w:rPr>
                    </w:pPr>
                    <w:r w:rsidRPr="00D1595A">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2BD873BD" wp14:editId="2BD873BE">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873BD" id="Text Box 2" o:spid="_x0000_s1028"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" stroked="f">
              <v:textbox>
                <w:txbxContent>
                  <w:p w14:paraId="2BD873C8" w14:textId="77777777" w:rsidR="0073480E" w:rsidRDefault="00FB2A63" w:rsidP="00AB7175">
                    <w:pPr>
                      <w:ind w:right="-130"/>
                    </w:pPr>
                    <w:r>
                      <w:rPr>
                        <w:rFonts w:ascii="News Gothic MT" w:hAnsi="News Gothic MT"/>
                        <w:noProof/>
                        <w:color w:val="000000"/>
                      </w:rPr>
                      <w:drawing>
                        <wp:inline distT="0" distB="0" distL="0" distR="0" wp14:anchorId="2BD873C9" wp14:editId="2BD873CA">
                          <wp:extent cx="1102995" cy="775335"/>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77533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2BD873BF" wp14:editId="2BD873C0">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873BA" w14:textId="77777777" w:rsidR="001B0828" w:rsidRDefault="001B08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7C9"/>
    <w:multiLevelType w:val="hybridMultilevel"/>
    <w:tmpl w:val="63CC0888"/>
    <w:lvl w:ilvl="0" w:tplc="CA00D900">
      <w:start w:val="3"/>
      <w:numFmt w:val="decimal"/>
      <w:lvlText w:val="%1."/>
      <w:lvlJc w:val="left"/>
      <w:pPr>
        <w:ind w:left="7635" w:hanging="360"/>
      </w:pPr>
      <w:rPr>
        <w:rFonts w:hint="default"/>
        <w:b w:val="0"/>
        <w:bCs/>
      </w:rPr>
    </w:lvl>
    <w:lvl w:ilvl="1" w:tplc="04090019" w:tentative="1">
      <w:start w:val="1"/>
      <w:numFmt w:val="lowerLetter"/>
      <w:lvlText w:val="%2."/>
      <w:lvlJc w:val="left"/>
      <w:pPr>
        <w:ind w:left="8355" w:hanging="360"/>
      </w:pPr>
    </w:lvl>
    <w:lvl w:ilvl="2" w:tplc="0409001B" w:tentative="1">
      <w:start w:val="1"/>
      <w:numFmt w:val="lowerRoman"/>
      <w:lvlText w:val="%3."/>
      <w:lvlJc w:val="right"/>
      <w:pPr>
        <w:ind w:left="9075" w:hanging="180"/>
      </w:pPr>
    </w:lvl>
    <w:lvl w:ilvl="3" w:tplc="0409000F" w:tentative="1">
      <w:start w:val="1"/>
      <w:numFmt w:val="decimal"/>
      <w:lvlText w:val="%4."/>
      <w:lvlJc w:val="left"/>
      <w:pPr>
        <w:ind w:left="9795" w:hanging="360"/>
      </w:pPr>
    </w:lvl>
    <w:lvl w:ilvl="4" w:tplc="04090019" w:tentative="1">
      <w:start w:val="1"/>
      <w:numFmt w:val="lowerLetter"/>
      <w:lvlText w:val="%5."/>
      <w:lvlJc w:val="left"/>
      <w:pPr>
        <w:ind w:left="10515" w:hanging="360"/>
      </w:pPr>
    </w:lvl>
    <w:lvl w:ilvl="5" w:tplc="0409001B" w:tentative="1">
      <w:start w:val="1"/>
      <w:numFmt w:val="lowerRoman"/>
      <w:lvlText w:val="%6."/>
      <w:lvlJc w:val="right"/>
      <w:pPr>
        <w:ind w:left="11235" w:hanging="180"/>
      </w:pPr>
    </w:lvl>
    <w:lvl w:ilvl="6" w:tplc="0409000F" w:tentative="1">
      <w:start w:val="1"/>
      <w:numFmt w:val="decimal"/>
      <w:lvlText w:val="%7."/>
      <w:lvlJc w:val="left"/>
      <w:pPr>
        <w:ind w:left="11955" w:hanging="360"/>
      </w:pPr>
    </w:lvl>
    <w:lvl w:ilvl="7" w:tplc="04090019" w:tentative="1">
      <w:start w:val="1"/>
      <w:numFmt w:val="lowerLetter"/>
      <w:lvlText w:val="%8."/>
      <w:lvlJc w:val="left"/>
      <w:pPr>
        <w:ind w:left="12675" w:hanging="360"/>
      </w:pPr>
    </w:lvl>
    <w:lvl w:ilvl="8" w:tplc="0409001B" w:tentative="1">
      <w:start w:val="1"/>
      <w:numFmt w:val="lowerRoman"/>
      <w:lvlText w:val="%9."/>
      <w:lvlJc w:val="right"/>
      <w:pPr>
        <w:ind w:left="13395" w:hanging="180"/>
      </w:pPr>
    </w:lvl>
  </w:abstractNum>
  <w:abstractNum w:abstractNumId="1" w15:restartNumberingAfterBreak="0">
    <w:nsid w:val="01B53116"/>
    <w:multiLevelType w:val="hybridMultilevel"/>
    <w:tmpl w:val="7780EFA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77E7B"/>
    <w:multiLevelType w:val="hybridMultilevel"/>
    <w:tmpl w:val="1E8C417A"/>
    <w:lvl w:ilvl="0" w:tplc="581820B4">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8B0826"/>
    <w:multiLevelType w:val="hybridMultilevel"/>
    <w:tmpl w:val="3E604DF4"/>
    <w:lvl w:ilvl="0" w:tplc="79820A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7E66CF"/>
    <w:multiLevelType w:val="hybridMultilevel"/>
    <w:tmpl w:val="C6509C46"/>
    <w:lvl w:ilvl="0" w:tplc="C05AE4A0">
      <w:numFmt w:val="bullet"/>
      <w:lvlText w:val="-"/>
      <w:lvlJc w:val="left"/>
      <w:pPr>
        <w:ind w:left="1440" w:hanging="360"/>
      </w:pPr>
      <w:rPr>
        <w:rFonts w:ascii="Calibri" w:eastAsia="MS Mincho"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6323C7"/>
    <w:multiLevelType w:val="hybridMultilevel"/>
    <w:tmpl w:val="897840EC"/>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EE5FAE"/>
    <w:multiLevelType w:val="hybridMultilevel"/>
    <w:tmpl w:val="BC1279D6"/>
    <w:lvl w:ilvl="0" w:tplc="C05AE4A0">
      <w:numFmt w:val="bullet"/>
      <w:lvlText w:val="-"/>
      <w:lvlJc w:val="left"/>
      <w:pPr>
        <w:ind w:left="720" w:hanging="360"/>
      </w:pPr>
      <w:rPr>
        <w:rFonts w:ascii="Calibri" w:eastAsia="MS Minch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7C3483"/>
    <w:multiLevelType w:val="hybridMultilevel"/>
    <w:tmpl w:val="7452E420"/>
    <w:lvl w:ilvl="0" w:tplc="93C21FA0">
      <w:start w:val="1"/>
      <w:numFmt w:val="decimal"/>
      <w:lvlText w:val="%1."/>
      <w:lvlJc w:val="left"/>
      <w:pPr>
        <w:ind w:left="2160" w:hanging="360"/>
      </w:pPr>
      <w:rPr>
        <w:rFonts w:hint="default"/>
        <w:b/>
      </w:rPr>
    </w:lvl>
    <w:lvl w:ilvl="1" w:tplc="581820B4">
      <w:start w:val="4"/>
      <w:numFmt w:val="bullet"/>
      <w:lvlText w:val="-"/>
      <w:lvlJc w:val="left"/>
      <w:pPr>
        <w:ind w:left="2880" w:hanging="360"/>
      </w:pPr>
      <w:rPr>
        <w:rFonts w:ascii="Times New Roman" w:eastAsia="Times New Roman" w:hAnsi="Times New Roman"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0F17117"/>
    <w:multiLevelType w:val="multilevel"/>
    <w:tmpl w:val="A3905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703B8E"/>
    <w:multiLevelType w:val="hybridMultilevel"/>
    <w:tmpl w:val="084A3DD0"/>
    <w:lvl w:ilvl="0" w:tplc="E5F22E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F3262B"/>
    <w:multiLevelType w:val="hybridMultilevel"/>
    <w:tmpl w:val="9D289C42"/>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81194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7875857">
    <w:abstractNumId w:val="3"/>
  </w:num>
  <w:num w:numId="3" w16cid:durableId="1082991849">
    <w:abstractNumId w:val="4"/>
  </w:num>
  <w:num w:numId="4" w16cid:durableId="1491557300">
    <w:abstractNumId w:val="6"/>
  </w:num>
  <w:num w:numId="5" w16cid:durableId="968245080">
    <w:abstractNumId w:val="5"/>
  </w:num>
  <w:num w:numId="6" w16cid:durableId="1656640974">
    <w:abstractNumId w:val="8"/>
  </w:num>
  <w:num w:numId="7" w16cid:durableId="187531182">
    <w:abstractNumId w:val="7"/>
  </w:num>
  <w:num w:numId="8" w16cid:durableId="789861081">
    <w:abstractNumId w:val="2"/>
  </w:num>
  <w:num w:numId="9" w16cid:durableId="1469399627">
    <w:abstractNumId w:val="9"/>
  </w:num>
  <w:num w:numId="10" w16cid:durableId="1629580742">
    <w:abstractNumId w:val="0"/>
  </w:num>
  <w:num w:numId="11" w16cid:durableId="108283215">
    <w:abstractNumId w:val="1"/>
  </w:num>
  <w:num w:numId="12" w16cid:durableId="17269477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3737D5B-8688-4836-905C-7B9ECD5EB404}"/>
    <w:docVar w:name="dgnword-eventsink" w:val="100576536"/>
  </w:docVars>
  <w:rsids>
    <w:rsidRoot w:val="007F2774"/>
    <w:rsid w:val="0000263B"/>
    <w:rsid w:val="00004754"/>
    <w:rsid w:val="00004AC6"/>
    <w:rsid w:val="000055C8"/>
    <w:rsid w:val="00011272"/>
    <w:rsid w:val="00011D40"/>
    <w:rsid w:val="000129E8"/>
    <w:rsid w:val="0001449C"/>
    <w:rsid w:val="00015B14"/>
    <w:rsid w:val="00015D92"/>
    <w:rsid w:val="000205EC"/>
    <w:rsid w:val="00025685"/>
    <w:rsid w:val="00025807"/>
    <w:rsid w:val="00027748"/>
    <w:rsid w:val="00032E3E"/>
    <w:rsid w:val="00035A74"/>
    <w:rsid w:val="00035B2F"/>
    <w:rsid w:val="0003741D"/>
    <w:rsid w:val="000377AA"/>
    <w:rsid w:val="00041BCE"/>
    <w:rsid w:val="000427B5"/>
    <w:rsid w:val="00044808"/>
    <w:rsid w:val="000471B6"/>
    <w:rsid w:val="00050103"/>
    <w:rsid w:val="00050886"/>
    <w:rsid w:val="000523F2"/>
    <w:rsid w:val="000546DE"/>
    <w:rsid w:val="00056200"/>
    <w:rsid w:val="00057370"/>
    <w:rsid w:val="00061861"/>
    <w:rsid w:val="0006215C"/>
    <w:rsid w:val="000633B6"/>
    <w:rsid w:val="000642A8"/>
    <w:rsid w:val="00064A6B"/>
    <w:rsid w:val="00064D47"/>
    <w:rsid w:val="00064DCC"/>
    <w:rsid w:val="000661F4"/>
    <w:rsid w:val="00066D87"/>
    <w:rsid w:val="00070537"/>
    <w:rsid w:val="0007158B"/>
    <w:rsid w:val="000717C2"/>
    <w:rsid w:val="00071D84"/>
    <w:rsid w:val="000736AA"/>
    <w:rsid w:val="00073CCC"/>
    <w:rsid w:val="00074325"/>
    <w:rsid w:val="00074E66"/>
    <w:rsid w:val="000752A7"/>
    <w:rsid w:val="000767EC"/>
    <w:rsid w:val="0008188B"/>
    <w:rsid w:val="00083D40"/>
    <w:rsid w:val="00086463"/>
    <w:rsid w:val="00086A43"/>
    <w:rsid w:val="00086B35"/>
    <w:rsid w:val="0008784B"/>
    <w:rsid w:val="0009277D"/>
    <w:rsid w:val="000969F9"/>
    <w:rsid w:val="00097899"/>
    <w:rsid w:val="000A18DF"/>
    <w:rsid w:val="000A1D63"/>
    <w:rsid w:val="000A1DDC"/>
    <w:rsid w:val="000A4708"/>
    <w:rsid w:val="000A528C"/>
    <w:rsid w:val="000A610A"/>
    <w:rsid w:val="000A67FD"/>
    <w:rsid w:val="000A72E3"/>
    <w:rsid w:val="000B015E"/>
    <w:rsid w:val="000B1D95"/>
    <w:rsid w:val="000B1FCF"/>
    <w:rsid w:val="000B2ED9"/>
    <w:rsid w:val="000B3A30"/>
    <w:rsid w:val="000B43F5"/>
    <w:rsid w:val="000B6478"/>
    <w:rsid w:val="000C3438"/>
    <w:rsid w:val="000C344F"/>
    <w:rsid w:val="000C3AB9"/>
    <w:rsid w:val="000C3D35"/>
    <w:rsid w:val="000D140E"/>
    <w:rsid w:val="000D4368"/>
    <w:rsid w:val="000D540D"/>
    <w:rsid w:val="000D6070"/>
    <w:rsid w:val="000D7601"/>
    <w:rsid w:val="000D7937"/>
    <w:rsid w:val="000E0660"/>
    <w:rsid w:val="000E0BD9"/>
    <w:rsid w:val="000E1803"/>
    <w:rsid w:val="000E313E"/>
    <w:rsid w:val="000E439E"/>
    <w:rsid w:val="000E5242"/>
    <w:rsid w:val="000E6C8E"/>
    <w:rsid w:val="000F7899"/>
    <w:rsid w:val="000F7CF2"/>
    <w:rsid w:val="00100FE1"/>
    <w:rsid w:val="0010147A"/>
    <w:rsid w:val="00101DC3"/>
    <w:rsid w:val="001069A4"/>
    <w:rsid w:val="00106D57"/>
    <w:rsid w:val="001131C9"/>
    <w:rsid w:val="00116850"/>
    <w:rsid w:val="00121900"/>
    <w:rsid w:val="00122228"/>
    <w:rsid w:val="00124219"/>
    <w:rsid w:val="00124C30"/>
    <w:rsid w:val="001259E2"/>
    <w:rsid w:val="00125BBE"/>
    <w:rsid w:val="0012611C"/>
    <w:rsid w:val="0013037E"/>
    <w:rsid w:val="001309B5"/>
    <w:rsid w:val="00133A15"/>
    <w:rsid w:val="00134A48"/>
    <w:rsid w:val="00135BCC"/>
    <w:rsid w:val="00136B20"/>
    <w:rsid w:val="00136EDB"/>
    <w:rsid w:val="00137CFF"/>
    <w:rsid w:val="001405C9"/>
    <w:rsid w:val="00142D34"/>
    <w:rsid w:val="001467B5"/>
    <w:rsid w:val="00146FB1"/>
    <w:rsid w:val="00150AE4"/>
    <w:rsid w:val="001520A2"/>
    <w:rsid w:val="001522D6"/>
    <w:rsid w:val="00152D2E"/>
    <w:rsid w:val="00153DD8"/>
    <w:rsid w:val="0015513C"/>
    <w:rsid w:val="0015753D"/>
    <w:rsid w:val="0016660D"/>
    <w:rsid w:val="00166C73"/>
    <w:rsid w:val="00167F36"/>
    <w:rsid w:val="00170680"/>
    <w:rsid w:val="00171B89"/>
    <w:rsid w:val="00174CFE"/>
    <w:rsid w:val="00176F7C"/>
    <w:rsid w:val="00180746"/>
    <w:rsid w:val="00180BEA"/>
    <w:rsid w:val="001831AE"/>
    <w:rsid w:val="00183C2C"/>
    <w:rsid w:val="001842C2"/>
    <w:rsid w:val="00184D03"/>
    <w:rsid w:val="0018654E"/>
    <w:rsid w:val="00186685"/>
    <w:rsid w:val="00187A07"/>
    <w:rsid w:val="00187D59"/>
    <w:rsid w:val="00190F2B"/>
    <w:rsid w:val="00192BCF"/>
    <w:rsid w:val="00194C4D"/>
    <w:rsid w:val="00197DE0"/>
    <w:rsid w:val="001A09CE"/>
    <w:rsid w:val="001A166C"/>
    <w:rsid w:val="001A2C78"/>
    <w:rsid w:val="001A34B3"/>
    <w:rsid w:val="001A3816"/>
    <w:rsid w:val="001A6BBF"/>
    <w:rsid w:val="001A78C6"/>
    <w:rsid w:val="001B0828"/>
    <w:rsid w:val="001B0AB0"/>
    <w:rsid w:val="001B11B1"/>
    <w:rsid w:val="001B7A76"/>
    <w:rsid w:val="001C13FF"/>
    <w:rsid w:val="001C6997"/>
    <w:rsid w:val="001C6DC5"/>
    <w:rsid w:val="001C74F1"/>
    <w:rsid w:val="001D0221"/>
    <w:rsid w:val="001D4DF0"/>
    <w:rsid w:val="001D595B"/>
    <w:rsid w:val="001D738C"/>
    <w:rsid w:val="001E29E7"/>
    <w:rsid w:val="001E2CA7"/>
    <w:rsid w:val="001E3150"/>
    <w:rsid w:val="001E3438"/>
    <w:rsid w:val="001E3C78"/>
    <w:rsid w:val="001E5DF7"/>
    <w:rsid w:val="001F2739"/>
    <w:rsid w:val="002001DE"/>
    <w:rsid w:val="00201D8D"/>
    <w:rsid w:val="0020227F"/>
    <w:rsid w:val="002024FE"/>
    <w:rsid w:val="00203839"/>
    <w:rsid w:val="0020460C"/>
    <w:rsid w:val="002050F0"/>
    <w:rsid w:val="00207059"/>
    <w:rsid w:val="002135EF"/>
    <w:rsid w:val="00217F89"/>
    <w:rsid w:val="002214D3"/>
    <w:rsid w:val="00222AFE"/>
    <w:rsid w:val="00223E5C"/>
    <w:rsid w:val="00223FF7"/>
    <w:rsid w:val="00224C3F"/>
    <w:rsid w:val="00225597"/>
    <w:rsid w:val="00225764"/>
    <w:rsid w:val="002262B3"/>
    <w:rsid w:val="0022752A"/>
    <w:rsid w:val="0022766C"/>
    <w:rsid w:val="0022784A"/>
    <w:rsid w:val="00231FD2"/>
    <w:rsid w:val="0023460B"/>
    <w:rsid w:val="00234996"/>
    <w:rsid w:val="00235CB9"/>
    <w:rsid w:val="002367DA"/>
    <w:rsid w:val="00237037"/>
    <w:rsid w:val="002374C3"/>
    <w:rsid w:val="00240D1F"/>
    <w:rsid w:val="002531A0"/>
    <w:rsid w:val="002604F9"/>
    <w:rsid w:val="00260F11"/>
    <w:rsid w:val="00262E4D"/>
    <w:rsid w:val="00264202"/>
    <w:rsid w:val="0026449A"/>
    <w:rsid w:val="002678ED"/>
    <w:rsid w:val="00267E1B"/>
    <w:rsid w:val="002706D3"/>
    <w:rsid w:val="0027412E"/>
    <w:rsid w:val="00275799"/>
    <w:rsid w:val="00277682"/>
    <w:rsid w:val="002777A5"/>
    <w:rsid w:val="00277CC4"/>
    <w:rsid w:val="0028118E"/>
    <w:rsid w:val="002822E7"/>
    <w:rsid w:val="0028278B"/>
    <w:rsid w:val="00282ED9"/>
    <w:rsid w:val="00282FDD"/>
    <w:rsid w:val="0028336D"/>
    <w:rsid w:val="00284AAA"/>
    <w:rsid w:val="00284CFD"/>
    <w:rsid w:val="0028696A"/>
    <w:rsid w:val="002869E2"/>
    <w:rsid w:val="00286D8C"/>
    <w:rsid w:val="002941D8"/>
    <w:rsid w:val="002A007A"/>
    <w:rsid w:val="002A03E9"/>
    <w:rsid w:val="002A092D"/>
    <w:rsid w:val="002A0CE5"/>
    <w:rsid w:val="002A1503"/>
    <w:rsid w:val="002A1985"/>
    <w:rsid w:val="002A1CB2"/>
    <w:rsid w:val="002A28A7"/>
    <w:rsid w:val="002A3CB5"/>
    <w:rsid w:val="002A5885"/>
    <w:rsid w:val="002A63EC"/>
    <w:rsid w:val="002B0FE5"/>
    <w:rsid w:val="002B1F3E"/>
    <w:rsid w:val="002B2DE0"/>
    <w:rsid w:val="002B6B05"/>
    <w:rsid w:val="002B71CD"/>
    <w:rsid w:val="002B76ED"/>
    <w:rsid w:val="002C0C4C"/>
    <w:rsid w:val="002C12FB"/>
    <w:rsid w:val="002C24DB"/>
    <w:rsid w:val="002C28C0"/>
    <w:rsid w:val="002C368F"/>
    <w:rsid w:val="002C6142"/>
    <w:rsid w:val="002C6B0D"/>
    <w:rsid w:val="002D0D4A"/>
    <w:rsid w:val="002D4050"/>
    <w:rsid w:val="002D4057"/>
    <w:rsid w:val="002D412D"/>
    <w:rsid w:val="002D598E"/>
    <w:rsid w:val="002E080D"/>
    <w:rsid w:val="002E0CAF"/>
    <w:rsid w:val="002E0DA7"/>
    <w:rsid w:val="002E2CC7"/>
    <w:rsid w:val="002E2D79"/>
    <w:rsid w:val="002E5BDB"/>
    <w:rsid w:val="002E609F"/>
    <w:rsid w:val="002E60C5"/>
    <w:rsid w:val="002E6DB7"/>
    <w:rsid w:val="002E7FA8"/>
    <w:rsid w:val="002F0A27"/>
    <w:rsid w:val="002F0AF9"/>
    <w:rsid w:val="002F1645"/>
    <w:rsid w:val="002F1AD6"/>
    <w:rsid w:val="002F1FA4"/>
    <w:rsid w:val="002F25F2"/>
    <w:rsid w:val="002F36D8"/>
    <w:rsid w:val="002F397F"/>
    <w:rsid w:val="002F3BBB"/>
    <w:rsid w:val="002F5352"/>
    <w:rsid w:val="002F7B3F"/>
    <w:rsid w:val="00302E9B"/>
    <w:rsid w:val="003034A7"/>
    <w:rsid w:val="00303E64"/>
    <w:rsid w:val="00305E93"/>
    <w:rsid w:val="0031130C"/>
    <w:rsid w:val="003116AC"/>
    <w:rsid w:val="00312748"/>
    <w:rsid w:val="003163DA"/>
    <w:rsid w:val="003212EA"/>
    <w:rsid w:val="00321F2C"/>
    <w:rsid w:val="00324A8C"/>
    <w:rsid w:val="00326186"/>
    <w:rsid w:val="0032713A"/>
    <w:rsid w:val="00327C07"/>
    <w:rsid w:val="00330088"/>
    <w:rsid w:val="003302CF"/>
    <w:rsid w:val="00331782"/>
    <w:rsid w:val="003348B3"/>
    <w:rsid w:val="00335ABE"/>
    <w:rsid w:val="00335D41"/>
    <w:rsid w:val="00336396"/>
    <w:rsid w:val="003366D5"/>
    <w:rsid w:val="003379A3"/>
    <w:rsid w:val="00337A39"/>
    <w:rsid w:val="00340B99"/>
    <w:rsid w:val="00342BCA"/>
    <w:rsid w:val="00343BF4"/>
    <w:rsid w:val="00345C27"/>
    <w:rsid w:val="00345DCF"/>
    <w:rsid w:val="0035071A"/>
    <w:rsid w:val="00350910"/>
    <w:rsid w:val="00352207"/>
    <w:rsid w:val="003529F3"/>
    <w:rsid w:val="00352BB7"/>
    <w:rsid w:val="00353D7A"/>
    <w:rsid w:val="00356C6E"/>
    <w:rsid w:val="00357684"/>
    <w:rsid w:val="00362D68"/>
    <w:rsid w:val="003661C8"/>
    <w:rsid w:val="00370448"/>
    <w:rsid w:val="00371E2E"/>
    <w:rsid w:val="003740B7"/>
    <w:rsid w:val="0037599C"/>
    <w:rsid w:val="0037608B"/>
    <w:rsid w:val="003775B4"/>
    <w:rsid w:val="003805E5"/>
    <w:rsid w:val="003836D2"/>
    <w:rsid w:val="00384232"/>
    <w:rsid w:val="00390953"/>
    <w:rsid w:val="00390A70"/>
    <w:rsid w:val="00390D0F"/>
    <w:rsid w:val="00390F22"/>
    <w:rsid w:val="003923A6"/>
    <w:rsid w:val="003945DC"/>
    <w:rsid w:val="00397D8A"/>
    <w:rsid w:val="003A4A3C"/>
    <w:rsid w:val="003A4FAB"/>
    <w:rsid w:val="003A5278"/>
    <w:rsid w:val="003A5B70"/>
    <w:rsid w:val="003B0B19"/>
    <w:rsid w:val="003B2B02"/>
    <w:rsid w:val="003B40C4"/>
    <w:rsid w:val="003B63B3"/>
    <w:rsid w:val="003C2402"/>
    <w:rsid w:val="003C332F"/>
    <w:rsid w:val="003C448A"/>
    <w:rsid w:val="003D0721"/>
    <w:rsid w:val="003D13AD"/>
    <w:rsid w:val="003D2029"/>
    <w:rsid w:val="003D4305"/>
    <w:rsid w:val="003D5584"/>
    <w:rsid w:val="003D59CE"/>
    <w:rsid w:val="003D703B"/>
    <w:rsid w:val="003E0075"/>
    <w:rsid w:val="003E2BA7"/>
    <w:rsid w:val="003E5CD7"/>
    <w:rsid w:val="003E62A1"/>
    <w:rsid w:val="003E687F"/>
    <w:rsid w:val="003F023D"/>
    <w:rsid w:val="003F09DF"/>
    <w:rsid w:val="003F3FFE"/>
    <w:rsid w:val="003F4FA0"/>
    <w:rsid w:val="003F6FF7"/>
    <w:rsid w:val="003F7E78"/>
    <w:rsid w:val="00400158"/>
    <w:rsid w:val="0040192C"/>
    <w:rsid w:val="00403D12"/>
    <w:rsid w:val="00404C33"/>
    <w:rsid w:val="00404FE9"/>
    <w:rsid w:val="0041337F"/>
    <w:rsid w:val="00413FE5"/>
    <w:rsid w:val="00414A9D"/>
    <w:rsid w:val="004154A2"/>
    <w:rsid w:val="00415C84"/>
    <w:rsid w:val="0041692D"/>
    <w:rsid w:val="00420AA2"/>
    <w:rsid w:val="00421AA1"/>
    <w:rsid w:val="004227D9"/>
    <w:rsid w:val="004234FB"/>
    <w:rsid w:val="00427227"/>
    <w:rsid w:val="00427879"/>
    <w:rsid w:val="004279F5"/>
    <w:rsid w:val="00430A41"/>
    <w:rsid w:val="0043141D"/>
    <w:rsid w:val="00434A85"/>
    <w:rsid w:val="00435ACA"/>
    <w:rsid w:val="00437714"/>
    <w:rsid w:val="004417E5"/>
    <w:rsid w:val="00442910"/>
    <w:rsid w:val="0045008A"/>
    <w:rsid w:val="00454BFF"/>
    <w:rsid w:val="00455102"/>
    <w:rsid w:val="00456CC5"/>
    <w:rsid w:val="00456F00"/>
    <w:rsid w:val="00457B19"/>
    <w:rsid w:val="00460F51"/>
    <w:rsid w:val="00461472"/>
    <w:rsid w:val="0046163D"/>
    <w:rsid w:val="00461F49"/>
    <w:rsid w:val="0046301C"/>
    <w:rsid w:val="00463A6B"/>
    <w:rsid w:val="0046512F"/>
    <w:rsid w:val="00467A8F"/>
    <w:rsid w:val="00472E9D"/>
    <w:rsid w:val="00476255"/>
    <w:rsid w:val="00476E68"/>
    <w:rsid w:val="00481D04"/>
    <w:rsid w:val="00484A4E"/>
    <w:rsid w:val="00490731"/>
    <w:rsid w:val="00493B12"/>
    <w:rsid w:val="00496190"/>
    <w:rsid w:val="00496643"/>
    <w:rsid w:val="00496BBC"/>
    <w:rsid w:val="00497443"/>
    <w:rsid w:val="00497825"/>
    <w:rsid w:val="004A1D26"/>
    <w:rsid w:val="004A2B85"/>
    <w:rsid w:val="004A35A1"/>
    <w:rsid w:val="004A3610"/>
    <w:rsid w:val="004A4CA8"/>
    <w:rsid w:val="004A6065"/>
    <w:rsid w:val="004A7BE6"/>
    <w:rsid w:val="004A7C48"/>
    <w:rsid w:val="004B0DCB"/>
    <w:rsid w:val="004B16C9"/>
    <w:rsid w:val="004B1C12"/>
    <w:rsid w:val="004B23C3"/>
    <w:rsid w:val="004B2B39"/>
    <w:rsid w:val="004B37F8"/>
    <w:rsid w:val="004B387B"/>
    <w:rsid w:val="004B5C41"/>
    <w:rsid w:val="004B6D32"/>
    <w:rsid w:val="004C0BD1"/>
    <w:rsid w:val="004C38CA"/>
    <w:rsid w:val="004C4037"/>
    <w:rsid w:val="004D1D5C"/>
    <w:rsid w:val="004D2279"/>
    <w:rsid w:val="004D3186"/>
    <w:rsid w:val="004D354E"/>
    <w:rsid w:val="004D44C9"/>
    <w:rsid w:val="004D47F6"/>
    <w:rsid w:val="004D6937"/>
    <w:rsid w:val="004D6E2B"/>
    <w:rsid w:val="004D7ED6"/>
    <w:rsid w:val="004E363A"/>
    <w:rsid w:val="004E3F54"/>
    <w:rsid w:val="004E6DE6"/>
    <w:rsid w:val="004E763B"/>
    <w:rsid w:val="004F0141"/>
    <w:rsid w:val="004F06C7"/>
    <w:rsid w:val="004F0E9D"/>
    <w:rsid w:val="004F0EF3"/>
    <w:rsid w:val="004F4571"/>
    <w:rsid w:val="004F5309"/>
    <w:rsid w:val="004F6805"/>
    <w:rsid w:val="004F6B2C"/>
    <w:rsid w:val="0050011F"/>
    <w:rsid w:val="00502854"/>
    <w:rsid w:val="0050667F"/>
    <w:rsid w:val="00506C7C"/>
    <w:rsid w:val="005070DB"/>
    <w:rsid w:val="005112C3"/>
    <w:rsid w:val="00512AA5"/>
    <w:rsid w:val="00513B4E"/>
    <w:rsid w:val="00514812"/>
    <w:rsid w:val="00514EDB"/>
    <w:rsid w:val="00522120"/>
    <w:rsid w:val="005239B0"/>
    <w:rsid w:val="00527223"/>
    <w:rsid w:val="005274C5"/>
    <w:rsid w:val="005308E0"/>
    <w:rsid w:val="00531B2A"/>
    <w:rsid w:val="00532636"/>
    <w:rsid w:val="0053265F"/>
    <w:rsid w:val="00533390"/>
    <w:rsid w:val="005336D0"/>
    <w:rsid w:val="00536069"/>
    <w:rsid w:val="0053678B"/>
    <w:rsid w:val="00536FA6"/>
    <w:rsid w:val="0054039E"/>
    <w:rsid w:val="00540938"/>
    <w:rsid w:val="0054137A"/>
    <w:rsid w:val="00543746"/>
    <w:rsid w:val="005462E3"/>
    <w:rsid w:val="00546461"/>
    <w:rsid w:val="00550BDA"/>
    <w:rsid w:val="00551063"/>
    <w:rsid w:val="00551805"/>
    <w:rsid w:val="0055186F"/>
    <w:rsid w:val="005523B8"/>
    <w:rsid w:val="00552628"/>
    <w:rsid w:val="00552C17"/>
    <w:rsid w:val="005546F3"/>
    <w:rsid w:val="00555D5E"/>
    <w:rsid w:val="0055705A"/>
    <w:rsid w:val="00560383"/>
    <w:rsid w:val="00560568"/>
    <w:rsid w:val="00560C7A"/>
    <w:rsid w:val="00561E1A"/>
    <w:rsid w:val="00564107"/>
    <w:rsid w:val="00564C90"/>
    <w:rsid w:val="00564FA3"/>
    <w:rsid w:val="00567152"/>
    <w:rsid w:val="00567200"/>
    <w:rsid w:val="005679D8"/>
    <w:rsid w:val="005707E4"/>
    <w:rsid w:val="00571284"/>
    <w:rsid w:val="00572067"/>
    <w:rsid w:val="00574E66"/>
    <w:rsid w:val="00575511"/>
    <w:rsid w:val="00575576"/>
    <w:rsid w:val="00577057"/>
    <w:rsid w:val="00577517"/>
    <w:rsid w:val="00577B48"/>
    <w:rsid w:val="00583860"/>
    <w:rsid w:val="0058420A"/>
    <w:rsid w:val="0058459D"/>
    <w:rsid w:val="00584C56"/>
    <w:rsid w:val="0058611B"/>
    <w:rsid w:val="005913C5"/>
    <w:rsid w:val="00591B36"/>
    <w:rsid w:val="00592200"/>
    <w:rsid w:val="0059280C"/>
    <w:rsid w:val="005934FC"/>
    <w:rsid w:val="00594069"/>
    <w:rsid w:val="00594404"/>
    <w:rsid w:val="0059504B"/>
    <w:rsid w:val="005A0A1B"/>
    <w:rsid w:val="005A1116"/>
    <w:rsid w:val="005A5372"/>
    <w:rsid w:val="005B0464"/>
    <w:rsid w:val="005B26EE"/>
    <w:rsid w:val="005B5F61"/>
    <w:rsid w:val="005B747E"/>
    <w:rsid w:val="005B7D03"/>
    <w:rsid w:val="005C08DE"/>
    <w:rsid w:val="005C20AF"/>
    <w:rsid w:val="005C2DA6"/>
    <w:rsid w:val="005C4B84"/>
    <w:rsid w:val="005C5CDB"/>
    <w:rsid w:val="005C6343"/>
    <w:rsid w:val="005D0656"/>
    <w:rsid w:val="005D1365"/>
    <w:rsid w:val="005D38D0"/>
    <w:rsid w:val="005D44CE"/>
    <w:rsid w:val="005D4508"/>
    <w:rsid w:val="005D5627"/>
    <w:rsid w:val="005D620F"/>
    <w:rsid w:val="005D74F2"/>
    <w:rsid w:val="005D7D68"/>
    <w:rsid w:val="005E004D"/>
    <w:rsid w:val="005E02CD"/>
    <w:rsid w:val="005E0831"/>
    <w:rsid w:val="005E085B"/>
    <w:rsid w:val="005E23D1"/>
    <w:rsid w:val="005E32AF"/>
    <w:rsid w:val="005E68C1"/>
    <w:rsid w:val="005F1964"/>
    <w:rsid w:val="005F29C1"/>
    <w:rsid w:val="005F4481"/>
    <w:rsid w:val="005F6496"/>
    <w:rsid w:val="005F78BB"/>
    <w:rsid w:val="00602980"/>
    <w:rsid w:val="006029CE"/>
    <w:rsid w:val="00602B75"/>
    <w:rsid w:val="00604237"/>
    <w:rsid w:val="00605017"/>
    <w:rsid w:val="0060547A"/>
    <w:rsid w:val="00605A91"/>
    <w:rsid w:val="006071FD"/>
    <w:rsid w:val="006100A9"/>
    <w:rsid w:val="00610A3A"/>
    <w:rsid w:val="00610BE7"/>
    <w:rsid w:val="006118C5"/>
    <w:rsid w:val="006123C5"/>
    <w:rsid w:val="00612E0C"/>
    <w:rsid w:val="006161BD"/>
    <w:rsid w:val="00616715"/>
    <w:rsid w:val="00620262"/>
    <w:rsid w:val="00620ACE"/>
    <w:rsid w:val="00621F33"/>
    <w:rsid w:val="00622F41"/>
    <w:rsid w:val="00624DA5"/>
    <w:rsid w:val="006251D4"/>
    <w:rsid w:val="006275FD"/>
    <w:rsid w:val="00630281"/>
    <w:rsid w:val="0063216D"/>
    <w:rsid w:val="00633376"/>
    <w:rsid w:val="00633E20"/>
    <w:rsid w:val="00633F72"/>
    <w:rsid w:val="00634DFE"/>
    <w:rsid w:val="00634E7B"/>
    <w:rsid w:val="006374D0"/>
    <w:rsid w:val="00642807"/>
    <w:rsid w:val="00642E66"/>
    <w:rsid w:val="00643BF4"/>
    <w:rsid w:val="0064482C"/>
    <w:rsid w:val="006449E2"/>
    <w:rsid w:val="006458CE"/>
    <w:rsid w:val="0064648A"/>
    <w:rsid w:val="0065545E"/>
    <w:rsid w:val="00655B90"/>
    <w:rsid w:val="00656732"/>
    <w:rsid w:val="00657F8B"/>
    <w:rsid w:val="006624CA"/>
    <w:rsid w:val="00663D49"/>
    <w:rsid w:val="00664532"/>
    <w:rsid w:val="00665985"/>
    <w:rsid w:val="00666B25"/>
    <w:rsid w:val="00670E8A"/>
    <w:rsid w:val="006711F3"/>
    <w:rsid w:val="0067199C"/>
    <w:rsid w:val="00673348"/>
    <w:rsid w:val="00673BE3"/>
    <w:rsid w:val="00675F54"/>
    <w:rsid w:val="00676A69"/>
    <w:rsid w:val="00677EAB"/>
    <w:rsid w:val="00680EA5"/>
    <w:rsid w:val="006839FF"/>
    <w:rsid w:val="0068457E"/>
    <w:rsid w:val="00685580"/>
    <w:rsid w:val="00686FEA"/>
    <w:rsid w:val="00687CEC"/>
    <w:rsid w:val="00687EB9"/>
    <w:rsid w:val="006914A3"/>
    <w:rsid w:val="00691B9D"/>
    <w:rsid w:val="00693845"/>
    <w:rsid w:val="006949BA"/>
    <w:rsid w:val="0069766D"/>
    <w:rsid w:val="00697E93"/>
    <w:rsid w:val="006A0727"/>
    <w:rsid w:val="006A1A6B"/>
    <w:rsid w:val="006A1AC2"/>
    <w:rsid w:val="006A21FE"/>
    <w:rsid w:val="006A3617"/>
    <w:rsid w:val="006A483E"/>
    <w:rsid w:val="006A545B"/>
    <w:rsid w:val="006A5CC5"/>
    <w:rsid w:val="006A6025"/>
    <w:rsid w:val="006A67F9"/>
    <w:rsid w:val="006B0E2A"/>
    <w:rsid w:val="006B12C0"/>
    <w:rsid w:val="006B21AD"/>
    <w:rsid w:val="006B2B03"/>
    <w:rsid w:val="006B37E4"/>
    <w:rsid w:val="006B3BA2"/>
    <w:rsid w:val="006B3CA1"/>
    <w:rsid w:val="006B4787"/>
    <w:rsid w:val="006B4A7F"/>
    <w:rsid w:val="006B68E2"/>
    <w:rsid w:val="006B710A"/>
    <w:rsid w:val="006C2539"/>
    <w:rsid w:val="006C6E00"/>
    <w:rsid w:val="006C6F0E"/>
    <w:rsid w:val="006C7C9D"/>
    <w:rsid w:val="006D0467"/>
    <w:rsid w:val="006D11BB"/>
    <w:rsid w:val="006D6104"/>
    <w:rsid w:val="006D7239"/>
    <w:rsid w:val="006E19E7"/>
    <w:rsid w:val="006E3071"/>
    <w:rsid w:val="006E4145"/>
    <w:rsid w:val="006E41E3"/>
    <w:rsid w:val="006F0712"/>
    <w:rsid w:val="006F4488"/>
    <w:rsid w:val="006F619F"/>
    <w:rsid w:val="006F65B1"/>
    <w:rsid w:val="00703115"/>
    <w:rsid w:val="007119FB"/>
    <w:rsid w:val="0071202A"/>
    <w:rsid w:val="007137B7"/>
    <w:rsid w:val="00714159"/>
    <w:rsid w:val="0071754F"/>
    <w:rsid w:val="00717875"/>
    <w:rsid w:val="00721214"/>
    <w:rsid w:val="00721843"/>
    <w:rsid w:val="00722693"/>
    <w:rsid w:val="00722FAE"/>
    <w:rsid w:val="00723DE2"/>
    <w:rsid w:val="00723EE9"/>
    <w:rsid w:val="007253D8"/>
    <w:rsid w:val="0072562F"/>
    <w:rsid w:val="00730E0A"/>
    <w:rsid w:val="00731A03"/>
    <w:rsid w:val="007325A6"/>
    <w:rsid w:val="00733CBE"/>
    <w:rsid w:val="0073480E"/>
    <w:rsid w:val="0073522A"/>
    <w:rsid w:val="00735DE3"/>
    <w:rsid w:val="0074309C"/>
    <w:rsid w:val="00743DA2"/>
    <w:rsid w:val="00743DD7"/>
    <w:rsid w:val="007443E9"/>
    <w:rsid w:val="007458B8"/>
    <w:rsid w:val="00745A33"/>
    <w:rsid w:val="007503AE"/>
    <w:rsid w:val="00751C3B"/>
    <w:rsid w:val="0075289B"/>
    <w:rsid w:val="00753240"/>
    <w:rsid w:val="00754A32"/>
    <w:rsid w:val="00754A84"/>
    <w:rsid w:val="00756232"/>
    <w:rsid w:val="00762EC6"/>
    <w:rsid w:val="007648E4"/>
    <w:rsid w:val="00767DA1"/>
    <w:rsid w:val="007703A2"/>
    <w:rsid w:val="0077282C"/>
    <w:rsid w:val="00772F05"/>
    <w:rsid w:val="00773586"/>
    <w:rsid w:val="00774F36"/>
    <w:rsid w:val="00776B3C"/>
    <w:rsid w:val="00781CB8"/>
    <w:rsid w:val="00781D3F"/>
    <w:rsid w:val="00783480"/>
    <w:rsid w:val="0078556E"/>
    <w:rsid w:val="00787435"/>
    <w:rsid w:val="00790313"/>
    <w:rsid w:val="00791916"/>
    <w:rsid w:val="00794A66"/>
    <w:rsid w:val="00794BF4"/>
    <w:rsid w:val="00796149"/>
    <w:rsid w:val="00797260"/>
    <w:rsid w:val="00797A8E"/>
    <w:rsid w:val="007A2ED1"/>
    <w:rsid w:val="007A307C"/>
    <w:rsid w:val="007A626A"/>
    <w:rsid w:val="007B0066"/>
    <w:rsid w:val="007B0436"/>
    <w:rsid w:val="007B08BF"/>
    <w:rsid w:val="007B0E4C"/>
    <w:rsid w:val="007B1C71"/>
    <w:rsid w:val="007B2DE5"/>
    <w:rsid w:val="007B51C0"/>
    <w:rsid w:val="007B5591"/>
    <w:rsid w:val="007B55D4"/>
    <w:rsid w:val="007B5CFC"/>
    <w:rsid w:val="007B6A70"/>
    <w:rsid w:val="007B6AD7"/>
    <w:rsid w:val="007B7320"/>
    <w:rsid w:val="007B7D90"/>
    <w:rsid w:val="007C252B"/>
    <w:rsid w:val="007C2A94"/>
    <w:rsid w:val="007C565B"/>
    <w:rsid w:val="007C6CAB"/>
    <w:rsid w:val="007D0B50"/>
    <w:rsid w:val="007D14FF"/>
    <w:rsid w:val="007D2223"/>
    <w:rsid w:val="007D25BF"/>
    <w:rsid w:val="007D3DC1"/>
    <w:rsid w:val="007D4FD9"/>
    <w:rsid w:val="007D546F"/>
    <w:rsid w:val="007D5C3E"/>
    <w:rsid w:val="007D615F"/>
    <w:rsid w:val="007D764E"/>
    <w:rsid w:val="007E3B33"/>
    <w:rsid w:val="007E416E"/>
    <w:rsid w:val="007E4931"/>
    <w:rsid w:val="007E4BB3"/>
    <w:rsid w:val="007E57B0"/>
    <w:rsid w:val="007E6D06"/>
    <w:rsid w:val="007F0453"/>
    <w:rsid w:val="007F13AB"/>
    <w:rsid w:val="007F22EF"/>
    <w:rsid w:val="007F2774"/>
    <w:rsid w:val="007F3B44"/>
    <w:rsid w:val="007F764A"/>
    <w:rsid w:val="00801C23"/>
    <w:rsid w:val="00801C70"/>
    <w:rsid w:val="008023AC"/>
    <w:rsid w:val="008026FE"/>
    <w:rsid w:val="00804AEC"/>
    <w:rsid w:val="0081046F"/>
    <w:rsid w:val="008152F9"/>
    <w:rsid w:val="00815A1F"/>
    <w:rsid w:val="00815E23"/>
    <w:rsid w:val="00820F66"/>
    <w:rsid w:val="00821E7C"/>
    <w:rsid w:val="00823B02"/>
    <w:rsid w:val="00825175"/>
    <w:rsid w:val="00827358"/>
    <w:rsid w:val="00835438"/>
    <w:rsid w:val="008365C7"/>
    <w:rsid w:val="00836CCC"/>
    <w:rsid w:val="008372E4"/>
    <w:rsid w:val="0084046A"/>
    <w:rsid w:val="008420CD"/>
    <w:rsid w:val="00843A04"/>
    <w:rsid w:val="00843BC1"/>
    <w:rsid w:val="00844AAF"/>
    <w:rsid w:val="00844D1E"/>
    <w:rsid w:val="00850101"/>
    <w:rsid w:val="00852E53"/>
    <w:rsid w:val="00857679"/>
    <w:rsid w:val="00857B08"/>
    <w:rsid w:val="00860083"/>
    <w:rsid w:val="00860DE1"/>
    <w:rsid w:val="0086191F"/>
    <w:rsid w:val="00861CD4"/>
    <w:rsid w:val="00862E9F"/>
    <w:rsid w:val="00863993"/>
    <w:rsid w:val="00864599"/>
    <w:rsid w:val="00865686"/>
    <w:rsid w:val="00865B5C"/>
    <w:rsid w:val="00867986"/>
    <w:rsid w:val="00870937"/>
    <w:rsid w:val="00870AC5"/>
    <w:rsid w:val="008728CE"/>
    <w:rsid w:val="00873BBB"/>
    <w:rsid w:val="008814B8"/>
    <w:rsid w:val="008819DA"/>
    <w:rsid w:val="00883C9F"/>
    <w:rsid w:val="00884EDD"/>
    <w:rsid w:val="00887873"/>
    <w:rsid w:val="00887A65"/>
    <w:rsid w:val="00887DA5"/>
    <w:rsid w:val="0089063B"/>
    <w:rsid w:val="00890C34"/>
    <w:rsid w:val="008917B9"/>
    <w:rsid w:val="00891992"/>
    <w:rsid w:val="00896014"/>
    <w:rsid w:val="008967EA"/>
    <w:rsid w:val="00897A4C"/>
    <w:rsid w:val="008A2F14"/>
    <w:rsid w:val="008A34DC"/>
    <w:rsid w:val="008A611F"/>
    <w:rsid w:val="008A6F94"/>
    <w:rsid w:val="008B013E"/>
    <w:rsid w:val="008B1721"/>
    <w:rsid w:val="008B4134"/>
    <w:rsid w:val="008B41A6"/>
    <w:rsid w:val="008B4353"/>
    <w:rsid w:val="008B4457"/>
    <w:rsid w:val="008B588B"/>
    <w:rsid w:val="008B5AF8"/>
    <w:rsid w:val="008B622D"/>
    <w:rsid w:val="008B64E1"/>
    <w:rsid w:val="008C0173"/>
    <w:rsid w:val="008C0F2B"/>
    <w:rsid w:val="008C1DB1"/>
    <w:rsid w:val="008C254E"/>
    <w:rsid w:val="008D03FD"/>
    <w:rsid w:val="008D2C52"/>
    <w:rsid w:val="008D320C"/>
    <w:rsid w:val="008D35AB"/>
    <w:rsid w:val="008D3DE5"/>
    <w:rsid w:val="008D4745"/>
    <w:rsid w:val="008D57AD"/>
    <w:rsid w:val="008D5D30"/>
    <w:rsid w:val="008E25F1"/>
    <w:rsid w:val="008E2E2B"/>
    <w:rsid w:val="008E37DB"/>
    <w:rsid w:val="008E646F"/>
    <w:rsid w:val="008E6A45"/>
    <w:rsid w:val="008E7BCC"/>
    <w:rsid w:val="008F0392"/>
    <w:rsid w:val="008F45DC"/>
    <w:rsid w:val="008F6A53"/>
    <w:rsid w:val="008F747C"/>
    <w:rsid w:val="008F7931"/>
    <w:rsid w:val="0090058E"/>
    <w:rsid w:val="0090209F"/>
    <w:rsid w:val="0090309E"/>
    <w:rsid w:val="009054CB"/>
    <w:rsid w:val="00906DF9"/>
    <w:rsid w:val="009073F9"/>
    <w:rsid w:val="00910645"/>
    <w:rsid w:val="009107B7"/>
    <w:rsid w:val="00912577"/>
    <w:rsid w:val="00917040"/>
    <w:rsid w:val="00920867"/>
    <w:rsid w:val="00920F2A"/>
    <w:rsid w:val="00921B83"/>
    <w:rsid w:val="00921E9E"/>
    <w:rsid w:val="00921FE8"/>
    <w:rsid w:val="00922D98"/>
    <w:rsid w:val="00924613"/>
    <w:rsid w:val="00924BA1"/>
    <w:rsid w:val="00927B39"/>
    <w:rsid w:val="009304AE"/>
    <w:rsid w:val="00932B7E"/>
    <w:rsid w:val="00934888"/>
    <w:rsid w:val="00934C6C"/>
    <w:rsid w:val="0093527F"/>
    <w:rsid w:val="00936460"/>
    <w:rsid w:val="00936B7D"/>
    <w:rsid w:val="00937F3B"/>
    <w:rsid w:val="00940F46"/>
    <w:rsid w:val="00941958"/>
    <w:rsid w:val="00942059"/>
    <w:rsid w:val="00942174"/>
    <w:rsid w:val="00942F2F"/>
    <w:rsid w:val="00943B99"/>
    <w:rsid w:val="00943F3F"/>
    <w:rsid w:val="00945298"/>
    <w:rsid w:val="00945D81"/>
    <w:rsid w:val="00947DD6"/>
    <w:rsid w:val="00954D4E"/>
    <w:rsid w:val="00954D9D"/>
    <w:rsid w:val="009571C8"/>
    <w:rsid w:val="0096142F"/>
    <w:rsid w:val="009614C8"/>
    <w:rsid w:val="00961946"/>
    <w:rsid w:val="00962901"/>
    <w:rsid w:val="00962ECD"/>
    <w:rsid w:val="00962EF0"/>
    <w:rsid w:val="00965A6D"/>
    <w:rsid w:val="00965F95"/>
    <w:rsid w:val="00966E34"/>
    <w:rsid w:val="00967256"/>
    <w:rsid w:val="009674A5"/>
    <w:rsid w:val="0097131C"/>
    <w:rsid w:val="00973211"/>
    <w:rsid w:val="00973610"/>
    <w:rsid w:val="00973D5E"/>
    <w:rsid w:val="00974BC4"/>
    <w:rsid w:val="0098068F"/>
    <w:rsid w:val="00982C99"/>
    <w:rsid w:val="0098477A"/>
    <w:rsid w:val="00985BC3"/>
    <w:rsid w:val="00986E8C"/>
    <w:rsid w:val="00987797"/>
    <w:rsid w:val="00987DB1"/>
    <w:rsid w:val="009916F8"/>
    <w:rsid w:val="00994C82"/>
    <w:rsid w:val="00997154"/>
    <w:rsid w:val="009979A7"/>
    <w:rsid w:val="009A194A"/>
    <w:rsid w:val="009A19EC"/>
    <w:rsid w:val="009A2C06"/>
    <w:rsid w:val="009A5C5C"/>
    <w:rsid w:val="009A7436"/>
    <w:rsid w:val="009B2AE9"/>
    <w:rsid w:val="009B2EB4"/>
    <w:rsid w:val="009B2F59"/>
    <w:rsid w:val="009B2FE6"/>
    <w:rsid w:val="009B307F"/>
    <w:rsid w:val="009B4797"/>
    <w:rsid w:val="009B7D50"/>
    <w:rsid w:val="009C1C42"/>
    <w:rsid w:val="009C2F5A"/>
    <w:rsid w:val="009C3EA4"/>
    <w:rsid w:val="009C6292"/>
    <w:rsid w:val="009C6F26"/>
    <w:rsid w:val="009C75F5"/>
    <w:rsid w:val="009C7AAB"/>
    <w:rsid w:val="009C7EC2"/>
    <w:rsid w:val="009D5AFF"/>
    <w:rsid w:val="009D5D8D"/>
    <w:rsid w:val="009D763A"/>
    <w:rsid w:val="009E1F42"/>
    <w:rsid w:val="009E4F60"/>
    <w:rsid w:val="009E628C"/>
    <w:rsid w:val="009F0791"/>
    <w:rsid w:val="009F0A07"/>
    <w:rsid w:val="009F437F"/>
    <w:rsid w:val="009F45E0"/>
    <w:rsid w:val="009F4A71"/>
    <w:rsid w:val="009F50FD"/>
    <w:rsid w:val="009F7D06"/>
    <w:rsid w:val="00A00A94"/>
    <w:rsid w:val="00A01058"/>
    <w:rsid w:val="00A02774"/>
    <w:rsid w:val="00A06676"/>
    <w:rsid w:val="00A06AF5"/>
    <w:rsid w:val="00A06F3E"/>
    <w:rsid w:val="00A06FE9"/>
    <w:rsid w:val="00A070F2"/>
    <w:rsid w:val="00A115F5"/>
    <w:rsid w:val="00A12EA0"/>
    <w:rsid w:val="00A13E2C"/>
    <w:rsid w:val="00A1429E"/>
    <w:rsid w:val="00A150E1"/>
    <w:rsid w:val="00A16074"/>
    <w:rsid w:val="00A16600"/>
    <w:rsid w:val="00A176D4"/>
    <w:rsid w:val="00A22CF8"/>
    <w:rsid w:val="00A232CD"/>
    <w:rsid w:val="00A256AB"/>
    <w:rsid w:val="00A256F8"/>
    <w:rsid w:val="00A307F2"/>
    <w:rsid w:val="00A323C5"/>
    <w:rsid w:val="00A325C8"/>
    <w:rsid w:val="00A3287E"/>
    <w:rsid w:val="00A32B3F"/>
    <w:rsid w:val="00A34777"/>
    <w:rsid w:val="00A36552"/>
    <w:rsid w:val="00A37E72"/>
    <w:rsid w:val="00A4005C"/>
    <w:rsid w:val="00A41B04"/>
    <w:rsid w:val="00A44807"/>
    <w:rsid w:val="00A45877"/>
    <w:rsid w:val="00A47F5A"/>
    <w:rsid w:val="00A5263A"/>
    <w:rsid w:val="00A52978"/>
    <w:rsid w:val="00A52CAE"/>
    <w:rsid w:val="00A53427"/>
    <w:rsid w:val="00A5510D"/>
    <w:rsid w:val="00A61635"/>
    <w:rsid w:val="00A6211A"/>
    <w:rsid w:val="00A63118"/>
    <w:rsid w:val="00A6460E"/>
    <w:rsid w:val="00A65508"/>
    <w:rsid w:val="00A65BDE"/>
    <w:rsid w:val="00A65D71"/>
    <w:rsid w:val="00A66AE1"/>
    <w:rsid w:val="00A67230"/>
    <w:rsid w:val="00A67CD8"/>
    <w:rsid w:val="00A727B1"/>
    <w:rsid w:val="00A7324C"/>
    <w:rsid w:val="00A74660"/>
    <w:rsid w:val="00A74AEB"/>
    <w:rsid w:val="00A74B2B"/>
    <w:rsid w:val="00A77DD3"/>
    <w:rsid w:val="00A77E9F"/>
    <w:rsid w:val="00A82B49"/>
    <w:rsid w:val="00A82D5E"/>
    <w:rsid w:val="00A8370C"/>
    <w:rsid w:val="00A840AC"/>
    <w:rsid w:val="00A851C2"/>
    <w:rsid w:val="00A85D95"/>
    <w:rsid w:val="00A86D6C"/>
    <w:rsid w:val="00A870BA"/>
    <w:rsid w:val="00A87468"/>
    <w:rsid w:val="00A876B6"/>
    <w:rsid w:val="00A90DA1"/>
    <w:rsid w:val="00A9203C"/>
    <w:rsid w:val="00A9261A"/>
    <w:rsid w:val="00A946F7"/>
    <w:rsid w:val="00A96D30"/>
    <w:rsid w:val="00A97073"/>
    <w:rsid w:val="00A9780D"/>
    <w:rsid w:val="00A97B79"/>
    <w:rsid w:val="00AA070D"/>
    <w:rsid w:val="00AA08CD"/>
    <w:rsid w:val="00AA0F09"/>
    <w:rsid w:val="00AA1352"/>
    <w:rsid w:val="00AA2AE0"/>
    <w:rsid w:val="00AA31E8"/>
    <w:rsid w:val="00AA383D"/>
    <w:rsid w:val="00AA5EF8"/>
    <w:rsid w:val="00AA698E"/>
    <w:rsid w:val="00AA7CBB"/>
    <w:rsid w:val="00AB11C4"/>
    <w:rsid w:val="00AB172B"/>
    <w:rsid w:val="00AB19CF"/>
    <w:rsid w:val="00AB240C"/>
    <w:rsid w:val="00AB37B9"/>
    <w:rsid w:val="00AB3B9D"/>
    <w:rsid w:val="00AB5F06"/>
    <w:rsid w:val="00AB7175"/>
    <w:rsid w:val="00AC3A0C"/>
    <w:rsid w:val="00AC4232"/>
    <w:rsid w:val="00AC5C5A"/>
    <w:rsid w:val="00AC7FA2"/>
    <w:rsid w:val="00AD0674"/>
    <w:rsid w:val="00AD2D18"/>
    <w:rsid w:val="00AD3018"/>
    <w:rsid w:val="00AD3044"/>
    <w:rsid w:val="00AD4B7D"/>
    <w:rsid w:val="00AD6394"/>
    <w:rsid w:val="00AD650D"/>
    <w:rsid w:val="00AD7093"/>
    <w:rsid w:val="00AE13AF"/>
    <w:rsid w:val="00AE311A"/>
    <w:rsid w:val="00AE51E7"/>
    <w:rsid w:val="00AE5EE3"/>
    <w:rsid w:val="00AE62EF"/>
    <w:rsid w:val="00AF06BC"/>
    <w:rsid w:val="00AF0759"/>
    <w:rsid w:val="00AF0C03"/>
    <w:rsid w:val="00AF0DD3"/>
    <w:rsid w:val="00AF2871"/>
    <w:rsid w:val="00AF5CB4"/>
    <w:rsid w:val="00AF615B"/>
    <w:rsid w:val="00AF653D"/>
    <w:rsid w:val="00AF6B43"/>
    <w:rsid w:val="00AF7B08"/>
    <w:rsid w:val="00B04372"/>
    <w:rsid w:val="00B058E9"/>
    <w:rsid w:val="00B1179B"/>
    <w:rsid w:val="00B12B15"/>
    <w:rsid w:val="00B14604"/>
    <w:rsid w:val="00B16016"/>
    <w:rsid w:val="00B17520"/>
    <w:rsid w:val="00B2189B"/>
    <w:rsid w:val="00B234AF"/>
    <w:rsid w:val="00B27F1B"/>
    <w:rsid w:val="00B31C8D"/>
    <w:rsid w:val="00B31ED8"/>
    <w:rsid w:val="00B349E4"/>
    <w:rsid w:val="00B36A0D"/>
    <w:rsid w:val="00B414FF"/>
    <w:rsid w:val="00B43107"/>
    <w:rsid w:val="00B439EC"/>
    <w:rsid w:val="00B44A9D"/>
    <w:rsid w:val="00B466C8"/>
    <w:rsid w:val="00B46886"/>
    <w:rsid w:val="00B47109"/>
    <w:rsid w:val="00B50945"/>
    <w:rsid w:val="00B5122D"/>
    <w:rsid w:val="00B52813"/>
    <w:rsid w:val="00B53242"/>
    <w:rsid w:val="00B533C5"/>
    <w:rsid w:val="00B5382C"/>
    <w:rsid w:val="00B5781C"/>
    <w:rsid w:val="00B62418"/>
    <w:rsid w:val="00B624CF"/>
    <w:rsid w:val="00B63B4B"/>
    <w:rsid w:val="00B64462"/>
    <w:rsid w:val="00B64B9B"/>
    <w:rsid w:val="00B6694A"/>
    <w:rsid w:val="00B70E51"/>
    <w:rsid w:val="00B734A5"/>
    <w:rsid w:val="00B744DD"/>
    <w:rsid w:val="00B7770D"/>
    <w:rsid w:val="00B811F1"/>
    <w:rsid w:val="00B824FD"/>
    <w:rsid w:val="00B847B7"/>
    <w:rsid w:val="00B86138"/>
    <w:rsid w:val="00B86590"/>
    <w:rsid w:val="00B86E88"/>
    <w:rsid w:val="00B90CD0"/>
    <w:rsid w:val="00B9304A"/>
    <w:rsid w:val="00B930C9"/>
    <w:rsid w:val="00B94C7D"/>
    <w:rsid w:val="00B956B8"/>
    <w:rsid w:val="00B95A43"/>
    <w:rsid w:val="00B96061"/>
    <w:rsid w:val="00B97A29"/>
    <w:rsid w:val="00B97D8D"/>
    <w:rsid w:val="00BA1251"/>
    <w:rsid w:val="00BA3604"/>
    <w:rsid w:val="00BB00E8"/>
    <w:rsid w:val="00BB0261"/>
    <w:rsid w:val="00BB0341"/>
    <w:rsid w:val="00BB0755"/>
    <w:rsid w:val="00BB3F05"/>
    <w:rsid w:val="00BB4A78"/>
    <w:rsid w:val="00BB4C78"/>
    <w:rsid w:val="00BB5724"/>
    <w:rsid w:val="00BB6C72"/>
    <w:rsid w:val="00BB7135"/>
    <w:rsid w:val="00BB765F"/>
    <w:rsid w:val="00BC0115"/>
    <w:rsid w:val="00BC0BE2"/>
    <w:rsid w:val="00BC1052"/>
    <w:rsid w:val="00BC5445"/>
    <w:rsid w:val="00BC69A1"/>
    <w:rsid w:val="00BC7B0E"/>
    <w:rsid w:val="00BD2433"/>
    <w:rsid w:val="00BD25AE"/>
    <w:rsid w:val="00BD3A44"/>
    <w:rsid w:val="00BD4B3F"/>
    <w:rsid w:val="00BD6CF4"/>
    <w:rsid w:val="00BD7C39"/>
    <w:rsid w:val="00BE0DFE"/>
    <w:rsid w:val="00BE1DEB"/>
    <w:rsid w:val="00BE3015"/>
    <w:rsid w:val="00BF04BB"/>
    <w:rsid w:val="00BF1293"/>
    <w:rsid w:val="00BF22FC"/>
    <w:rsid w:val="00C02DB7"/>
    <w:rsid w:val="00C02DEE"/>
    <w:rsid w:val="00C05556"/>
    <w:rsid w:val="00C11323"/>
    <w:rsid w:val="00C130BE"/>
    <w:rsid w:val="00C14F5D"/>
    <w:rsid w:val="00C223D4"/>
    <w:rsid w:val="00C23519"/>
    <w:rsid w:val="00C303AF"/>
    <w:rsid w:val="00C33A83"/>
    <w:rsid w:val="00C34E04"/>
    <w:rsid w:val="00C35126"/>
    <w:rsid w:val="00C3529A"/>
    <w:rsid w:val="00C36F27"/>
    <w:rsid w:val="00C41591"/>
    <w:rsid w:val="00C43947"/>
    <w:rsid w:val="00C44029"/>
    <w:rsid w:val="00C45F98"/>
    <w:rsid w:val="00C46BCF"/>
    <w:rsid w:val="00C51DDA"/>
    <w:rsid w:val="00C52216"/>
    <w:rsid w:val="00C607E3"/>
    <w:rsid w:val="00C61825"/>
    <w:rsid w:val="00C620CE"/>
    <w:rsid w:val="00C6456D"/>
    <w:rsid w:val="00C652DC"/>
    <w:rsid w:val="00C65A4B"/>
    <w:rsid w:val="00C66266"/>
    <w:rsid w:val="00C66652"/>
    <w:rsid w:val="00C666C2"/>
    <w:rsid w:val="00C66B8F"/>
    <w:rsid w:val="00C67169"/>
    <w:rsid w:val="00C673A3"/>
    <w:rsid w:val="00C706B1"/>
    <w:rsid w:val="00C71903"/>
    <w:rsid w:val="00C72C18"/>
    <w:rsid w:val="00C734FE"/>
    <w:rsid w:val="00C7450C"/>
    <w:rsid w:val="00C74578"/>
    <w:rsid w:val="00C74D75"/>
    <w:rsid w:val="00C81A83"/>
    <w:rsid w:val="00C83711"/>
    <w:rsid w:val="00C8384A"/>
    <w:rsid w:val="00C83EF4"/>
    <w:rsid w:val="00C878A5"/>
    <w:rsid w:val="00C90BA2"/>
    <w:rsid w:val="00C91455"/>
    <w:rsid w:val="00C92818"/>
    <w:rsid w:val="00C93C8C"/>
    <w:rsid w:val="00C94D39"/>
    <w:rsid w:val="00C962B2"/>
    <w:rsid w:val="00C966CE"/>
    <w:rsid w:val="00CA0838"/>
    <w:rsid w:val="00CA0B3A"/>
    <w:rsid w:val="00CA12D4"/>
    <w:rsid w:val="00CA2349"/>
    <w:rsid w:val="00CA2DDF"/>
    <w:rsid w:val="00CA45E2"/>
    <w:rsid w:val="00CB0A35"/>
    <w:rsid w:val="00CB2F2F"/>
    <w:rsid w:val="00CB5E6A"/>
    <w:rsid w:val="00CC15D3"/>
    <w:rsid w:val="00CC195B"/>
    <w:rsid w:val="00CC1BB3"/>
    <w:rsid w:val="00CC1C3C"/>
    <w:rsid w:val="00CC281E"/>
    <w:rsid w:val="00CC28F4"/>
    <w:rsid w:val="00CC49AE"/>
    <w:rsid w:val="00CC4DC9"/>
    <w:rsid w:val="00CC550E"/>
    <w:rsid w:val="00CC5717"/>
    <w:rsid w:val="00CC7FAC"/>
    <w:rsid w:val="00CD3A0E"/>
    <w:rsid w:val="00CD3B89"/>
    <w:rsid w:val="00CD417D"/>
    <w:rsid w:val="00CD428F"/>
    <w:rsid w:val="00CD429A"/>
    <w:rsid w:val="00CD472D"/>
    <w:rsid w:val="00CD611F"/>
    <w:rsid w:val="00CD7CB4"/>
    <w:rsid w:val="00CE0C07"/>
    <w:rsid w:val="00CE48F7"/>
    <w:rsid w:val="00CE52EB"/>
    <w:rsid w:val="00CE782D"/>
    <w:rsid w:val="00CF00C0"/>
    <w:rsid w:val="00CF248C"/>
    <w:rsid w:val="00CF2FD2"/>
    <w:rsid w:val="00CF3055"/>
    <w:rsid w:val="00CF4554"/>
    <w:rsid w:val="00CF47EB"/>
    <w:rsid w:val="00CF4D95"/>
    <w:rsid w:val="00CF629A"/>
    <w:rsid w:val="00CF6933"/>
    <w:rsid w:val="00CF6FDB"/>
    <w:rsid w:val="00D02797"/>
    <w:rsid w:val="00D02EFD"/>
    <w:rsid w:val="00D07BD9"/>
    <w:rsid w:val="00D108CD"/>
    <w:rsid w:val="00D12A50"/>
    <w:rsid w:val="00D13BBD"/>
    <w:rsid w:val="00D1595A"/>
    <w:rsid w:val="00D16CD4"/>
    <w:rsid w:val="00D224C5"/>
    <w:rsid w:val="00D24197"/>
    <w:rsid w:val="00D307A2"/>
    <w:rsid w:val="00D307BF"/>
    <w:rsid w:val="00D307EB"/>
    <w:rsid w:val="00D31989"/>
    <w:rsid w:val="00D324C0"/>
    <w:rsid w:val="00D32783"/>
    <w:rsid w:val="00D32A6A"/>
    <w:rsid w:val="00D34C0E"/>
    <w:rsid w:val="00D34C1B"/>
    <w:rsid w:val="00D37F69"/>
    <w:rsid w:val="00D42ACE"/>
    <w:rsid w:val="00D43665"/>
    <w:rsid w:val="00D448DA"/>
    <w:rsid w:val="00D4500E"/>
    <w:rsid w:val="00D456A3"/>
    <w:rsid w:val="00D464E2"/>
    <w:rsid w:val="00D4763D"/>
    <w:rsid w:val="00D47959"/>
    <w:rsid w:val="00D54570"/>
    <w:rsid w:val="00D54F20"/>
    <w:rsid w:val="00D57730"/>
    <w:rsid w:val="00D613C1"/>
    <w:rsid w:val="00D61F56"/>
    <w:rsid w:val="00D6267A"/>
    <w:rsid w:val="00D643E9"/>
    <w:rsid w:val="00D64EA6"/>
    <w:rsid w:val="00D6769E"/>
    <w:rsid w:val="00D676CC"/>
    <w:rsid w:val="00D80134"/>
    <w:rsid w:val="00D80335"/>
    <w:rsid w:val="00D8391E"/>
    <w:rsid w:val="00D84365"/>
    <w:rsid w:val="00D8711D"/>
    <w:rsid w:val="00D8755F"/>
    <w:rsid w:val="00D914D8"/>
    <w:rsid w:val="00D936FA"/>
    <w:rsid w:val="00DA02BB"/>
    <w:rsid w:val="00DA67FE"/>
    <w:rsid w:val="00DB13E5"/>
    <w:rsid w:val="00DB29A6"/>
    <w:rsid w:val="00DB3528"/>
    <w:rsid w:val="00DB360D"/>
    <w:rsid w:val="00DB36EA"/>
    <w:rsid w:val="00DB3B6E"/>
    <w:rsid w:val="00DB5684"/>
    <w:rsid w:val="00DB5D3D"/>
    <w:rsid w:val="00DB6971"/>
    <w:rsid w:val="00DB715D"/>
    <w:rsid w:val="00DB7735"/>
    <w:rsid w:val="00DC07B4"/>
    <w:rsid w:val="00DC24A9"/>
    <w:rsid w:val="00DC33F7"/>
    <w:rsid w:val="00DC416A"/>
    <w:rsid w:val="00DC42A0"/>
    <w:rsid w:val="00DC45F9"/>
    <w:rsid w:val="00DC4BF4"/>
    <w:rsid w:val="00DC520A"/>
    <w:rsid w:val="00DC5221"/>
    <w:rsid w:val="00DC5436"/>
    <w:rsid w:val="00DC58D5"/>
    <w:rsid w:val="00DD0139"/>
    <w:rsid w:val="00DD0DD6"/>
    <w:rsid w:val="00DD1D6B"/>
    <w:rsid w:val="00DD2121"/>
    <w:rsid w:val="00DD35E2"/>
    <w:rsid w:val="00DD613F"/>
    <w:rsid w:val="00DD6860"/>
    <w:rsid w:val="00DE0DD6"/>
    <w:rsid w:val="00DE2A17"/>
    <w:rsid w:val="00DE2DA4"/>
    <w:rsid w:val="00DE361D"/>
    <w:rsid w:val="00DE6DCA"/>
    <w:rsid w:val="00DE7245"/>
    <w:rsid w:val="00DF0984"/>
    <w:rsid w:val="00DF12CD"/>
    <w:rsid w:val="00DF3397"/>
    <w:rsid w:val="00DF6F79"/>
    <w:rsid w:val="00E0149A"/>
    <w:rsid w:val="00E015AE"/>
    <w:rsid w:val="00E0217F"/>
    <w:rsid w:val="00E0378E"/>
    <w:rsid w:val="00E0439B"/>
    <w:rsid w:val="00E0528B"/>
    <w:rsid w:val="00E05388"/>
    <w:rsid w:val="00E06590"/>
    <w:rsid w:val="00E072BE"/>
    <w:rsid w:val="00E10121"/>
    <w:rsid w:val="00E1256B"/>
    <w:rsid w:val="00E15996"/>
    <w:rsid w:val="00E16177"/>
    <w:rsid w:val="00E16894"/>
    <w:rsid w:val="00E209E8"/>
    <w:rsid w:val="00E227D7"/>
    <w:rsid w:val="00E23168"/>
    <w:rsid w:val="00E273F1"/>
    <w:rsid w:val="00E30AE4"/>
    <w:rsid w:val="00E3284A"/>
    <w:rsid w:val="00E3574F"/>
    <w:rsid w:val="00E40079"/>
    <w:rsid w:val="00E423A7"/>
    <w:rsid w:val="00E450E5"/>
    <w:rsid w:val="00E464AC"/>
    <w:rsid w:val="00E47B88"/>
    <w:rsid w:val="00E50AC7"/>
    <w:rsid w:val="00E50C47"/>
    <w:rsid w:val="00E51CC2"/>
    <w:rsid w:val="00E55047"/>
    <w:rsid w:val="00E55B8A"/>
    <w:rsid w:val="00E61585"/>
    <w:rsid w:val="00E61B79"/>
    <w:rsid w:val="00E626C1"/>
    <w:rsid w:val="00E65035"/>
    <w:rsid w:val="00E662C0"/>
    <w:rsid w:val="00E72617"/>
    <w:rsid w:val="00E74AE3"/>
    <w:rsid w:val="00E770B0"/>
    <w:rsid w:val="00E77C6D"/>
    <w:rsid w:val="00E81CD6"/>
    <w:rsid w:val="00E82541"/>
    <w:rsid w:val="00E8397D"/>
    <w:rsid w:val="00E83BE7"/>
    <w:rsid w:val="00E87044"/>
    <w:rsid w:val="00E87F7D"/>
    <w:rsid w:val="00E90F30"/>
    <w:rsid w:val="00E946CB"/>
    <w:rsid w:val="00E97C71"/>
    <w:rsid w:val="00EA0458"/>
    <w:rsid w:val="00EA0FA1"/>
    <w:rsid w:val="00EA188D"/>
    <w:rsid w:val="00EA2AA7"/>
    <w:rsid w:val="00EA3FFA"/>
    <w:rsid w:val="00EA58A3"/>
    <w:rsid w:val="00EA6A13"/>
    <w:rsid w:val="00EA7D97"/>
    <w:rsid w:val="00EA7DE7"/>
    <w:rsid w:val="00EB09BC"/>
    <w:rsid w:val="00EB2AC5"/>
    <w:rsid w:val="00EB2D6C"/>
    <w:rsid w:val="00EB3AA5"/>
    <w:rsid w:val="00EB69E3"/>
    <w:rsid w:val="00EB7237"/>
    <w:rsid w:val="00EB7C4A"/>
    <w:rsid w:val="00EC00D8"/>
    <w:rsid w:val="00EC13B6"/>
    <w:rsid w:val="00EC57EA"/>
    <w:rsid w:val="00EC5E91"/>
    <w:rsid w:val="00EC720F"/>
    <w:rsid w:val="00EC7711"/>
    <w:rsid w:val="00ED0ABB"/>
    <w:rsid w:val="00ED10E0"/>
    <w:rsid w:val="00ED2AF4"/>
    <w:rsid w:val="00ED2DE0"/>
    <w:rsid w:val="00ED4117"/>
    <w:rsid w:val="00ED7C6A"/>
    <w:rsid w:val="00EE12FC"/>
    <w:rsid w:val="00EE29AE"/>
    <w:rsid w:val="00EE51B7"/>
    <w:rsid w:val="00EE643F"/>
    <w:rsid w:val="00EE69C1"/>
    <w:rsid w:val="00EE71DD"/>
    <w:rsid w:val="00EE7A49"/>
    <w:rsid w:val="00EE7D67"/>
    <w:rsid w:val="00EF4C00"/>
    <w:rsid w:val="00EF5270"/>
    <w:rsid w:val="00EF5709"/>
    <w:rsid w:val="00F0078F"/>
    <w:rsid w:val="00F013AE"/>
    <w:rsid w:val="00F0248D"/>
    <w:rsid w:val="00F0479A"/>
    <w:rsid w:val="00F05189"/>
    <w:rsid w:val="00F103CE"/>
    <w:rsid w:val="00F1187D"/>
    <w:rsid w:val="00F1574B"/>
    <w:rsid w:val="00F2051F"/>
    <w:rsid w:val="00F213D6"/>
    <w:rsid w:val="00F21D38"/>
    <w:rsid w:val="00F223C7"/>
    <w:rsid w:val="00F256C7"/>
    <w:rsid w:val="00F31009"/>
    <w:rsid w:val="00F31B9A"/>
    <w:rsid w:val="00F322DF"/>
    <w:rsid w:val="00F349DE"/>
    <w:rsid w:val="00F37894"/>
    <w:rsid w:val="00F41B4E"/>
    <w:rsid w:val="00F421C6"/>
    <w:rsid w:val="00F45CB7"/>
    <w:rsid w:val="00F4735E"/>
    <w:rsid w:val="00F5166A"/>
    <w:rsid w:val="00F5197F"/>
    <w:rsid w:val="00F51B83"/>
    <w:rsid w:val="00F524DB"/>
    <w:rsid w:val="00F52523"/>
    <w:rsid w:val="00F530B2"/>
    <w:rsid w:val="00F53223"/>
    <w:rsid w:val="00F54162"/>
    <w:rsid w:val="00F55B1F"/>
    <w:rsid w:val="00F5740A"/>
    <w:rsid w:val="00F61FF3"/>
    <w:rsid w:val="00F62ED9"/>
    <w:rsid w:val="00F64176"/>
    <w:rsid w:val="00F66337"/>
    <w:rsid w:val="00F663E8"/>
    <w:rsid w:val="00F712FA"/>
    <w:rsid w:val="00F71307"/>
    <w:rsid w:val="00F72AFE"/>
    <w:rsid w:val="00F72C6E"/>
    <w:rsid w:val="00F73D45"/>
    <w:rsid w:val="00F76DC9"/>
    <w:rsid w:val="00F773E4"/>
    <w:rsid w:val="00F8041D"/>
    <w:rsid w:val="00F8105E"/>
    <w:rsid w:val="00F820FA"/>
    <w:rsid w:val="00F825AF"/>
    <w:rsid w:val="00F86F33"/>
    <w:rsid w:val="00F87541"/>
    <w:rsid w:val="00F907F3"/>
    <w:rsid w:val="00F91F7C"/>
    <w:rsid w:val="00F92850"/>
    <w:rsid w:val="00F940CA"/>
    <w:rsid w:val="00F95596"/>
    <w:rsid w:val="00F9631B"/>
    <w:rsid w:val="00FA0738"/>
    <w:rsid w:val="00FA1092"/>
    <w:rsid w:val="00FA46FA"/>
    <w:rsid w:val="00FA607C"/>
    <w:rsid w:val="00FA60A0"/>
    <w:rsid w:val="00FA61C9"/>
    <w:rsid w:val="00FA65F6"/>
    <w:rsid w:val="00FA6A04"/>
    <w:rsid w:val="00FB0853"/>
    <w:rsid w:val="00FB2A63"/>
    <w:rsid w:val="00FB5E78"/>
    <w:rsid w:val="00FB6445"/>
    <w:rsid w:val="00FB72B0"/>
    <w:rsid w:val="00FB73F1"/>
    <w:rsid w:val="00FB7D4C"/>
    <w:rsid w:val="00FC14EE"/>
    <w:rsid w:val="00FC16EC"/>
    <w:rsid w:val="00FC2E99"/>
    <w:rsid w:val="00FC40D1"/>
    <w:rsid w:val="00FC5F1C"/>
    <w:rsid w:val="00FC73C7"/>
    <w:rsid w:val="00FD02D9"/>
    <w:rsid w:val="00FD0C6F"/>
    <w:rsid w:val="00FD124F"/>
    <w:rsid w:val="00FD127D"/>
    <w:rsid w:val="00FD1B8F"/>
    <w:rsid w:val="00FD4F65"/>
    <w:rsid w:val="00FE0587"/>
    <w:rsid w:val="00FE05EB"/>
    <w:rsid w:val="00FE0933"/>
    <w:rsid w:val="00FE0EB3"/>
    <w:rsid w:val="00FE356F"/>
    <w:rsid w:val="00FE404F"/>
    <w:rsid w:val="00FE7914"/>
    <w:rsid w:val="00FE7AA0"/>
    <w:rsid w:val="00FE7CC0"/>
    <w:rsid w:val="00FF0EE7"/>
    <w:rsid w:val="00FF1C1F"/>
    <w:rsid w:val="00FF1EC8"/>
    <w:rsid w:val="00FF530E"/>
    <w:rsid w:val="00FF6C28"/>
    <w:rsid w:val="00FF6DF2"/>
    <w:rsid w:val="00FF7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87371"/>
  <w15:docId w15:val="{6B12216E-A494-46A8-9E3D-23C19DB43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paragraph" w:styleId="Heading2">
    <w:name w:val="heading 2"/>
    <w:basedOn w:val="Normal"/>
    <w:next w:val="Normal"/>
    <w:link w:val="Heading2Char"/>
    <w:semiHidden/>
    <w:unhideWhenUsed/>
    <w:qFormat/>
    <w:rsid w:val="004A2B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fr-CA"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fr-CA"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fr-CA"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fr-CA"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fr-CA"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fr-CA" w:eastAsia="en-US"/>
    </w:rPr>
  </w:style>
  <w:style w:type="character" w:customStyle="1" w:styleId="style21">
    <w:name w:val="style21"/>
    <w:rsid w:val="00F869FB"/>
    <w:rPr>
      <w:sz w:val="24"/>
      <w:szCs w:val="24"/>
      <w:lang w:val="fr-CA"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fr-CA"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fr-CA"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table" w:styleId="TableGrid">
    <w:name w:val="Table Grid"/>
    <w:basedOn w:val="TableNormal"/>
    <w:uiPriority w:val="39"/>
    <w:rsid w:val="00415C8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4162"/>
  </w:style>
  <w:style w:type="character" w:customStyle="1" w:styleId="ListParagraphChar">
    <w:name w:val="List Paragraph Char"/>
    <w:aliases w:val="Fundamentacion Char,Bulleted List Char,SubPárrafo de lista Char"/>
    <w:basedOn w:val="DefaultParagraphFont"/>
    <w:link w:val="ListParagraph0"/>
    <w:uiPriority w:val="34"/>
    <w:qFormat/>
    <w:locked/>
    <w:rsid w:val="0098477A"/>
    <w:rPr>
      <w:rFonts w:eastAsia="Calibri"/>
      <w:sz w:val="24"/>
      <w:szCs w:val="24"/>
    </w:rPr>
  </w:style>
  <w:style w:type="character" w:customStyle="1" w:styleId="hgkelc">
    <w:name w:val="hgkelc"/>
    <w:basedOn w:val="DefaultParagraphFont"/>
    <w:rsid w:val="003163DA"/>
  </w:style>
  <w:style w:type="paragraph" w:styleId="CommentSubject">
    <w:name w:val="annotation subject"/>
    <w:basedOn w:val="CommentText"/>
    <w:next w:val="CommentText"/>
    <w:link w:val="CommentSubjectChar"/>
    <w:semiHidden/>
    <w:unhideWhenUsed/>
    <w:rsid w:val="00722FAE"/>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722FAE"/>
    <w:rPr>
      <w:rFonts w:ascii="Calibri" w:eastAsia="Calibri" w:hAnsi="Calibri"/>
      <w:b/>
      <w:bCs/>
    </w:rPr>
  </w:style>
  <w:style w:type="character" w:styleId="UnresolvedMention">
    <w:name w:val="Unresolved Mention"/>
    <w:basedOn w:val="DefaultParagraphFont"/>
    <w:uiPriority w:val="99"/>
    <w:semiHidden/>
    <w:unhideWhenUsed/>
    <w:rsid w:val="00BB6C72"/>
    <w:rPr>
      <w:color w:val="605E5C"/>
      <w:shd w:val="clear" w:color="auto" w:fill="E1DFDD"/>
    </w:rPr>
  </w:style>
  <w:style w:type="character" w:customStyle="1" w:styleId="Heading2Char">
    <w:name w:val="Heading 2 Char"/>
    <w:basedOn w:val="DefaultParagraphFont"/>
    <w:link w:val="Heading2"/>
    <w:semiHidden/>
    <w:rsid w:val="004A2B85"/>
    <w:rPr>
      <w:rFonts w:asciiTheme="majorHAnsi" w:eastAsiaTheme="majorEastAsia" w:hAnsiTheme="majorHAnsi" w:cstheme="majorBidi"/>
      <w:color w:val="2E74B5" w:themeColor="accent1" w:themeShade="BF"/>
      <w:sz w:val="26"/>
      <w:szCs w:val="26"/>
    </w:rPr>
  </w:style>
  <w:style w:type="paragraph" w:customStyle="1" w:styleId="BodyA">
    <w:name w:val="Body A"/>
    <w:rsid w:val="009E4F60"/>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50564">
      <w:bodyDiv w:val="1"/>
      <w:marLeft w:val="0"/>
      <w:marRight w:val="0"/>
      <w:marTop w:val="0"/>
      <w:marBottom w:val="0"/>
      <w:divBdr>
        <w:top w:val="none" w:sz="0" w:space="0" w:color="auto"/>
        <w:left w:val="none" w:sz="0" w:space="0" w:color="auto"/>
        <w:bottom w:val="none" w:sz="0" w:space="0" w:color="auto"/>
        <w:right w:val="none" w:sz="0" w:space="0" w:color="auto"/>
      </w:divBdr>
    </w:div>
    <w:div w:id="806629830">
      <w:bodyDiv w:val="1"/>
      <w:marLeft w:val="0"/>
      <w:marRight w:val="0"/>
      <w:marTop w:val="0"/>
      <w:marBottom w:val="0"/>
      <w:divBdr>
        <w:top w:val="none" w:sz="0" w:space="0" w:color="auto"/>
        <w:left w:val="none" w:sz="0" w:space="0" w:color="auto"/>
        <w:bottom w:val="none" w:sz="0" w:space="0" w:color="auto"/>
        <w:right w:val="none" w:sz="0" w:space="0" w:color="auto"/>
      </w:divBdr>
    </w:div>
    <w:div w:id="1002971891">
      <w:bodyDiv w:val="1"/>
      <w:marLeft w:val="0"/>
      <w:marRight w:val="0"/>
      <w:marTop w:val="0"/>
      <w:marBottom w:val="0"/>
      <w:divBdr>
        <w:top w:val="none" w:sz="0" w:space="0" w:color="auto"/>
        <w:left w:val="none" w:sz="0" w:space="0" w:color="auto"/>
        <w:bottom w:val="none" w:sz="0" w:space="0" w:color="auto"/>
        <w:right w:val="none" w:sz="0" w:space="0" w:color="auto"/>
      </w:divBdr>
    </w:div>
    <w:div w:id="1015352014">
      <w:bodyDiv w:val="1"/>
      <w:marLeft w:val="0"/>
      <w:marRight w:val="0"/>
      <w:marTop w:val="0"/>
      <w:marBottom w:val="0"/>
      <w:divBdr>
        <w:top w:val="none" w:sz="0" w:space="0" w:color="auto"/>
        <w:left w:val="none" w:sz="0" w:space="0" w:color="auto"/>
        <w:bottom w:val="none" w:sz="0" w:space="0" w:color="auto"/>
        <w:right w:val="none" w:sz="0" w:space="0" w:color="auto"/>
      </w:divBdr>
    </w:div>
    <w:div w:id="1071318162">
      <w:bodyDiv w:val="1"/>
      <w:marLeft w:val="0"/>
      <w:marRight w:val="0"/>
      <w:marTop w:val="0"/>
      <w:marBottom w:val="0"/>
      <w:divBdr>
        <w:top w:val="none" w:sz="0" w:space="0" w:color="auto"/>
        <w:left w:val="none" w:sz="0" w:space="0" w:color="auto"/>
        <w:bottom w:val="none" w:sz="0" w:space="0" w:color="auto"/>
        <w:right w:val="none" w:sz="0" w:space="0" w:color="auto"/>
      </w:divBdr>
    </w:div>
    <w:div w:id="1163932041">
      <w:bodyDiv w:val="1"/>
      <w:marLeft w:val="0"/>
      <w:marRight w:val="0"/>
      <w:marTop w:val="0"/>
      <w:marBottom w:val="0"/>
      <w:divBdr>
        <w:top w:val="none" w:sz="0" w:space="0" w:color="auto"/>
        <w:left w:val="none" w:sz="0" w:space="0" w:color="auto"/>
        <w:bottom w:val="none" w:sz="0" w:space="0" w:color="auto"/>
        <w:right w:val="none" w:sz="0" w:space="0" w:color="auto"/>
      </w:divBdr>
    </w:div>
    <w:div w:id="1182090985">
      <w:bodyDiv w:val="1"/>
      <w:marLeft w:val="0"/>
      <w:marRight w:val="0"/>
      <w:marTop w:val="0"/>
      <w:marBottom w:val="0"/>
      <w:divBdr>
        <w:top w:val="none" w:sz="0" w:space="0" w:color="auto"/>
        <w:left w:val="none" w:sz="0" w:space="0" w:color="auto"/>
        <w:bottom w:val="none" w:sz="0" w:space="0" w:color="auto"/>
        <w:right w:val="none" w:sz="0" w:space="0" w:color="auto"/>
      </w:divBdr>
    </w:div>
    <w:div w:id="1303805119">
      <w:bodyDiv w:val="1"/>
      <w:marLeft w:val="0"/>
      <w:marRight w:val="0"/>
      <w:marTop w:val="0"/>
      <w:marBottom w:val="0"/>
      <w:divBdr>
        <w:top w:val="none" w:sz="0" w:space="0" w:color="auto"/>
        <w:left w:val="none" w:sz="0" w:space="0" w:color="auto"/>
        <w:bottom w:val="none" w:sz="0" w:space="0" w:color="auto"/>
        <w:right w:val="none" w:sz="0" w:space="0" w:color="auto"/>
      </w:divBdr>
    </w:div>
    <w:div w:id="1699162461">
      <w:bodyDiv w:val="1"/>
      <w:marLeft w:val="0"/>
      <w:marRight w:val="0"/>
      <w:marTop w:val="0"/>
      <w:marBottom w:val="0"/>
      <w:divBdr>
        <w:top w:val="none" w:sz="0" w:space="0" w:color="auto"/>
        <w:left w:val="none" w:sz="0" w:space="0" w:color="auto"/>
        <w:bottom w:val="none" w:sz="0" w:space="0" w:color="auto"/>
        <w:right w:val="none" w:sz="0" w:space="0" w:color="auto"/>
      </w:divBdr>
      <w:divsChild>
        <w:div w:id="2117478165">
          <w:marLeft w:val="0"/>
          <w:marRight w:val="0"/>
          <w:marTop w:val="0"/>
          <w:marBottom w:val="0"/>
          <w:divBdr>
            <w:top w:val="none" w:sz="0" w:space="0" w:color="auto"/>
            <w:left w:val="none" w:sz="0" w:space="0" w:color="auto"/>
            <w:bottom w:val="none" w:sz="0" w:space="0" w:color="auto"/>
            <w:right w:val="none" w:sz="0" w:space="0" w:color="auto"/>
          </w:divBdr>
          <w:divsChild>
            <w:div w:id="1110855459">
              <w:marLeft w:val="0"/>
              <w:marRight w:val="0"/>
              <w:marTop w:val="0"/>
              <w:marBottom w:val="0"/>
              <w:divBdr>
                <w:top w:val="none" w:sz="0" w:space="0" w:color="auto"/>
                <w:left w:val="none" w:sz="0" w:space="0" w:color="auto"/>
                <w:bottom w:val="none" w:sz="0" w:space="0" w:color="auto"/>
                <w:right w:val="none" w:sz="0" w:space="0" w:color="auto"/>
              </w:divBdr>
              <w:divsChild>
                <w:div w:id="20271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342812">
      <w:bodyDiv w:val="1"/>
      <w:marLeft w:val="0"/>
      <w:marRight w:val="0"/>
      <w:marTop w:val="0"/>
      <w:marBottom w:val="0"/>
      <w:divBdr>
        <w:top w:val="none" w:sz="0" w:space="0" w:color="auto"/>
        <w:left w:val="none" w:sz="0" w:space="0" w:color="auto"/>
        <w:bottom w:val="none" w:sz="0" w:space="0" w:color="auto"/>
        <w:right w:val="none" w:sz="0" w:space="0" w:color="auto"/>
      </w:divBdr>
    </w:div>
    <w:div w:id="1913613540">
      <w:bodyDiv w:val="1"/>
      <w:marLeft w:val="0"/>
      <w:marRight w:val="0"/>
      <w:marTop w:val="0"/>
      <w:marBottom w:val="0"/>
      <w:divBdr>
        <w:top w:val="none" w:sz="0" w:space="0" w:color="auto"/>
        <w:left w:val="none" w:sz="0" w:space="0" w:color="auto"/>
        <w:bottom w:val="none" w:sz="0" w:space="0" w:color="auto"/>
        <w:right w:val="none" w:sz="0" w:space="0" w:color="auto"/>
      </w:divBdr>
    </w:div>
    <w:div w:id="201290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jbs.cam.ac.uk/faculty-research/centres/alternative-finance/publications/sme-access-todigital-finance-study-latam/" TargetMode="External"/><Relationship Id="rId1" Type="http://schemas.openxmlformats.org/officeDocument/2006/relationships/hyperlink" Target="https://latinamericareports.com/the-importance-of-fintech-for-the-future-of-latin-america/722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745FA-2CF1-418F-8BEF-D22A2E99E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1</TotalTime>
  <Pages>5</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CIDI Decarbonization and Nature-Based Solutions</vt:lpstr>
    </vt:vector>
  </TitlesOfParts>
  <Manager/>
  <Company>Organization of American States</Company>
  <LinksUpToDate>false</LinksUpToDate>
  <CharactersWithSpaces>10182</CharactersWithSpaces>
  <SharedDoc>false</SharedDoc>
  <HyperlinkBase/>
  <HLinks>
    <vt:vector size="12" baseType="variant">
      <vt:variant>
        <vt:i4>3538955</vt:i4>
      </vt:variant>
      <vt:variant>
        <vt:i4>3</vt:i4>
      </vt:variant>
      <vt:variant>
        <vt:i4>0</vt:i4>
      </vt:variant>
      <vt:variant>
        <vt:i4>5</vt:i4>
      </vt:variant>
      <vt:variant>
        <vt:lpwstr>https://repositorio.cepal.org/bitstream/handle/11362/44396/4/S1900050_en.pdf</vt:lpwstr>
      </vt:variant>
      <vt:variant>
        <vt:lpwstr/>
      </vt:variant>
      <vt:variant>
        <vt:i4>3538955</vt:i4>
      </vt:variant>
      <vt:variant>
        <vt:i4>0</vt:i4>
      </vt:variant>
      <vt:variant>
        <vt:i4>0</vt:i4>
      </vt:variant>
      <vt:variant>
        <vt:i4>5</vt:i4>
      </vt:variant>
      <vt:variant>
        <vt:lpwstr>https://repositorio.cepal.org/bitstream/handle/11362/44396/4/S1900050_en.pdf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CIDI Decarbonization and Nature-Based Solutions</dc:title>
  <dc:subject/>
  <dc:creator>DED</dc:creator>
  <cp:keywords/>
  <dc:description/>
  <cp:lastModifiedBy>Diaz - Avalos,  Estela</cp:lastModifiedBy>
  <cp:revision>3</cp:revision>
  <cp:lastPrinted>2018-08-24T16:52:00Z</cp:lastPrinted>
  <dcterms:created xsi:type="dcterms:W3CDTF">2023-08-16T17:37:00Z</dcterms:created>
  <dcterms:modified xsi:type="dcterms:W3CDTF">2023-08-16T17:46:00Z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