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4148" w14:textId="77777777" w:rsidR="00500270" w:rsidRPr="008A6B45" w:rsidRDefault="00500270" w:rsidP="0050027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6551AE">
        <w:rPr>
          <w:sz w:val="22"/>
          <w:lang w:val="es-MX"/>
        </w:rPr>
        <w:tab/>
      </w:r>
      <w:r w:rsidRPr="008A6B45">
        <w:rPr>
          <w:sz w:val="22"/>
          <w:lang w:val="pt-BR"/>
        </w:rPr>
        <w:t>OEA/Ser.W</w:t>
      </w:r>
    </w:p>
    <w:p w14:paraId="75934557" w14:textId="39BBDB23" w:rsidR="00500270" w:rsidRPr="008A6B45" w:rsidRDefault="00500270" w:rsidP="00500270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8A6B45">
        <w:rPr>
          <w:sz w:val="22"/>
          <w:lang w:val="pt-BR"/>
        </w:rPr>
        <w:tab/>
        <w:t xml:space="preserve">CIDI/INF. </w:t>
      </w:r>
      <w:r w:rsidR="00035B32">
        <w:rPr>
          <w:sz w:val="22"/>
          <w:lang w:val="pt-BR"/>
        </w:rPr>
        <w:t>565/23</w:t>
      </w:r>
    </w:p>
    <w:p w14:paraId="2DD800CF" w14:textId="18651D44" w:rsidR="00500270" w:rsidRPr="006551AE" w:rsidRDefault="00500270" w:rsidP="0050027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  <w:r w:rsidRPr="008A6B45">
        <w:rPr>
          <w:sz w:val="22"/>
          <w:lang w:val="pt-BR"/>
        </w:rPr>
        <w:tab/>
      </w:r>
      <w:r w:rsidR="00035B32">
        <w:rPr>
          <w:sz w:val="22"/>
          <w:lang w:val="es-MX"/>
        </w:rPr>
        <w:t xml:space="preserve">18 </w:t>
      </w:r>
      <w:r w:rsidRPr="006551AE">
        <w:rPr>
          <w:sz w:val="22"/>
          <w:lang w:val="es-MX"/>
        </w:rPr>
        <w:t>agosto 2023</w:t>
      </w:r>
    </w:p>
    <w:p w14:paraId="52A3D5BF" w14:textId="77777777" w:rsidR="00500270" w:rsidRPr="006551AE" w:rsidRDefault="00500270" w:rsidP="0050027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ab/>
        <w:t>Original: inglés</w:t>
      </w:r>
    </w:p>
    <w:p w14:paraId="724BE457" w14:textId="77777777" w:rsidR="00500270" w:rsidRPr="006551AE" w:rsidRDefault="00500270" w:rsidP="00500270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MX"/>
        </w:rPr>
      </w:pPr>
    </w:p>
    <w:p w14:paraId="6483C348" w14:textId="77777777" w:rsidR="00500270" w:rsidRPr="006551AE" w:rsidRDefault="00500270" w:rsidP="00500270">
      <w:pPr>
        <w:tabs>
          <w:tab w:val="left" w:pos="7200"/>
        </w:tabs>
        <w:ind w:right="-1080"/>
        <w:rPr>
          <w:sz w:val="22"/>
          <w:szCs w:val="22"/>
          <w:lang w:val="es-MX"/>
        </w:rPr>
      </w:pPr>
    </w:p>
    <w:p w14:paraId="2DE78DBB" w14:textId="77777777" w:rsidR="00500270" w:rsidRPr="006551AE" w:rsidRDefault="00500270" w:rsidP="00500270">
      <w:pPr>
        <w:rPr>
          <w:rFonts w:eastAsia="Calibri"/>
          <w:sz w:val="22"/>
          <w:szCs w:val="22"/>
          <w:lang w:val="es-MX"/>
        </w:rPr>
      </w:pPr>
    </w:p>
    <w:p w14:paraId="2734F9FB" w14:textId="77777777" w:rsidR="00500270" w:rsidRPr="006551AE" w:rsidRDefault="00500270" w:rsidP="00500270">
      <w:pPr>
        <w:jc w:val="center"/>
        <w:rPr>
          <w:rFonts w:eastAsia="Calibri"/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NOTA CONCEPTUAL </w:t>
      </w:r>
    </w:p>
    <w:p w14:paraId="3666CAC1" w14:textId="77777777" w:rsidR="00500270" w:rsidRDefault="00500270" w:rsidP="008A6B45">
      <w:pPr>
        <w:rPr>
          <w:rFonts w:eastAsia="Calibri"/>
          <w:sz w:val="22"/>
          <w:szCs w:val="22"/>
          <w:lang w:val="es-MX"/>
        </w:rPr>
      </w:pPr>
    </w:p>
    <w:p w14:paraId="5C06AC16" w14:textId="77777777" w:rsidR="00B668C8" w:rsidRPr="00841145" w:rsidRDefault="00B668C8" w:rsidP="00B668C8">
      <w:pPr>
        <w:jc w:val="center"/>
        <w:rPr>
          <w:rFonts w:eastAsia="Calibri"/>
          <w:caps/>
          <w:sz w:val="22"/>
          <w:szCs w:val="22"/>
        </w:rPr>
      </w:pPr>
      <w:r>
        <w:rPr>
          <w:caps/>
          <w:sz w:val="22"/>
          <w:szCs w:val="22"/>
        </w:rPr>
        <w:t>REUNIÓN</w:t>
      </w:r>
      <w:r w:rsidRPr="00841145">
        <w:rPr>
          <w:caps/>
          <w:sz w:val="22"/>
          <w:szCs w:val="22"/>
        </w:rPr>
        <w:t xml:space="preserve"> ordinaria de</w:t>
      </w:r>
      <w:r>
        <w:rPr>
          <w:caps/>
          <w:sz w:val="22"/>
          <w:szCs w:val="22"/>
        </w:rPr>
        <w:t>L</w:t>
      </w:r>
      <w:r w:rsidRPr="00841145">
        <w:rPr>
          <w:caps/>
          <w:sz w:val="22"/>
          <w:szCs w:val="22"/>
        </w:rPr>
        <w:t xml:space="preserve"> </w:t>
      </w:r>
    </w:p>
    <w:p w14:paraId="0704C25B" w14:textId="77777777" w:rsidR="00B668C8" w:rsidRPr="00841145" w:rsidRDefault="00B668C8" w:rsidP="00B668C8">
      <w:pPr>
        <w:jc w:val="center"/>
        <w:rPr>
          <w:rFonts w:eastAsia="Calibri"/>
          <w:caps/>
          <w:sz w:val="22"/>
          <w:szCs w:val="22"/>
        </w:rPr>
      </w:pPr>
      <w:r w:rsidRPr="00841145">
        <w:rPr>
          <w:caps/>
          <w:sz w:val="22"/>
          <w:szCs w:val="22"/>
        </w:rPr>
        <w:t xml:space="preserve">Consejo Interamericano para el Desarrollo Integral (CIDI) </w:t>
      </w:r>
    </w:p>
    <w:p w14:paraId="672B6DB0" w14:textId="77777777" w:rsidR="00500270" w:rsidRPr="006551AE" w:rsidRDefault="00500270" w:rsidP="00500270">
      <w:pPr>
        <w:jc w:val="center"/>
        <w:rPr>
          <w:caps/>
          <w:sz w:val="22"/>
          <w:szCs w:val="22"/>
          <w:lang w:val="es-MX"/>
        </w:rPr>
      </w:pPr>
      <w:r w:rsidRPr="006551AE">
        <w:rPr>
          <w:caps/>
          <w:sz w:val="22"/>
          <w:lang w:val="es-MX"/>
        </w:rPr>
        <w:t>29 DE AGOSTO DE 2023</w:t>
      </w:r>
    </w:p>
    <w:p w14:paraId="081BE1C4" w14:textId="77777777" w:rsidR="00500270" w:rsidRPr="006551AE" w:rsidRDefault="00500270" w:rsidP="008A6B45">
      <w:pPr>
        <w:rPr>
          <w:caps/>
          <w:sz w:val="22"/>
          <w:szCs w:val="22"/>
          <w:lang w:val="es-MX"/>
        </w:rPr>
      </w:pPr>
    </w:p>
    <w:p w14:paraId="30B0D41A" w14:textId="77777777" w:rsidR="00500270" w:rsidRPr="006551AE" w:rsidRDefault="00500270" w:rsidP="008A6B45">
      <w:pPr>
        <w:rPr>
          <w:rFonts w:eastAsia="Calibri"/>
          <w:sz w:val="22"/>
          <w:szCs w:val="22"/>
          <w:lang w:val="es-MX"/>
        </w:rPr>
      </w:pPr>
    </w:p>
    <w:p w14:paraId="0AC5B042" w14:textId="7C50DD3E" w:rsidR="00500270" w:rsidRPr="006551AE" w:rsidRDefault="00500270" w:rsidP="00500270">
      <w:pPr>
        <w:ind w:left="1627" w:hanging="1627"/>
        <w:jc w:val="both"/>
        <w:rPr>
          <w:b/>
          <w:sz w:val="22"/>
          <w:szCs w:val="22"/>
          <w:lang w:val="es-MX"/>
        </w:rPr>
      </w:pPr>
      <w:r w:rsidRPr="006551AE">
        <w:rPr>
          <w:b/>
          <w:sz w:val="22"/>
          <w:lang w:val="es-MX"/>
        </w:rPr>
        <w:t xml:space="preserve">TEMA: LOS NEOBANCOS COMO HERRAMIENTA </w:t>
      </w:r>
      <w:r w:rsidR="000B6231" w:rsidRPr="006551AE">
        <w:rPr>
          <w:b/>
          <w:sz w:val="22"/>
          <w:lang w:val="es-MX"/>
        </w:rPr>
        <w:t>PARA EL</w:t>
      </w:r>
      <w:r w:rsidRPr="006551AE">
        <w:rPr>
          <w:b/>
          <w:sz w:val="22"/>
          <w:lang w:val="es-MX"/>
        </w:rPr>
        <w:t xml:space="preserve"> DESARROLLO </w:t>
      </w:r>
    </w:p>
    <w:p w14:paraId="5D077A0A" w14:textId="77777777" w:rsidR="00500270" w:rsidRPr="006551AE" w:rsidRDefault="00500270" w:rsidP="008A6B45">
      <w:pPr>
        <w:rPr>
          <w:sz w:val="22"/>
          <w:szCs w:val="22"/>
          <w:lang w:val="es-MX"/>
        </w:rPr>
      </w:pPr>
    </w:p>
    <w:p w14:paraId="02E1B5F7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280E8086" w14:textId="77777777" w:rsidR="00500270" w:rsidRPr="006551AE" w:rsidRDefault="00500270" w:rsidP="0050027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MX"/>
        </w:rPr>
      </w:pPr>
      <w:r w:rsidRPr="006551AE">
        <w:rPr>
          <w:b/>
          <w:sz w:val="22"/>
          <w:lang w:val="es-MX"/>
        </w:rPr>
        <w:t xml:space="preserve">Antecedentes/justificación </w:t>
      </w:r>
    </w:p>
    <w:p w14:paraId="4F656C93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0103105C" w14:textId="55B3DFB4" w:rsidR="00500270" w:rsidRPr="006551AE" w:rsidRDefault="00500270" w:rsidP="00500270">
      <w:pPr>
        <w:ind w:firstLine="720"/>
        <w:jc w:val="both"/>
        <w:rPr>
          <w:color w:val="000000"/>
          <w:sz w:val="22"/>
          <w:szCs w:val="22"/>
          <w:lang w:val="es-MX"/>
        </w:rPr>
      </w:pPr>
      <w:r w:rsidRPr="006551AE">
        <w:rPr>
          <w:color w:val="000000"/>
          <w:sz w:val="22"/>
          <w:lang w:val="es-MX"/>
        </w:rPr>
        <w:t xml:space="preserve">En toda América Latina y el Caribe, casi </w:t>
      </w:r>
      <w:r w:rsidRPr="006551AE">
        <w:rPr>
          <w:sz w:val="22"/>
          <w:lang w:val="es-MX"/>
        </w:rPr>
        <w:t>el 60% de las transacciones se realizan en efectivo y 7</w:t>
      </w:r>
      <w:r w:rsidRPr="006551AE">
        <w:rPr>
          <w:color w:val="000000"/>
          <w:sz w:val="22"/>
          <w:lang w:val="es-MX"/>
        </w:rPr>
        <w:t xml:space="preserve"> de cada 10 personas tienen acceso limitado a las instituciones bancarias o, sencillamente, no lo tienen. Esta situación ha alimentado una de las tasas de desigualdad de ingresos más altas del mundo</w:t>
      </w:r>
      <w:r w:rsidRPr="008A6B45">
        <w:rPr>
          <w:rStyle w:val="FootnoteReference"/>
          <w:color w:val="000000"/>
          <w:sz w:val="22"/>
          <w:szCs w:val="22"/>
          <w:u w:val="single"/>
          <w:lang w:val="es-MX"/>
        </w:rPr>
        <w:footnoteReference w:id="1"/>
      </w:r>
      <w:r w:rsidR="008A6B45" w:rsidRPr="008A6B45">
        <w:rPr>
          <w:color w:val="000000"/>
          <w:sz w:val="22"/>
          <w:vertAlign w:val="superscript"/>
          <w:lang w:val="es-MX"/>
        </w:rPr>
        <w:t>/</w:t>
      </w:r>
      <w:r w:rsidRPr="006551AE">
        <w:rPr>
          <w:color w:val="000000"/>
          <w:sz w:val="22"/>
          <w:lang w:val="es-MX"/>
        </w:rPr>
        <w:t>.</w:t>
      </w:r>
    </w:p>
    <w:p w14:paraId="6D973B70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5DD0235C" w14:textId="5B8F876C" w:rsidR="00500270" w:rsidRPr="006551AE" w:rsidRDefault="00500270" w:rsidP="00500270">
      <w:pPr>
        <w:ind w:firstLine="720"/>
        <w:jc w:val="both"/>
        <w:rPr>
          <w:color w:val="000000"/>
          <w:sz w:val="22"/>
          <w:szCs w:val="22"/>
          <w:lang w:val="es-MX"/>
        </w:rPr>
      </w:pPr>
      <w:r w:rsidRPr="006551AE">
        <w:rPr>
          <w:color w:val="000000"/>
          <w:sz w:val="22"/>
          <w:lang w:val="es-MX"/>
        </w:rPr>
        <w:t xml:space="preserve">En la última década han surgido los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como parte de las soluciones innovadoras de tecnología financiera</w:t>
      </w:r>
      <w:r w:rsidR="008625F9">
        <w:rPr>
          <w:color w:val="000000"/>
          <w:sz w:val="22"/>
          <w:lang w:val="es-MX"/>
        </w:rPr>
        <w:t xml:space="preserve"> (</w:t>
      </w:r>
      <w:proofErr w:type="spellStart"/>
      <w:r w:rsidR="008625F9">
        <w:rPr>
          <w:color w:val="000000"/>
          <w:sz w:val="22"/>
          <w:lang w:val="es-MX"/>
        </w:rPr>
        <w:t>fintech</w:t>
      </w:r>
      <w:proofErr w:type="spellEnd"/>
      <w:r w:rsidR="008625F9">
        <w:rPr>
          <w:color w:val="000000"/>
          <w:sz w:val="22"/>
          <w:lang w:val="es-MX"/>
        </w:rPr>
        <w:t>)</w:t>
      </w:r>
      <w:r w:rsidRPr="006551AE">
        <w:rPr>
          <w:color w:val="000000"/>
          <w:sz w:val="22"/>
          <w:lang w:val="es-MX"/>
        </w:rPr>
        <w:t xml:space="preserve">, con el objetivo de aumentar la inclusión financiera en la región. Los clientes pueden acceder a sus cuentas en los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a través de aplicaciones móviles y portales en línea</w:t>
      </w:r>
      <w:r w:rsidR="000B6231" w:rsidRPr="006551AE">
        <w:rPr>
          <w:color w:val="000000"/>
          <w:sz w:val="22"/>
          <w:lang w:val="es-MX"/>
        </w:rPr>
        <w:t>.</w:t>
      </w:r>
      <w:r w:rsidRPr="006551AE">
        <w:rPr>
          <w:color w:val="000000"/>
          <w:sz w:val="22"/>
          <w:lang w:val="es-MX"/>
        </w:rPr>
        <w:t xml:space="preserve"> </w:t>
      </w:r>
      <w:proofErr w:type="gramStart"/>
      <w:r w:rsidRPr="006551AE">
        <w:rPr>
          <w:color w:val="000000"/>
          <w:sz w:val="22"/>
          <w:lang w:val="es-MX"/>
        </w:rPr>
        <w:t>Estos nuevos actores no tiene</w:t>
      </w:r>
      <w:proofErr w:type="gramEnd"/>
      <w:r w:rsidRPr="006551AE">
        <w:rPr>
          <w:color w:val="000000"/>
          <w:sz w:val="22"/>
          <w:lang w:val="es-MX"/>
        </w:rPr>
        <w:t xml:space="preserve"> sucursales físicas y, por tanto, no tienen gastos de alquiler, electricidad e inversiones en infraestructuras, que constituyen un porcentaje significativo de los gastos operativos de la banca tradicional. Como resultado de ello, los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ofrecen comisiones más bajas a sus clientes. </w:t>
      </w:r>
    </w:p>
    <w:p w14:paraId="14E9668D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590FF8CD" w14:textId="77777777" w:rsidR="00500270" w:rsidRPr="006551AE" w:rsidRDefault="00500270" w:rsidP="00500270">
      <w:pPr>
        <w:ind w:firstLine="720"/>
        <w:jc w:val="both"/>
        <w:rPr>
          <w:color w:val="000000"/>
          <w:sz w:val="22"/>
          <w:szCs w:val="22"/>
          <w:lang w:val="es-MX"/>
        </w:rPr>
      </w:pPr>
      <w:r w:rsidRPr="006551AE">
        <w:rPr>
          <w:color w:val="000000"/>
          <w:sz w:val="22"/>
          <w:lang w:val="es-MX"/>
        </w:rPr>
        <w:t xml:space="preserve">Por lo general, los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no poseen una licencia tradicional para realizar operaciones bancarias y su oferta de servicios sigue siendo limitada (cuentas corrientes, transferencias de dinero, tarjetas de débito) en comparación con la banca tradicional. </w:t>
      </w:r>
      <w:r w:rsidRPr="006551AE">
        <w:rPr>
          <w:sz w:val="22"/>
          <w:lang w:val="es-MX"/>
        </w:rPr>
        <w:t xml:space="preserve">Sin embargo, al asociarse con los bancos autorizados,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pueden ofrecer a sus clientes una amplia gama de servicios financieros (como tarjetas de crédito, préstamos, etc.).</w:t>
      </w:r>
    </w:p>
    <w:p w14:paraId="54C8B88C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335CB82A" w14:textId="77777777" w:rsidR="00500270" w:rsidRPr="006551AE" w:rsidRDefault="00500270" w:rsidP="00500270">
      <w:pPr>
        <w:ind w:firstLine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han obligado a la banca tradicional a ser más ágil, rápida y mejor y a responder con sus propias iniciativas de banca digital para atender a segmentos y mercados nuevos. De hecho, en la actualidad uno de cada tres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de la región procede de la escisión de un banco tradicional. Esta mayor competencia que suponen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está reduciendo el costo de los servicios financieros. </w:t>
      </w:r>
    </w:p>
    <w:p w14:paraId="0711ECEB" w14:textId="77777777" w:rsidR="00500270" w:rsidRPr="006551AE" w:rsidRDefault="00500270" w:rsidP="008A6B45">
      <w:pPr>
        <w:jc w:val="both"/>
        <w:rPr>
          <w:color w:val="58585A"/>
          <w:sz w:val="22"/>
          <w:szCs w:val="22"/>
          <w:shd w:val="clear" w:color="auto" w:fill="FFFFFF"/>
          <w:lang w:val="es-MX"/>
        </w:rPr>
      </w:pPr>
    </w:p>
    <w:p w14:paraId="55BA95B0" w14:textId="7AC05AD3" w:rsidR="00500270" w:rsidRPr="006551AE" w:rsidRDefault="00500270" w:rsidP="00500270">
      <w:pPr>
        <w:ind w:firstLine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han desempeñado un papel central en la mejora de la inclusión financiera en la región.</w:t>
      </w:r>
      <w:r w:rsidRPr="006551AE">
        <w:rPr>
          <w:color w:val="000000"/>
          <w:sz w:val="22"/>
          <w:lang w:val="es-MX"/>
        </w:rPr>
        <w:t xml:space="preserve"> Más de 80 millones de latinoamericanos eran clientes de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en 2021. Tres cuartas partes de los más de 60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existentes en América Latina y el Caribe tienen acceso limitado a servicios </w:t>
      </w:r>
      <w:r w:rsidRPr="006551AE">
        <w:rPr>
          <w:color w:val="000000"/>
          <w:sz w:val="22"/>
          <w:lang w:val="es-MX"/>
        </w:rPr>
        <w:lastRenderedPageBreak/>
        <w:t xml:space="preserve">bancarios o carecen de ellos. </w:t>
      </w:r>
      <w:r w:rsidRPr="006551AE">
        <w:rPr>
          <w:sz w:val="22"/>
          <w:lang w:val="es-MX"/>
        </w:rPr>
        <w:t xml:space="preserve">En un reciente estudio, el Fondo Monetario Internacional destaca que toda la industria </w:t>
      </w:r>
      <w:proofErr w:type="spellStart"/>
      <w:r w:rsidR="008625F9">
        <w:rPr>
          <w:sz w:val="22"/>
          <w:lang w:val="es-MX"/>
        </w:rPr>
        <w:t>fintech</w:t>
      </w:r>
      <w:proofErr w:type="spellEnd"/>
      <w:r w:rsidRPr="006551AE">
        <w:rPr>
          <w:sz w:val="22"/>
          <w:lang w:val="es-MX"/>
        </w:rPr>
        <w:t xml:space="preserve"> es responsable de una menor desigualdad de ingresos, un menor coeficiente de Gini y un mayor nivel de empleo entre las mujeres</w:t>
      </w:r>
      <w:r w:rsidRPr="008A6B45">
        <w:rPr>
          <w:rStyle w:val="FootnoteReference"/>
          <w:sz w:val="22"/>
          <w:szCs w:val="22"/>
          <w:u w:val="single"/>
          <w:lang w:val="es-MX"/>
        </w:rPr>
        <w:footnoteReference w:id="2"/>
      </w:r>
      <w:r w:rsidR="008A6B45" w:rsidRPr="008A6B45">
        <w:rPr>
          <w:sz w:val="22"/>
          <w:vertAlign w:val="superscript"/>
          <w:lang w:val="es-MX"/>
        </w:rPr>
        <w:t>/</w:t>
      </w:r>
      <w:r w:rsidRPr="006551AE">
        <w:rPr>
          <w:sz w:val="22"/>
          <w:lang w:val="es-MX"/>
        </w:rPr>
        <w:t>, contribuyendo así directa o indirectamente a la consecución de los ODS, particularmente los objetivos #1, #5, #8 y #10.</w:t>
      </w:r>
    </w:p>
    <w:p w14:paraId="720D621E" w14:textId="77777777" w:rsidR="00500270" w:rsidRPr="006551AE" w:rsidRDefault="00500270" w:rsidP="008A6B45">
      <w:pPr>
        <w:jc w:val="both"/>
        <w:rPr>
          <w:sz w:val="22"/>
          <w:szCs w:val="22"/>
          <w:lang w:val="es-MX"/>
        </w:rPr>
      </w:pPr>
    </w:p>
    <w:p w14:paraId="067A094B" w14:textId="77777777" w:rsidR="00500270" w:rsidRPr="006551AE" w:rsidRDefault="00500270" w:rsidP="00500270">
      <w:pPr>
        <w:ind w:firstLine="720"/>
        <w:jc w:val="both"/>
        <w:rPr>
          <w:color w:val="000000"/>
          <w:sz w:val="22"/>
          <w:szCs w:val="22"/>
          <w:lang w:val="es-MX"/>
        </w:rPr>
      </w:pPr>
      <w:r w:rsidRPr="006551AE">
        <w:rPr>
          <w:color w:val="000000"/>
          <w:sz w:val="22"/>
          <w:lang w:val="es-MX"/>
        </w:rPr>
        <w:t xml:space="preserve">Los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también están afectando y cambiando el concepto que la gente tiene sobre la banca. Ofrecen servicios para educar a sus clientes sobre la importancia del presupuesto, el ahorro y la inversión. Están dando poder de decisión a sus clientes y facilitándoles la gestión de sus finanzas. </w:t>
      </w:r>
    </w:p>
    <w:p w14:paraId="12C34768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68972D5B" w14:textId="77777777" w:rsidR="00500270" w:rsidRPr="006551AE" w:rsidRDefault="00500270" w:rsidP="00500270">
      <w:pPr>
        <w:ind w:firstLine="720"/>
        <w:jc w:val="both"/>
        <w:rPr>
          <w:color w:val="000000"/>
          <w:sz w:val="22"/>
          <w:szCs w:val="22"/>
          <w:lang w:val="es-MX"/>
        </w:rPr>
      </w:pPr>
      <w:r w:rsidRPr="006551AE">
        <w:rPr>
          <w:color w:val="000000"/>
          <w:sz w:val="22"/>
          <w:lang w:val="es-MX"/>
        </w:rPr>
        <w:t xml:space="preserve">Los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han desempeñado también un papel importante en la experimentación con nuevas tecnologías, como la inteligencia artificial, la biometría y la tecnología </w:t>
      </w:r>
      <w:proofErr w:type="spellStart"/>
      <w:r w:rsidRPr="006551AE">
        <w:rPr>
          <w:color w:val="000000"/>
          <w:sz w:val="22"/>
          <w:lang w:val="es-MX"/>
        </w:rPr>
        <w:t>blockchain</w:t>
      </w:r>
      <w:proofErr w:type="spellEnd"/>
      <w:r w:rsidRPr="006551AE">
        <w:rPr>
          <w:color w:val="000000"/>
          <w:sz w:val="22"/>
          <w:lang w:val="es-MX"/>
        </w:rPr>
        <w:t xml:space="preserve"> para ayudar a que la banca sea más segura y eficiente. </w:t>
      </w:r>
    </w:p>
    <w:p w14:paraId="0AB3EE54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33CAC011" w14:textId="51E56363" w:rsidR="00500270" w:rsidRPr="006551AE" w:rsidRDefault="00500270" w:rsidP="00500270">
      <w:pPr>
        <w:ind w:firstLine="720"/>
        <w:jc w:val="both"/>
        <w:rPr>
          <w:color w:val="000000"/>
          <w:sz w:val="22"/>
          <w:szCs w:val="22"/>
          <w:lang w:val="es-MX"/>
        </w:rPr>
      </w:pPr>
      <w:r w:rsidRPr="006551AE">
        <w:rPr>
          <w:color w:val="000000"/>
          <w:sz w:val="22"/>
          <w:lang w:val="es-MX"/>
        </w:rPr>
        <w:t xml:space="preserve">No obstante, muchos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tienen aún mucho campo para innovar. Son relativamente pocos los </w:t>
      </w:r>
      <w:proofErr w:type="spellStart"/>
      <w:r w:rsidRPr="006551AE">
        <w:rPr>
          <w:color w:val="000000"/>
          <w:sz w:val="22"/>
          <w:lang w:val="es-MX"/>
        </w:rPr>
        <w:t>neobancos</w:t>
      </w:r>
      <w:proofErr w:type="spellEnd"/>
      <w:r w:rsidRPr="006551AE">
        <w:rPr>
          <w:color w:val="000000"/>
          <w:sz w:val="22"/>
          <w:lang w:val="es-MX"/>
        </w:rPr>
        <w:t xml:space="preserve"> que ofrecen productos y préstamos a las micro, pequeñas y medianas empresas (</w:t>
      </w:r>
      <w:proofErr w:type="spellStart"/>
      <w:r w:rsidRPr="006551AE">
        <w:rPr>
          <w:color w:val="000000"/>
          <w:sz w:val="22"/>
          <w:lang w:val="es-MX"/>
        </w:rPr>
        <w:t>mipymes</w:t>
      </w:r>
      <w:proofErr w:type="spellEnd"/>
      <w:r w:rsidRPr="006551AE">
        <w:rPr>
          <w:color w:val="000000"/>
          <w:sz w:val="22"/>
          <w:lang w:val="es-MX"/>
        </w:rPr>
        <w:t>), a pesar de que la experiencia de este tipo de empresas en los bancos tradicionales suele ser bastante peor que la de los consumidores tradicionales</w:t>
      </w:r>
      <w:r w:rsidRPr="008A6B45">
        <w:rPr>
          <w:rStyle w:val="FootnoteReference"/>
          <w:sz w:val="22"/>
          <w:szCs w:val="22"/>
          <w:u w:val="single"/>
          <w:lang w:val="es-MX"/>
        </w:rPr>
        <w:footnoteReference w:id="3"/>
      </w:r>
      <w:r w:rsidR="008A6B45" w:rsidRPr="008A6B45">
        <w:rPr>
          <w:color w:val="000000"/>
          <w:sz w:val="22"/>
          <w:vertAlign w:val="superscript"/>
          <w:lang w:val="es-MX"/>
        </w:rPr>
        <w:t>/</w:t>
      </w:r>
      <w:r w:rsidRPr="006551AE">
        <w:rPr>
          <w:color w:val="000000"/>
          <w:sz w:val="22"/>
          <w:lang w:val="es-MX"/>
        </w:rPr>
        <w:t>.</w:t>
      </w:r>
    </w:p>
    <w:p w14:paraId="043724D2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528C3B32" w14:textId="4B799095" w:rsidR="00500270" w:rsidRDefault="00500270" w:rsidP="00500270">
      <w:pPr>
        <w:ind w:firstLine="720"/>
        <w:jc w:val="both"/>
        <w:rPr>
          <w:sz w:val="22"/>
          <w:lang w:val="es-MX"/>
        </w:rPr>
      </w:pPr>
      <w:r w:rsidRPr="006551AE">
        <w:rPr>
          <w:sz w:val="22"/>
          <w:lang w:val="es-MX"/>
        </w:rPr>
        <w:t xml:space="preserve">La expansión de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y, lo que es más importante, de todo el sector de las </w:t>
      </w:r>
      <w:proofErr w:type="spellStart"/>
      <w:r w:rsidR="00414444">
        <w:rPr>
          <w:sz w:val="22"/>
          <w:lang w:val="es-MX"/>
        </w:rPr>
        <w:t>fintech</w:t>
      </w:r>
      <w:proofErr w:type="spellEnd"/>
      <w:r w:rsidRPr="006551AE">
        <w:rPr>
          <w:sz w:val="22"/>
          <w:lang w:val="es-MX"/>
        </w:rPr>
        <w:t xml:space="preserve"> supone también un aumento en los riesgos sistémicos, lo cual ha creado retos tanto para la regulación como para la supervisión. Como lo señala el FMI, </w:t>
      </w:r>
      <w:r w:rsidR="00E877CD">
        <w:rPr>
          <w:sz w:val="22"/>
          <w:lang w:val="es-MX"/>
        </w:rPr>
        <w:t>“</w:t>
      </w:r>
      <w:r w:rsidRPr="006551AE">
        <w:rPr>
          <w:sz w:val="22"/>
          <w:lang w:val="es-MX"/>
        </w:rPr>
        <w:t xml:space="preserve">si bien algunos de los riesgos son propios de las </w:t>
      </w:r>
      <w:proofErr w:type="spellStart"/>
      <w:r w:rsidR="00414444">
        <w:rPr>
          <w:sz w:val="22"/>
          <w:lang w:val="es-MX"/>
        </w:rPr>
        <w:t>fintech</w:t>
      </w:r>
      <w:proofErr w:type="spellEnd"/>
      <w:r w:rsidRPr="006551AE">
        <w:rPr>
          <w:sz w:val="22"/>
          <w:lang w:val="es-MX"/>
        </w:rPr>
        <w:t xml:space="preserve">, muchos otros están vinculados a productos similares a los que ofrece el sistema financiero tradicional. En concreto, las </w:t>
      </w:r>
      <w:proofErr w:type="spellStart"/>
      <w:r w:rsidR="00414444">
        <w:rPr>
          <w:sz w:val="22"/>
          <w:lang w:val="es-MX"/>
        </w:rPr>
        <w:t>fintech</w:t>
      </w:r>
      <w:proofErr w:type="spellEnd"/>
      <w:r w:rsidRPr="006551AE">
        <w:rPr>
          <w:sz w:val="22"/>
          <w:lang w:val="es-MX"/>
        </w:rPr>
        <w:t xml:space="preserve"> pueden aumentar los riesgos operativos y aquellos relacionados con los datos y la protección de los consumidores</w:t>
      </w:r>
      <w:r w:rsidR="00E877CD">
        <w:rPr>
          <w:sz w:val="22"/>
          <w:lang w:val="es-MX"/>
        </w:rPr>
        <w:t>”</w:t>
      </w:r>
      <w:r w:rsidRPr="008A6B45">
        <w:rPr>
          <w:rStyle w:val="FootnoteReference"/>
          <w:sz w:val="22"/>
          <w:szCs w:val="22"/>
          <w:u w:val="single"/>
          <w:lang w:val="es-MX"/>
        </w:rPr>
        <w:footnoteReference w:id="4"/>
      </w:r>
      <w:r w:rsidR="008A6B45" w:rsidRPr="008A6B45">
        <w:rPr>
          <w:sz w:val="22"/>
          <w:vertAlign w:val="superscript"/>
          <w:lang w:val="es-MX"/>
        </w:rPr>
        <w:t>/</w:t>
      </w:r>
      <w:r w:rsidRPr="006551AE">
        <w:rPr>
          <w:sz w:val="22"/>
          <w:lang w:val="es-MX"/>
        </w:rPr>
        <w:t>.</w:t>
      </w:r>
    </w:p>
    <w:p w14:paraId="68C7BBC3" w14:textId="77777777" w:rsidR="00500270" w:rsidRPr="006551AE" w:rsidRDefault="00500270" w:rsidP="008A6B45">
      <w:pPr>
        <w:jc w:val="both"/>
        <w:rPr>
          <w:color w:val="000000"/>
          <w:sz w:val="22"/>
          <w:szCs w:val="22"/>
          <w:lang w:val="es-MX"/>
        </w:rPr>
      </w:pPr>
    </w:p>
    <w:p w14:paraId="517B166F" w14:textId="4988FC1E" w:rsidR="00500270" w:rsidRDefault="00500270" w:rsidP="00500270">
      <w:pPr>
        <w:ind w:firstLine="720"/>
        <w:jc w:val="both"/>
        <w:rPr>
          <w:sz w:val="22"/>
          <w:lang w:val="es-MX"/>
        </w:rPr>
      </w:pPr>
      <w:r w:rsidRPr="006551AE">
        <w:rPr>
          <w:sz w:val="22"/>
          <w:lang w:val="es-MX"/>
        </w:rPr>
        <w:t xml:space="preserve">A la hora de elegir el marco regulador, existen cuatro opciones posibles. En primer lugar, un país está impedido de tomar alguna medida concreta. En segundo lugar, puede decidir probar o aprender a través de herramientas como los centros de innovación </w:t>
      </w:r>
      <w:r w:rsidR="00414444">
        <w:rPr>
          <w:sz w:val="22"/>
          <w:lang w:val="es-MX"/>
        </w:rPr>
        <w:t>(</w:t>
      </w:r>
      <w:proofErr w:type="spellStart"/>
      <w:r w:rsidR="00414444">
        <w:rPr>
          <w:i/>
          <w:iCs/>
          <w:sz w:val="22"/>
          <w:lang w:val="es-MX"/>
        </w:rPr>
        <w:t>i</w:t>
      </w:r>
      <w:r w:rsidR="00414444" w:rsidRPr="00414444">
        <w:rPr>
          <w:i/>
          <w:iCs/>
          <w:sz w:val="22"/>
          <w:lang w:val="es-MX"/>
        </w:rPr>
        <w:t>nnovation</w:t>
      </w:r>
      <w:proofErr w:type="spellEnd"/>
      <w:r w:rsidR="00414444" w:rsidRPr="00414444">
        <w:rPr>
          <w:i/>
          <w:iCs/>
          <w:sz w:val="22"/>
          <w:lang w:val="es-MX"/>
        </w:rPr>
        <w:t xml:space="preserve"> </w:t>
      </w:r>
      <w:proofErr w:type="spellStart"/>
      <w:r w:rsidR="00414444" w:rsidRPr="00414444">
        <w:rPr>
          <w:i/>
          <w:iCs/>
          <w:sz w:val="22"/>
          <w:lang w:val="es-MX"/>
        </w:rPr>
        <w:t>hubs</w:t>
      </w:r>
      <w:proofErr w:type="spellEnd"/>
      <w:r w:rsidR="00414444">
        <w:rPr>
          <w:sz w:val="22"/>
          <w:lang w:val="es-MX"/>
        </w:rPr>
        <w:t xml:space="preserve">) </w:t>
      </w:r>
      <w:r w:rsidRPr="006551AE">
        <w:rPr>
          <w:sz w:val="22"/>
          <w:lang w:val="es-MX"/>
        </w:rPr>
        <w:t xml:space="preserve">o los centros de experimentación regulatoria </w:t>
      </w:r>
      <w:r w:rsidR="00414444">
        <w:rPr>
          <w:sz w:val="22"/>
          <w:lang w:val="es-MX"/>
        </w:rPr>
        <w:t>(</w:t>
      </w:r>
      <w:proofErr w:type="spellStart"/>
      <w:r w:rsidR="00414444" w:rsidRPr="00414444">
        <w:rPr>
          <w:i/>
          <w:iCs/>
          <w:sz w:val="22"/>
          <w:szCs w:val="22"/>
        </w:rPr>
        <w:t>regulatory</w:t>
      </w:r>
      <w:proofErr w:type="spellEnd"/>
      <w:r w:rsidR="00414444" w:rsidRPr="00414444">
        <w:rPr>
          <w:i/>
          <w:iCs/>
          <w:sz w:val="22"/>
          <w:szCs w:val="22"/>
        </w:rPr>
        <w:t xml:space="preserve"> </w:t>
      </w:r>
      <w:proofErr w:type="spellStart"/>
      <w:r w:rsidR="00414444" w:rsidRPr="00414444">
        <w:rPr>
          <w:i/>
          <w:iCs/>
          <w:sz w:val="22"/>
          <w:szCs w:val="22"/>
        </w:rPr>
        <w:t>sandboxes</w:t>
      </w:r>
      <w:proofErr w:type="spellEnd"/>
      <w:r w:rsidR="00414444">
        <w:rPr>
          <w:sz w:val="22"/>
          <w:szCs w:val="22"/>
        </w:rPr>
        <w:t>)</w:t>
      </w:r>
      <w:r w:rsidR="00414444" w:rsidRPr="006551AE">
        <w:rPr>
          <w:sz w:val="22"/>
          <w:lang w:val="es-MX"/>
        </w:rPr>
        <w:t xml:space="preserve"> </w:t>
      </w:r>
      <w:r w:rsidRPr="006551AE">
        <w:rPr>
          <w:sz w:val="22"/>
          <w:lang w:val="es-MX"/>
        </w:rPr>
        <w:t>para entender las novedades y realizar cambios en función de los resultados. Una tercera opción es ampliar el perímetro mediante la adopción de nuevas normas para regular las empresas</w:t>
      </w:r>
      <w:r w:rsidR="00414444">
        <w:rPr>
          <w:sz w:val="22"/>
          <w:lang w:val="es-MX"/>
        </w:rPr>
        <w:t xml:space="preserve"> </w:t>
      </w:r>
      <w:proofErr w:type="spellStart"/>
      <w:r w:rsidR="00414444">
        <w:rPr>
          <w:sz w:val="22"/>
          <w:lang w:val="es-MX"/>
        </w:rPr>
        <w:t>fintech</w:t>
      </w:r>
      <w:proofErr w:type="spellEnd"/>
      <w:r w:rsidRPr="006551AE">
        <w:rPr>
          <w:sz w:val="22"/>
          <w:lang w:val="es-MX"/>
        </w:rPr>
        <w:t xml:space="preserve">, incluso mediante la adaptación de las normas existentes. La </w:t>
      </w:r>
      <w:r w:rsidRPr="006551AE">
        <w:rPr>
          <w:sz w:val="22"/>
          <w:lang w:val="es-MX"/>
        </w:rPr>
        <w:lastRenderedPageBreak/>
        <w:t>cuarta opción es la regulación</w:t>
      </w:r>
      <w:r w:rsidR="00765E09">
        <w:rPr>
          <w:sz w:val="22"/>
          <w:lang w:val="es-MX"/>
        </w:rPr>
        <w:t xml:space="preserve"> “</w:t>
      </w:r>
      <w:r w:rsidRPr="00765E09">
        <w:rPr>
          <w:sz w:val="22"/>
          <w:lang w:val="es-MX"/>
        </w:rPr>
        <w:t>a la medida</w:t>
      </w:r>
      <w:r w:rsidR="00765E09">
        <w:rPr>
          <w:sz w:val="22"/>
          <w:lang w:val="es-MX"/>
        </w:rPr>
        <w:t>”</w:t>
      </w:r>
      <w:r w:rsidRPr="00765E09">
        <w:rPr>
          <w:sz w:val="22"/>
          <w:lang w:val="es-MX"/>
        </w:rPr>
        <w:t>,</w:t>
      </w:r>
      <w:r w:rsidRPr="006551AE">
        <w:rPr>
          <w:sz w:val="22"/>
          <w:lang w:val="es-MX"/>
        </w:rPr>
        <w:t xml:space="preserve"> que reconoce las particularidades de la</w:t>
      </w:r>
      <w:r w:rsidR="005D53AA">
        <w:rPr>
          <w:sz w:val="22"/>
          <w:lang w:val="es-MX"/>
        </w:rPr>
        <w:t xml:space="preserve">s </w:t>
      </w:r>
      <w:proofErr w:type="spellStart"/>
      <w:r w:rsidR="005D53AA">
        <w:rPr>
          <w:sz w:val="22"/>
          <w:lang w:val="es-MX"/>
        </w:rPr>
        <w:t>fintech</w:t>
      </w:r>
      <w:proofErr w:type="spellEnd"/>
      <w:r w:rsidRPr="006551AE">
        <w:rPr>
          <w:sz w:val="22"/>
          <w:lang w:val="es-MX"/>
        </w:rPr>
        <w:t xml:space="preserve"> y crea nuevas normas para cada innovación</w:t>
      </w:r>
      <w:r w:rsidRPr="008A6B45">
        <w:rPr>
          <w:rStyle w:val="FootnoteReference"/>
          <w:sz w:val="22"/>
          <w:szCs w:val="22"/>
          <w:u w:val="single"/>
          <w:lang w:val="es-MX"/>
        </w:rPr>
        <w:footnoteReference w:id="5"/>
      </w:r>
      <w:r w:rsidR="008A6B45" w:rsidRPr="008A6B45">
        <w:rPr>
          <w:sz w:val="22"/>
          <w:vertAlign w:val="superscript"/>
          <w:lang w:val="es-MX"/>
        </w:rPr>
        <w:t>/</w:t>
      </w:r>
      <w:r w:rsidRPr="006551AE">
        <w:rPr>
          <w:sz w:val="22"/>
          <w:lang w:val="es-MX"/>
        </w:rPr>
        <w:t>.</w:t>
      </w:r>
    </w:p>
    <w:p w14:paraId="4156BD29" w14:textId="77777777" w:rsidR="00414444" w:rsidRPr="006551AE" w:rsidRDefault="00414444" w:rsidP="00500270">
      <w:pPr>
        <w:ind w:firstLine="720"/>
        <w:jc w:val="both"/>
        <w:rPr>
          <w:color w:val="000000"/>
          <w:sz w:val="22"/>
          <w:szCs w:val="22"/>
          <w:lang w:val="es-MX"/>
        </w:rPr>
      </w:pPr>
    </w:p>
    <w:p w14:paraId="18A8E835" w14:textId="6AB0CA6F" w:rsidR="00500270" w:rsidRPr="006551AE" w:rsidRDefault="00500270" w:rsidP="00500270">
      <w:pPr>
        <w:tabs>
          <w:tab w:val="right" w:pos="9000"/>
        </w:tabs>
        <w:ind w:firstLine="720"/>
        <w:jc w:val="both"/>
        <w:rPr>
          <w:color w:val="000000"/>
          <w:sz w:val="22"/>
          <w:szCs w:val="22"/>
          <w:lang w:val="es-MX"/>
        </w:rPr>
      </w:pPr>
      <w:r w:rsidRPr="006551AE">
        <w:rPr>
          <w:sz w:val="22"/>
          <w:lang w:val="es-MX"/>
        </w:rPr>
        <w:t>En América Latina, la tecnología financiera tiende a regularse más por el tipo de actividad de las empresas que por el tipo de empresas que prestan servicios.</w:t>
      </w:r>
      <w:r w:rsidRPr="006551AE">
        <w:rPr>
          <w:sz w:val="22"/>
          <w:vertAlign w:val="superscript"/>
          <w:lang w:val="es-MX"/>
        </w:rPr>
        <w:t xml:space="preserve"> </w:t>
      </w:r>
    </w:p>
    <w:p w14:paraId="22E0FC51" w14:textId="77777777" w:rsidR="00500270" w:rsidRPr="006551AE" w:rsidRDefault="00500270" w:rsidP="008A6B45">
      <w:pPr>
        <w:tabs>
          <w:tab w:val="right" w:pos="9000"/>
        </w:tabs>
        <w:jc w:val="both"/>
        <w:rPr>
          <w:color w:val="000000"/>
          <w:sz w:val="22"/>
          <w:szCs w:val="22"/>
          <w:lang w:val="es-MX"/>
        </w:rPr>
      </w:pPr>
    </w:p>
    <w:p w14:paraId="26EF83F5" w14:textId="16D1334A" w:rsidR="00500270" w:rsidRPr="006551AE" w:rsidRDefault="00500270" w:rsidP="0050027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MX"/>
        </w:rPr>
      </w:pPr>
      <w:r w:rsidRPr="006551AE">
        <w:rPr>
          <w:b/>
          <w:sz w:val="22"/>
          <w:lang w:val="es-MX"/>
        </w:rPr>
        <w:t xml:space="preserve">Propósito de la </w:t>
      </w:r>
      <w:r w:rsidR="004E0A10">
        <w:rPr>
          <w:b/>
          <w:sz w:val="22"/>
          <w:lang w:val="es-MX"/>
        </w:rPr>
        <w:t>reunión</w:t>
      </w:r>
    </w:p>
    <w:p w14:paraId="4DA61D6D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MX"/>
        </w:rPr>
      </w:pPr>
    </w:p>
    <w:p w14:paraId="78C3CD1D" w14:textId="77C1F388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rFonts w:ascii="Helvetica" w:hAnsi="Helvetica"/>
          <w:color w:val="333333"/>
          <w:shd w:val="clear" w:color="auto" w:fill="FFFFFF"/>
          <w:lang w:val="es-MX"/>
        </w:rPr>
      </w:pPr>
      <w:r w:rsidRPr="006551AE">
        <w:rPr>
          <w:sz w:val="22"/>
          <w:lang w:val="es-MX"/>
        </w:rPr>
        <w:tab/>
        <w:t>E</w:t>
      </w:r>
      <w:r w:rsidR="000B6231" w:rsidRPr="006551AE">
        <w:rPr>
          <w:sz w:val="22"/>
          <w:lang w:val="es-MX"/>
        </w:rPr>
        <w:t xml:space="preserve">n esta </w:t>
      </w:r>
      <w:r w:rsidR="004E0A10">
        <w:rPr>
          <w:sz w:val="22"/>
          <w:lang w:val="es-MX"/>
        </w:rPr>
        <w:t>reunión</w:t>
      </w:r>
      <w:r w:rsidRPr="006551AE">
        <w:rPr>
          <w:sz w:val="22"/>
          <w:lang w:val="es-MX"/>
        </w:rPr>
        <w:t xml:space="preserve"> </w:t>
      </w:r>
      <w:r w:rsidR="000B6231" w:rsidRPr="006551AE">
        <w:rPr>
          <w:sz w:val="22"/>
          <w:lang w:val="es-MX"/>
        </w:rPr>
        <w:t xml:space="preserve">se pretende </w:t>
      </w:r>
      <w:r w:rsidRPr="006551AE">
        <w:rPr>
          <w:sz w:val="22"/>
          <w:lang w:val="es-MX"/>
        </w:rPr>
        <w:t xml:space="preserve">debatir el papel de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como herramienta para el desarrollo en los Estados Miembros de la OEA y, más concretamente, la forma en que la ampliación del acceso a los servicios financieros para quienes históricamente han carecido de éste o cuyo acceso es limitado contribuye a la potenciación financiera de esas comunidades, situándolas así en una mejor posición para participar en la economía.</w:t>
      </w:r>
    </w:p>
    <w:p w14:paraId="0AA0CEAB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rFonts w:ascii="Helvetica" w:hAnsi="Helvetica"/>
          <w:color w:val="333333"/>
          <w:shd w:val="clear" w:color="auto" w:fill="FFFFFF"/>
          <w:lang w:val="es-MX"/>
        </w:rPr>
      </w:pPr>
    </w:p>
    <w:p w14:paraId="562536C8" w14:textId="57DEADE1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ab/>
        <w:t xml:space="preserve">Esta </w:t>
      </w:r>
      <w:r w:rsidR="004E0A10">
        <w:rPr>
          <w:sz w:val="22"/>
          <w:lang w:val="es-MX"/>
        </w:rPr>
        <w:t xml:space="preserve">reunión </w:t>
      </w:r>
      <w:r w:rsidRPr="006551AE">
        <w:rPr>
          <w:sz w:val="22"/>
          <w:lang w:val="es-MX"/>
        </w:rPr>
        <w:t>brindará a los Estados Miembros la oportunidad de presentar sus experiencias en el sector de la banca digital y abordará cuestiones relacionadas con los retos y soluciones para ampliar y reforzar esta incipiente industria.</w:t>
      </w:r>
    </w:p>
    <w:p w14:paraId="6CB38D7D" w14:textId="77777777" w:rsidR="00500270" w:rsidRPr="006551AE" w:rsidRDefault="00500270" w:rsidP="00500270">
      <w:pPr>
        <w:tabs>
          <w:tab w:val="left" w:pos="720"/>
          <w:tab w:val="left" w:pos="1440"/>
        </w:tabs>
        <w:jc w:val="both"/>
        <w:rPr>
          <w:sz w:val="22"/>
          <w:szCs w:val="22"/>
          <w:lang w:val="es-MX"/>
        </w:rPr>
      </w:pPr>
    </w:p>
    <w:p w14:paraId="3F47F7C3" w14:textId="77777777" w:rsidR="00500270" w:rsidRPr="006551AE" w:rsidRDefault="00500270" w:rsidP="00500270">
      <w:pPr>
        <w:tabs>
          <w:tab w:val="left" w:pos="720"/>
          <w:tab w:val="left" w:pos="1440"/>
        </w:tabs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ab/>
        <w:t>Entre las interrogantes que habrán de plantearse los Estados Miembros se incluyen las siguientes:</w:t>
      </w:r>
    </w:p>
    <w:p w14:paraId="46F8B75A" w14:textId="77777777" w:rsidR="00500270" w:rsidRPr="006551AE" w:rsidRDefault="00500270" w:rsidP="00500270">
      <w:pPr>
        <w:tabs>
          <w:tab w:val="left" w:pos="720"/>
          <w:tab w:val="left" w:pos="1440"/>
        </w:tabs>
        <w:jc w:val="both"/>
        <w:rPr>
          <w:sz w:val="22"/>
          <w:szCs w:val="22"/>
          <w:lang w:val="es-MX"/>
        </w:rPr>
      </w:pPr>
    </w:p>
    <w:p w14:paraId="4E9EC46C" w14:textId="2528EF5D" w:rsidR="00500270" w:rsidRPr="006551AE" w:rsidRDefault="00500270" w:rsidP="00500270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¿Qué importancia tiene el sector de la banca digital como herramienta </w:t>
      </w:r>
      <w:r w:rsidR="009B0FC7" w:rsidRPr="006551AE">
        <w:rPr>
          <w:sz w:val="22"/>
          <w:lang w:val="es-MX"/>
        </w:rPr>
        <w:t xml:space="preserve">para el </w:t>
      </w:r>
      <w:r w:rsidRPr="006551AE">
        <w:rPr>
          <w:sz w:val="22"/>
          <w:lang w:val="es-MX"/>
        </w:rPr>
        <w:t>desarrollo en los Estados Miembros de la OEA?</w:t>
      </w:r>
    </w:p>
    <w:p w14:paraId="3BE23D13" w14:textId="77777777" w:rsidR="00500270" w:rsidRPr="006551AE" w:rsidRDefault="00500270" w:rsidP="00500270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¿Cuáles son las estrategias clave para promover un mayor acceso a los servicios financieros en los Estados Miembros, incluso a las </w:t>
      </w:r>
      <w:proofErr w:type="spellStart"/>
      <w:r w:rsidRPr="006551AE">
        <w:rPr>
          <w:sz w:val="22"/>
          <w:lang w:val="es-MX"/>
        </w:rPr>
        <w:t>mipymes</w:t>
      </w:r>
      <w:proofErr w:type="spellEnd"/>
      <w:r w:rsidRPr="006551AE">
        <w:rPr>
          <w:sz w:val="22"/>
          <w:lang w:val="es-MX"/>
        </w:rPr>
        <w:t xml:space="preserve">? </w:t>
      </w:r>
    </w:p>
    <w:p w14:paraId="714DD392" w14:textId="77777777" w:rsidR="00500270" w:rsidRPr="006551AE" w:rsidRDefault="00500270" w:rsidP="00500270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Según la experiencia de su país, ¿contribuyen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a la consecución de los ODS?</w:t>
      </w:r>
    </w:p>
    <w:p w14:paraId="51BA87CB" w14:textId="77777777" w:rsidR="00500270" w:rsidRPr="006551AE" w:rsidRDefault="00500270" w:rsidP="00500270">
      <w:pPr>
        <w:pStyle w:val="NormalWeb"/>
        <w:numPr>
          <w:ilvl w:val="0"/>
          <w:numId w:val="6"/>
        </w:numPr>
        <w:spacing w:before="0" w:beforeAutospacing="0" w:after="0" w:afterAutospacing="0"/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¿Qué papel deben desempeñar los Gobiernos para regular y supervisar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? </w:t>
      </w:r>
    </w:p>
    <w:p w14:paraId="7BF8450B" w14:textId="77777777" w:rsidR="00500270" w:rsidRPr="006551AE" w:rsidRDefault="00500270" w:rsidP="008A6B45">
      <w:pPr>
        <w:pStyle w:val="NormalWeb"/>
        <w:spacing w:before="0" w:beforeAutospacing="0" w:after="0" w:afterAutospacing="0"/>
        <w:jc w:val="both"/>
        <w:rPr>
          <w:sz w:val="22"/>
          <w:szCs w:val="22"/>
          <w:lang w:val="es-MX"/>
        </w:rPr>
      </w:pPr>
    </w:p>
    <w:p w14:paraId="7E7DB014" w14:textId="73C25A0B" w:rsidR="00500270" w:rsidRPr="006551AE" w:rsidRDefault="00500270" w:rsidP="0050027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MX"/>
        </w:rPr>
      </w:pPr>
      <w:r w:rsidRPr="006551AE">
        <w:rPr>
          <w:b/>
          <w:sz w:val="22"/>
          <w:lang w:val="es-MX"/>
        </w:rPr>
        <w:t xml:space="preserve">Pertinencia para </w:t>
      </w:r>
      <w:r w:rsidR="009C6DE6">
        <w:rPr>
          <w:b/>
          <w:sz w:val="22"/>
          <w:lang w:val="es-MX"/>
        </w:rPr>
        <w:t>la</w:t>
      </w:r>
      <w:r w:rsidRPr="006551AE">
        <w:rPr>
          <w:b/>
          <w:sz w:val="22"/>
          <w:lang w:val="es-MX"/>
        </w:rPr>
        <w:t xml:space="preserve"> SEDI </w:t>
      </w:r>
    </w:p>
    <w:p w14:paraId="36D8DD7C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MX"/>
        </w:rPr>
      </w:pPr>
    </w:p>
    <w:p w14:paraId="38B5BF61" w14:textId="77777777" w:rsidR="00500270" w:rsidRPr="006551AE" w:rsidRDefault="00500270" w:rsidP="00500270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>Promover el acceso a la financiación como herramienta para aumentar la inclusión financiera, crear oportunidades de empleo, contribuir a la reducción de la pobreza y mejorar los medios de subsistencia</w:t>
      </w:r>
    </w:p>
    <w:p w14:paraId="2F7BC435" w14:textId="77777777" w:rsidR="00500270" w:rsidRPr="006551AE" w:rsidRDefault="00500270" w:rsidP="00500270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>Reforzar la implementación de la Agenda 2030 para el Desarrollo Sostenible y sus correspondientes ODS</w:t>
      </w:r>
    </w:p>
    <w:p w14:paraId="3A22E22C" w14:textId="77777777" w:rsidR="00500270" w:rsidRPr="006551AE" w:rsidRDefault="00500270" w:rsidP="00500270">
      <w:pPr>
        <w:pStyle w:val="ListParagraph0"/>
        <w:numPr>
          <w:ilvl w:val="0"/>
          <w:numId w:val="3"/>
        </w:numPr>
        <w:tabs>
          <w:tab w:val="left" w:pos="720"/>
          <w:tab w:val="left" w:pos="2160"/>
        </w:tabs>
        <w:ind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Fomentar el diálogo, la cooperación y el intercambio de conocimientos a escala regional sobre el acceso a la financiación entre particulares y </w:t>
      </w:r>
      <w:proofErr w:type="spellStart"/>
      <w:r w:rsidRPr="006551AE">
        <w:rPr>
          <w:sz w:val="22"/>
          <w:lang w:val="es-MX"/>
        </w:rPr>
        <w:t>mipymes</w:t>
      </w:r>
      <w:proofErr w:type="spellEnd"/>
      <w:r w:rsidRPr="006551AE">
        <w:rPr>
          <w:sz w:val="22"/>
          <w:lang w:val="es-MX"/>
        </w:rPr>
        <w:t>, incluidos mecanismos para compartir buenas prácticas y lecciones aprendidas</w:t>
      </w:r>
    </w:p>
    <w:p w14:paraId="674B7F4F" w14:textId="23616621" w:rsidR="00BB223B" w:rsidRDefault="00BB223B" w:rsidP="008A6B45">
      <w:pPr>
        <w:tabs>
          <w:tab w:val="left" w:pos="720"/>
          <w:tab w:val="left" w:pos="2160"/>
        </w:tabs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br w:type="page"/>
      </w:r>
    </w:p>
    <w:p w14:paraId="565FE4EC" w14:textId="57CE6A34" w:rsidR="00500270" w:rsidRPr="006551AE" w:rsidRDefault="00500270" w:rsidP="0050027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MX"/>
        </w:rPr>
      </w:pPr>
      <w:r w:rsidRPr="006551AE">
        <w:rPr>
          <w:b/>
          <w:sz w:val="22"/>
          <w:lang w:val="es-MX"/>
        </w:rPr>
        <w:lastRenderedPageBreak/>
        <w:t xml:space="preserve">Mandatos </w:t>
      </w:r>
      <w:r w:rsidR="009B0FC7" w:rsidRPr="006551AE">
        <w:rPr>
          <w:b/>
          <w:sz w:val="22"/>
          <w:lang w:val="es-MX"/>
        </w:rPr>
        <w:t>de la OEA</w:t>
      </w:r>
    </w:p>
    <w:p w14:paraId="1DF69347" w14:textId="77777777" w:rsidR="00765E09" w:rsidRDefault="00765E09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lang w:val="es-MX"/>
        </w:rPr>
      </w:pPr>
    </w:p>
    <w:p w14:paraId="5C047CDC" w14:textId="58D92894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ab/>
        <w:t xml:space="preserve">En consonancia con la línea estratégica </w:t>
      </w:r>
      <w:r w:rsidR="006551AE">
        <w:rPr>
          <w:sz w:val="22"/>
          <w:lang w:val="es-MX"/>
        </w:rPr>
        <w:t>“</w:t>
      </w:r>
      <w:r w:rsidRPr="006551AE">
        <w:rPr>
          <w:sz w:val="22"/>
          <w:lang w:val="es-MX"/>
        </w:rPr>
        <w:t>promoción de economías incluyentes y competitivas</w:t>
      </w:r>
      <w:r w:rsidR="006551AE">
        <w:rPr>
          <w:sz w:val="22"/>
          <w:lang w:val="es-MX"/>
        </w:rPr>
        <w:t>”</w:t>
      </w:r>
      <w:r w:rsidRPr="006551AE">
        <w:rPr>
          <w:sz w:val="22"/>
          <w:lang w:val="es-MX"/>
        </w:rPr>
        <w:t xml:space="preserve">, la resolución de la Asamblea General AG/RES. 2967 (LI-O/21), </w:t>
      </w:r>
      <w:r w:rsidR="006551AE">
        <w:rPr>
          <w:sz w:val="22"/>
          <w:lang w:val="es-MX"/>
        </w:rPr>
        <w:t>“</w:t>
      </w:r>
      <w:r w:rsidRPr="006551AE">
        <w:rPr>
          <w:sz w:val="22"/>
          <w:lang w:val="es-MX"/>
        </w:rPr>
        <w:t>Impulsando iniciativas hemisféricas en materia de desarrollo integral: promoción de la resiliencia</w:t>
      </w:r>
      <w:r w:rsidR="006551AE">
        <w:rPr>
          <w:sz w:val="22"/>
          <w:lang w:val="es-MX"/>
        </w:rPr>
        <w:t>”</w:t>
      </w:r>
      <w:r w:rsidRPr="006551AE">
        <w:rPr>
          <w:sz w:val="22"/>
          <w:lang w:val="es-MX"/>
        </w:rPr>
        <w:t>, establece lo</w:t>
      </w:r>
      <w:r w:rsidR="009B0FC7" w:rsidRPr="006551AE">
        <w:rPr>
          <w:sz w:val="22"/>
          <w:lang w:val="es-MX"/>
        </w:rPr>
        <w:t xml:space="preserve"> siguiente</w:t>
      </w:r>
      <w:r w:rsidRPr="006551AE">
        <w:rPr>
          <w:sz w:val="22"/>
          <w:lang w:val="es-MX"/>
        </w:rPr>
        <w:t xml:space="preserve">: </w:t>
      </w:r>
    </w:p>
    <w:p w14:paraId="3336DC57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5AAFB5F8" w14:textId="6EAF75D3" w:rsidR="00500270" w:rsidRPr="006551AE" w:rsidRDefault="006551AE" w:rsidP="00500270">
      <w:pPr>
        <w:pStyle w:val="ListParagraph0"/>
        <w:numPr>
          <w:ilvl w:val="0"/>
          <w:numId w:val="11"/>
        </w:numPr>
        <w:tabs>
          <w:tab w:val="left" w:pos="720"/>
          <w:tab w:val="left" w:pos="1440"/>
        </w:tabs>
        <w:ind w:left="1440" w:hanging="720"/>
        <w:jc w:val="both"/>
        <w:rPr>
          <w:sz w:val="22"/>
          <w:szCs w:val="22"/>
          <w:lang w:val="es-MX"/>
        </w:rPr>
      </w:pPr>
      <w:r>
        <w:rPr>
          <w:sz w:val="22"/>
          <w:lang w:val="es-MX"/>
        </w:rPr>
        <w:t>“</w:t>
      </w:r>
      <w:r w:rsidR="00500270" w:rsidRPr="006551AE">
        <w:rPr>
          <w:sz w:val="22"/>
          <w:lang w:val="es-MX"/>
        </w:rPr>
        <w:t xml:space="preserve">Reconociendo que la pandemia de COVID-19 ha impactado severamente a las </w:t>
      </w:r>
      <w:proofErr w:type="spellStart"/>
      <w:r w:rsidR="00500270" w:rsidRPr="006551AE">
        <w:rPr>
          <w:sz w:val="22"/>
          <w:lang w:val="es-MX"/>
        </w:rPr>
        <w:t>mipymes</w:t>
      </w:r>
      <w:proofErr w:type="spellEnd"/>
      <w:r w:rsidR="00500270" w:rsidRPr="006551AE">
        <w:rPr>
          <w:sz w:val="22"/>
          <w:lang w:val="es-MX"/>
        </w:rPr>
        <w:t xml:space="preserve"> y ha acelerado la transformación digital de la región, y que la brecha digital de las </w:t>
      </w:r>
      <w:proofErr w:type="spellStart"/>
      <w:r w:rsidR="00500270" w:rsidRPr="006551AE">
        <w:rPr>
          <w:sz w:val="22"/>
          <w:lang w:val="es-MX"/>
        </w:rPr>
        <w:t>mipymes</w:t>
      </w:r>
      <w:proofErr w:type="spellEnd"/>
      <w:r w:rsidR="00500270" w:rsidRPr="006551AE">
        <w:rPr>
          <w:sz w:val="22"/>
          <w:lang w:val="es-MX"/>
        </w:rPr>
        <w:t xml:space="preserve"> ha aumentado las desigualdades entre personas, países y empresas, instruir a la SEDI a que continúe desarrollando la capacidad local en los Estados Miembros para apoyar a las </w:t>
      </w:r>
      <w:proofErr w:type="spellStart"/>
      <w:r w:rsidR="00500270" w:rsidRPr="006551AE">
        <w:rPr>
          <w:sz w:val="22"/>
          <w:lang w:val="es-MX"/>
        </w:rPr>
        <w:t>mipymes</w:t>
      </w:r>
      <w:proofErr w:type="spellEnd"/>
      <w:r w:rsidR="00500270" w:rsidRPr="006551AE">
        <w:rPr>
          <w:sz w:val="22"/>
          <w:lang w:val="es-MX"/>
        </w:rPr>
        <w:t xml:space="preserve"> en sus esfuerzos por participar plenamente en la economía digital y aumentar sus oportunidades para aprovechar los beneficios que brinda el proceso de digitalización en curso.</w:t>
      </w:r>
      <w:r>
        <w:rPr>
          <w:sz w:val="22"/>
          <w:lang w:val="es-MX"/>
        </w:rPr>
        <w:t>”</w:t>
      </w:r>
    </w:p>
    <w:p w14:paraId="608EF48E" w14:textId="487C5E85" w:rsidR="00500270" w:rsidRDefault="00500270" w:rsidP="00500270">
      <w:pPr>
        <w:tabs>
          <w:tab w:val="left" w:pos="720"/>
        </w:tabs>
        <w:jc w:val="both"/>
        <w:rPr>
          <w:sz w:val="22"/>
          <w:szCs w:val="22"/>
          <w:lang w:val="es-MX"/>
        </w:rPr>
      </w:pPr>
    </w:p>
    <w:p w14:paraId="7B6E739D" w14:textId="77777777" w:rsidR="00596E60" w:rsidRPr="006551AE" w:rsidRDefault="00596E60" w:rsidP="00500270">
      <w:pPr>
        <w:tabs>
          <w:tab w:val="left" w:pos="720"/>
        </w:tabs>
        <w:jc w:val="both"/>
        <w:rPr>
          <w:sz w:val="22"/>
          <w:szCs w:val="22"/>
          <w:lang w:val="es-MX"/>
        </w:rPr>
      </w:pPr>
    </w:p>
    <w:p w14:paraId="6748D3E2" w14:textId="3261D97D" w:rsidR="00500270" w:rsidRPr="006551AE" w:rsidRDefault="006551AE" w:rsidP="00500270">
      <w:pPr>
        <w:pStyle w:val="ListParagraph0"/>
        <w:numPr>
          <w:ilvl w:val="0"/>
          <w:numId w:val="12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MX"/>
        </w:rPr>
      </w:pPr>
      <w:r>
        <w:rPr>
          <w:sz w:val="22"/>
          <w:lang w:val="es-MX"/>
        </w:rPr>
        <w:t>“</w:t>
      </w:r>
      <w:r w:rsidR="00500270" w:rsidRPr="006551AE">
        <w:rPr>
          <w:sz w:val="22"/>
          <w:lang w:val="es-MX"/>
        </w:rPr>
        <w:t xml:space="preserve">Instar a los Estados Miembros a que, con el apoyo de la SEDI, continúe intercambiando buenas prácticas y experiencias sobre las prioridades para la recuperación de las </w:t>
      </w:r>
      <w:proofErr w:type="spellStart"/>
      <w:r w:rsidR="00500270" w:rsidRPr="006551AE">
        <w:rPr>
          <w:sz w:val="22"/>
          <w:lang w:val="es-MX"/>
        </w:rPr>
        <w:t>mipymes</w:t>
      </w:r>
      <w:proofErr w:type="spellEnd"/>
      <w:r w:rsidR="00500270" w:rsidRPr="006551AE">
        <w:rPr>
          <w:sz w:val="22"/>
          <w:lang w:val="es-MX"/>
        </w:rPr>
        <w:t xml:space="preserve"> pos-COVID-19 identificadas en el VII Diálogo Interamericano de Altas Autoridades de </w:t>
      </w:r>
      <w:proofErr w:type="spellStart"/>
      <w:r w:rsidR="00500270" w:rsidRPr="006551AE">
        <w:rPr>
          <w:sz w:val="22"/>
          <w:lang w:val="es-MX"/>
        </w:rPr>
        <w:t>Mipymes</w:t>
      </w:r>
      <w:proofErr w:type="spellEnd"/>
      <w:r w:rsidR="00500270" w:rsidRPr="006551AE">
        <w:rPr>
          <w:sz w:val="22"/>
          <w:lang w:val="es-MX"/>
        </w:rPr>
        <w:t xml:space="preserve"> sobre (1) soluciones financieras con perspectiva de género; (2) digitalización, comercio electrónico y otras soluciones tecnológicas; (3) servicios de mensajería y envío internacional; y (4) empoderamiento económico de la mujer.</w:t>
      </w:r>
      <w:r>
        <w:rPr>
          <w:sz w:val="22"/>
          <w:lang w:val="es-MX"/>
        </w:rPr>
        <w:t>”</w:t>
      </w:r>
    </w:p>
    <w:p w14:paraId="6FF57F4F" w14:textId="77777777" w:rsidR="00500270" w:rsidRPr="006551AE" w:rsidRDefault="00500270" w:rsidP="00500270">
      <w:pPr>
        <w:tabs>
          <w:tab w:val="left" w:pos="720"/>
        </w:tabs>
        <w:jc w:val="both"/>
        <w:rPr>
          <w:sz w:val="22"/>
          <w:szCs w:val="22"/>
          <w:lang w:val="es-MX"/>
        </w:rPr>
      </w:pPr>
    </w:p>
    <w:p w14:paraId="3821DD5B" w14:textId="249F76C7" w:rsidR="00500270" w:rsidRPr="006551AE" w:rsidRDefault="00500270" w:rsidP="00500270">
      <w:pPr>
        <w:pStyle w:val="BodyA"/>
        <w:ind w:firstLine="720"/>
        <w:jc w:val="both"/>
        <w:rPr>
          <w:rFonts w:ascii="Times New Roman" w:hAnsi="Times New Roman" w:cs="Times New Roman"/>
          <w:lang w:val="es-MX"/>
        </w:rPr>
      </w:pPr>
      <w:r w:rsidRPr="006551AE">
        <w:rPr>
          <w:rFonts w:ascii="Times New Roman" w:hAnsi="Times New Roman"/>
          <w:lang w:val="es-MX"/>
        </w:rPr>
        <w:t>En el VII Diálogo Interamericano de Altas Autoridades de M</w:t>
      </w:r>
      <w:r w:rsidRPr="009C6DE6">
        <w:rPr>
          <w:rFonts w:ascii="Times New Roman" w:hAnsi="Times New Roman"/>
          <w:caps/>
          <w:lang w:val="es-MX"/>
        </w:rPr>
        <w:t>ipymes</w:t>
      </w:r>
      <w:r w:rsidRPr="006551AE">
        <w:rPr>
          <w:rFonts w:ascii="Times New Roman" w:hAnsi="Times New Roman"/>
          <w:lang w:val="es-MX"/>
        </w:rPr>
        <w:t xml:space="preserve">, celebrado los días 9 y 10 de septiembre de 2021 bajo el lema </w:t>
      </w:r>
      <w:r w:rsidR="006551AE">
        <w:rPr>
          <w:rFonts w:ascii="Times New Roman" w:hAnsi="Times New Roman"/>
          <w:lang w:val="es-MX"/>
        </w:rPr>
        <w:t>“</w:t>
      </w:r>
      <w:r w:rsidR="00EA4838" w:rsidRPr="006551AE">
        <w:rPr>
          <w:rFonts w:ascii="Times New Roman" w:hAnsi="Times New Roman"/>
          <w:lang w:val="es-MX"/>
        </w:rPr>
        <w:t>P</w:t>
      </w:r>
      <w:r w:rsidRPr="006551AE">
        <w:rPr>
          <w:rFonts w:ascii="Times New Roman" w:hAnsi="Times New Roman"/>
          <w:lang w:val="es-MX"/>
        </w:rPr>
        <w:t xml:space="preserve">olíticas públicas, programas y soluciones para la recuperación económica de las micro, pequeñas y medianas empresas </w:t>
      </w:r>
      <w:proofErr w:type="spellStart"/>
      <w:r w:rsidRPr="006551AE">
        <w:rPr>
          <w:rFonts w:ascii="Times New Roman" w:hAnsi="Times New Roman"/>
          <w:lang w:val="es-MX"/>
        </w:rPr>
        <w:t>pos</w:t>
      </w:r>
      <w:proofErr w:type="spellEnd"/>
      <w:r w:rsidRPr="006551AE">
        <w:rPr>
          <w:rFonts w:ascii="Times New Roman" w:hAnsi="Times New Roman"/>
          <w:lang w:val="es-MX"/>
        </w:rPr>
        <w:t>-COVID</w:t>
      </w:r>
      <w:r w:rsidR="006551AE">
        <w:rPr>
          <w:rFonts w:ascii="Times New Roman" w:hAnsi="Times New Roman"/>
          <w:lang w:val="es-MX"/>
        </w:rPr>
        <w:t>”</w:t>
      </w:r>
      <w:r w:rsidRPr="006551AE">
        <w:rPr>
          <w:rFonts w:ascii="Times New Roman" w:hAnsi="Times New Roman"/>
          <w:lang w:val="es-MX"/>
        </w:rPr>
        <w:t xml:space="preserve">, los Estados </w:t>
      </w:r>
      <w:r w:rsidR="00EA4838" w:rsidRPr="006551AE">
        <w:rPr>
          <w:rFonts w:ascii="Times New Roman" w:hAnsi="Times New Roman"/>
          <w:lang w:val="es-MX"/>
        </w:rPr>
        <w:t>M</w:t>
      </w:r>
      <w:r w:rsidRPr="006551AE">
        <w:rPr>
          <w:rFonts w:ascii="Times New Roman" w:hAnsi="Times New Roman"/>
          <w:lang w:val="es-MX"/>
        </w:rPr>
        <w:t xml:space="preserve">iembros identificaron la siguiente área de acción prioritaria: </w:t>
      </w:r>
    </w:p>
    <w:p w14:paraId="0635B604" w14:textId="77777777" w:rsidR="00500270" w:rsidRPr="006551AE" w:rsidRDefault="00500270" w:rsidP="008A6B45">
      <w:pPr>
        <w:pStyle w:val="BodyA"/>
        <w:jc w:val="both"/>
        <w:rPr>
          <w:rFonts w:ascii="Times New Roman" w:hAnsi="Times New Roman" w:cs="Times New Roman"/>
          <w:lang w:val="es-MX"/>
        </w:rPr>
      </w:pPr>
    </w:p>
    <w:p w14:paraId="559475A5" w14:textId="3344268F" w:rsidR="00500270" w:rsidRPr="006551AE" w:rsidRDefault="006551AE" w:rsidP="00500270">
      <w:pPr>
        <w:pStyle w:val="BodyA"/>
        <w:ind w:firstLine="720"/>
        <w:jc w:val="both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/>
          <w:lang w:val="es-MX"/>
        </w:rPr>
        <w:t>“</w:t>
      </w:r>
      <w:r w:rsidR="00500270" w:rsidRPr="006551AE">
        <w:rPr>
          <w:rFonts w:ascii="Times New Roman" w:hAnsi="Times New Roman"/>
          <w:lang w:val="es-MX"/>
        </w:rPr>
        <w:t xml:space="preserve">Intercambio de los últimos avances en soluciones financieras para apoyar la supervivencia y mejorar la resiliencia de las </w:t>
      </w:r>
      <w:r w:rsidR="00500270" w:rsidRPr="009C6130">
        <w:rPr>
          <w:rFonts w:ascii="Times New Roman" w:hAnsi="Times New Roman"/>
          <w:caps/>
          <w:lang w:val="es-MX"/>
        </w:rPr>
        <w:t>mipymes</w:t>
      </w:r>
      <w:r>
        <w:rPr>
          <w:rFonts w:ascii="Times New Roman" w:hAnsi="Times New Roman"/>
          <w:lang w:val="es-MX"/>
        </w:rPr>
        <w:t>”</w:t>
      </w:r>
      <w:r w:rsidR="00414444">
        <w:rPr>
          <w:rFonts w:ascii="Times New Roman" w:hAnsi="Times New Roman"/>
          <w:lang w:val="es-MX"/>
        </w:rPr>
        <w:t>.</w:t>
      </w:r>
    </w:p>
    <w:p w14:paraId="3B720BA4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MX"/>
        </w:rPr>
      </w:pPr>
    </w:p>
    <w:p w14:paraId="21355E1C" w14:textId="061DEF06" w:rsidR="00500270" w:rsidRPr="006551AE" w:rsidRDefault="00500270" w:rsidP="0050027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MX"/>
        </w:rPr>
      </w:pPr>
      <w:r w:rsidRPr="006551AE">
        <w:rPr>
          <w:b/>
          <w:sz w:val="22"/>
          <w:lang w:val="es-MX"/>
        </w:rPr>
        <w:t xml:space="preserve">Estructura de la </w:t>
      </w:r>
      <w:r w:rsidR="00BB223B">
        <w:rPr>
          <w:b/>
          <w:sz w:val="22"/>
          <w:lang w:val="es-MX"/>
        </w:rPr>
        <w:t>reunión</w:t>
      </w:r>
    </w:p>
    <w:p w14:paraId="17680F3F" w14:textId="26F7E03F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0E1DAAC6" w14:textId="0DE1E489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ab/>
        <w:t xml:space="preserve">Se invitará a varios oradores </w:t>
      </w:r>
      <w:r w:rsidR="00EA4838" w:rsidRPr="006551AE">
        <w:rPr>
          <w:sz w:val="22"/>
          <w:lang w:val="es-MX"/>
        </w:rPr>
        <w:t xml:space="preserve">a </w:t>
      </w:r>
      <w:r w:rsidRPr="006551AE">
        <w:rPr>
          <w:sz w:val="22"/>
          <w:lang w:val="es-MX"/>
        </w:rPr>
        <w:t xml:space="preserve">explorar el papel de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en el desarrollo, así como su potencial para contribuir significativamente a la recuperación económica y a la consecución de los ODS en los Estados Miembros de la OEA. Los Estados Miembros tendrán la oportunidad de participar en un diálogo interactivo guiado por </w:t>
      </w:r>
      <w:r w:rsidR="009C6130">
        <w:rPr>
          <w:sz w:val="22"/>
          <w:lang w:val="es-MX"/>
        </w:rPr>
        <w:t>el presidente del CIDI</w:t>
      </w:r>
      <w:r w:rsidRPr="006551AE">
        <w:rPr>
          <w:sz w:val="22"/>
          <w:lang w:val="es-MX"/>
        </w:rPr>
        <w:t>.</w:t>
      </w:r>
    </w:p>
    <w:p w14:paraId="232D1AF7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14702F94" w14:textId="74D1FEFA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ab/>
        <w:t>Tras una sesión</w:t>
      </w:r>
      <w:r w:rsidR="000A62D8">
        <w:rPr>
          <w:sz w:val="22"/>
          <w:lang w:val="es-MX"/>
        </w:rPr>
        <w:t xml:space="preserve"> </w:t>
      </w:r>
      <w:r w:rsidRPr="006551AE">
        <w:rPr>
          <w:sz w:val="22"/>
          <w:lang w:val="es-MX"/>
        </w:rPr>
        <w:t>de preguntas y respuestas con los oradores invitados, la</w:t>
      </w:r>
      <w:r w:rsidR="005F1BC6">
        <w:rPr>
          <w:sz w:val="22"/>
          <w:lang w:val="es-MX"/>
        </w:rPr>
        <w:t xml:space="preserve"> p</w:t>
      </w:r>
      <w:r w:rsidRPr="006551AE">
        <w:rPr>
          <w:sz w:val="22"/>
          <w:lang w:val="es-MX"/>
        </w:rPr>
        <w:t xml:space="preserve">residencia invitará a las delegaciones a que compartan sus prácticas en materia de ampliación del acceso a los servicios financieros y explorar las oportunidades de cooperación para las </w:t>
      </w:r>
      <w:r w:rsidRPr="005F1BC6">
        <w:rPr>
          <w:caps/>
          <w:sz w:val="22"/>
          <w:lang w:val="es-MX"/>
        </w:rPr>
        <w:t>mipymes</w:t>
      </w:r>
      <w:r w:rsidRPr="006551AE">
        <w:rPr>
          <w:sz w:val="22"/>
          <w:lang w:val="es-MX"/>
        </w:rPr>
        <w:t xml:space="preserve">. </w:t>
      </w:r>
    </w:p>
    <w:p w14:paraId="2EDDFCEF" w14:textId="77777777" w:rsidR="00500270" w:rsidRPr="008A6B45" w:rsidRDefault="00500270" w:rsidP="008A6B45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</w:p>
    <w:p w14:paraId="153D3132" w14:textId="77777777" w:rsidR="00500270" w:rsidRPr="006551AE" w:rsidRDefault="00500270" w:rsidP="00500270">
      <w:pPr>
        <w:keepNext/>
        <w:keepLines/>
        <w:tabs>
          <w:tab w:val="left" w:pos="720"/>
          <w:tab w:val="left" w:pos="1440"/>
          <w:tab w:val="left" w:pos="2160"/>
        </w:tabs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ab/>
        <w:t>Panelistas invitados (por determinar)</w:t>
      </w:r>
    </w:p>
    <w:p w14:paraId="679512DE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bCs/>
          <w:sz w:val="22"/>
          <w:szCs w:val="22"/>
          <w:lang w:val="es-MX"/>
        </w:rPr>
      </w:pPr>
    </w:p>
    <w:p w14:paraId="5D01C855" w14:textId="0D6487D4" w:rsidR="00500270" w:rsidRPr="006551AE" w:rsidRDefault="00500270" w:rsidP="00500270">
      <w:pPr>
        <w:numPr>
          <w:ilvl w:val="0"/>
          <w:numId w:val="1"/>
        </w:numPr>
        <w:tabs>
          <w:tab w:val="left" w:pos="720"/>
          <w:tab w:val="left" w:pos="1440"/>
          <w:tab w:val="left" w:pos="2160"/>
        </w:tabs>
        <w:ind w:left="0" w:firstLine="0"/>
        <w:jc w:val="both"/>
        <w:rPr>
          <w:b/>
          <w:sz w:val="22"/>
          <w:szCs w:val="22"/>
          <w:lang w:val="es-MX"/>
        </w:rPr>
      </w:pPr>
      <w:r w:rsidRPr="006551AE">
        <w:rPr>
          <w:b/>
          <w:sz w:val="22"/>
          <w:lang w:val="es-MX"/>
        </w:rPr>
        <w:t xml:space="preserve">Resultados de la </w:t>
      </w:r>
      <w:r w:rsidR="000A62D8">
        <w:rPr>
          <w:b/>
          <w:sz w:val="22"/>
          <w:lang w:val="es-MX"/>
        </w:rPr>
        <w:t>reunión</w:t>
      </w:r>
    </w:p>
    <w:p w14:paraId="286F3E1F" w14:textId="77777777" w:rsidR="00500270" w:rsidRPr="006551AE" w:rsidRDefault="00500270" w:rsidP="00500270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  <w:szCs w:val="22"/>
          <w:lang w:val="es-MX"/>
        </w:rPr>
      </w:pPr>
    </w:p>
    <w:p w14:paraId="4EAEEB8D" w14:textId="77777777" w:rsidR="00500270" w:rsidRPr="006551AE" w:rsidRDefault="00500270" w:rsidP="00500270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Una mejor comprensión del papel de los </w:t>
      </w:r>
      <w:proofErr w:type="spellStart"/>
      <w:r w:rsidRPr="006551AE">
        <w:rPr>
          <w:sz w:val="22"/>
          <w:lang w:val="es-MX"/>
        </w:rPr>
        <w:t>neobancos</w:t>
      </w:r>
      <w:proofErr w:type="spellEnd"/>
      <w:r w:rsidRPr="006551AE">
        <w:rPr>
          <w:sz w:val="22"/>
          <w:lang w:val="es-MX"/>
        </w:rPr>
        <w:t xml:space="preserve"> en el desarrollo de los Estados Miembros.</w:t>
      </w:r>
    </w:p>
    <w:p w14:paraId="278F5438" w14:textId="77777777" w:rsidR="00500270" w:rsidRPr="006551AE" w:rsidRDefault="00500270" w:rsidP="00500270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lastRenderedPageBreak/>
        <w:t>Retos específicos y soluciones identificadas por los Estados Miembros en la promoción del acceso al financiamiento como herramienta para el desarrollo compartido.</w:t>
      </w:r>
    </w:p>
    <w:p w14:paraId="409EB392" w14:textId="77777777" w:rsidR="00500270" w:rsidRPr="006551AE" w:rsidRDefault="00500270" w:rsidP="00500270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Identificación de oportunidades de cooperación en materia de acceso al financiamiento para las </w:t>
      </w:r>
      <w:proofErr w:type="spellStart"/>
      <w:r w:rsidRPr="006551AE">
        <w:rPr>
          <w:sz w:val="22"/>
          <w:lang w:val="es-MX"/>
        </w:rPr>
        <w:t>mipymes</w:t>
      </w:r>
      <w:proofErr w:type="spellEnd"/>
      <w:r w:rsidRPr="006551AE">
        <w:rPr>
          <w:sz w:val="22"/>
          <w:lang w:val="es-MX"/>
        </w:rPr>
        <w:t>.</w:t>
      </w:r>
    </w:p>
    <w:p w14:paraId="235BCFF7" w14:textId="0157823A" w:rsidR="00500270" w:rsidRPr="006551AE" w:rsidRDefault="00500270" w:rsidP="00500270">
      <w:pPr>
        <w:pStyle w:val="ListParagraph0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left="1440" w:hanging="720"/>
        <w:jc w:val="both"/>
        <w:rPr>
          <w:sz w:val="22"/>
          <w:szCs w:val="22"/>
          <w:lang w:val="es-MX"/>
        </w:rPr>
      </w:pPr>
      <w:r w:rsidRPr="006551AE">
        <w:rPr>
          <w:sz w:val="22"/>
          <w:lang w:val="es-MX"/>
        </w:rPr>
        <w:t xml:space="preserve">Contribuir al diálogo y apoyar los esfuerzos de los Estados Miembros en la consecución de los ODS. </w:t>
      </w:r>
      <w:r w:rsidR="00033A3A">
        <w:rPr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2B92C9" wp14:editId="2223A06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7402879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E667F77" w14:textId="5736EAD9" w:rsidR="00033A3A" w:rsidRPr="00033A3A" w:rsidRDefault="00033A3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CIDRP03956S01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B9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0E667F77" w14:textId="5736EAD9" w:rsidR="00033A3A" w:rsidRPr="00033A3A" w:rsidRDefault="00033A3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CIDRP03956S01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500270" w:rsidRPr="006551AE" w:rsidSect="00A870BA">
      <w:headerReference w:type="default" r:id="rId8"/>
      <w:headerReference w:type="first" r:id="rId9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32F5B" w14:textId="77777777" w:rsidR="00222737" w:rsidRPr="00500270" w:rsidRDefault="00222737">
      <w:pPr>
        <w:rPr>
          <w:noProof/>
        </w:rPr>
      </w:pPr>
      <w:r w:rsidRPr="00500270">
        <w:rPr>
          <w:noProof/>
        </w:rPr>
        <w:separator/>
      </w:r>
    </w:p>
  </w:endnote>
  <w:endnote w:type="continuationSeparator" w:id="0">
    <w:p w14:paraId="0AA62ECB" w14:textId="77777777" w:rsidR="00222737" w:rsidRPr="00500270" w:rsidRDefault="00222737">
      <w:pPr>
        <w:rPr>
          <w:noProof/>
        </w:rPr>
      </w:pPr>
      <w:r w:rsidRPr="00500270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4C41" w14:textId="77777777" w:rsidR="00222737" w:rsidRPr="00500270" w:rsidRDefault="00222737">
      <w:pPr>
        <w:rPr>
          <w:noProof/>
        </w:rPr>
      </w:pPr>
      <w:r w:rsidRPr="00500270">
        <w:rPr>
          <w:noProof/>
        </w:rPr>
        <w:separator/>
      </w:r>
    </w:p>
  </w:footnote>
  <w:footnote w:type="continuationSeparator" w:id="0">
    <w:p w14:paraId="68759BBA" w14:textId="77777777" w:rsidR="00222737" w:rsidRPr="00500270" w:rsidRDefault="00222737">
      <w:pPr>
        <w:rPr>
          <w:noProof/>
        </w:rPr>
      </w:pPr>
      <w:r w:rsidRPr="00500270">
        <w:rPr>
          <w:noProof/>
        </w:rPr>
        <w:continuationSeparator/>
      </w:r>
    </w:p>
  </w:footnote>
  <w:footnote w:id="1">
    <w:p w14:paraId="14460E1A" w14:textId="77777777" w:rsidR="00500270" w:rsidRPr="00500270" w:rsidRDefault="00500270" w:rsidP="00500270">
      <w:pPr>
        <w:ind w:left="720" w:hanging="360"/>
        <w:jc w:val="both"/>
        <w:rPr>
          <w:noProof/>
          <w:color w:val="000000"/>
        </w:rPr>
      </w:pPr>
      <w:r>
        <w:rPr>
          <w:rStyle w:val="FootnoteReference"/>
          <w:noProof/>
          <w:vertAlign w:val="baseline"/>
        </w:rPr>
        <w:footnoteRef/>
      </w:r>
      <w:r>
        <w:t>.</w:t>
      </w:r>
      <w:r>
        <w:tab/>
      </w:r>
      <w:hyperlink r:id="rId1" w:history="1">
        <w:r>
          <w:rPr>
            <w:rStyle w:val="Hyperlink"/>
          </w:rPr>
          <w:t>https://latinamericareports.com/the-importance-of-fintech-for-the-future-of-latin-america/7223/</w:t>
        </w:r>
      </w:hyperlink>
      <w:r>
        <w:rPr>
          <w:color w:val="000000"/>
        </w:rPr>
        <w:t xml:space="preserve"> </w:t>
      </w:r>
    </w:p>
  </w:footnote>
  <w:footnote w:id="2">
    <w:p w14:paraId="5E97A6FA" w14:textId="43474102" w:rsidR="00500270" w:rsidRPr="00033A3A" w:rsidRDefault="00500270" w:rsidP="00500270">
      <w:pPr>
        <w:ind w:left="720" w:hanging="360"/>
        <w:jc w:val="both"/>
        <w:rPr>
          <w:noProof/>
        </w:rPr>
      </w:pPr>
      <w:r>
        <w:rPr>
          <w:rStyle w:val="FootnoteReference"/>
          <w:noProof/>
          <w:vertAlign w:val="baseline"/>
        </w:rPr>
        <w:footnoteRef/>
      </w:r>
      <w:r>
        <w:t>.</w:t>
      </w:r>
      <w:r>
        <w:tab/>
        <w:t xml:space="preserve">Bakker, Bas B., Beatriz Garcia-Nunes, </w:t>
      </w:r>
      <w:proofErr w:type="spellStart"/>
      <w:r>
        <w:t>Weicheng</w:t>
      </w:r>
      <w:proofErr w:type="spellEnd"/>
      <w:r>
        <w:t xml:space="preserve"> </w:t>
      </w:r>
      <w:proofErr w:type="spellStart"/>
      <w:r>
        <w:t>Lian</w:t>
      </w:r>
      <w:proofErr w:type="spellEnd"/>
      <w:r>
        <w:t>, Yang Liu, Camila P</w:t>
      </w:r>
      <w:r w:rsidR="005D53AA">
        <w:t>é</w:t>
      </w:r>
      <w:r>
        <w:t xml:space="preserve">rez Marulanda, Adam </w:t>
      </w:r>
      <w:proofErr w:type="spellStart"/>
      <w:r>
        <w:t>Siddiq</w:t>
      </w:r>
      <w:proofErr w:type="spellEnd"/>
      <w:r>
        <w:t xml:space="preserve">, Mariusz </w:t>
      </w:r>
      <w:proofErr w:type="spellStart"/>
      <w:r>
        <w:t>Sumlinski</w:t>
      </w:r>
      <w:proofErr w:type="spellEnd"/>
      <w:r>
        <w:t xml:space="preserve">, </w:t>
      </w:r>
      <w:proofErr w:type="spellStart"/>
      <w:r>
        <w:t>Dmitry</w:t>
      </w:r>
      <w:proofErr w:type="spellEnd"/>
      <w:r>
        <w:t xml:space="preserve"> </w:t>
      </w:r>
      <w:proofErr w:type="spellStart"/>
      <w:r>
        <w:t>Vasilyev</w:t>
      </w:r>
      <w:proofErr w:type="spellEnd"/>
      <w:r>
        <w:t xml:space="preserve"> y </w:t>
      </w:r>
      <w:proofErr w:type="spellStart"/>
      <w:r>
        <w:t>Yuanchen</w:t>
      </w:r>
      <w:proofErr w:type="spellEnd"/>
      <w:r>
        <w:t xml:space="preserve"> Yang. 2023. </w:t>
      </w:r>
      <w:r w:rsidRPr="008A6B45">
        <w:rPr>
          <w:lang w:val="en-US"/>
        </w:rPr>
        <w:t xml:space="preserve">“The Rise and Impact of Fintech in Latin America.” IMF Fintech Note 2023/003, International Monetary Fund, Washington, DC. </w:t>
      </w:r>
      <w:r w:rsidR="00033A3A">
        <w:fldChar w:fldCharType="begin"/>
      </w:r>
      <w:r w:rsidR="00033A3A" w:rsidRPr="00033A3A">
        <w:rPr>
          <w:lang w:val="en-US"/>
        </w:rPr>
        <w:instrText>HYPERLINK "https://www.imf.org/en/Publications/fintech-notes/Issues/2023/03/28/The-Rise-and-Impact-of-Fintech-in-Latin-America-531055"</w:instrText>
      </w:r>
      <w:r w:rsidR="00033A3A">
        <w:fldChar w:fldCharType="separate"/>
      </w:r>
      <w:r w:rsidRPr="00033A3A">
        <w:rPr>
          <w:rStyle w:val="Hyperlink"/>
        </w:rPr>
        <w:t>https://www.imf.org/en/Publications/fintech-notes/Issues/2023/03/28/The-Rise-and-Impact-of-Fintech-in-Latin-America-531055</w:t>
      </w:r>
      <w:r w:rsidR="00033A3A">
        <w:rPr>
          <w:rStyle w:val="Hyperlink"/>
          <w:lang w:val="en-US"/>
        </w:rPr>
        <w:fldChar w:fldCharType="end"/>
      </w:r>
      <w:r w:rsidRPr="00033A3A">
        <w:t xml:space="preserve"> </w:t>
      </w:r>
    </w:p>
  </w:footnote>
  <w:footnote w:id="3">
    <w:p w14:paraId="7AEDB31D" w14:textId="2281BE98" w:rsidR="00500270" w:rsidRPr="008A6B45" w:rsidRDefault="00500270" w:rsidP="00500270">
      <w:pPr>
        <w:tabs>
          <w:tab w:val="left" w:pos="720"/>
        </w:tabs>
        <w:ind w:left="720" w:hanging="360"/>
        <w:jc w:val="both"/>
        <w:rPr>
          <w:noProof/>
          <w:color w:val="000000"/>
          <w:sz w:val="22"/>
          <w:szCs w:val="22"/>
          <w:lang w:val="en-US"/>
        </w:rPr>
      </w:pPr>
      <w:r>
        <w:rPr>
          <w:rStyle w:val="FootnoteReference"/>
          <w:noProof/>
          <w:vertAlign w:val="baseline"/>
        </w:rPr>
        <w:footnoteRef/>
      </w:r>
      <w:r>
        <w:t>.</w:t>
      </w:r>
      <w:r>
        <w:rPr>
          <w:color w:val="000000"/>
        </w:rPr>
        <w:tab/>
        <w:t xml:space="preserve">En los últimos años, es más bien el sector de las finanzas alternativas el que ha prestado sus servicios a las </w:t>
      </w:r>
      <w:proofErr w:type="spellStart"/>
      <w:r>
        <w:rPr>
          <w:color w:val="000000"/>
        </w:rPr>
        <w:t>mipymes</w:t>
      </w:r>
      <w:proofErr w:type="spellEnd"/>
      <w:r>
        <w:rPr>
          <w:color w:val="000000"/>
        </w:rPr>
        <w:t xml:space="preserve"> de la región.  </w:t>
      </w:r>
      <w:r>
        <w:t xml:space="preserve">Esta industria comprende plataformas basadas en deuda, como las plataformas de préstamos entre particulares (P2P), plataformas que permiten realizar inversiones en acciones no cotizadas en bolsa y </w:t>
      </w:r>
      <w:proofErr w:type="spellStart"/>
      <w:r>
        <w:t>microfinancia</w:t>
      </w:r>
      <w:r w:rsidR="00EA4838">
        <w:t>miento</w:t>
      </w:r>
      <w:proofErr w:type="spellEnd"/>
      <w:r>
        <w:t xml:space="preserve"> colectiv</w:t>
      </w:r>
      <w:r w:rsidR="00EA4838">
        <w:t>o</w:t>
      </w:r>
      <w:r>
        <w:t xml:space="preserve"> (crowdfunding) basad</w:t>
      </w:r>
      <w:r w:rsidR="00EA4838">
        <w:t>o</w:t>
      </w:r>
      <w:r>
        <w:t xml:space="preserve"> en recompensas o donativos. </w:t>
      </w:r>
      <w:r w:rsidRPr="00EA4838">
        <w:rPr>
          <w:i/>
          <w:iCs/>
        </w:rPr>
        <w:t>Véase</w:t>
      </w:r>
      <w:r>
        <w:t xml:space="preserve"> Ziegler, Tania, Felipe Ferri de Camargo </w:t>
      </w:r>
      <w:proofErr w:type="spellStart"/>
      <w:r>
        <w:t>Paes</w:t>
      </w:r>
      <w:proofErr w:type="spellEnd"/>
      <w:r>
        <w:t xml:space="preserve">, Cecilia López Closs, Erika </w:t>
      </w:r>
      <w:proofErr w:type="spellStart"/>
      <w:r>
        <w:t>Soki</w:t>
      </w:r>
      <w:proofErr w:type="spellEnd"/>
      <w:r>
        <w:t xml:space="preserve">, Diego Herrera y Jaime Sarmiento. 2022. “The SME Access to Digital </w:t>
      </w:r>
      <w:proofErr w:type="spellStart"/>
      <w:r>
        <w:t>Finance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: A Deep Dive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Latin</w:t>
      </w:r>
      <w:proofErr w:type="spellEnd"/>
      <w:r>
        <w:t xml:space="preserve"> American Fintech </w:t>
      </w:r>
      <w:proofErr w:type="spellStart"/>
      <w:r>
        <w:t>Ecosystem</w:t>
      </w:r>
      <w:proofErr w:type="spellEnd"/>
      <w:r>
        <w:t xml:space="preserve">.” </w:t>
      </w:r>
      <w:r w:rsidRPr="008A6B45">
        <w:rPr>
          <w:lang w:val="en-US"/>
        </w:rPr>
        <w:t xml:space="preserve">Judge Business School, University of Cambridge, UK. </w:t>
      </w:r>
      <w:r w:rsidR="00033A3A">
        <w:fldChar w:fldCharType="begin"/>
      </w:r>
      <w:r w:rsidR="00033A3A" w:rsidRPr="00033A3A">
        <w:rPr>
          <w:lang w:val="en-US"/>
        </w:rPr>
        <w:instrText>HYPERLINK "ht</w:instrText>
      </w:r>
      <w:r w:rsidR="00033A3A" w:rsidRPr="00033A3A">
        <w:rPr>
          <w:lang w:val="en-US"/>
        </w:rPr>
        <w:instrText>tps://www.jbs.cam.ac.uk/faculty-research/centres/alternative-finance/publications/sme-access-todigital-finance-study-latam/"</w:instrText>
      </w:r>
      <w:r w:rsidR="00033A3A">
        <w:fldChar w:fldCharType="separate"/>
      </w:r>
      <w:r w:rsidRPr="008A6B45">
        <w:rPr>
          <w:rStyle w:val="Hyperlink"/>
          <w:lang w:val="en-US"/>
        </w:rPr>
        <w:t>https://www.jbs.cam.ac.uk/faculty-research/centres/alternative-finance/publications/sme-access-todigital-finance-study-latam/</w:t>
      </w:r>
      <w:r w:rsidR="00033A3A">
        <w:rPr>
          <w:rStyle w:val="Hyperlink"/>
          <w:lang w:val="en-US"/>
        </w:rPr>
        <w:fldChar w:fldCharType="end"/>
      </w:r>
      <w:r w:rsidRPr="008A6B45">
        <w:rPr>
          <w:lang w:val="en-US"/>
        </w:rPr>
        <w:t>.</w:t>
      </w:r>
    </w:p>
  </w:footnote>
  <w:footnote w:id="4">
    <w:p w14:paraId="0BFD47C4" w14:textId="77777777" w:rsidR="00500270" w:rsidRPr="008A6B45" w:rsidRDefault="00500270" w:rsidP="00500270">
      <w:pPr>
        <w:tabs>
          <w:tab w:val="left" w:pos="720"/>
        </w:tabs>
        <w:ind w:left="720" w:hanging="360"/>
        <w:jc w:val="both"/>
        <w:rPr>
          <w:noProof/>
          <w:color w:val="000000"/>
          <w:sz w:val="22"/>
          <w:szCs w:val="22"/>
          <w:lang w:val="en-US"/>
        </w:rPr>
      </w:pPr>
      <w:r>
        <w:rPr>
          <w:rStyle w:val="FootnoteReference"/>
          <w:noProof/>
          <w:vertAlign w:val="baseline"/>
        </w:rPr>
        <w:footnoteRef/>
      </w:r>
      <w:r w:rsidRPr="008A6B45">
        <w:rPr>
          <w:lang w:val="en-US"/>
        </w:rPr>
        <w:t>.</w:t>
      </w:r>
      <w:r w:rsidRPr="008A6B45">
        <w:rPr>
          <w:lang w:val="en-US"/>
        </w:rPr>
        <w:tab/>
        <w:t xml:space="preserve">Bakker y </w:t>
      </w:r>
      <w:proofErr w:type="spellStart"/>
      <w:r w:rsidRPr="008A6B45">
        <w:rPr>
          <w:lang w:val="en-US"/>
        </w:rPr>
        <w:t>otros</w:t>
      </w:r>
      <w:proofErr w:type="spellEnd"/>
      <w:r w:rsidRPr="008A6B45">
        <w:rPr>
          <w:lang w:val="en-US"/>
        </w:rPr>
        <w:t xml:space="preserve"> (2023). </w:t>
      </w:r>
    </w:p>
  </w:footnote>
  <w:footnote w:id="5">
    <w:p w14:paraId="0EB6D0CB" w14:textId="77777777" w:rsidR="00500270" w:rsidRPr="008A6B45" w:rsidRDefault="00500270" w:rsidP="00500270">
      <w:pPr>
        <w:pStyle w:val="FootnoteText"/>
        <w:tabs>
          <w:tab w:val="left" w:pos="720"/>
        </w:tabs>
        <w:ind w:left="720" w:hanging="360"/>
        <w:jc w:val="both"/>
        <w:rPr>
          <w:noProof/>
          <w:lang w:val="en-US"/>
        </w:rPr>
      </w:pPr>
      <w:r>
        <w:rPr>
          <w:rStyle w:val="FootnoteReference"/>
          <w:noProof/>
          <w:vertAlign w:val="baseline"/>
        </w:rPr>
        <w:footnoteRef/>
      </w:r>
      <w:r w:rsidRPr="008A6B45">
        <w:rPr>
          <w:lang w:val="en-US"/>
        </w:rPr>
        <w:t>.</w:t>
      </w:r>
      <w:r w:rsidRPr="008A6B45">
        <w:rPr>
          <w:lang w:val="en-US"/>
        </w:rPr>
        <w:tab/>
        <w:t xml:space="preserve">Bains, Parma, </w:t>
      </w:r>
      <w:proofErr w:type="spellStart"/>
      <w:r w:rsidRPr="008A6B45">
        <w:rPr>
          <w:lang w:val="en-US"/>
        </w:rPr>
        <w:t>Nobuyasu</w:t>
      </w:r>
      <w:proofErr w:type="spellEnd"/>
      <w:r w:rsidRPr="008A6B45">
        <w:rPr>
          <w:lang w:val="en-US"/>
        </w:rPr>
        <w:t xml:space="preserve"> Sugimoto y Christopher Wilson. 2022. “</w:t>
      </w:r>
      <w:proofErr w:type="spellStart"/>
      <w:r w:rsidRPr="008A6B45">
        <w:rPr>
          <w:lang w:val="en-US"/>
        </w:rPr>
        <w:t>Bigtech</w:t>
      </w:r>
      <w:proofErr w:type="spellEnd"/>
      <w:r w:rsidRPr="008A6B45">
        <w:rPr>
          <w:lang w:val="en-US"/>
        </w:rPr>
        <w:t xml:space="preserve"> in Financial Services: Regulatory Approaches and Architecture.” IMF Fintech Note 2022/002, International Monetary Fund, Washington, DC. </w:t>
      </w:r>
      <w:r w:rsidR="00033A3A">
        <w:fldChar w:fldCharType="begin"/>
      </w:r>
      <w:r w:rsidR="00033A3A" w:rsidRPr="00033A3A">
        <w:rPr>
          <w:lang w:val="en-US"/>
        </w:rPr>
        <w:instrText>HYPERLINK "https://www.imf.org/en/Publications/fintech-notes/Issues/2022/01/22/BigTech-inFinancial-Services-498089"</w:instrText>
      </w:r>
      <w:r w:rsidR="00033A3A">
        <w:fldChar w:fldCharType="separate"/>
      </w:r>
      <w:r w:rsidRPr="008A6B45">
        <w:rPr>
          <w:rStyle w:val="Hyperlink"/>
          <w:lang w:val="en-US"/>
        </w:rPr>
        <w:t>https://www.imf.org/en/Publications/fintech-notes/Issues/2022/01/22/BigTech-inFinancial-Services-498089</w:t>
      </w:r>
      <w:r w:rsidR="00033A3A">
        <w:rPr>
          <w:rStyle w:val="Hyperlink"/>
          <w:lang w:val="en-US"/>
        </w:rPr>
        <w:fldChar w:fldCharType="end"/>
      </w:r>
      <w:r w:rsidRPr="008A6B45">
        <w:rPr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8" w14:textId="77777777" w:rsidR="0073480E" w:rsidRPr="00500270" w:rsidRDefault="00FA607C">
    <w:pPr>
      <w:pStyle w:val="Header"/>
      <w:jc w:val="center"/>
      <w:rPr>
        <w:noProof/>
        <w:sz w:val="22"/>
        <w:szCs w:val="22"/>
      </w:rPr>
    </w:pPr>
    <w:r w:rsidRPr="00500270">
      <w:rPr>
        <w:sz w:val="22"/>
      </w:rPr>
      <w:fldChar w:fldCharType="begin"/>
    </w:r>
    <w:r w:rsidRPr="00500270">
      <w:rPr>
        <w:sz w:val="22"/>
      </w:rPr>
      <w:instrText xml:space="preserve"> PAGE   \* MERGEFORMAT </w:instrText>
    </w:r>
    <w:r w:rsidRPr="00500270">
      <w:rPr>
        <w:sz w:val="22"/>
      </w:rPr>
      <w:fldChar w:fldCharType="separate"/>
    </w:r>
    <w:r w:rsidR="00FE7CC0" w:rsidRPr="00500270">
      <w:rPr>
        <w:sz w:val="22"/>
      </w:rPr>
      <w:t>- 3 -</w:t>
    </w:r>
    <w:r w:rsidRPr="00500270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3B9" w14:textId="77777777" w:rsidR="0073480E" w:rsidRPr="00500270" w:rsidRDefault="00FB2A63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D873BB" wp14:editId="2EC5FF44">
              <wp:simplePos x="0" y="0"/>
              <wp:positionH relativeFrom="column">
                <wp:posOffset>440804</wp:posOffset>
              </wp:positionH>
              <wp:positionV relativeFrom="paragraph">
                <wp:posOffset>-304345</wp:posOffset>
              </wp:positionV>
              <wp:extent cx="4728845" cy="709684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7096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5" w14:textId="77777777" w:rsidR="00921E9E" w:rsidRPr="00035B32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35B3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ORGANIZACIÓN DE LOS ESTADOS AMERICANOS </w:t>
                          </w:r>
                        </w:p>
                        <w:p w14:paraId="2BD873C6" w14:textId="77777777" w:rsidR="00921E9E" w:rsidRPr="00035B32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35B3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 xml:space="preserve">Consejo Interamericano para el Desarrollo Integral </w:t>
                          </w:r>
                        </w:p>
                        <w:p w14:paraId="2BD873C7" w14:textId="77777777" w:rsidR="00921E9E" w:rsidRPr="00035B32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035B32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873B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23.95pt;width:372.35pt;height:5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" stroked="f">
              <v:textbox>
                <w:txbxContent>
                  <w:p w14:paraId="2BD873C5" w14:textId="77777777" w:rsidR="00921E9E" w:rsidRPr="00035B32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35B3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ORGANIZACIÓN DE LOS ESTADOS AMERICANOS </w:t>
                    </w:r>
                  </w:p>
                  <w:p w14:paraId="2BD873C6" w14:textId="77777777" w:rsidR="00921E9E" w:rsidRPr="00035B32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35B3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 xml:space="preserve">Consejo Interamericano para el Desarrollo Integral </w:t>
                    </w:r>
                  </w:p>
                  <w:p w14:paraId="2BD873C7" w14:textId="77777777" w:rsidR="00921E9E" w:rsidRPr="00035B32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035B32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D873BD" wp14:editId="2BD873BE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873C8" w14:textId="77777777" w:rsidR="0073480E" w:rsidRPr="00500270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D873C9" wp14:editId="2BD873CA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D873BD" 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2BD873C8" w14:textId="77777777" w:rsidR="0073480E" w:rsidRPr="00500270" w:rsidRDefault="00FB2A63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BD873C9" wp14:editId="2BD873CA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2BD873BF" wp14:editId="2BD873C0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D873BA" w14:textId="77777777" w:rsidR="001B0828" w:rsidRPr="00500270" w:rsidRDefault="001B0828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7C9"/>
    <w:multiLevelType w:val="hybridMultilevel"/>
    <w:tmpl w:val="63CC0888"/>
    <w:lvl w:ilvl="0" w:tplc="CA00D900">
      <w:start w:val="3"/>
      <w:numFmt w:val="decimal"/>
      <w:lvlText w:val="%1."/>
      <w:lvlJc w:val="left"/>
      <w:pPr>
        <w:ind w:left="763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8355" w:hanging="360"/>
      </w:pPr>
    </w:lvl>
    <w:lvl w:ilvl="2" w:tplc="0409001B" w:tentative="1">
      <w:start w:val="1"/>
      <w:numFmt w:val="lowerRoman"/>
      <w:lvlText w:val="%3."/>
      <w:lvlJc w:val="right"/>
      <w:pPr>
        <w:ind w:left="9075" w:hanging="180"/>
      </w:pPr>
    </w:lvl>
    <w:lvl w:ilvl="3" w:tplc="0409000F" w:tentative="1">
      <w:start w:val="1"/>
      <w:numFmt w:val="decimal"/>
      <w:lvlText w:val="%4."/>
      <w:lvlJc w:val="left"/>
      <w:pPr>
        <w:ind w:left="9795" w:hanging="360"/>
      </w:pPr>
    </w:lvl>
    <w:lvl w:ilvl="4" w:tplc="04090019" w:tentative="1">
      <w:start w:val="1"/>
      <w:numFmt w:val="lowerLetter"/>
      <w:lvlText w:val="%5."/>
      <w:lvlJc w:val="left"/>
      <w:pPr>
        <w:ind w:left="10515" w:hanging="360"/>
      </w:pPr>
    </w:lvl>
    <w:lvl w:ilvl="5" w:tplc="0409001B" w:tentative="1">
      <w:start w:val="1"/>
      <w:numFmt w:val="lowerRoman"/>
      <w:lvlText w:val="%6."/>
      <w:lvlJc w:val="right"/>
      <w:pPr>
        <w:ind w:left="11235" w:hanging="180"/>
      </w:pPr>
    </w:lvl>
    <w:lvl w:ilvl="6" w:tplc="0409000F" w:tentative="1">
      <w:start w:val="1"/>
      <w:numFmt w:val="decimal"/>
      <w:lvlText w:val="%7."/>
      <w:lvlJc w:val="left"/>
      <w:pPr>
        <w:ind w:left="11955" w:hanging="360"/>
      </w:pPr>
    </w:lvl>
    <w:lvl w:ilvl="7" w:tplc="04090019" w:tentative="1">
      <w:start w:val="1"/>
      <w:numFmt w:val="lowerLetter"/>
      <w:lvlText w:val="%8."/>
      <w:lvlJc w:val="left"/>
      <w:pPr>
        <w:ind w:left="12675" w:hanging="360"/>
      </w:pPr>
    </w:lvl>
    <w:lvl w:ilvl="8" w:tplc="0409001B" w:tentative="1">
      <w:start w:val="1"/>
      <w:numFmt w:val="lowerRoman"/>
      <w:lvlText w:val="%9."/>
      <w:lvlJc w:val="right"/>
      <w:pPr>
        <w:ind w:left="13395" w:hanging="180"/>
      </w:pPr>
    </w:lvl>
  </w:abstractNum>
  <w:abstractNum w:abstractNumId="1" w15:restartNumberingAfterBreak="0">
    <w:nsid w:val="01B53116"/>
    <w:multiLevelType w:val="hybridMultilevel"/>
    <w:tmpl w:val="7780EF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7E7B"/>
    <w:multiLevelType w:val="hybridMultilevel"/>
    <w:tmpl w:val="1E8C417A"/>
    <w:lvl w:ilvl="0" w:tplc="581820B4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8B0826"/>
    <w:multiLevelType w:val="hybridMultilevel"/>
    <w:tmpl w:val="3E604DF4"/>
    <w:lvl w:ilvl="0" w:tplc="79820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7E66CF"/>
    <w:multiLevelType w:val="hybridMultilevel"/>
    <w:tmpl w:val="C6509C46"/>
    <w:lvl w:ilvl="0" w:tplc="C05AE4A0">
      <w:numFmt w:val="bullet"/>
      <w:lvlText w:val="-"/>
      <w:lvlJc w:val="left"/>
      <w:pPr>
        <w:ind w:left="144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6323C7"/>
    <w:multiLevelType w:val="hybridMultilevel"/>
    <w:tmpl w:val="897840EC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E5FAE"/>
    <w:multiLevelType w:val="hybridMultilevel"/>
    <w:tmpl w:val="BC1279D6"/>
    <w:lvl w:ilvl="0" w:tplc="C05AE4A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483"/>
    <w:multiLevelType w:val="hybridMultilevel"/>
    <w:tmpl w:val="7452E420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581820B4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F17117"/>
    <w:multiLevelType w:val="multilevel"/>
    <w:tmpl w:val="A3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03B8E"/>
    <w:multiLevelType w:val="hybridMultilevel"/>
    <w:tmpl w:val="084A3DD0"/>
    <w:lvl w:ilvl="0" w:tplc="E5F22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3262B"/>
    <w:multiLevelType w:val="hybridMultilevel"/>
    <w:tmpl w:val="9D289C4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3851"/>
    <w:multiLevelType w:val="multilevel"/>
    <w:tmpl w:val="111E0CE4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iCs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 w16cid:durableId="13781194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875857">
    <w:abstractNumId w:val="3"/>
  </w:num>
  <w:num w:numId="3" w16cid:durableId="1082991849">
    <w:abstractNumId w:val="4"/>
  </w:num>
  <w:num w:numId="4" w16cid:durableId="1491557300">
    <w:abstractNumId w:val="6"/>
  </w:num>
  <w:num w:numId="5" w16cid:durableId="968245080">
    <w:abstractNumId w:val="5"/>
  </w:num>
  <w:num w:numId="6" w16cid:durableId="1656640974">
    <w:abstractNumId w:val="8"/>
  </w:num>
  <w:num w:numId="7" w16cid:durableId="187531182">
    <w:abstractNumId w:val="7"/>
  </w:num>
  <w:num w:numId="8" w16cid:durableId="789861081">
    <w:abstractNumId w:val="2"/>
  </w:num>
  <w:num w:numId="9" w16cid:durableId="1469399627">
    <w:abstractNumId w:val="9"/>
  </w:num>
  <w:num w:numId="10" w16cid:durableId="1629580742">
    <w:abstractNumId w:val="0"/>
  </w:num>
  <w:num w:numId="11" w16cid:durableId="108283215">
    <w:abstractNumId w:val="1"/>
  </w:num>
  <w:num w:numId="12" w16cid:durableId="172694774">
    <w:abstractNumId w:val="10"/>
  </w:num>
  <w:num w:numId="13" w16cid:durableId="201379658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EE2217C-73B7-4AF2-9EF3-06A93BE2E4F6}"/>
    <w:docVar w:name="dgnword-eventsink" w:val="2073333054464"/>
  </w:docVars>
  <w:rsids>
    <w:rsidRoot w:val="007F2774"/>
    <w:rsid w:val="0000263B"/>
    <w:rsid w:val="00004754"/>
    <w:rsid w:val="00004AC6"/>
    <w:rsid w:val="000055C8"/>
    <w:rsid w:val="00011272"/>
    <w:rsid w:val="00011D40"/>
    <w:rsid w:val="000129E8"/>
    <w:rsid w:val="0001449C"/>
    <w:rsid w:val="00015B14"/>
    <w:rsid w:val="00015D92"/>
    <w:rsid w:val="000205EC"/>
    <w:rsid w:val="00025685"/>
    <w:rsid w:val="00025807"/>
    <w:rsid w:val="00027748"/>
    <w:rsid w:val="00032E3E"/>
    <w:rsid w:val="00033A3A"/>
    <w:rsid w:val="00035A74"/>
    <w:rsid w:val="00035B2F"/>
    <w:rsid w:val="00035B32"/>
    <w:rsid w:val="0003741D"/>
    <w:rsid w:val="000377AA"/>
    <w:rsid w:val="00041BCE"/>
    <w:rsid w:val="000427B5"/>
    <w:rsid w:val="00044808"/>
    <w:rsid w:val="000471B6"/>
    <w:rsid w:val="00050103"/>
    <w:rsid w:val="00050886"/>
    <w:rsid w:val="000523F2"/>
    <w:rsid w:val="000546DE"/>
    <w:rsid w:val="00056200"/>
    <w:rsid w:val="00057370"/>
    <w:rsid w:val="00061861"/>
    <w:rsid w:val="0006215C"/>
    <w:rsid w:val="000633B6"/>
    <w:rsid w:val="000642A8"/>
    <w:rsid w:val="00064A6B"/>
    <w:rsid w:val="00064D47"/>
    <w:rsid w:val="00064DCC"/>
    <w:rsid w:val="000661F4"/>
    <w:rsid w:val="00066D87"/>
    <w:rsid w:val="00070537"/>
    <w:rsid w:val="0007158B"/>
    <w:rsid w:val="000717C2"/>
    <w:rsid w:val="00071D84"/>
    <w:rsid w:val="000736AA"/>
    <w:rsid w:val="00073CCC"/>
    <w:rsid w:val="00074325"/>
    <w:rsid w:val="00074E66"/>
    <w:rsid w:val="000752A7"/>
    <w:rsid w:val="000767EC"/>
    <w:rsid w:val="0008188B"/>
    <w:rsid w:val="00083D40"/>
    <w:rsid w:val="00086463"/>
    <w:rsid w:val="00086A43"/>
    <w:rsid w:val="00086B35"/>
    <w:rsid w:val="0008784B"/>
    <w:rsid w:val="0009277D"/>
    <w:rsid w:val="000969F9"/>
    <w:rsid w:val="00097899"/>
    <w:rsid w:val="000A18DF"/>
    <w:rsid w:val="000A1D63"/>
    <w:rsid w:val="000A1DDC"/>
    <w:rsid w:val="000A4708"/>
    <w:rsid w:val="000A528C"/>
    <w:rsid w:val="000A610A"/>
    <w:rsid w:val="000A62D8"/>
    <w:rsid w:val="000A67FD"/>
    <w:rsid w:val="000A72E3"/>
    <w:rsid w:val="000B015E"/>
    <w:rsid w:val="000B1D95"/>
    <w:rsid w:val="000B1FCF"/>
    <w:rsid w:val="000B2ED9"/>
    <w:rsid w:val="000B3A30"/>
    <w:rsid w:val="000B43F5"/>
    <w:rsid w:val="000B6231"/>
    <w:rsid w:val="000B6478"/>
    <w:rsid w:val="000C3438"/>
    <w:rsid w:val="000C344F"/>
    <w:rsid w:val="000C3AB9"/>
    <w:rsid w:val="000C3D35"/>
    <w:rsid w:val="000D140E"/>
    <w:rsid w:val="000D4368"/>
    <w:rsid w:val="000D540D"/>
    <w:rsid w:val="000D6070"/>
    <w:rsid w:val="000D7601"/>
    <w:rsid w:val="000D7937"/>
    <w:rsid w:val="000E0660"/>
    <w:rsid w:val="000E0BD9"/>
    <w:rsid w:val="000E1803"/>
    <w:rsid w:val="000E313E"/>
    <w:rsid w:val="000E439E"/>
    <w:rsid w:val="000E5242"/>
    <w:rsid w:val="000E6C8E"/>
    <w:rsid w:val="000F7899"/>
    <w:rsid w:val="000F7CF2"/>
    <w:rsid w:val="00100FE1"/>
    <w:rsid w:val="0010147A"/>
    <w:rsid w:val="00101DC3"/>
    <w:rsid w:val="001069A4"/>
    <w:rsid w:val="00106D57"/>
    <w:rsid w:val="001131C9"/>
    <w:rsid w:val="00116850"/>
    <w:rsid w:val="00121900"/>
    <w:rsid w:val="00122228"/>
    <w:rsid w:val="00124219"/>
    <w:rsid w:val="00124C30"/>
    <w:rsid w:val="001259E2"/>
    <w:rsid w:val="00125BBE"/>
    <w:rsid w:val="0012611C"/>
    <w:rsid w:val="0013037E"/>
    <w:rsid w:val="001309B5"/>
    <w:rsid w:val="00133A15"/>
    <w:rsid w:val="00134A48"/>
    <w:rsid w:val="00135BCC"/>
    <w:rsid w:val="00136B20"/>
    <w:rsid w:val="00136EDB"/>
    <w:rsid w:val="00137CFF"/>
    <w:rsid w:val="001405C9"/>
    <w:rsid w:val="00142D34"/>
    <w:rsid w:val="001467B5"/>
    <w:rsid w:val="00146FB1"/>
    <w:rsid w:val="00150AE4"/>
    <w:rsid w:val="001520A2"/>
    <w:rsid w:val="001522D6"/>
    <w:rsid w:val="00152D2E"/>
    <w:rsid w:val="00153DD8"/>
    <w:rsid w:val="0015513C"/>
    <w:rsid w:val="0015753D"/>
    <w:rsid w:val="0016660D"/>
    <w:rsid w:val="00166C73"/>
    <w:rsid w:val="00167F36"/>
    <w:rsid w:val="00170680"/>
    <w:rsid w:val="00171B89"/>
    <w:rsid w:val="00174CFE"/>
    <w:rsid w:val="00176F7C"/>
    <w:rsid w:val="00180746"/>
    <w:rsid w:val="00180BEA"/>
    <w:rsid w:val="001831AE"/>
    <w:rsid w:val="00183C2C"/>
    <w:rsid w:val="001842C2"/>
    <w:rsid w:val="00184D03"/>
    <w:rsid w:val="0018654E"/>
    <w:rsid w:val="00186685"/>
    <w:rsid w:val="00187A07"/>
    <w:rsid w:val="00187D59"/>
    <w:rsid w:val="00190F2B"/>
    <w:rsid w:val="00192BCF"/>
    <w:rsid w:val="00194C4D"/>
    <w:rsid w:val="00197DE0"/>
    <w:rsid w:val="001A09CE"/>
    <w:rsid w:val="001A166C"/>
    <w:rsid w:val="001A2C78"/>
    <w:rsid w:val="001A34B3"/>
    <w:rsid w:val="001A3816"/>
    <w:rsid w:val="001A6BBF"/>
    <w:rsid w:val="001B0828"/>
    <w:rsid w:val="001B0AB0"/>
    <w:rsid w:val="001B11B1"/>
    <w:rsid w:val="001B7A76"/>
    <w:rsid w:val="001C13FF"/>
    <w:rsid w:val="001C6997"/>
    <w:rsid w:val="001C6DC5"/>
    <w:rsid w:val="001C74F1"/>
    <w:rsid w:val="001D0221"/>
    <w:rsid w:val="001D4DF0"/>
    <w:rsid w:val="001D595B"/>
    <w:rsid w:val="001D738C"/>
    <w:rsid w:val="001E29E7"/>
    <w:rsid w:val="001E2CA7"/>
    <w:rsid w:val="001E3150"/>
    <w:rsid w:val="001E3438"/>
    <w:rsid w:val="001E3C78"/>
    <w:rsid w:val="001E5DF7"/>
    <w:rsid w:val="001F2739"/>
    <w:rsid w:val="002001DE"/>
    <w:rsid w:val="00201D8D"/>
    <w:rsid w:val="0020227F"/>
    <w:rsid w:val="002024FE"/>
    <w:rsid w:val="00203839"/>
    <w:rsid w:val="0020460C"/>
    <w:rsid w:val="002050F0"/>
    <w:rsid w:val="00207059"/>
    <w:rsid w:val="002135EF"/>
    <w:rsid w:val="00217F89"/>
    <w:rsid w:val="002214D3"/>
    <w:rsid w:val="00222737"/>
    <w:rsid w:val="00222AFE"/>
    <w:rsid w:val="00223E5C"/>
    <w:rsid w:val="00223FF7"/>
    <w:rsid w:val="00224C3F"/>
    <w:rsid w:val="00225597"/>
    <w:rsid w:val="00225764"/>
    <w:rsid w:val="002262B3"/>
    <w:rsid w:val="0022752A"/>
    <w:rsid w:val="0022766C"/>
    <w:rsid w:val="0022784A"/>
    <w:rsid w:val="00231FD2"/>
    <w:rsid w:val="0023460B"/>
    <w:rsid w:val="00234996"/>
    <w:rsid w:val="00235CB9"/>
    <w:rsid w:val="002367DA"/>
    <w:rsid w:val="00237037"/>
    <w:rsid w:val="002374C3"/>
    <w:rsid w:val="00240D1F"/>
    <w:rsid w:val="002531A0"/>
    <w:rsid w:val="002604F9"/>
    <w:rsid w:val="00260F11"/>
    <w:rsid w:val="00262E4D"/>
    <w:rsid w:val="00264202"/>
    <w:rsid w:val="0026449A"/>
    <w:rsid w:val="002678ED"/>
    <w:rsid w:val="00267E1B"/>
    <w:rsid w:val="002706D3"/>
    <w:rsid w:val="0027412E"/>
    <w:rsid w:val="00275799"/>
    <w:rsid w:val="00277682"/>
    <w:rsid w:val="002777A5"/>
    <w:rsid w:val="00277CC4"/>
    <w:rsid w:val="0028118E"/>
    <w:rsid w:val="002822E7"/>
    <w:rsid w:val="0028278B"/>
    <w:rsid w:val="00282ED9"/>
    <w:rsid w:val="00282FDD"/>
    <w:rsid w:val="0028336D"/>
    <w:rsid w:val="00284AAA"/>
    <w:rsid w:val="00284CFD"/>
    <w:rsid w:val="0028696A"/>
    <w:rsid w:val="002869E2"/>
    <w:rsid w:val="00286D8C"/>
    <w:rsid w:val="002941D8"/>
    <w:rsid w:val="002A007A"/>
    <w:rsid w:val="002A03E9"/>
    <w:rsid w:val="002A092D"/>
    <w:rsid w:val="002A0CE5"/>
    <w:rsid w:val="002A1503"/>
    <w:rsid w:val="002A1985"/>
    <w:rsid w:val="002A1CB2"/>
    <w:rsid w:val="002A28A7"/>
    <w:rsid w:val="002A3CB5"/>
    <w:rsid w:val="002A5885"/>
    <w:rsid w:val="002A63EC"/>
    <w:rsid w:val="002B0FE5"/>
    <w:rsid w:val="002B1F3E"/>
    <w:rsid w:val="002B2DE0"/>
    <w:rsid w:val="002B6B05"/>
    <w:rsid w:val="002B71CD"/>
    <w:rsid w:val="002B76ED"/>
    <w:rsid w:val="002C0C4C"/>
    <w:rsid w:val="002C12FB"/>
    <w:rsid w:val="002C24DB"/>
    <w:rsid w:val="002C28C0"/>
    <w:rsid w:val="002C368F"/>
    <w:rsid w:val="002C6142"/>
    <w:rsid w:val="002C6B0D"/>
    <w:rsid w:val="002D0D4A"/>
    <w:rsid w:val="002D4050"/>
    <w:rsid w:val="002D4057"/>
    <w:rsid w:val="002D412D"/>
    <w:rsid w:val="002D598E"/>
    <w:rsid w:val="002E080D"/>
    <w:rsid w:val="002E0CAF"/>
    <w:rsid w:val="002E0DA7"/>
    <w:rsid w:val="002E2CC7"/>
    <w:rsid w:val="002E2D79"/>
    <w:rsid w:val="002E5BDB"/>
    <w:rsid w:val="002E609F"/>
    <w:rsid w:val="002E60C5"/>
    <w:rsid w:val="002E6DB7"/>
    <w:rsid w:val="002E7FA8"/>
    <w:rsid w:val="002F0A27"/>
    <w:rsid w:val="002F0AF9"/>
    <w:rsid w:val="002F1645"/>
    <w:rsid w:val="002F1AD6"/>
    <w:rsid w:val="002F1FA4"/>
    <w:rsid w:val="002F25F2"/>
    <w:rsid w:val="002F36D8"/>
    <w:rsid w:val="002F397F"/>
    <w:rsid w:val="002F3BBB"/>
    <w:rsid w:val="002F5352"/>
    <w:rsid w:val="002F7B3F"/>
    <w:rsid w:val="00302E9B"/>
    <w:rsid w:val="003034A7"/>
    <w:rsid w:val="00303E64"/>
    <w:rsid w:val="00305E93"/>
    <w:rsid w:val="0031130C"/>
    <w:rsid w:val="003116AC"/>
    <w:rsid w:val="00312748"/>
    <w:rsid w:val="003163DA"/>
    <w:rsid w:val="003212EA"/>
    <w:rsid w:val="00321F2C"/>
    <w:rsid w:val="00324A8C"/>
    <w:rsid w:val="00326186"/>
    <w:rsid w:val="0032713A"/>
    <w:rsid w:val="00327C07"/>
    <w:rsid w:val="00330088"/>
    <w:rsid w:val="003302CF"/>
    <w:rsid w:val="00331782"/>
    <w:rsid w:val="003348B3"/>
    <w:rsid w:val="00335ABE"/>
    <w:rsid w:val="00335D41"/>
    <w:rsid w:val="00336396"/>
    <w:rsid w:val="003366D5"/>
    <w:rsid w:val="003379A3"/>
    <w:rsid w:val="00337A39"/>
    <w:rsid w:val="00340B99"/>
    <w:rsid w:val="00342BCA"/>
    <w:rsid w:val="00345C27"/>
    <w:rsid w:val="00345DCF"/>
    <w:rsid w:val="0035071A"/>
    <w:rsid w:val="00350910"/>
    <w:rsid w:val="00352207"/>
    <w:rsid w:val="003529F3"/>
    <w:rsid w:val="00352BB7"/>
    <w:rsid w:val="00353D7A"/>
    <w:rsid w:val="00356C6E"/>
    <w:rsid w:val="00357684"/>
    <w:rsid w:val="00362D68"/>
    <w:rsid w:val="003661C8"/>
    <w:rsid w:val="00370448"/>
    <w:rsid w:val="00371E2E"/>
    <w:rsid w:val="003740B7"/>
    <w:rsid w:val="0037599C"/>
    <w:rsid w:val="0037608B"/>
    <w:rsid w:val="003775B4"/>
    <w:rsid w:val="003805E5"/>
    <w:rsid w:val="003836D2"/>
    <w:rsid w:val="00383E60"/>
    <w:rsid w:val="00384232"/>
    <w:rsid w:val="00390953"/>
    <w:rsid w:val="00390A70"/>
    <w:rsid w:val="00390D0F"/>
    <w:rsid w:val="00390F22"/>
    <w:rsid w:val="003923A6"/>
    <w:rsid w:val="003945DC"/>
    <w:rsid w:val="00397D8A"/>
    <w:rsid w:val="003A4A3C"/>
    <w:rsid w:val="003A4FAB"/>
    <w:rsid w:val="003A5278"/>
    <w:rsid w:val="003A5B70"/>
    <w:rsid w:val="003B0B19"/>
    <w:rsid w:val="003B2B02"/>
    <w:rsid w:val="003B40C4"/>
    <w:rsid w:val="003B63B3"/>
    <w:rsid w:val="003C2402"/>
    <w:rsid w:val="003C332F"/>
    <w:rsid w:val="003C448A"/>
    <w:rsid w:val="003D0721"/>
    <w:rsid w:val="003D13AD"/>
    <w:rsid w:val="003D2029"/>
    <w:rsid w:val="003D4305"/>
    <w:rsid w:val="003D5584"/>
    <w:rsid w:val="003D59CE"/>
    <w:rsid w:val="003D703B"/>
    <w:rsid w:val="003E0075"/>
    <w:rsid w:val="003E2BA7"/>
    <w:rsid w:val="003E5CD7"/>
    <w:rsid w:val="003E62A1"/>
    <w:rsid w:val="003E687F"/>
    <w:rsid w:val="003F023D"/>
    <w:rsid w:val="003F09DF"/>
    <w:rsid w:val="003F3FFE"/>
    <w:rsid w:val="003F4FA0"/>
    <w:rsid w:val="003F6FF7"/>
    <w:rsid w:val="003F7E78"/>
    <w:rsid w:val="00400158"/>
    <w:rsid w:val="0040192C"/>
    <w:rsid w:val="00403D12"/>
    <w:rsid w:val="00404C33"/>
    <w:rsid w:val="00404FE9"/>
    <w:rsid w:val="00413FE5"/>
    <w:rsid w:val="00414444"/>
    <w:rsid w:val="00414A9D"/>
    <w:rsid w:val="004154A2"/>
    <w:rsid w:val="00415C84"/>
    <w:rsid w:val="0041692D"/>
    <w:rsid w:val="00420AA2"/>
    <w:rsid w:val="00421AA1"/>
    <w:rsid w:val="004227D9"/>
    <w:rsid w:val="004234FB"/>
    <w:rsid w:val="00427227"/>
    <w:rsid w:val="00427879"/>
    <w:rsid w:val="004279F5"/>
    <w:rsid w:val="00430A41"/>
    <w:rsid w:val="0043141D"/>
    <w:rsid w:val="00434A85"/>
    <w:rsid w:val="00435ACA"/>
    <w:rsid w:val="00437714"/>
    <w:rsid w:val="004417E5"/>
    <w:rsid w:val="00442910"/>
    <w:rsid w:val="0045008A"/>
    <w:rsid w:val="00454BFF"/>
    <w:rsid w:val="00455102"/>
    <w:rsid w:val="00456CC5"/>
    <w:rsid w:val="00456F00"/>
    <w:rsid w:val="00457B19"/>
    <w:rsid w:val="00460F51"/>
    <w:rsid w:val="00461472"/>
    <w:rsid w:val="0046163D"/>
    <w:rsid w:val="00461F49"/>
    <w:rsid w:val="0046301C"/>
    <w:rsid w:val="00463A6B"/>
    <w:rsid w:val="0046512F"/>
    <w:rsid w:val="00467A8F"/>
    <w:rsid w:val="00472E9D"/>
    <w:rsid w:val="00476255"/>
    <w:rsid w:val="00476E68"/>
    <w:rsid w:val="00481D04"/>
    <w:rsid w:val="00484A4E"/>
    <w:rsid w:val="00490731"/>
    <w:rsid w:val="00493B12"/>
    <w:rsid w:val="00496190"/>
    <w:rsid w:val="00496643"/>
    <w:rsid w:val="00496BBC"/>
    <w:rsid w:val="00497443"/>
    <w:rsid w:val="00497825"/>
    <w:rsid w:val="004A1D26"/>
    <w:rsid w:val="004A2B85"/>
    <w:rsid w:val="004A35A1"/>
    <w:rsid w:val="004A3610"/>
    <w:rsid w:val="004A6065"/>
    <w:rsid w:val="004A7BE6"/>
    <w:rsid w:val="004A7C48"/>
    <w:rsid w:val="004B0DCB"/>
    <w:rsid w:val="004B16C9"/>
    <w:rsid w:val="004B1C12"/>
    <w:rsid w:val="004B23C3"/>
    <w:rsid w:val="004B2B39"/>
    <w:rsid w:val="004B37F8"/>
    <w:rsid w:val="004B387B"/>
    <w:rsid w:val="004B5C41"/>
    <w:rsid w:val="004B6D32"/>
    <w:rsid w:val="004C0BD1"/>
    <w:rsid w:val="004C38CA"/>
    <w:rsid w:val="004C4037"/>
    <w:rsid w:val="004D1D5C"/>
    <w:rsid w:val="004D2279"/>
    <w:rsid w:val="004D3186"/>
    <w:rsid w:val="004D354E"/>
    <w:rsid w:val="004D44C9"/>
    <w:rsid w:val="004D47F6"/>
    <w:rsid w:val="004D6937"/>
    <w:rsid w:val="004D6E2B"/>
    <w:rsid w:val="004D7ED6"/>
    <w:rsid w:val="004E0A10"/>
    <w:rsid w:val="004E363A"/>
    <w:rsid w:val="004E3F54"/>
    <w:rsid w:val="004E6DE6"/>
    <w:rsid w:val="004E763B"/>
    <w:rsid w:val="004F0141"/>
    <w:rsid w:val="004F06C7"/>
    <w:rsid w:val="004F0E9D"/>
    <w:rsid w:val="004F0EF3"/>
    <w:rsid w:val="004F4571"/>
    <w:rsid w:val="004F5309"/>
    <w:rsid w:val="004F6805"/>
    <w:rsid w:val="004F6B2C"/>
    <w:rsid w:val="0050011F"/>
    <w:rsid w:val="00500270"/>
    <w:rsid w:val="00502854"/>
    <w:rsid w:val="0050667F"/>
    <w:rsid w:val="00506C7C"/>
    <w:rsid w:val="005070DB"/>
    <w:rsid w:val="005112C3"/>
    <w:rsid w:val="00512AA5"/>
    <w:rsid w:val="00513B4E"/>
    <w:rsid w:val="00514812"/>
    <w:rsid w:val="00514EDB"/>
    <w:rsid w:val="00522120"/>
    <w:rsid w:val="005239B0"/>
    <w:rsid w:val="00527223"/>
    <w:rsid w:val="005274C5"/>
    <w:rsid w:val="005308E0"/>
    <w:rsid w:val="00531B2A"/>
    <w:rsid w:val="00532636"/>
    <w:rsid w:val="0053265F"/>
    <w:rsid w:val="00533390"/>
    <w:rsid w:val="005336D0"/>
    <w:rsid w:val="00536069"/>
    <w:rsid w:val="0053678B"/>
    <w:rsid w:val="00536FA6"/>
    <w:rsid w:val="0054039E"/>
    <w:rsid w:val="00540938"/>
    <w:rsid w:val="0054137A"/>
    <w:rsid w:val="00543746"/>
    <w:rsid w:val="005462E3"/>
    <w:rsid w:val="00546461"/>
    <w:rsid w:val="00550BDA"/>
    <w:rsid w:val="00551063"/>
    <w:rsid w:val="00551805"/>
    <w:rsid w:val="0055186F"/>
    <w:rsid w:val="005523B8"/>
    <w:rsid w:val="00552628"/>
    <w:rsid w:val="00552C17"/>
    <w:rsid w:val="005546F3"/>
    <w:rsid w:val="00555D5E"/>
    <w:rsid w:val="0055705A"/>
    <w:rsid w:val="00560383"/>
    <w:rsid w:val="00560568"/>
    <w:rsid w:val="00560C7A"/>
    <w:rsid w:val="00561E1A"/>
    <w:rsid w:val="00564107"/>
    <w:rsid w:val="00564C90"/>
    <w:rsid w:val="00564FA3"/>
    <w:rsid w:val="00567152"/>
    <w:rsid w:val="00567200"/>
    <w:rsid w:val="005679D8"/>
    <w:rsid w:val="005707E4"/>
    <w:rsid w:val="00571284"/>
    <w:rsid w:val="00572067"/>
    <w:rsid w:val="00574E66"/>
    <w:rsid w:val="00575511"/>
    <w:rsid w:val="00575576"/>
    <w:rsid w:val="00577057"/>
    <w:rsid w:val="00577517"/>
    <w:rsid w:val="00577B48"/>
    <w:rsid w:val="00583860"/>
    <w:rsid w:val="0058420A"/>
    <w:rsid w:val="0058459D"/>
    <w:rsid w:val="00584C56"/>
    <w:rsid w:val="0058611B"/>
    <w:rsid w:val="005913C5"/>
    <w:rsid w:val="00591B36"/>
    <w:rsid w:val="00592200"/>
    <w:rsid w:val="0059280C"/>
    <w:rsid w:val="005934FC"/>
    <w:rsid w:val="00594069"/>
    <w:rsid w:val="00594404"/>
    <w:rsid w:val="0059504B"/>
    <w:rsid w:val="00596E60"/>
    <w:rsid w:val="005A0A1B"/>
    <w:rsid w:val="005A1116"/>
    <w:rsid w:val="005A5372"/>
    <w:rsid w:val="005B0464"/>
    <w:rsid w:val="005B5F61"/>
    <w:rsid w:val="005B747E"/>
    <w:rsid w:val="005B7D03"/>
    <w:rsid w:val="005C08DE"/>
    <w:rsid w:val="005C20AF"/>
    <w:rsid w:val="005C2DA6"/>
    <w:rsid w:val="005C4B84"/>
    <w:rsid w:val="005C5CDB"/>
    <w:rsid w:val="005C6343"/>
    <w:rsid w:val="005D0656"/>
    <w:rsid w:val="005D1365"/>
    <w:rsid w:val="005D38D0"/>
    <w:rsid w:val="005D44CE"/>
    <w:rsid w:val="005D4508"/>
    <w:rsid w:val="005D53AA"/>
    <w:rsid w:val="005D5627"/>
    <w:rsid w:val="005D620F"/>
    <w:rsid w:val="005D74F2"/>
    <w:rsid w:val="005D7D68"/>
    <w:rsid w:val="005E004D"/>
    <w:rsid w:val="005E02CD"/>
    <w:rsid w:val="005E0831"/>
    <w:rsid w:val="005E085B"/>
    <w:rsid w:val="005E23D1"/>
    <w:rsid w:val="005E32AF"/>
    <w:rsid w:val="005E68C1"/>
    <w:rsid w:val="005F1964"/>
    <w:rsid w:val="005F1BC6"/>
    <w:rsid w:val="005F29C1"/>
    <w:rsid w:val="005F4481"/>
    <w:rsid w:val="005F6496"/>
    <w:rsid w:val="005F78BB"/>
    <w:rsid w:val="00602980"/>
    <w:rsid w:val="006029CE"/>
    <w:rsid w:val="00602B75"/>
    <w:rsid w:val="00604237"/>
    <w:rsid w:val="00605017"/>
    <w:rsid w:val="0060547A"/>
    <w:rsid w:val="00605A91"/>
    <w:rsid w:val="006071FD"/>
    <w:rsid w:val="006100A9"/>
    <w:rsid w:val="00610A3A"/>
    <w:rsid w:val="00610BE7"/>
    <w:rsid w:val="006118C5"/>
    <w:rsid w:val="006123C5"/>
    <w:rsid w:val="00612E0C"/>
    <w:rsid w:val="006161BD"/>
    <w:rsid w:val="00616715"/>
    <w:rsid w:val="00620262"/>
    <w:rsid w:val="00620ACE"/>
    <w:rsid w:val="00621F33"/>
    <w:rsid w:val="00622F41"/>
    <w:rsid w:val="00624DA5"/>
    <w:rsid w:val="006251D4"/>
    <w:rsid w:val="006275FD"/>
    <w:rsid w:val="00630281"/>
    <w:rsid w:val="0063216D"/>
    <w:rsid w:val="00633376"/>
    <w:rsid w:val="00633E20"/>
    <w:rsid w:val="00633F72"/>
    <w:rsid w:val="00634DFE"/>
    <w:rsid w:val="00634E7B"/>
    <w:rsid w:val="006374D0"/>
    <w:rsid w:val="00642807"/>
    <w:rsid w:val="00642E66"/>
    <w:rsid w:val="00643BF4"/>
    <w:rsid w:val="0064482C"/>
    <w:rsid w:val="006449E2"/>
    <w:rsid w:val="006458CE"/>
    <w:rsid w:val="0064648A"/>
    <w:rsid w:val="006551AE"/>
    <w:rsid w:val="0065545E"/>
    <w:rsid w:val="00655B90"/>
    <w:rsid w:val="00656732"/>
    <w:rsid w:val="00657F8B"/>
    <w:rsid w:val="006624CA"/>
    <w:rsid w:val="00663D49"/>
    <w:rsid w:val="00664532"/>
    <w:rsid w:val="00665985"/>
    <w:rsid w:val="00666B25"/>
    <w:rsid w:val="00670E8A"/>
    <w:rsid w:val="006711F3"/>
    <w:rsid w:val="0067199C"/>
    <w:rsid w:val="00673348"/>
    <w:rsid w:val="00673BE3"/>
    <w:rsid w:val="00675F54"/>
    <w:rsid w:val="00676A69"/>
    <w:rsid w:val="00677EAB"/>
    <w:rsid w:val="00680EA5"/>
    <w:rsid w:val="006839FF"/>
    <w:rsid w:val="0068457E"/>
    <w:rsid w:val="00685580"/>
    <w:rsid w:val="00686BF9"/>
    <w:rsid w:val="00686FEA"/>
    <w:rsid w:val="00687CEC"/>
    <w:rsid w:val="00687EB9"/>
    <w:rsid w:val="006914A3"/>
    <w:rsid w:val="00691B9D"/>
    <w:rsid w:val="00693845"/>
    <w:rsid w:val="006949BA"/>
    <w:rsid w:val="0069766D"/>
    <w:rsid w:val="00697E93"/>
    <w:rsid w:val="006A0727"/>
    <w:rsid w:val="006A1A6B"/>
    <w:rsid w:val="006A1AC2"/>
    <w:rsid w:val="006A21FE"/>
    <w:rsid w:val="006A3617"/>
    <w:rsid w:val="006A483E"/>
    <w:rsid w:val="006A545B"/>
    <w:rsid w:val="006A5CC5"/>
    <w:rsid w:val="006A6025"/>
    <w:rsid w:val="006A67F9"/>
    <w:rsid w:val="006B0E2A"/>
    <w:rsid w:val="006B12C0"/>
    <w:rsid w:val="006B21AD"/>
    <w:rsid w:val="006B2B03"/>
    <w:rsid w:val="006B37E4"/>
    <w:rsid w:val="006B3BA2"/>
    <w:rsid w:val="006B3CA1"/>
    <w:rsid w:val="006B4787"/>
    <w:rsid w:val="006B4A7F"/>
    <w:rsid w:val="006B68E2"/>
    <w:rsid w:val="006B710A"/>
    <w:rsid w:val="006C2539"/>
    <w:rsid w:val="006C6E00"/>
    <w:rsid w:val="006C6F0E"/>
    <w:rsid w:val="006C7C9D"/>
    <w:rsid w:val="006D0467"/>
    <w:rsid w:val="006D11BB"/>
    <w:rsid w:val="006D6104"/>
    <w:rsid w:val="006D7239"/>
    <w:rsid w:val="006E19E7"/>
    <w:rsid w:val="006E3071"/>
    <w:rsid w:val="006E4145"/>
    <w:rsid w:val="006E41E3"/>
    <w:rsid w:val="006F0712"/>
    <w:rsid w:val="006F4488"/>
    <w:rsid w:val="006F619F"/>
    <w:rsid w:val="006F65B1"/>
    <w:rsid w:val="00703115"/>
    <w:rsid w:val="007119FB"/>
    <w:rsid w:val="0071202A"/>
    <w:rsid w:val="007137B7"/>
    <w:rsid w:val="00714159"/>
    <w:rsid w:val="0071754F"/>
    <w:rsid w:val="00717875"/>
    <w:rsid w:val="00721214"/>
    <w:rsid w:val="00721843"/>
    <w:rsid w:val="00722693"/>
    <w:rsid w:val="00722FAE"/>
    <w:rsid w:val="00723DE2"/>
    <w:rsid w:val="00723EE9"/>
    <w:rsid w:val="007253D8"/>
    <w:rsid w:val="0072562F"/>
    <w:rsid w:val="00730E0A"/>
    <w:rsid w:val="00731A03"/>
    <w:rsid w:val="007325A6"/>
    <w:rsid w:val="00733CBE"/>
    <w:rsid w:val="0073480E"/>
    <w:rsid w:val="0073522A"/>
    <w:rsid w:val="00735DE3"/>
    <w:rsid w:val="0074309C"/>
    <w:rsid w:val="00743DA2"/>
    <w:rsid w:val="00743DD7"/>
    <w:rsid w:val="007443E9"/>
    <w:rsid w:val="007458B8"/>
    <w:rsid w:val="00745A33"/>
    <w:rsid w:val="007503AE"/>
    <w:rsid w:val="00751C3B"/>
    <w:rsid w:val="0075289B"/>
    <w:rsid w:val="00753240"/>
    <w:rsid w:val="00754A32"/>
    <w:rsid w:val="00754A84"/>
    <w:rsid w:val="00756232"/>
    <w:rsid w:val="00762EC6"/>
    <w:rsid w:val="007648E4"/>
    <w:rsid w:val="00765E09"/>
    <w:rsid w:val="00767DA1"/>
    <w:rsid w:val="007703A2"/>
    <w:rsid w:val="0077282C"/>
    <w:rsid w:val="00772F05"/>
    <w:rsid w:val="00773586"/>
    <w:rsid w:val="00774F36"/>
    <w:rsid w:val="00776B3C"/>
    <w:rsid w:val="00781CB8"/>
    <w:rsid w:val="00781D3F"/>
    <w:rsid w:val="00783480"/>
    <w:rsid w:val="0078556E"/>
    <w:rsid w:val="00787435"/>
    <w:rsid w:val="00790313"/>
    <w:rsid w:val="00791916"/>
    <w:rsid w:val="00794A66"/>
    <w:rsid w:val="00794BF4"/>
    <w:rsid w:val="00796149"/>
    <w:rsid w:val="00797260"/>
    <w:rsid w:val="00797A8E"/>
    <w:rsid w:val="007A2ED1"/>
    <w:rsid w:val="007A307C"/>
    <w:rsid w:val="007A626A"/>
    <w:rsid w:val="007B0066"/>
    <w:rsid w:val="007B0436"/>
    <w:rsid w:val="007B08BF"/>
    <w:rsid w:val="007B0E4C"/>
    <w:rsid w:val="007B1C71"/>
    <w:rsid w:val="007B2DE5"/>
    <w:rsid w:val="007B51C0"/>
    <w:rsid w:val="007B5591"/>
    <w:rsid w:val="007B55D4"/>
    <w:rsid w:val="007B5CFC"/>
    <w:rsid w:val="007B6A70"/>
    <w:rsid w:val="007B6AD7"/>
    <w:rsid w:val="007B7320"/>
    <w:rsid w:val="007B7D90"/>
    <w:rsid w:val="007C252B"/>
    <w:rsid w:val="007C2A94"/>
    <w:rsid w:val="007C565B"/>
    <w:rsid w:val="007C6CAB"/>
    <w:rsid w:val="007D0B50"/>
    <w:rsid w:val="007D14FF"/>
    <w:rsid w:val="007D2223"/>
    <w:rsid w:val="007D25BF"/>
    <w:rsid w:val="007D3DC1"/>
    <w:rsid w:val="007D4FD9"/>
    <w:rsid w:val="007D546F"/>
    <w:rsid w:val="007D5C3E"/>
    <w:rsid w:val="007D615F"/>
    <w:rsid w:val="007D764E"/>
    <w:rsid w:val="007E3B33"/>
    <w:rsid w:val="007E416E"/>
    <w:rsid w:val="007E4931"/>
    <w:rsid w:val="007E4BB3"/>
    <w:rsid w:val="007E57B0"/>
    <w:rsid w:val="007E6D06"/>
    <w:rsid w:val="007F0453"/>
    <w:rsid w:val="007F13AB"/>
    <w:rsid w:val="007F22EF"/>
    <w:rsid w:val="007F2774"/>
    <w:rsid w:val="007F3B44"/>
    <w:rsid w:val="007F764A"/>
    <w:rsid w:val="00801C23"/>
    <w:rsid w:val="00801C70"/>
    <w:rsid w:val="008023AC"/>
    <w:rsid w:val="008026FE"/>
    <w:rsid w:val="00804AEC"/>
    <w:rsid w:val="0081046F"/>
    <w:rsid w:val="008152F9"/>
    <w:rsid w:val="00815A1F"/>
    <w:rsid w:val="00815E23"/>
    <w:rsid w:val="00820F66"/>
    <w:rsid w:val="00821E7C"/>
    <w:rsid w:val="00823B02"/>
    <w:rsid w:val="00825175"/>
    <w:rsid w:val="00827358"/>
    <w:rsid w:val="00835438"/>
    <w:rsid w:val="008365C7"/>
    <w:rsid w:val="00836CCC"/>
    <w:rsid w:val="008372E4"/>
    <w:rsid w:val="0084046A"/>
    <w:rsid w:val="008420CD"/>
    <w:rsid w:val="00843A04"/>
    <w:rsid w:val="00843BC1"/>
    <w:rsid w:val="00844AAF"/>
    <w:rsid w:val="00844D1E"/>
    <w:rsid w:val="00850101"/>
    <w:rsid w:val="00852E53"/>
    <w:rsid w:val="00857679"/>
    <w:rsid w:val="00857B08"/>
    <w:rsid w:val="00860083"/>
    <w:rsid w:val="00860DE1"/>
    <w:rsid w:val="0086191F"/>
    <w:rsid w:val="00861CD4"/>
    <w:rsid w:val="008625F9"/>
    <w:rsid w:val="00862E9F"/>
    <w:rsid w:val="00863993"/>
    <w:rsid w:val="00865686"/>
    <w:rsid w:val="00865B5C"/>
    <w:rsid w:val="00867986"/>
    <w:rsid w:val="00870937"/>
    <w:rsid w:val="00870AC5"/>
    <w:rsid w:val="008728CE"/>
    <w:rsid w:val="00873BBB"/>
    <w:rsid w:val="008814B8"/>
    <w:rsid w:val="008819DA"/>
    <w:rsid w:val="00883C9F"/>
    <w:rsid w:val="00884EDD"/>
    <w:rsid w:val="00887873"/>
    <w:rsid w:val="00887A65"/>
    <w:rsid w:val="00887DA5"/>
    <w:rsid w:val="0089063B"/>
    <w:rsid w:val="00890C34"/>
    <w:rsid w:val="008917B9"/>
    <w:rsid w:val="00891992"/>
    <w:rsid w:val="00896014"/>
    <w:rsid w:val="008967EA"/>
    <w:rsid w:val="00897A4C"/>
    <w:rsid w:val="008A2F14"/>
    <w:rsid w:val="008A34DC"/>
    <w:rsid w:val="008A611F"/>
    <w:rsid w:val="008A6B45"/>
    <w:rsid w:val="008A6F94"/>
    <w:rsid w:val="008B013E"/>
    <w:rsid w:val="008B1721"/>
    <w:rsid w:val="008B4134"/>
    <w:rsid w:val="008B41A6"/>
    <w:rsid w:val="008B4353"/>
    <w:rsid w:val="008B4457"/>
    <w:rsid w:val="008B588B"/>
    <w:rsid w:val="008B5AF8"/>
    <w:rsid w:val="008B622D"/>
    <w:rsid w:val="008B64E1"/>
    <w:rsid w:val="008C0173"/>
    <w:rsid w:val="008C0F2B"/>
    <w:rsid w:val="008C1DB1"/>
    <w:rsid w:val="008C254E"/>
    <w:rsid w:val="008D03FD"/>
    <w:rsid w:val="008D2C52"/>
    <w:rsid w:val="008D320C"/>
    <w:rsid w:val="008D35AB"/>
    <w:rsid w:val="008D3DE5"/>
    <w:rsid w:val="008D4745"/>
    <w:rsid w:val="008D57AD"/>
    <w:rsid w:val="008D5D30"/>
    <w:rsid w:val="008E25F1"/>
    <w:rsid w:val="008E2E2B"/>
    <w:rsid w:val="008E37DB"/>
    <w:rsid w:val="008E646F"/>
    <w:rsid w:val="008E6A45"/>
    <w:rsid w:val="008E7BCC"/>
    <w:rsid w:val="008F0392"/>
    <w:rsid w:val="008F45DC"/>
    <w:rsid w:val="008F6A53"/>
    <w:rsid w:val="008F747C"/>
    <w:rsid w:val="008F7931"/>
    <w:rsid w:val="0090058E"/>
    <w:rsid w:val="0090209F"/>
    <w:rsid w:val="0090309E"/>
    <w:rsid w:val="009054CB"/>
    <w:rsid w:val="00906DF9"/>
    <w:rsid w:val="009073F9"/>
    <w:rsid w:val="00910645"/>
    <w:rsid w:val="009107B7"/>
    <w:rsid w:val="00912577"/>
    <w:rsid w:val="00917040"/>
    <w:rsid w:val="00920867"/>
    <w:rsid w:val="00920F2A"/>
    <w:rsid w:val="00921B83"/>
    <w:rsid w:val="00921E9E"/>
    <w:rsid w:val="00921FE8"/>
    <w:rsid w:val="00922D98"/>
    <w:rsid w:val="00924613"/>
    <w:rsid w:val="00924BA1"/>
    <w:rsid w:val="00927B39"/>
    <w:rsid w:val="009304AE"/>
    <w:rsid w:val="00932B7E"/>
    <w:rsid w:val="00934888"/>
    <w:rsid w:val="00934C6C"/>
    <w:rsid w:val="0093527F"/>
    <w:rsid w:val="00936460"/>
    <w:rsid w:val="00936B7D"/>
    <w:rsid w:val="00937F3B"/>
    <w:rsid w:val="00940F46"/>
    <w:rsid w:val="00941958"/>
    <w:rsid w:val="00942059"/>
    <w:rsid w:val="00942174"/>
    <w:rsid w:val="00942F2F"/>
    <w:rsid w:val="00943B99"/>
    <w:rsid w:val="00943F3F"/>
    <w:rsid w:val="00945298"/>
    <w:rsid w:val="00945D81"/>
    <w:rsid w:val="00947DD6"/>
    <w:rsid w:val="00954D4E"/>
    <w:rsid w:val="00954D9D"/>
    <w:rsid w:val="009571C8"/>
    <w:rsid w:val="0096142F"/>
    <w:rsid w:val="009614C8"/>
    <w:rsid w:val="00961946"/>
    <w:rsid w:val="00962901"/>
    <w:rsid w:val="00962ECD"/>
    <w:rsid w:val="00962EF0"/>
    <w:rsid w:val="00965A6D"/>
    <w:rsid w:val="00965F95"/>
    <w:rsid w:val="00966E34"/>
    <w:rsid w:val="00967256"/>
    <w:rsid w:val="009674A5"/>
    <w:rsid w:val="0097131C"/>
    <w:rsid w:val="00973211"/>
    <w:rsid w:val="00973610"/>
    <w:rsid w:val="00973D5E"/>
    <w:rsid w:val="00974BC4"/>
    <w:rsid w:val="0098068F"/>
    <w:rsid w:val="00982C99"/>
    <w:rsid w:val="0098477A"/>
    <w:rsid w:val="00985BC3"/>
    <w:rsid w:val="00986E8C"/>
    <w:rsid w:val="00987797"/>
    <w:rsid w:val="00987DB1"/>
    <w:rsid w:val="00990514"/>
    <w:rsid w:val="009916F8"/>
    <w:rsid w:val="00994C82"/>
    <w:rsid w:val="00997154"/>
    <w:rsid w:val="009979A7"/>
    <w:rsid w:val="009A194A"/>
    <w:rsid w:val="009A19EC"/>
    <w:rsid w:val="009A2C06"/>
    <w:rsid w:val="009A5C5C"/>
    <w:rsid w:val="009A7436"/>
    <w:rsid w:val="009B0FC7"/>
    <w:rsid w:val="009B2AE9"/>
    <w:rsid w:val="009B2EB4"/>
    <w:rsid w:val="009B2F59"/>
    <w:rsid w:val="009B2FE6"/>
    <w:rsid w:val="009B307F"/>
    <w:rsid w:val="009B4797"/>
    <w:rsid w:val="009B7D50"/>
    <w:rsid w:val="009C1C42"/>
    <w:rsid w:val="009C2F5A"/>
    <w:rsid w:val="009C3EA4"/>
    <w:rsid w:val="009C6130"/>
    <w:rsid w:val="009C6292"/>
    <w:rsid w:val="009C6DE6"/>
    <w:rsid w:val="009C6F26"/>
    <w:rsid w:val="009C75F5"/>
    <w:rsid w:val="009C7AAB"/>
    <w:rsid w:val="009C7EC2"/>
    <w:rsid w:val="009D5AFF"/>
    <w:rsid w:val="009D5D8D"/>
    <w:rsid w:val="009D763A"/>
    <w:rsid w:val="009E1F42"/>
    <w:rsid w:val="009E4F60"/>
    <w:rsid w:val="009E628C"/>
    <w:rsid w:val="009F0791"/>
    <w:rsid w:val="009F0A07"/>
    <w:rsid w:val="009F437F"/>
    <w:rsid w:val="009F45E0"/>
    <w:rsid w:val="009F4A71"/>
    <w:rsid w:val="009F50FD"/>
    <w:rsid w:val="009F7D06"/>
    <w:rsid w:val="00A00A94"/>
    <w:rsid w:val="00A01058"/>
    <w:rsid w:val="00A02774"/>
    <w:rsid w:val="00A06676"/>
    <w:rsid w:val="00A06AF5"/>
    <w:rsid w:val="00A06F3E"/>
    <w:rsid w:val="00A06FE9"/>
    <w:rsid w:val="00A070F2"/>
    <w:rsid w:val="00A115F5"/>
    <w:rsid w:val="00A12EA0"/>
    <w:rsid w:val="00A13E2C"/>
    <w:rsid w:val="00A1429E"/>
    <w:rsid w:val="00A150E1"/>
    <w:rsid w:val="00A16074"/>
    <w:rsid w:val="00A16600"/>
    <w:rsid w:val="00A176D4"/>
    <w:rsid w:val="00A22CF8"/>
    <w:rsid w:val="00A232CD"/>
    <w:rsid w:val="00A256AB"/>
    <w:rsid w:val="00A256F8"/>
    <w:rsid w:val="00A307F2"/>
    <w:rsid w:val="00A323C5"/>
    <w:rsid w:val="00A325C8"/>
    <w:rsid w:val="00A3287E"/>
    <w:rsid w:val="00A32B3F"/>
    <w:rsid w:val="00A34777"/>
    <w:rsid w:val="00A36552"/>
    <w:rsid w:val="00A37E72"/>
    <w:rsid w:val="00A4005C"/>
    <w:rsid w:val="00A41B04"/>
    <w:rsid w:val="00A44807"/>
    <w:rsid w:val="00A45877"/>
    <w:rsid w:val="00A47F5A"/>
    <w:rsid w:val="00A5263A"/>
    <w:rsid w:val="00A52978"/>
    <w:rsid w:val="00A52CAE"/>
    <w:rsid w:val="00A53427"/>
    <w:rsid w:val="00A5510D"/>
    <w:rsid w:val="00A61635"/>
    <w:rsid w:val="00A6211A"/>
    <w:rsid w:val="00A63118"/>
    <w:rsid w:val="00A6460E"/>
    <w:rsid w:val="00A65508"/>
    <w:rsid w:val="00A65BDE"/>
    <w:rsid w:val="00A65D71"/>
    <w:rsid w:val="00A66AE1"/>
    <w:rsid w:val="00A67230"/>
    <w:rsid w:val="00A67CD8"/>
    <w:rsid w:val="00A727B1"/>
    <w:rsid w:val="00A7324C"/>
    <w:rsid w:val="00A74660"/>
    <w:rsid w:val="00A74AEB"/>
    <w:rsid w:val="00A74B2B"/>
    <w:rsid w:val="00A77DD3"/>
    <w:rsid w:val="00A77E9F"/>
    <w:rsid w:val="00A82B49"/>
    <w:rsid w:val="00A82D5E"/>
    <w:rsid w:val="00A8370C"/>
    <w:rsid w:val="00A840AC"/>
    <w:rsid w:val="00A851C2"/>
    <w:rsid w:val="00A85D95"/>
    <w:rsid w:val="00A86D6C"/>
    <w:rsid w:val="00A870BA"/>
    <w:rsid w:val="00A87468"/>
    <w:rsid w:val="00A876B6"/>
    <w:rsid w:val="00A90DA1"/>
    <w:rsid w:val="00A9203C"/>
    <w:rsid w:val="00A9261A"/>
    <w:rsid w:val="00A946F7"/>
    <w:rsid w:val="00A96D30"/>
    <w:rsid w:val="00A97073"/>
    <w:rsid w:val="00A9780D"/>
    <w:rsid w:val="00A97B79"/>
    <w:rsid w:val="00AA070D"/>
    <w:rsid w:val="00AA08CD"/>
    <w:rsid w:val="00AA0F09"/>
    <w:rsid w:val="00AA1352"/>
    <w:rsid w:val="00AA2AE0"/>
    <w:rsid w:val="00AA31E8"/>
    <w:rsid w:val="00AA383D"/>
    <w:rsid w:val="00AA5EF8"/>
    <w:rsid w:val="00AA698E"/>
    <w:rsid w:val="00AA7CBB"/>
    <w:rsid w:val="00AB11C4"/>
    <w:rsid w:val="00AB172B"/>
    <w:rsid w:val="00AB19CF"/>
    <w:rsid w:val="00AB240C"/>
    <w:rsid w:val="00AB37B9"/>
    <w:rsid w:val="00AB3B9D"/>
    <w:rsid w:val="00AB5F06"/>
    <w:rsid w:val="00AB7175"/>
    <w:rsid w:val="00AC3A0C"/>
    <w:rsid w:val="00AC4232"/>
    <w:rsid w:val="00AC5C5A"/>
    <w:rsid w:val="00AC7FA2"/>
    <w:rsid w:val="00AD0674"/>
    <w:rsid w:val="00AD2D18"/>
    <w:rsid w:val="00AD3018"/>
    <w:rsid w:val="00AD3044"/>
    <w:rsid w:val="00AD4B7D"/>
    <w:rsid w:val="00AD6394"/>
    <w:rsid w:val="00AD650D"/>
    <w:rsid w:val="00AD7093"/>
    <w:rsid w:val="00AE13AF"/>
    <w:rsid w:val="00AE311A"/>
    <w:rsid w:val="00AE5EE3"/>
    <w:rsid w:val="00AE62EF"/>
    <w:rsid w:val="00AF06BC"/>
    <w:rsid w:val="00AF0759"/>
    <w:rsid w:val="00AF0C03"/>
    <w:rsid w:val="00AF0DD3"/>
    <w:rsid w:val="00AF2871"/>
    <w:rsid w:val="00AF5CB4"/>
    <w:rsid w:val="00AF615B"/>
    <w:rsid w:val="00AF653D"/>
    <w:rsid w:val="00AF6B43"/>
    <w:rsid w:val="00AF7B08"/>
    <w:rsid w:val="00B04372"/>
    <w:rsid w:val="00B058E9"/>
    <w:rsid w:val="00B1179B"/>
    <w:rsid w:val="00B12B15"/>
    <w:rsid w:val="00B14604"/>
    <w:rsid w:val="00B16016"/>
    <w:rsid w:val="00B17520"/>
    <w:rsid w:val="00B2189B"/>
    <w:rsid w:val="00B234AF"/>
    <w:rsid w:val="00B27F1B"/>
    <w:rsid w:val="00B31C8D"/>
    <w:rsid w:val="00B31ED8"/>
    <w:rsid w:val="00B349E4"/>
    <w:rsid w:val="00B36A0D"/>
    <w:rsid w:val="00B414FF"/>
    <w:rsid w:val="00B43107"/>
    <w:rsid w:val="00B439EC"/>
    <w:rsid w:val="00B44A9D"/>
    <w:rsid w:val="00B466C8"/>
    <w:rsid w:val="00B46886"/>
    <w:rsid w:val="00B47109"/>
    <w:rsid w:val="00B50945"/>
    <w:rsid w:val="00B5122D"/>
    <w:rsid w:val="00B52813"/>
    <w:rsid w:val="00B53242"/>
    <w:rsid w:val="00B533C5"/>
    <w:rsid w:val="00B5382C"/>
    <w:rsid w:val="00B5781C"/>
    <w:rsid w:val="00B62418"/>
    <w:rsid w:val="00B624CF"/>
    <w:rsid w:val="00B63B4B"/>
    <w:rsid w:val="00B64462"/>
    <w:rsid w:val="00B64B9B"/>
    <w:rsid w:val="00B668C8"/>
    <w:rsid w:val="00B6694A"/>
    <w:rsid w:val="00B70E51"/>
    <w:rsid w:val="00B734A5"/>
    <w:rsid w:val="00B744DD"/>
    <w:rsid w:val="00B7770D"/>
    <w:rsid w:val="00B811F1"/>
    <w:rsid w:val="00B824FD"/>
    <w:rsid w:val="00B847B7"/>
    <w:rsid w:val="00B86138"/>
    <w:rsid w:val="00B86590"/>
    <w:rsid w:val="00B86E88"/>
    <w:rsid w:val="00B90CD0"/>
    <w:rsid w:val="00B9304A"/>
    <w:rsid w:val="00B930C9"/>
    <w:rsid w:val="00B94C7D"/>
    <w:rsid w:val="00B956B8"/>
    <w:rsid w:val="00B95A43"/>
    <w:rsid w:val="00B96061"/>
    <w:rsid w:val="00B97A29"/>
    <w:rsid w:val="00B97D8D"/>
    <w:rsid w:val="00BA1251"/>
    <w:rsid w:val="00BA3604"/>
    <w:rsid w:val="00BB00E8"/>
    <w:rsid w:val="00BB0261"/>
    <w:rsid w:val="00BB0341"/>
    <w:rsid w:val="00BB0755"/>
    <w:rsid w:val="00BB223B"/>
    <w:rsid w:val="00BB3F05"/>
    <w:rsid w:val="00BB4A78"/>
    <w:rsid w:val="00BB4C78"/>
    <w:rsid w:val="00BB5724"/>
    <w:rsid w:val="00BB6C72"/>
    <w:rsid w:val="00BB7135"/>
    <w:rsid w:val="00BB765F"/>
    <w:rsid w:val="00BC0115"/>
    <w:rsid w:val="00BC0BE2"/>
    <w:rsid w:val="00BC1052"/>
    <w:rsid w:val="00BC5445"/>
    <w:rsid w:val="00BC69A1"/>
    <w:rsid w:val="00BC7B0E"/>
    <w:rsid w:val="00BD2433"/>
    <w:rsid w:val="00BD25AE"/>
    <w:rsid w:val="00BD3A44"/>
    <w:rsid w:val="00BD4B3F"/>
    <w:rsid w:val="00BD6CF4"/>
    <w:rsid w:val="00BD7C39"/>
    <w:rsid w:val="00BE0DFE"/>
    <w:rsid w:val="00BE1DEB"/>
    <w:rsid w:val="00BE3015"/>
    <w:rsid w:val="00BF04BB"/>
    <w:rsid w:val="00BF1293"/>
    <w:rsid w:val="00BF22FC"/>
    <w:rsid w:val="00C02DB7"/>
    <w:rsid w:val="00C02DEE"/>
    <w:rsid w:val="00C05556"/>
    <w:rsid w:val="00C11323"/>
    <w:rsid w:val="00C130BE"/>
    <w:rsid w:val="00C14F5D"/>
    <w:rsid w:val="00C223D4"/>
    <w:rsid w:val="00C23519"/>
    <w:rsid w:val="00C303AF"/>
    <w:rsid w:val="00C33A83"/>
    <w:rsid w:val="00C34E04"/>
    <w:rsid w:val="00C35126"/>
    <w:rsid w:val="00C3529A"/>
    <w:rsid w:val="00C36F27"/>
    <w:rsid w:val="00C41591"/>
    <w:rsid w:val="00C43947"/>
    <w:rsid w:val="00C44029"/>
    <w:rsid w:val="00C45F98"/>
    <w:rsid w:val="00C46BCF"/>
    <w:rsid w:val="00C51DDA"/>
    <w:rsid w:val="00C52216"/>
    <w:rsid w:val="00C607E3"/>
    <w:rsid w:val="00C61825"/>
    <w:rsid w:val="00C620CE"/>
    <w:rsid w:val="00C6456D"/>
    <w:rsid w:val="00C652DC"/>
    <w:rsid w:val="00C65A4B"/>
    <w:rsid w:val="00C66266"/>
    <w:rsid w:val="00C66652"/>
    <w:rsid w:val="00C666C2"/>
    <w:rsid w:val="00C66B8F"/>
    <w:rsid w:val="00C67169"/>
    <w:rsid w:val="00C673A3"/>
    <w:rsid w:val="00C706B1"/>
    <w:rsid w:val="00C71903"/>
    <w:rsid w:val="00C72C18"/>
    <w:rsid w:val="00C734FE"/>
    <w:rsid w:val="00C7450C"/>
    <w:rsid w:val="00C74578"/>
    <w:rsid w:val="00C74D75"/>
    <w:rsid w:val="00C81A83"/>
    <w:rsid w:val="00C83711"/>
    <w:rsid w:val="00C8384A"/>
    <w:rsid w:val="00C83EF4"/>
    <w:rsid w:val="00C878A5"/>
    <w:rsid w:val="00C90BA2"/>
    <w:rsid w:val="00C91455"/>
    <w:rsid w:val="00C92818"/>
    <w:rsid w:val="00C93C8C"/>
    <w:rsid w:val="00C94D39"/>
    <w:rsid w:val="00C962B2"/>
    <w:rsid w:val="00C966CE"/>
    <w:rsid w:val="00CA0838"/>
    <w:rsid w:val="00CA0B3A"/>
    <w:rsid w:val="00CA12D4"/>
    <w:rsid w:val="00CA2349"/>
    <w:rsid w:val="00CA2DDF"/>
    <w:rsid w:val="00CA45E2"/>
    <w:rsid w:val="00CB0A35"/>
    <w:rsid w:val="00CB2F2F"/>
    <w:rsid w:val="00CB5E6A"/>
    <w:rsid w:val="00CC15D3"/>
    <w:rsid w:val="00CC195B"/>
    <w:rsid w:val="00CC1BB3"/>
    <w:rsid w:val="00CC1C3C"/>
    <w:rsid w:val="00CC281E"/>
    <w:rsid w:val="00CC28F4"/>
    <w:rsid w:val="00CC49AE"/>
    <w:rsid w:val="00CC4DC9"/>
    <w:rsid w:val="00CC550E"/>
    <w:rsid w:val="00CC5717"/>
    <w:rsid w:val="00CC7FAC"/>
    <w:rsid w:val="00CD3A0E"/>
    <w:rsid w:val="00CD3B89"/>
    <w:rsid w:val="00CD417D"/>
    <w:rsid w:val="00CD428F"/>
    <w:rsid w:val="00CD429A"/>
    <w:rsid w:val="00CD472D"/>
    <w:rsid w:val="00CD611F"/>
    <w:rsid w:val="00CD7CB4"/>
    <w:rsid w:val="00CE0C07"/>
    <w:rsid w:val="00CE48F7"/>
    <w:rsid w:val="00CE4DDE"/>
    <w:rsid w:val="00CE52EB"/>
    <w:rsid w:val="00CE782D"/>
    <w:rsid w:val="00CF248C"/>
    <w:rsid w:val="00CF2FD2"/>
    <w:rsid w:val="00CF3055"/>
    <w:rsid w:val="00CF4554"/>
    <w:rsid w:val="00CF47EB"/>
    <w:rsid w:val="00CF4D95"/>
    <w:rsid w:val="00CF629A"/>
    <w:rsid w:val="00CF6933"/>
    <w:rsid w:val="00CF6FDB"/>
    <w:rsid w:val="00D02797"/>
    <w:rsid w:val="00D02EFD"/>
    <w:rsid w:val="00D07BD9"/>
    <w:rsid w:val="00D108CD"/>
    <w:rsid w:val="00D12A50"/>
    <w:rsid w:val="00D13BBD"/>
    <w:rsid w:val="00D16CD4"/>
    <w:rsid w:val="00D224C5"/>
    <w:rsid w:val="00D24197"/>
    <w:rsid w:val="00D307A2"/>
    <w:rsid w:val="00D307BF"/>
    <w:rsid w:val="00D307EB"/>
    <w:rsid w:val="00D31989"/>
    <w:rsid w:val="00D324C0"/>
    <w:rsid w:val="00D32783"/>
    <w:rsid w:val="00D32A6A"/>
    <w:rsid w:val="00D34C0E"/>
    <w:rsid w:val="00D34C1B"/>
    <w:rsid w:val="00D37F69"/>
    <w:rsid w:val="00D42ACE"/>
    <w:rsid w:val="00D43665"/>
    <w:rsid w:val="00D448DA"/>
    <w:rsid w:val="00D4500E"/>
    <w:rsid w:val="00D456A3"/>
    <w:rsid w:val="00D464E2"/>
    <w:rsid w:val="00D4763D"/>
    <w:rsid w:val="00D54570"/>
    <w:rsid w:val="00D54F20"/>
    <w:rsid w:val="00D57730"/>
    <w:rsid w:val="00D613C1"/>
    <w:rsid w:val="00D61F56"/>
    <w:rsid w:val="00D6267A"/>
    <w:rsid w:val="00D643E9"/>
    <w:rsid w:val="00D64EA6"/>
    <w:rsid w:val="00D6769E"/>
    <w:rsid w:val="00D676CC"/>
    <w:rsid w:val="00D80134"/>
    <w:rsid w:val="00D80335"/>
    <w:rsid w:val="00D8391E"/>
    <w:rsid w:val="00D84365"/>
    <w:rsid w:val="00D8711D"/>
    <w:rsid w:val="00D8755F"/>
    <w:rsid w:val="00D914D8"/>
    <w:rsid w:val="00D936FA"/>
    <w:rsid w:val="00DA02BB"/>
    <w:rsid w:val="00DA67FE"/>
    <w:rsid w:val="00DB13E5"/>
    <w:rsid w:val="00DB29A6"/>
    <w:rsid w:val="00DB3528"/>
    <w:rsid w:val="00DB360D"/>
    <w:rsid w:val="00DB36EA"/>
    <w:rsid w:val="00DB3B6E"/>
    <w:rsid w:val="00DB5684"/>
    <w:rsid w:val="00DB5D3D"/>
    <w:rsid w:val="00DB6971"/>
    <w:rsid w:val="00DB715D"/>
    <w:rsid w:val="00DB7735"/>
    <w:rsid w:val="00DC07B4"/>
    <w:rsid w:val="00DC24A9"/>
    <w:rsid w:val="00DC33F7"/>
    <w:rsid w:val="00DC416A"/>
    <w:rsid w:val="00DC42A0"/>
    <w:rsid w:val="00DC45F9"/>
    <w:rsid w:val="00DC4BF4"/>
    <w:rsid w:val="00DC520A"/>
    <w:rsid w:val="00DC5221"/>
    <w:rsid w:val="00DC5436"/>
    <w:rsid w:val="00DC58D5"/>
    <w:rsid w:val="00DD0139"/>
    <w:rsid w:val="00DD0DD6"/>
    <w:rsid w:val="00DD1D6B"/>
    <w:rsid w:val="00DD2121"/>
    <w:rsid w:val="00DD35E2"/>
    <w:rsid w:val="00DD613F"/>
    <w:rsid w:val="00DD6860"/>
    <w:rsid w:val="00DE0DD6"/>
    <w:rsid w:val="00DE2A17"/>
    <w:rsid w:val="00DE2DA4"/>
    <w:rsid w:val="00DE361D"/>
    <w:rsid w:val="00DE6DCA"/>
    <w:rsid w:val="00DE7245"/>
    <w:rsid w:val="00DF0984"/>
    <w:rsid w:val="00DF12CD"/>
    <w:rsid w:val="00DF3397"/>
    <w:rsid w:val="00DF6F79"/>
    <w:rsid w:val="00E0149A"/>
    <w:rsid w:val="00E015AE"/>
    <w:rsid w:val="00E0217F"/>
    <w:rsid w:val="00E0378E"/>
    <w:rsid w:val="00E0439B"/>
    <w:rsid w:val="00E0528B"/>
    <w:rsid w:val="00E05388"/>
    <w:rsid w:val="00E06590"/>
    <w:rsid w:val="00E072BE"/>
    <w:rsid w:val="00E10121"/>
    <w:rsid w:val="00E1256B"/>
    <w:rsid w:val="00E15996"/>
    <w:rsid w:val="00E16177"/>
    <w:rsid w:val="00E16894"/>
    <w:rsid w:val="00E209E8"/>
    <w:rsid w:val="00E227D7"/>
    <w:rsid w:val="00E23168"/>
    <w:rsid w:val="00E273F1"/>
    <w:rsid w:val="00E30AE4"/>
    <w:rsid w:val="00E3284A"/>
    <w:rsid w:val="00E3574F"/>
    <w:rsid w:val="00E40079"/>
    <w:rsid w:val="00E423A7"/>
    <w:rsid w:val="00E450E5"/>
    <w:rsid w:val="00E464AC"/>
    <w:rsid w:val="00E47B88"/>
    <w:rsid w:val="00E50AC7"/>
    <w:rsid w:val="00E50C47"/>
    <w:rsid w:val="00E51CC2"/>
    <w:rsid w:val="00E55047"/>
    <w:rsid w:val="00E55B8A"/>
    <w:rsid w:val="00E61585"/>
    <w:rsid w:val="00E61B79"/>
    <w:rsid w:val="00E626C1"/>
    <w:rsid w:val="00E65035"/>
    <w:rsid w:val="00E662C0"/>
    <w:rsid w:val="00E72617"/>
    <w:rsid w:val="00E74AE3"/>
    <w:rsid w:val="00E770B0"/>
    <w:rsid w:val="00E77C6D"/>
    <w:rsid w:val="00E81CD6"/>
    <w:rsid w:val="00E82541"/>
    <w:rsid w:val="00E8397D"/>
    <w:rsid w:val="00E83BE7"/>
    <w:rsid w:val="00E87044"/>
    <w:rsid w:val="00E877CD"/>
    <w:rsid w:val="00E87F7D"/>
    <w:rsid w:val="00E90F30"/>
    <w:rsid w:val="00E946CB"/>
    <w:rsid w:val="00E97C71"/>
    <w:rsid w:val="00EA0458"/>
    <w:rsid w:val="00EA0FA1"/>
    <w:rsid w:val="00EA188D"/>
    <w:rsid w:val="00EA2AA7"/>
    <w:rsid w:val="00EA3FFA"/>
    <w:rsid w:val="00EA4838"/>
    <w:rsid w:val="00EA58A3"/>
    <w:rsid w:val="00EA6A13"/>
    <w:rsid w:val="00EA7D97"/>
    <w:rsid w:val="00EA7DE7"/>
    <w:rsid w:val="00EB09BC"/>
    <w:rsid w:val="00EB2AC5"/>
    <w:rsid w:val="00EB2D6C"/>
    <w:rsid w:val="00EB3AA5"/>
    <w:rsid w:val="00EB69E3"/>
    <w:rsid w:val="00EB7237"/>
    <w:rsid w:val="00EB7C4A"/>
    <w:rsid w:val="00EC00D8"/>
    <w:rsid w:val="00EC13B6"/>
    <w:rsid w:val="00EC57EA"/>
    <w:rsid w:val="00EC5E91"/>
    <w:rsid w:val="00EC720F"/>
    <w:rsid w:val="00EC7711"/>
    <w:rsid w:val="00ED0ABB"/>
    <w:rsid w:val="00ED10E0"/>
    <w:rsid w:val="00ED2AF4"/>
    <w:rsid w:val="00ED2DE0"/>
    <w:rsid w:val="00ED4117"/>
    <w:rsid w:val="00ED7C6A"/>
    <w:rsid w:val="00EE12FC"/>
    <w:rsid w:val="00EE29AE"/>
    <w:rsid w:val="00EE51B7"/>
    <w:rsid w:val="00EE643F"/>
    <w:rsid w:val="00EE69C1"/>
    <w:rsid w:val="00EE71DD"/>
    <w:rsid w:val="00EE7A49"/>
    <w:rsid w:val="00EE7D67"/>
    <w:rsid w:val="00EF4C00"/>
    <w:rsid w:val="00EF5270"/>
    <w:rsid w:val="00EF5709"/>
    <w:rsid w:val="00F0078F"/>
    <w:rsid w:val="00F013AE"/>
    <w:rsid w:val="00F0248D"/>
    <w:rsid w:val="00F0479A"/>
    <w:rsid w:val="00F05189"/>
    <w:rsid w:val="00F103CE"/>
    <w:rsid w:val="00F1187D"/>
    <w:rsid w:val="00F1574B"/>
    <w:rsid w:val="00F2051F"/>
    <w:rsid w:val="00F213D6"/>
    <w:rsid w:val="00F21D38"/>
    <w:rsid w:val="00F223C7"/>
    <w:rsid w:val="00F256C7"/>
    <w:rsid w:val="00F31009"/>
    <w:rsid w:val="00F31B9A"/>
    <w:rsid w:val="00F322DF"/>
    <w:rsid w:val="00F349DE"/>
    <w:rsid w:val="00F37894"/>
    <w:rsid w:val="00F41B4E"/>
    <w:rsid w:val="00F421C6"/>
    <w:rsid w:val="00F45CB7"/>
    <w:rsid w:val="00F4735E"/>
    <w:rsid w:val="00F5166A"/>
    <w:rsid w:val="00F5197F"/>
    <w:rsid w:val="00F51B83"/>
    <w:rsid w:val="00F524DB"/>
    <w:rsid w:val="00F52523"/>
    <w:rsid w:val="00F530B2"/>
    <w:rsid w:val="00F53223"/>
    <w:rsid w:val="00F54162"/>
    <w:rsid w:val="00F55B1F"/>
    <w:rsid w:val="00F5740A"/>
    <w:rsid w:val="00F61FF3"/>
    <w:rsid w:val="00F62ED9"/>
    <w:rsid w:val="00F64176"/>
    <w:rsid w:val="00F66337"/>
    <w:rsid w:val="00F663E8"/>
    <w:rsid w:val="00F712FA"/>
    <w:rsid w:val="00F71307"/>
    <w:rsid w:val="00F72AFE"/>
    <w:rsid w:val="00F72C6E"/>
    <w:rsid w:val="00F73D45"/>
    <w:rsid w:val="00F76DC9"/>
    <w:rsid w:val="00F773E4"/>
    <w:rsid w:val="00F8041D"/>
    <w:rsid w:val="00F8105E"/>
    <w:rsid w:val="00F820FA"/>
    <w:rsid w:val="00F825AF"/>
    <w:rsid w:val="00F86F33"/>
    <w:rsid w:val="00F87541"/>
    <w:rsid w:val="00F907F3"/>
    <w:rsid w:val="00F91F7C"/>
    <w:rsid w:val="00F92850"/>
    <w:rsid w:val="00F940CA"/>
    <w:rsid w:val="00F95596"/>
    <w:rsid w:val="00FA0738"/>
    <w:rsid w:val="00FA1092"/>
    <w:rsid w:val="00FA46FA"/>
    <w:rsid w:val="00FA607C"/>
    <w:rsid w:val="00FA60A0"/>
    <w:rsid w:val="00FA61C9"/>
    <w:rsid w:val="00FA65F6"/>
    <w:rsid w:val="00FA6A04"/>
    <w:rsid w:val="00FB0853"/>
    <w:rsid w:val="00FB2A63"/>
    <w:rsid w:val="00FB5E78"/>
    <w:rsid w:val="00FB6445"/>
    <w:rsid w:val="00FB72B0"/>
    <w:rsid w:val="00FB73F1"/>
    <w:rsid w:val="00FB7D4C"/>
    <w:rsid w:val="00FC14EE"/>
    <w:rsid w:val="00FC16EC"/>
    <w:rsid w:val="00FC2E99"/>
    <w:rsid w:val="00FC5F1C"/>
    <w:rsid w:val="00FC73C7"/>
    <w:rsid w:val="00FD02D9"/>
    <w:rsid w:val="00FD0C6F"/>
    <w:rsid w:val="00FD124F"/>
    <w:rsid w:val="00FD127D"/>
    <w:rsid w:val="00FD1B8F"/>
    <w:rsid w:val="00FD4F65"/>
    <w:rsid w:val="00FE0587"/>
    <w:rsid w:val="00FE05EB"/>
    <w:rsid w:val="00FE0933"/>
    <w:rsid w:val="00FE0EB3"/>
    <w:rsid w:val="00FE356F"/>
    <w:rsid w:val="00FE404F"/>
    <w:rsid w:val="00FE7914"/>
    <w:rsid w:val="00FE7AA0"/>
    <w:rsid w:val="00FE7CC0"/>
    <w:rsid w:val="00FF0EE7"/>
    <w:rsid w:val="00FF1C1F"/>
    <w:rsid w:val="00FF1EC8"/>
    <w:rsid w:val="00FF530E"/>
    <w:rsid w:val="00FF6C28"/>
    <w:rsid w:val="00FF6DF2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D87371"/>
  <w15:docId w15:val="{6B12216E-A494-46A8-9E3D-23C19DB4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2B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4162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98477A"/>
    <w:rPr>
      <w:rFonts w:eastAsia="Calibri"/>
      <w:sz w:val="24"/>
      <w:szCs w:val="24"/>
    </w:rPr>
  </w:style>
  <w:style w:type="character" w:customStyle="1" w:styleId="hgkelc">
    <w:name w:val="hgkelc"/>
    <w:basedOn w:val="DefaultParagraphFont"/>
    <w:rsid w:val="003163D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2FA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2FAE"/>
    <w:rPr>
      <w:rFonts w:ascii="Calibri" w:eastAsia="Calibri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B6C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4A2B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A">
    <w:name w:val="Body A"/>
    <w:rsid w:val="009E4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tinamericareports.com/the-importance-of-fintech-for-the-future-of-latin-america/7223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45FA-2CF1-418F-8BEF-D22A2E99E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9800</CharactersWithSpaces>
  <SharedDoc>false</SharedDoc>
  <HyperlinkBase/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dc:description/>
  <cp:lastModifiedBy>Diaz - Avalos,  Estela</cp:lastModifiedBy>
  <cp:revision>3</cp:revision>
  <cp:lastPrinted>2018-08-24T16:52:00Z</cp:lastPrinted>
  <dcterms:created xsi:type="dcterms:W3CDTF">2023-08-16T17:46:00Z</dcterms:created>
  <dcterms:modified xsi:type="dcterms:W3CDTF">2023-08-16T17:49:00Z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