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4D49" w14:textId="77777777" w:rsidR="001226D6" w:rsidRPr="00F2319C" w:rsidRDefault="00D23723" w:rsidP="00F2319C">
      <w:pPr>
        <w:tabs>
          <w:tab w:val="left" w:pos="7200"/>
        </w:tabs>
        <w:ind w:right="-1080"/>
        <w:rPr>
          <w:sz w:val="22"/>
          <w:szCs w:val="22"/>
          <w:lang w:val="pt-BR"/>
        </w:rPr>
      </w:pPr>
      <w:bookmarkStart w:id="0" w:name="_top"/>
      <w:bookmarkEnd w:id="0"/>
      <w:r w:rsidRPr="00F2319C">
        <w:rPr>
          <w:sz w:val="22"/>
          <w:szCs w:val="22"/>
        </w:rPr>
        <w:tab/>
      </w:r>
      <w:r w:rsidRPr="00F2319C">
        <w:rPr>
          <w:sz w:val="22"/>
          <w:szCs w:val="22"/>
          <w:lang w:val="pt-BR"/>
        </w:rPr>
        <w:t>OEA/Ser.W</w:t>
      </w:r>
    </w:p>
    <w:p w14:paraId="773091C1" w14:textId="3DA67C70" w:rsidR="001226D6" w:rsidRPr="00DC45E2" w:rsidRDefault="00D23723" w:rsidP="00F2319C">
      <w:pPr>
        <w:tabs>
          <w:tab w:val="left" w:pos="7200"/>
        </w:tabs>
        <w:ind w:right="-1080"/>
        <w:rPr>
          <w:sz w:val="22"/>
          <w:szCs w:val="22"/>
          <w:lang w:val="pt-BR"/>
        </w:rPr>
      </w:pPr>
      <w:r w:rsidRPr="00F2319C">
        <w:rPr>
          <w:sz w:val="22"/>
          <w:szCs w:val="22"/>
          <w:lang w:val="pt-BR"/>
        </w:rPr>
        <w:tab/>
        <w:t xml:space="preserve">CIDI/INF. </w:t>
      </w:r>
      <w:r w:rsidR="00A64144" w:rsidRPr="00DC45E2">
        <w:rPr>
          <w:sz w:val="22"/>
          <w:lang w:val="pt-BR"/>
        </w:rPr>
        <w:t>571</w:t>
      </w:r>
      <w:r w:rsidR="00E77C6D" w:rsidRPr="00DC45E2">
        <w:rPr>
          <w:sz w:val="22"/>
          <w:szCs w:val="22"/>
          <w:lang w:val="pt-BR"/>
        </w:rPr>
        <w:t>/23</w:t>
      </w:r>
    </w:p>
    <w:p w14:paraId="1D5487B6" w14:textId="2999011C" w:rsidR="001226D6" w:rsidRPr="00F2319C" w:rsidRDefault="00D23723" w:rsidP="00F2319C">
      <w:pPr>
        <w:pBdr>
          <w:bottom w:val="single" w:sz="12" w:space="1" w:color="auto"/>
        </w:pBdr>
        <w:tabs>
          <w:tab w:val="left" w:pos="7200"/>
        </w:tabs>
        <w:ind w:right="-389"/>
        <w:rPr>
          <w:sz w:val="22"/>
          <w:szCs w:val="22"/>
          <w:lang w:val="es-ES"/>
        </w:rPr>
      </w:pPr>
      <w:r w:rsidRPr="00DC45E2">
        <w:rPr>
          <w:sz w:val="22"/>
          <w:szCs w:val="22"/>
          <w:lang w:val="pt-BR"/>
        </w:rPr>
        <w:tab/>
      </w:r>
      <w:r w:rsidR="00A14099">
        <w:rPr>
          <w:sz w:val="22"/>
          <w:szCs w:val="22"/>
          <w:lang w:val="es-ES"/>
        </w:rPr>
        <w:t xml:space="preserve">24 </w:t>
      </w:r>
      <w:r w:rsidR="00250AA2" w:rsidRPr="00F2319C">
        <w:rPr>
          <w:sz w:val="22"/>
          <w:szCs w:val="22"/>
          <w:lang w:val="es-ES"/>
        </w:rPr>
        <w:t>octubre</w:t>
      </w:r>
      <w:r w:rsidR="00C36F27" w:rsidRPr="00F2319C">
        <w:rPr>
          <w:sz w:val="22"/>
          <w:szCs w:val="22"/>
          <w:lang w:val="es-ES"/>
        </w:rPr>
        <w:t xml:space="preserve"> </w:t>
      </w:r>
      <w:r w:rsidR="00AF1ED0" w:rsidRPr="00F2319C">
        <w:rPr>
          <w:sz w:val="22"/>
          <w:szCs w:val="22"/>
          <w:lang w:val="es-ES"/>
        </w:rPr>
        <w:t>2</w:t>
      </w:r>
      <w:r w:rsidR="00E77C6D" w:rsidRPr="00F2319C">
        <w:rPr>
          <w:sz w:val="22"/>
          <w:szCs w:val="22"/>
          <w:lang w:val="es-ES"/>
        </w:rPr>
        <w:t>023</w:t>
      </w:r>
    </w:p>
    <w:p w14:paraId="4EE7087D" w14:textId="0874D5FB" w:rsidR="001226D6" w:rsidRPr="00F2319C" w:rsidRDefault="00D23723" w:rsidP="00F2319C">
      <w:pPr>
        <w:pBdr>
          <w:bottom w:val="single" w:sz="12" w:space="1" w:color="auto"/>
        </w:pBdr>
        <w:tabs>
          <w:tab w:val="left" w:pos="7200"/>
        </w:tabs>
        <w:ind w:right="-389"/>
        <w:rPr>
          <w:sz w:val="22"/>
          <w:szCs w:val="22"/>
          <w:lang w:val="es-ES"/>
        </w:rPr>
      </w:pPr>
      <w:r w:rsidRPr="00F2319C">
        <w:rPr>
          <w:sz w:val="22"/>
          <w:szCs w:val="22"/>
          <w:lang w:val="es-ES"/>
        </w:rPr>
        <w:tab/>
        <w:t xml:space="preserve">Original: </w:t>
      </w:r>
      <w:r w:rsidR="00477308" w:rsidRPr="00F2319C">
        <w:rPr>
          <w:sz w:val="22"/>
          <w:szCs w:val="22"/>
          <w:lang w:val="es-ES"/>
        </w:rPr>
        <w:t>i</w:t>
      </w:r>
      <w:r w:rsidR="000B6478" w:rsidRPr="00F2319C">
        <w:rPr>
          <w:sz w:val="22"/>
          <w:szCs w:val="22"/>
          <w:lang w:val="es-ES"/>
        </w:rPr>
        <w:t>nglés</w:t>
      </w:r>
    </w:p>
    <w:p w14:paraId="2BD87375" w14:textId="77777777" w:rsidR="00921E9E" w:rsidRPr="00F2319C" w:rsidRDefault="00921E9E" w:rsidP="00F2319C">
      <w:pPr>
        <w:pBdr>
          <w:bottom w:val="single" w:sz="12" w:space="1" w:color="auto"/>
        </w:pBdr>
        <w:tabs>
          <w:tab w:val="left" w:pos="7200"/>
        </w:tabs>
        <w:ind w:right="-389"/>
        <w:rPr>
          <w:sz w:val="22"/>
          <w:szCs w:val="22"/>
          <w:lang w:val="es-ES"/>
        </w:rPr>
      </w:pPr>
    </w:p>
    <w:p w14:paraId="2BD87376" w14:textId="77777777" w:rsidR="00722693" w:rsidRPr="00F2319C" w:rsidRDefault="00722693" w:rsidP="00F2319C">
      <w:pPr>
        <w:tabs>
          <w:tab w:val="left" w:pos="7200"/>
        </w:tabs>
        <w:ind w:right="-1080"/>
        <w:rPr>
          <w:sz w:val="22"/>
          <w:szCs w:val="22"/>
          <w:lang w:val="es-ES"/>
        </w:rPr>
      </w:pPr>
    </w:p>
    <w:p w14:paraId="2BD87378" w14:textId="77777777" w:rsidR="00723DE2" w:rsidRPr="00F2319C" w:rsidRDefault="00723DE2" w:rsidP="00F2319C">
      <w:pPr>
        <w:rPr>
          <w:rFonts w:eastAsia="Calibri"/>
          <w:sz w:val="22"/>
          <w:szCs w:val="22"/>
          <w:lang w:val="es-ES"/>
        </w:rPr>
      </w:pPr>
    </w:p>
    <w:p w14:paraId="7311CE6F" w14:textId="77777777" w:rsidR="00335A56" w:rsidRPr="00F2319C" w:rsidRDefault="00335A56" w:rsidP="00F2319C">
      <w:pPr>
        <w:jc w:val="center"/>
        <w:rPr>
          <w:rFonts w:eastAsia="Calibri"/>
          <w:sz w:val="22"/>
          <w:szCs w:val="22"/>
          <w:lang w:val="es-ES"/>
        </w:rPr>
      </w:pPr>
      <w:r w:rsidRPr="00F2319C">
        <w:rPr>
          <w:rFonts w:eastAsia="Calibri"/>
          <w:sz w:val="22"/>
          <w:szCs w:val="22"/>
          <w:lang w:val="es-ES"/>
        </w:rPr>
        <w:t xml:space="preserve">NOTA CONCEPTUAL </w:t>
      </w:r>
    </w:p>
    <w:p w14:paraId="0D297BAD" w14:textId="77777777" w:rsidR="00335A56" w:rsidRPr="00F2319C" w:rsidRDefault="00335A56" w:rsidP="00F2319C">
      <w:pPr>
        <w:jc w:val="center"/>
        <w:rPr>
          <w:rFonts w:eastAsia="Calibri"/>
          <w:sz w:val="22"/>
          <w:szCs w:val="22"/>
          <w:lang w:val="es-ES"/>
        </w:rPr>
      </w:pPr>
    </w:p>
    <w:p w14:paraId="0B7A5F5D" w14:textId="77777777" w:rsidR="00335A56" w:rsidRPr="00F2319C" w:rsidRDefault="00335A56" w:rsidP="00F2319C">
      <w:pPr>
        <w:jc w:val="center"/>
        <w:rPr>
          <w:rFonts w:eastAsia="Calibri"/>
          <w:sz w:val="22"/>
          <w:szCs w:val="22"/>
          <w:lang w:val="es-ES"/>
        </w:rPr>
      </w:pPr>
      <w:r w:rsidRPr="00F2319C">
        <w:rPr>
          <w:rFonts w:eastAsia="Calibri"/>
          <w:sz w:val="22"/>
          <w:szCs w:val="22"/>
          <w:lang w:val="es-ES"/>
        </w:rPr>
        <w:t xml:space="preserve">REUNIÓN ORDINARIA DEL </w:t>
      </w:r>
    </w:p>
    <w:p w14:paraId="70A91925" w14:textId="77777777" w:rsidR="00335A56" w:rsidRPr="00F2319C" w:rsidRDefault="00335A56" w:rsidP="00F2319C">
      <w:pPr>
        <w:jc w:val="center"/>
        <w:rPr>
          <w:rFonts w:eastAsia="Calibri"/>
          <w:caps/>
          <w:sz w:val="22"/>
          <w:szCs w:val="22"/>
          <w:lang w:val="es-ES"/>
        </w:rPr>
      </w:pPr>
      <w:r w:rsidRPr="00F2319C">
        <w:rPr>
          <w:rFonts w:eastAsia="Calibri"/>
          <w:sz w:val="22"/>
          <w:szCs w:val="22"/>
          <w:lang w:val="es-ES"/>
        </w:rPr>
        <w:t>CONSEJO INTERAMERICANO PARA EL DESARROLLO INTEGRAL (CIDI)</w:t>
      </w:r>
      <w:r w:rsidRPr="00F2319C">
        <w:rPr>
          <w:caps/>
          <w:sz w:val="22"/>
          <w:szCs w:val="22"/>
          <w:lang w:val="es-ES"/>
        </w:rPr>
        <w:t xml:space="preserve"> </w:t>
      </w:r>
    </w:p>
    <w:p w14:paraId="2236A0A5" w14:textId="77777777" w:rsidR="00335A56" w:rsidRPr="00F2319C" w:rsidRDefault="00335A56" w:rsidP="00F2319C">
      <w:pPr>
        <w:jc w:val="center"/>
        <w:rPr>
          <w:caps/>
          <w:sz w:val="22"/>
          <w:szCs w:val="22"/>
          <w:lang w:val="es-ES"/>
        </w:rPr>
      </w:pPr>
      <w:r w:rsidRPr="00F2319C">
        <w:rPr>
          <w:caps/>
          <w:sz w:val="22"/>
          <w:szCs w:val="22"/>
          <w:lang w:val="es-ES"/>
        </w:rPr>
        <w:t>31 de OCTUBRE de 2023</w:t>
      </w:r>
    </w:p>
    <w:p w14:paraId="1B705F4C" w14:textId="77777777" w:rsidR="00335A56" w:rsidRPr="00F2319C" w:rsidRDefault="00335A56" w:rsidP="00F2319C">
      <w:pPr>
        <w:jc w:val="center"/>
        <w:rPr>
          <w:rFonts w:eastAsia="Calibri"/>
          <w:sz w:val="22"/>
          <w:szCs w:val="22"/>
          <w:lang w:val="es-ES"/>
        </w:rPr>
      </w:pPr>
    </w:p>
    <w:p w14:paraId="4104B0B7" w14:textId="77777777" w:rsidR="00335A56" w:rsidRPr="00F2319C" w:rsidRDefault="00335A56" w:rsidP="00F2319C">
      <w:pPr>
        <w:ind w:left="166"/>
        <w:jc w:val="center"/>
        <w:rPr>
          <w:b/>
          <w:spacing w:val="-1"/>
          <w:sz w:val="22"/>
          <w:szCs w:val="22"/>
          <w:lang w:val="es-ES"/>
        </w:rPr>
      </w:pPr>
    </w:p>
    <w:p w14:paraId="6BFC289B" w14:textId="77777777" w:rsidR="00335A56" w:rsidRPr="00F2319C" w:rsidRDefault="00335A56" w:rsidP="00F2319C">
      <w:pPr>
        <w:jc w:val="center"/>
        <w:rPr>
          <w:b/>
          <w:sz w:val="22"/>
          <w:szCs w:val="22"/>
          <w:lang w:val="es-ES"/>
        </w:rPr>
      </w:pPr>
      <w:r w:rsidRPr="00F2319C">
        <w:rPr>
          <w:b/>
          <w:sz w:val="22"/>
          <w:szCs w:val="22"/>
          <w:lang w:val="es-ES"/>
        </w:rPr>
        <w:t>TEMA: ACELERAR LA TRANSICIÓN ENERGÉTICA LIMPIA EN LAS AMÉRICAS</w:t>
      </w:r>
    </w:p>
    <w:p w14:paraId="43AEB121" w14:textId="77777777" w:rsidR="00335A56" w:rsidRPr="00F2319C" w:rsidRDefault="00335A56" w:rsidP="00F2319C">
      <w:pPr>
        <w:jc w:val="center"/>
        <w:rPr>
          <w:sz w:val="22"/>
          <w:szCs w:val="22"/>
          <w:lang w:val="es-ES"/>
        </w:rPr>
      </w:pPr>
    </w:p>
    <w:p w14:paraId="1FCE0B58" w14:textId="77777777" w:rsidR="00335A56" w:rsidRPr="00F2319C" w:rsidRDefault="00335A56" w:rsidP="00F2319C">
      <w:pPr>
        <w:tabs>
          <w:tab w:val="left" w:pos="720"/>
          <w:tab w:val="left" w:pos="1440"/>
          <w:tab w:val="left" w:pos="2160"/>
        </w:tabs>
        <w:jc w:val="both"/>
        <w:rPr>
          <w:sz w:val="22"/>
          <w:szCs w:val="22"/>
          <w:lang w:val="es-ES"/>
        </w:rPr>
      </w:pPr>
    </w:p>
    <w:p w14:paraId="3E95E5F7" w14:textId="77777777" w:rsidR="00335A56" w:rsidRPr="00F2319C" w:rsidRDefault="00335A56" w:rsidP="00F2319C">
      <w:pPr>
        <w:numPr>
          <w:ilvl w:val="0"/>
          <w:numId w:val="19"/>
        </w:numPr>
        <w:tabs>
          <w:tab w:val="left" w:pos="720"/>
          <w:tab w:val="left" w:pos="1440"/>
          <w:tab w:val="left" w:pos="2160"/>
        </w:tabs>
        <w:ind w:left="0" w:firstLine="0"/>
        <w:rPr>
          <w:b/>
          <w:sz w:val="22"/>
          <w:szCs w:val="22"/>
        </w:rPr>
      </w:pPr>
      <w:proofErr w:type="spellStart"/>
      <w:r w:rsidRPr="00F2319C">
        <w:rPr>
          <w:b/>
          <w:sz w:val="22"/>
          <w:szCs w:val="22"/>
        </w:rPr>
        <w:t>Antecedentes</w:t>
      </w:r>
      <w:proofErr w:type="spellEnd"/>
      <w:r w:rsidRPr="00F2319C">
        <w:rPr>
          <w:b/>
          <w:sz w:val="22"/>
          <w:szCs w:val="22"/>
        </w:rPr>
        <w:t>/</w:t>
      </w:r>
      <w:proofErr w:type="spellStart"/>
      <w:r w:rsidRPr="00F2319C">
        <w:rPr>
          <w:b/>
          <w:sz w:val="22"/>
          <w:szCs w:val="22"/>
        </w:rPr>
        <w:t>Justificación</w:t>
      </w:r>
      <w:proofErr w:type="spellEnd"/>
      <w:r w:rsidRPr="00F2319C">
        <w:rPr>
          <w:b/>
          <w:sz w:val="22"/>
          <w:szCs w:val="22"/>
        </w:rPr>
        <w:t xml:space="preserve"> </w:t>
      </w:r>
    </w:p>
    <w:p w14:paraId="17A41B03" w14:textId="77777777" w:rsidR="00335A56" w:rsidRPr="00F2319C" w:rsidRDefault="00335A56" w:rsidP="00F2319C">
      <w:pPr>
        <w:tabs>
          <w:tab w:val="left" w:pos="720"/>
          <w:tab w:val="left" w:pos="1440"/>
          <w:tab w:val="left" w:pos="2160"/>
        </w:tabs>
        <w:rPr>
          <w:b/>
          <w:sz w:val="22"/>
          <w:szCs w:val="22"/>
        </w:rPr>
      </w:pPr>
    </w:p>
    <w:p w14:paraId="0DACF33F" w14:textId="77777777" w:rsidR="00335A56" w:rsidRPr="00F2319C" w:rsidRDefault="00335A56" w:rsidP="00F2319C">
      <w:pPr>
        <w:tabs>
          <w:tab w:val="left" w:pos="720"/>
          <w:tab w:val="left" w:pos="1440"/>
          <w:tab w:val="left" w:pos="2160"/>
        </w:tabs>
        <w:ind w:firstLine="720"/>
        <w:jc w:val="both"/>
        <w:rPr>
          <w:sz w:val="22"/>
          <w:szCs w:val="22"/>
          <w:lang w:val="es-ES"/>
        </w:rPr>
      </w:pPr>
      <w:r w:rsidRPr="00F2319C">
        <w:rPr>
          <w:sz w:val="22"/>
          <w:szCs w:val="22"/>
          <w:lang w:val="es-ES"/>
        </w:rPr>
        <w:t>Las Américas, como región diversa e interconectada, está acercándose a una verdadera revolución energética. Con sus abundantes fuentes de energía renovable, desde las plantas solares del desierto de Atacama en Chile, las granjas eólicas de Texas y las centrales geotérmicas de Costa Rica, hasta el biocombustible en Brasil y los enormes recursos hidroeléctricos de todo el hemisferio, los países de las Américas tienen el potencial de convertirse en líderes mundiales de la transición energética limpia. Según el Banco Interamericano de Desarrollo (BID), la participación de las fuentes renovables en la matriz eléctrica de la región alcanza el 61%, una cifra superior a la de cualquier otra región que prácticamente duplica el promedio mundial, que es del 29%. Sin embargo, liderar la transición energética limpia a nivel mundial exige esfuerzos concertados y coordinados.</w:t>
      </w:r>
    </w:p>
    <w:p w14:paraId="3EFC715B" w14:textId="77777777" w:rsidR="00335A56" w:rsidRPr="00F2319C" w:rsidRDefault="00335A56" w:rsidP="00F2319C">
      <w:pPr>
        <w:tabs>
          <w:tab w:val="left" w:pos="720"/>
          <w:tab w:val="left" w:pos="1440"/>
          <w:tab w:val="left" w:pos="2160"/>
        </w:tabs>
        <w:ind w:firstLine="720"/>
        <w:jc w:val="both"/>
        <w:rPr>
          <w:sz w:val="22"/>
          <w:szCs w:val="22"/>
          <w:lang w:val="es-ES"/>
        </w:rPr>
      </w:pPr>
    </w:p>
    <w:p w14:paraId="7595961C" w14:textId="77777777" w:rsidR="00335A56" w:rsidRPr="00F2319C" w:rsidRDefault="00335A56" w:rsidP="00F2319C">
      <w:pPr>
        <w:tabs>
          <w:tab w:val="left" w:pos="720"/>
          <w:tab w:val="left" w:pos="1440"/>
          <w:tab w:val="left" w:pos="2160"/>
        </w:tabs>
        <w:ind w:firstLine="720"/>
        <w:jc w:val="both"/>
        <w:rPr>
          <w:sz w:val="22"/>
          <w:szCs w:val="22"/>
          <w:lang w:val="es-ES"/>
        </w:rPr>
      </w:pPr>
      <w:r w:rsidRPr="00F2319C">
        <w:rPr>
          <w:sz w:val="22"/>
          <w:szCs w:val="22"/>
          <w:lang w:val="es-ES"/>
        </w:rPr>
        <w:t>La transición energética limpia representa más que un desafío técnico: es una oportunidad transformadora. Al orientarse hacia la energía limpia, los países del hemisferio occidental tienen el potencial de mitigar los peores impactos del cambio climático y, simultáneamente, catalizar el crecimiento económico. Por ejemplo, invertir en energía renovable puede generar hasta tres veces más empleos que los combustibles fósiles. Asimismo, la transición promete ofrecer resultados que mejoren la salud pública al reducir la contaminación del aire e impulsar innovaciones que realzan la competitividad global. Mediante una combinación adecuada de políticas públicas e inversiones privadas, los países de las Américas pueden liderar un futuro energético sostenible, próspero y equitativo para todos sus pueblos.</w:t>
      </w:r>
    </w:p>
    <w:p w14:paraId="06AC9926" w14:textId="77777777" w:rsidR="00335A56" w:rsidRPr="00F2319C" w:rsidRDefault="00335A56" w:rsidP="00F2319C">
      <w:pPr>
        <w:tabs>
          <w:tab w:val="left" w:pos="720"/>
          <w:tab w:val="left" w:pos="1440"/>
          <w:tab w:val="left" w:pos="2160"/>
        </w:tabs>
        <w:ind w:firstLine="720"/>
        <w:jc w:val="both"/>
        <w:rPr>
          <w:sz w:val="22"/>
          <w:szCs w:val="22"/>
          <w:lang w:val="es-ES"/>
        </w:rPr>
      </w:pPr>
    </w:p>
    <w:p w14:paraId="267C0CB7" w14:textId="38B6EDC6" w:rsidR="00335A56" w:rsidRPr="00F2319C" w:rsidRDefault="00335A56" w:rsidP="00F2319C">
      <w:pPr>
        <w:tabs>
          <w:tab w:val="left" w:pos="720"/>
          <w:tab w:val="left" w:pos="1440"/>
          <w:tab w:val="left" w:pos="2160"/>
        </w:tabs>
        <w:ind w:firstLine="720"/>
        <w:jc w:val="both"/>
        <w:rPr>
          <w:sz w:val="22"/>
          <w:szCs w:val="22"/>
          <w:lang w:val="es-ES"/>
        </w:rPr>
      </w:pPr>
      <w:r w:rsidRPr="00F2319C">
        <w:rPr>
          <w:sz w:val="22"/>
          <w:szCs w:val="22"/>
          <w:lang w:val="es-ES"/>
        </w:rPr>
        <w:t xml:space="preserve">Los efectos del cambio climático son evidentes. Se estima que, para 2050, los costos acumulados del cambio climático en América Latina y el Caribe podrían superar los US$100 mil millones por año. Esto subraya la creciente frecuencia y severidad de los fenómenos meteorológicos, el aumento del nivel del mar y los efectos adversos en la agricultura que se intensifican en las Américas. La transición a la energía limpia, por lo tanto, no es solo una cuestión de gestión ambiental, es un imperativo existencial. A medida que los mercados globales se alejan gradualmente de los combustibles fósiles, los países que queden rezagados en la transición a la energía limpia enfrentarán consecuencias económicas negativas. Estas incluyen la reducción de la competitividad, activos de combustibles fósiles </w:t>
      </w:r>
      <w:r w:rsidRPr="00F2319C">
        <w:rPr>
          <w:sz w:val="22"/>
          <w:szCs w:val="22"/>
          <w:lang w:val="es-ES"/>
        </w:rPr>
        <w:lastRenderedPageBreak/>
        <w:t xml:space="preserve">varados y oportunidades perdidas en una economía verde emergente que, para 2030, podría representar un mercado de más de </w:t>
      </w:r>
      <w:r w:rsidR="008F1A3B" w:rsidRPr="00F2319C">
        <w:rPr>
          <w:sz w:val="22"/>
          <w:szCs w:val="22"/>
          <w:lang w:val="es-ES"/>
        </w:rPr>
        <w:t>US</w:t>
      </w:r>
      <w:r w:rsidRPr="00F2319C">
        <w:rPr>
          <w:sz w:val="22"/>
          <w:szCs w:val="22"/>
          <w:lang w:val="es-ES"/>
        </w:rPr>
        <w:t>$10 billones a nivel global.</w:t>
      </w:r>
    </w:p>
    <w:p w14:paraId="00008E05" w14:textId="77777777" w:rsidR="00335A56" w:rsidRPr="00F2319C" w:rsidRDefault="00335A56" w:rsidP="00F2319C">
      <w:pPr>
        <w:tabs>
          <w:tab w:val="left" w:pos="720"/>
          <w:tab w:val="left" w:pos="1440"/>
          <w:tab w:val="left" w:pos="2160"/>
        </w:tabs>
        <w:ind w:firstLine="720"/>
        <w:jc w:val="both"/>
        <w:rPr>
          <w:sz w:val="22"/>
          <w:szCs w:val="22"/>
          <w:lang w:val="es-ES"/>
        </w:rPr>
      </w:pPr>
    </w:p>
    <w:p w14:paraId="3054F882" w14:textId="77777777" w:rsidR="00335A56" w:rsidRPr="00F2319C" w:rsidRDefault="00335A56" w:rsidP="00F2319C">
      <w:pPr>
        <w:tabs>
          <w:tab w:val="left" w:pos="720"/>
          <w:tab w:val="left" w:pos="1440"/>
          <w:tab w:val="left" w:pos="2160"/>
        </w:tabs>
        <w:ind w:firstLine="720"/>
        <w:jc w:val="both"/>
        <w:rPr>
          <w:sz w:val="22"/>
          <w:szCs w:val="22"/>
          <w:lang w:val="es-ES"/>
        </w:rPr>
      </w:pPr>
      <w:r w:rsidRPr="00F2319C">
        <w:rPr>
          <w:sz w:val="22"/>
          <w:szCs w:val="22"/>
          <w:lang w:val="es-ES"/>
        </w:rPr>
        <w:t>La cooperación hemisférica es esencial en un contexto en el que los estados miembros se están esforzando por acelerar la transición energética limpia, sostenible, renovable y justa en las Américas.</w:t>
      </w:r>
    </w:p>
    <w:p w14:paraId="46CE70E3" w14:textId="77777777" w:rsidR="00335A56" w:rsidRPr="00F2319C" w:rsidRDefault="00335A56" w:rsidP="00F2319C">
      <w:pPr>
        <w:tabs>
          <w:tab w:val="left" w:pos="720"/>
          <w:tab w:val="left" w:pos="1440"/>
          <w:tab w:val="left" w:pos="2160"/>
        </w:tabs>
        <w:ind w:firstLine="720"/>
        <w:jc w:val="both"/>
        <w:rPr>
          <w:sz w:val="22"/>
          <w:szCs w:val="22"/>
          <w:lang w:val="es-ES"/>
        </w:rPr>
      </w:pPr>
    </w:p>
    <w:p w14:paraId="78CD9E09" w14:textId="43E0E428" w:rsidR="00335A56" w:rsidRPr="00F2319C" w:rsidRDefault="00F2319C" w:rsidP="00F2319C">
      <w:pPr>
        <w:tabs>
          <w:tab w:val="left" w:pos="720"/>
          <w:tab w:val="left" w:pos="2160"/>
        </w:tabs>
        <w:jc w:val="both"/>
        <w:rPr>
          <w:b/>
          <w:bCs/>
          <w:sz w:val="22"/>
          <w:szCs w:val="22"/>
          <w:lang w:val="es-ES"/>
        </w:rPr>
      </w:pPr>
      <w:r>
        <w:rPr>
          <w:b/>
          <w:bCs/>
          <w:sz w:val="22"/>
          <w:szCs w:val="22"/>
          <w:lang w:val="es-ES"/>
        </w:rPr>
        <w:tab/>
      </w:r>
      <w:r w:rsidR="00335A56" w:rsidRPr="00F2319C">
        <w:rPr>
          <w:b/>
          <w:bCs/>
          <w:sz w:val="22"/>
          <w:szCs w:val="22"/>
          <w:lang w:val="es-ES"/>
        </w:rPr>
        <w:t>Un enfoque colaborativo para la transición a la energía limpia</w:t>
      </w:r>
    </w:p>
    <w:p w14:paraId="0334BCDA" w14:textId="77777777" w:rsidR="00335A56" w:rsidRPr="00F2319C" w:rsidRDefault="00335A56" w:rsidP="00F2319C">
      <w:pPr>
        <w:pStyle w:val="ListParagraph0"/>
        <w:tabs>
          <w:tab w:val="left" w:pos="720"/>
          <w:tab w:val="left" w:pos="2160"/>
        </w:tabs>
        <w:jc w:val="both"/>
        <w:rPr>
          <w:sz w:val="22"/>
          <w:szCs w:val="22"/>
          <w:lang w:val="es-ES"/>
        </w:rPr>
      </w:pPr>
    </w:p>
    <w:p w14:paraId="193DBB28" w14:textId="77777777" w:rsidR="00335A56" w:rsidRPr="00F2319C" w:rsidRDefault="00335A56" w:rsidP="00F2319C">
      <w:pPr>
        <w:tabs>
          <w:tab w:val="left" w:pos="2160"/>
        </w:tabs>
        <w:ind w:firstLine="720"/>
        <w:jc w:val="both"/>
        <w:rPr>
          <w:sz w:val="22"/>
          <w:szCs w:val="22"/>
          <w:lang w:val="es-ES"/>
        </w:rPr>
      </w:pPr>
      <w:r w:rsidRPr="00F2319C">
        <w:rPr>
          <w:sz w:val="22"/>
          <w:szCs w:val="22"/>
          <w:lang w:val="es-ES"/>
        </w:rPr>
        <w:t>Si bien cada nación en las Américas presenta singulares desafíos y oportunidades energéticas, las labores mancomunadas ofrecen una clara ventaja. La Alianza de Energía y Clima de las Américas (ECPA, por su acrónimo en inglés) está idealmente posicionada para facilitar esta colaboración, cerrando brechas y catalizando esfuerzos conjuntos. A través de la colaboración en la alineación de políticas, el conocimiento compartido, la financiación, el empoderamiento y un foro en común, los países de las Américas pueden acelerar la transición energética limpia de una manera que beneficie a todos.</w:t>
      </w:r>
    </w:p>
    <w:p w14:paraId="7041BDB4" w14:textId="77777777" w:rsidR="00335A56" w:rsidRPr="00F2319C" w:rsidRDefault="00335A56" w:rsidP="00F2319C">
      <w:pPr>
        <w:tabs>
          <w:tab w:val="left" w:pos="2160"/>
        </w:tabs>
        <w:ind w:firstLine="720"/>
        <w:jc w:val="both"/>
        <w:rPr>
          <w:sz w:val="22"/>
          <w:szCs w:val="22"/>
          <w:lang w:val="es-ES"/>
        </w:rPr>
      </w:pPr>
    </w:p>
    <w:p w14:paraId="2517A0DF" w14:textId="77777777" w:rsidR="00335A56" w:rsidRPr="00F2319C" w:rsidRDefault="00335A56" w:rsidP="00F2319C">
      <w:pPr>
        <w:tabs>
          <w:tab w:val="left" w:pos="2160"/>
        </w:tabs>
        <w:ind w:firstLine="720"/>
        <w:jc w:val="both"/>
        <w:rPr>
          <w:sz w:val="22"/>
          <w:szCs w:val="22"/>
          <w:lang w:val="es-ES"/>
        </w:rPr>
      </w:pPr>
      <w:r w:rsidRPr="00F2319C">
        <w:rPr>
          <w:b/>
          <w:bCs/>
          <w:sz w:val="22"/>
          <w:szCs w:val="22"/>
          <w:lang w:val="es-ES"/>
        </w:rPr>
        <w:t>Alineación de políticas.</w:t>
      </w:r>
      <w:r w:rsidRPr="00F2319C">
        <w:rPr>
          <w:sz w:val="22"/>
          <w:szCs w:val="22"/>
          <w:lang w:val="es-ES"/>
        </w:rPr>
        <w:t xml:space="preserve"> Los sistemas energéticos no están aislados. Una decisión en una nación puede tener consecuencias para los países vecinos. Al reconocer esta interdependencia, es esencial que las naciones obren de manera colaborativa. Al alinear las políticas energéticas, los países pueden crear un enfoque sinérgico, maximizando los beneficios regionales y minimizando posibles conflictos o redundancias.</w:t>
      </w:r>
    </w:p>
    <w:p w14:paraId="168355DE" w14:textId="77777777" w:rsidR="00335A56" w:rsidRPr="00F2319C" w:rsidRDefault="00335A56" w:rsidP="00F2319C">
      <w:pPr>
        <w:tabs>
          <w:tab w:val="left" w:pos="2160"/>
        </w:tabs>
        <w:ind w:firstLine="720"/>
        <w:jc w:val="both"/>
        <w:rPr>
          <w:sz w:val="22"/>
          <w:szCs w:val="22"/>
          <w:lang w:val="es-ES"/>
        </w:rPr>
      </w:pPr>
    </w:p>
    <w:p w14:paraId="4781EABB" w14:textId="77777777" w:rsidR="00335A56" w:rsidRPr="00F2319C" w:rsidRDefault="00335A56" w:rsidP="00F2319C">
      <w:pPr>
        <w:tabs>
          <w:tab w:val="left" w:pos="2160"/>
        </w:tabs>
        <w:ind w:firstLine="720"/>
        <w:jc w:val="both"/>
        <w:rPr>
          <w:sz w:val="22"/>
          <w:szCs w:val="22"/>
          <w:lang w:val="es-ES"/>
        </w:rPr>
      </w:pPr>
      <w:r w:rsidRPr="00F2319C">
        <w:rPr>
          <w:b/>
          <w:bCs/>
          <w:sz w:val="22"/>
          <w:szCs w:val="22"/>
          <w:lang w:val="es-ES"/>
        </w:rPr>
        <w:t>Conocimiento compartido.</w:t>
      </w:r>
      <w:r w:rsidRPr="00F2319C">
        <w:rPr>
          <w:sz w:val="22"/>
          <w:szCs w:val="22"/>
          <w:lang w:val="es-ES"/>
        </w:rPr>
        <w:t xml:space="preserve"> El intercambio de conocimientos y experiencias se torna invalorable, dadas las diversas etapas de la transición energética que los países de la región están transitando. La colaboración garantiza que estos conocimientos se difundan, adapten e implementen en todo el hemisferio occidental, acelerando el ritmo de la transición energética limpia para todos.</w:t>
      </w:r>
    </w:p>
    <w:p w14:paraId="5E16F3E7" w14:textId="77777777" w:rsidR="00335A56" w:rsidRPr="00F2319C" w:rsidRDefault="00335A56" w:rsidP="00F2319C">
      <w:pPr>
        <w:tabs>
          <w:tab w:val="left" w:pos="2160"/>
        </w:tabs>
        <w:ind w:firstLine="720"/>
        <w:jc w:val="both"/>
        <w:rPr>
          <w:sz w:val="22"/>
          <w:szCs w:val="22"/>
          <w:lang w:val="es-ES"/>
        </w:rPr>
      </w:pPr>
    </w:p>
    <w:p w14:paraId="3197DB4E" w14:textId="77777777" w:rsidR="00335A56" w:rsidRPr="00F2319C" w:rsidRDefault="00335A56" w:rsidP="00F2319C">
      <w:pPr>
        <w:tabs>
          <w:tab w:val="left" w:pos="2160"/>
        </w:tabs>
        <w:ind w:firstLine="720"/>
        <w:jc w:val="both"/>
        <w:rPr>
          <w:sz w:val="22"/>
          <w:szCs w:val="22"/>
          <w:lang w:val="es-ES"/>
        </w:rPr>
      </w:pPr>
      <w:r w:rsidRPr="00F2319C">
        <w:rPr>
          <w:b/>
          <w:bCs/>
          <w:sz w:val="22"/>
          <w:szCs w:val="22"/>
          <w:lang w:val="es-ES"/>
        </w:rPr>
        <w:t>Financiación.</w:t>
      </w:r>
      <w:r w:rsidRPr="00F2319C">
        <w:rPr>
          <w:sz w:val="22"/>
          <w:szCs w:val="22"/>
          <w:lang w:val="es-ES"/>
        </w:rPr>
        <w:t xml:space="preserve"> El cambio hacia fuentes de energía limpias requiere considerables montos de capital. Los países deben encontrar formas de agrupar recursos, atraer capital privado y aprovechar las alianzas público-privadas. Al colaborar en estos frentes, las naciones pueden asegurarse de contar con el respaldo financiero para hacer realidad sus aspiraciones relacionadas con la energía limpia.</w:t>
      </w:r>
    </w:p>
    <w:p w14:paraId="29C518E0" w14:textId="77777777" w:rsidR="00335A56" w:rsidRPr="00F2319C" w:rsidRDefault="00335A56" w:rsidP="00F2319C">
      <w:pPr>
        <w:tabs>
          <w:tab w:val="left" w:pos="2160"/>
        </w:tabs>
        <w:ind w:firstLine="720"/>
        <w:jc w:val="both"/>
        <w:rPr>
          <w:sz w:val="22"/>
          <w:szCs w:val="22"/>
          <w:lang w:val="es-ES"/>
        </w:rPr>
      </w:pPr>
    </w:p>
    <w:p w14:paraId="0958258A" w14:textId="7F8E68CC" w:rsidR="00335A56" w:rsidRPr="00F2319C" w:rsidRDefault="00335A56" w:rsidP="00F2319C">
      <w:pPr>
        <w:tabs>
          <w:tab w:val="left" w:pos="2160"/>
        </w:tabs>
        <w:ind w:firstLine="720"/>
        <w:jc w:val="both"/>
        <w:rPr>
          <w:sz w:val="22"/>
          <w:szCs w:val="22"/>
          <w:lang w:val="es-ES"/>
        </w:rPr>
      </w:pPr>
      <w:r w:rsidRPr="00F2319C">
        <w:rPr>
          <w:b/>
          <w:bCs/>
          <w:sz w:val="22"/>
          <w:szCs w:val="22"/>
          <w:lang w:val="es-ES"/>
        </w:rPr>
        <w:t>Empoderamiento.</w:t>
      </w:r>
      <w:r w:rsidRPr="00F2319C">
        <w:rPr>
          <w:sz w:val="22"/>
          <w:szCs w:val="22"/>
          <w:lang w:val="es-ES"/>
        </w:rPr>
        <w:t xml:space="preserve"> Una transición energética exitosa no requiere únicamente nuevas tecnologías, también exige contar con profesionales capacitados para ponerlas en uso.</w:t>
      </w:r>
      <w:r w:rsidR="00E3276D">
        <w:rPr>
          <w:sz w:val="22"/>
          <w:szCs w:val="22"/>
          <w:lang w:val="es-ES"/>
        </w:rPr>
        <w:t xml:space="preserve"> </w:t>
      </w:r>
      <w:r w:rsidRPr="00F2319C">
        <w:rPr>
          <w:sz w:val="22"/>
          <w:szCs w:val="22"/>
          <w:lang w:val="es-ES"/>
        </w:rPr>
        <w:t>En toda la región, hay una necesidad de enfocarse en programas de capacitación, certificaciones e iniciativas educativas que aseguren la existencia de una fuerza laboral preparada para los desafíos del sector energético del mañana.</w:t>
      </w:r>
    </w:p>
    <w:p w14:paraId="15A4E2A5" w14:textId="77777777" w:rsidR="00335A56" w:rsidRPr="00F2319C" w:rsidRDefault="00335A56" w:rsidP="00F2319C">
      <w:pPr>
        <w:tabs>
          <w:tab w:val="left" w:pos="2160"/>
        </w:tabs>
        <w:ind w:firstLine="720"/>
        <w:jc w:val="both"/>
        <w:rPr>
          <w:sz w:val="22"/>
          <w:szCs w:val="22"/>
          <w:lang w:val="es-ES"/>
        </w:rPr>
      </w:pPr>
    </w:p>
    <w:p w14:paraId="7197A0AA" w14:textId="77777777" w:rsidR="00335A56" w:rsidRPr="00F2319C" w:rsidRDefault="00335A56" w:rsidP="00F2319C">
      <w:pPr>
        <w:tabs>
          <w:tab w:val="left" w:pos="2160"/>
        </w:tabs>
        <w:ind w:firstLine="720"/>
        <w:jc w:val="both"/>
        <w:rPr>
          <w:sz w:val="22"/>
          <w:szCs w:val="22"/>
          <w:lang w:val="es-ES"/>
        </w:rPr>
      </w:pPr>
      <w:r w:rsidRPr="00F2319C">
        <w:rPr>
          <w:b/>
          <w:bCs/>
          <w:sz w:val="22"/>
          <w:szCs w:val="22"/>
          <w:lang w:val="es-ES"/>
        </w:rPr>
        <w:t>Foro en común.</w:t>
      </w:r>
      <w:r w:rsidRPr="00F2319C">
        <w:rPr>
          <w:sz w:val="22"/>
          <w:szCs w:val="22"/>
          <w:lang w:val="es-ES"/>
        </w:rPr>
        <w:t xml:space="preserve"> En el escenario global, los países de las Américas pueden tener un impacto más significativo si presentan un frente unido o una posición hemisférica unificada. A medida que continúan las deliberaciones internacionales sobre la energía limpia, los países de las Américas deben aspirar a desarrollar posiciones y estrategias comunes, amplificando su voz e influencia colectivas.</w:t>
      </w:r>
    </w:p>
    <w:p w14:paraId="60FB99F5" w14:textId="03069C31" w:rsidR="00F2319C" w:rsidRDefault="00F2319C" w:rsidP="00F2319C">
      <w:pPr>
        <w:tabs>
          <w:tab w:val="left" w:pos="2160"/>
        </w:tabs>
        <w:ind w:firstLine="720"/>
        <w:jc w:val="both"/>
        <w:rPr>
          <w:sz w:val="22"/>
          <w:szCs w:val="22"/>
          <w:lang w:val="es-ES"/>
        </w:rPr>
      </w:pPr>
      <w:r>
        <w:rPr>
          <w:sz w:val="22"/>
          <w:szCs w:val="22"/>
          <w:lang w:val="es-ES"/>
        </w:rPr>
        <w:br w:type="page"/>
      </w:r>
    </w:p>
    <w:p w14:paraId="6897ECE4" w14:textId="4BE2E16E" w:rsidR="00335A56" w:rsidRPr="00F2319C" w:rsidRDefault="00335A56" w:rsidP="00F2319C">
      <w:pPr>
        <w:numPr>
          <w:ilvl w:val="0"/>
          <w:numId w:val="19"/>
        </w:numPr>
        <w:tabs>
          <w:tab w:val="left" w:pos="720"/>
          <w:tab w:val="left" w:pos="1440"/>
          <w:tab w:val="left" w:pos="2160"/>
        </w:tabs>
        <w:ind w:left="0" w:firstLine="0"/>
        <w:jc w:val="both"/>
        <w:rPr>
          <w:b/>
          <w:sz w:val="22"/>
          <w:szCs w:val="22"/>
        </w:rPr>
      </w:pPr>
      <w:proofErr w:type="spellStart"/>
      <w:r w:rsidRPr="00F2319C">
        <w:rPr>
          <w:b/>
          <w:sz w:val="22"/>
          <w:szCs w:val="22"/>
        </w:rPr>
        <w:lastRenderedPageBreak/>
        <w:t>Objetivo</w:t>
      </w:r>
      <w:proofErr w:type="spellEnd"/>
      <w:r w:rsidRPr="00F2319C">
        <w:rPr>
          <w:b/>
          <w:sz w:val="22"/>
          <w:szCs w:val="22"/>
        </w:rPr>
        <w:t xml:space="preserve"> de la </w:t>
      </w:r>
      <w:proofErr w:type="spellStart"/>
      <w:r w:rsidR="00F2319C">
        <w:rPr>
          <w:b/>
          <w:sz w:val="22"/>
          <w:szCs w:val="22"/>
        </w:rPr>
        <w:t>reunión</w:t>
      </w:r>
      <w:proofErr w:type="spellEnd"/>
    </w:p>
    <w:p w14:paraId="2767D74C" w14:textId="77777777" w:rsidR="00335A56" w:rsidRPr="00F2319C" w:rsidRDefault="00335A56" w:rsidP="00F2319C">
      <w:pPr>
        <w:tabs>
          <w:tab w:val="left" w:pos="720"/>
          <w:tab w:val="left" w:pos="1440"/>
          <w:tab w:val="left" w:pos="2160"/>
        </w:tabs>
        <w:jc w:val="both"/>
        <w:rPr>
          <w:sz w:val="22"/>
          <w:szCs w:val="22"/>
        </w:rPr>
      </w:pPr>
    </w:p>
    <w:p w14:paraId="55BB4ABC" w14:textId="7445AB01" w:rsidR="00335A56" w:rsidRPr="00F2319C" w:rsidRDefault="00335A56" w:rsidP="00F2319C">
      <w:pPr>
        <w:pStyle w:val="ListParagraph0"/>
        <w:tabs>
          <w:tab w:val="left" w:pos="1440"/>
          <w:tab w:val="left" w:pos="2160"/>
        </w:tabs>
        <w:ind w:left="0" w:firstLine="720"/>
        <w:jc w:val="both"/>
        <w:rPr>
          <w:rFonts w:eastAsia="Times New Roman"/>
          <w:sz w:val="22"/>
          <w:szCs w:val="22"/>
          <w:lang w:val="es-ES"/>
        </w:rPr>
      </w:pPr>
      <w:r w:rsidRPr="00F2319C">
        <w:rPr>
          <w:rFonts w:eastAsia="Times New Roman"/>
          <w:sz w:val="22"/>
          <w:szCs w:val="22"/>
          <w:lang w:val="es-ES"/>
        </w:rPr>
        <w:t xml:space="preserve">Esta reunión regular ofrece una oportunidad para desarrollar acciones colaborativas para transiciones nacionales efectivas hacia la energía limpia en las Américas. Las preguntas para los </w:t>
      </w:r>
      <w:r w:rsidR="00E3276D">
        <w:rPr>
          <w:rFonts w:eastAsia="Times New Roman"/>
          <w:sz w:val="22"/>
          <w:szCs w:val="22"/>
          <w:lang w:val="es-ES"/>
        </w:rPr>
        <w:t>E</w:t>
      </w:r>
      <w:r w:rsidRPr="00F2319C">
        <w:rPr>
          <w:rFonts w:eastAsia="Times New Roman"/>
          <w:sz w:val="22"/>
          <w:szCs w:val="22"/>
          <w:lang w:val="es-ES"/>
        </w:rPr>
        <w:t xml:space="preserve">stados </w:t>
      </w:r>
      <w:r w:rsidR="00E3276D">
        <w:rPr>
          <w:rFonts w:eastAsia="Times New Roman"/>
          <w:sz w:val="22"/>
          <w:szCs w:val="22"/>
          <w:lang w:val="es-ES"/>
        </w:rPr>
        <w:t>M</w:t>
      </w:r>
      <w:r w:rsidRPr="00F2319C">
        <w:rPr>
          <w:rFonts w:eastAsia="Times New Roman"/>
          <w:sz w:val="22"/>
          <w:szCs w:val="22"/>
          <w:lang w:val="es-ES"/>
        </w:rPr>
        <w:t>iembros incluirán:</w:t>
      </w:r>
    </w:p>
    <w:p w14:paraId="0D2EFD1F" w14:textId="77777777" w:rsidR="00335A56" w:rsidRPr="00F2319C" w:rsidRDefault="00335A56" w:rsidP="00F2319C">
      <w:pPr>
        <w:pStyle w:val="ListParagraph0"/>
        <w:tabs>
          <w:tab w:val="left" w:pos="1440"/>
          <w:tab w:val="left" w:pos="2160"/>
        </w:tabs>
        <w:ind w:left="1080"/>
        <w:jc w:val="both"/>
        <w:rPr>
          <w:rFonts w:eastAsia="Times New Roman"/>
          <w:sz w:val="22"/>
          <w:szCs w:val="22"/>
          <w:lang w:val="es-ES"/>
        </w:rPr>
      </w:pPr>
    </w:p>
    <w:p w14:paraId="5EB1342D" w14:textId="788B9499" w:rsidR="00335A56" w:rsidRPr="00F2319C" w:rsidRDefault="00335A56" w:rsidP="009525F7">
      <w:pPr>
        <w:pStyle w:val="ListParagraph0"/>
        <w:numPr>
          <w:ilvl w:val="0"/>
          <w:numId w:val="35"/>
        </w:numPr>
        <w:tabs>
          <w:tab w:val="left" w:pos="1440"/>
          <w:tab w:val="left" w:pos="2160"/>
        </w:tabs>
        <w:ind w:left="1440" w:hanging="720"/>
        <w:jc w:val="both"/>
        <w:rPr>
          <w:rFonts w:eastAsia="Times New Roman"/>
          <w:sz w:val="22"/>
          <w:szCs w:val="22"/>
          <w:lang w:val="es-ES"/>
        </w:rPr>
      </w:pPr>
      <w:r w:rsidRPr="00F2319C">
        <w:rPr>
          <w:rFonts w:eastAsia="Times New Roman"/>
          <w:sz w:val="22"/>
          <w:szCs w:val="22"/>
          <w:lang w:val="es-ES"/>
        </w:rPr>
        <w:t xml:space="preserve">¿Cómo pueden los </w:t>
      </w:r>
      <w:r w:rsidR="00277903">
        <w:rPr>
          <w:rFonts w:eastAsia="Times New Roman"/>
          <w:sz w:val="22"/>
          <w:szCs w:val="22"/>
          <w:lang w:val="es-ES"/>
        </w:rPr>
        <w:t>E</w:t>
      </w:r>
      <w:r w:rsidRPr="00F2319C">
        <w:rPr>
          <w:rFonts w:eastAsia="Times New Roman"/>
          <w:sz w:val="22"/>
          <w:szCs w:val="22"/>
          <w:lang w:val="es-ES"/>
        </w:rPr>
        <w:t xml:space="preserve">stados </w:t>
      </w:r>
      <w:r w:rsidR="00277903">
        <w:rPr>
          <w:rFonts w:eastAsia="Times New Roman"/>
          <w:sz w:val="22"/>
          <w:szCs w:val="22"/>
          <w:lang w:val="es-ES"/>
        </w:rPr>
        <w:t>M</w:t>
      </w:r>
      <w:r w:rsidRPr="00F2319C">
        <w:rPr>
          <w:rFonts w:eastAsia="Times New Roman"/>
          <w:sz w:val="22"/>
          <w:szCs w:val="22"/>
          <w:lang w:val="es-ES"/>
        </w:rPr>
        <w:t>iembros alinear sus políticas energéticas de manera más efectiva para maximizar los beneficios regionales?</w:t>
      </w:r>
    </w:p>
    <w:p w14:paraId="4F2B78BD" w14:textId="77777777" w:rsidR="00335A56" w:rsidRPr="00F2319C" w:rsidRDefault="00335A56" w:rsidP="009525F7">
      <w:pPr>
        <w:pStyle w:val="ListParagraph0"/>
        <w:tabs>
          <w:tab w:val="left" w:pos="1440"/>
          <w:tab w:val="left" w:pos="2160"/>
        </w:tabs>
        <w:ind w:left="1440" w:hanging="720"/>
        <w:jc w:val="both"/>
        <w:rPr>
          <w:rFonts w:eastAsia="Times New Roman"/>
          <w:sz w:val="22"/>
          <w:szCs w:val="22"/>
          <w:lang w:val="es-ES"/>
        </w:rPr>
      </w:pPr>
    </w:p>
    <w:p w14:paraId="51C3D50F" w14:textId="4492EECF" w:rsidR="00335A56" w:rsidRPr="00F2319C" w:rsidRDefault="00335A56" w:rsidP="009525F7">
      <w:pPr>
        <w:pStyle w:val="ListParagraph0"/>
        <w:numPr>
          <w:ilvl w:val="0"/>
          <w:numId w:val="35"/>
        </w:numPr>
        <w:tabs>
          <w:tab w:val="left" w:pos="1440"/>
          <w:tab w:val="left" w:pos="2160"/>
        </w:tabs>
        <w:ind w:left="1440" w:hanging="720"/>
        <w:jc w:val="both"/>
        <w:rPr>
          <w:rFonts w:eastAsia="Times New Roman"/>
          <w:sz w:val="22"/>
          <w:szCs w:val="22"/>
          <w:lang w:val="es-ES"/>
        </w:rPr>
      </w:pPr>
      <w:r w:rsidRPr="00F2319C">
        <w:rPr>
          <w:rFonts w:eastAsia="Times New Roman"/>
          <w:sz w:val="22"/>
          <w:szCs w:val="22"/>
          <w:lang w:val="es-ES"/>
        </w:rPr>
        <w:t xml:space="preserve">Considerando las diferentes etapas de transición energética entre las naciones, ¿cómo pueden </w:t>
      </w:r>
      <w:r w:rsidR="00E3276D">
        <w:rPr>
          <w:rFonts w:eastAsia="Times New Roman"/>
          <w:sz w:val="22"/>
          <w:szCs w:val="22"/>
          <w:lang w:val="es-ES"/>
        </w:rPr>
        <w:t xml:space="preserve">la </w:t>
      </w:r>
      <w:r w:rsidRPr="00F2319C">
        <w:rPr>
          <w:rFonts w:eastAsia="Times New Roman"/>
          <w:sz w:val="22"/>
          <w:szCs w:val="22"/>
          <w:lang w:val="es-ES"/>
        </w:rPr>
        <w:t xml:space="preserve">ECPA, </w:t>
      </w:r>
      <w:r w:rsidR="00E3276D">
        <w:rPr>
          <w:rFonts w:eastAsia="Times New Roman"/>
          <w:sz w:val="22"/>
          <w:szCs w:val="22"/>
          <w:lang w:val="es-ES"/>
        </w:rPr>
        <w:t xml:space="preserve">la Iniciativa </w:t>
      </w:r>
      <w:r w:rsidR="00E3276D" w:rsidRPr="00F2319C">
        <w:rPr>
          <w:sz w:val="22"/>
          <w:szCs w:val="22"/>
          <w:lang w:val="es-ES"/>
        </w:rPr>
        <w:t>Energías Renovables en América Latina y el Carib</w:t>
      </w:r>
      <w:r w:rsidR="00E3276D">
        <w:rPr>
          <w:sz w:val="22"/>
          <w:szCs w:val="22"/>
          <w:lang w:val="es-ES"/>
        </w:rPr>
        <w:t>e (</w:t>
      </w:r>
      <w:r w:rsidRPr="00F2319C">
        <w:rPr>
          <w:rFonts w:eastAsia="Times New Roman"/>
          <w:sz w:val="22"/>
          <w:szCs w:val="22"/>
          <w:lang w:val="es-ES"/>
        </w:rPr>
        <w:t>RELAC</w:t>
      </w:r>
      <w:r w:rsidR="00E3276D">
        <w:rPr>
          <w:rFonts w:eastAsia="Times New Roman"/>
          <w:sz w:val="22"/>
          <w:szCs w:val="22"/>
          <w:lang w:val="es-ES"/>
        </w:rPr>
        <w:t xml:space="preserve">) </w:t>
      </w:r>
      <w:r w:rsidRPr="00F2319C">
        <w:rPr>
          <w:rFonts w:eastAsia="Times New Roman"/>
          <w:sz w:val="22"/>
          <w:szCs w:val="22"/>
          <w:lang w:val="es-ES"/>
        </w:rPr>
        <w:t>u otros mecanismos o plataformas facilitar el intercambio de mejores prácticas y lecciones aprendidas? ¿Cómo pueden los estados miembros colaborar de manera más efectiva en iniciativas de capacitación y fortalecimiento de capacidades?</w:t>
      </w:r>
    </w:p>
    <w:p w14:paraId="60D17797" w14:textId="77777777" w:rsidR="00335A56" w:rsidRPr="00F2319C" w:rsidRDefault="00335A56" w:rsidP="009525F7">
      <w:pPr>
        <w:pStyle w:val="ListParagraph0"/>
        <w:tabs>
          <w:tab w:val="left" w:pos="1440"/>
          <w:tab w:val="left" w:pos="2160"/>
        </w:tabs>
        <w:ind w:left="1440" w:hanging="720"/>
        <w:jc w:val="both"/>
        <w:rPr>
          <w:rFonts w:eastAsia="Times New Roman"/>
          <w:sz w:val="22"/>
          <w:szCs w:val="22"/>
          <w:lang w:val="es-ES"/>
        </w:rPr>
      </w:pPr>
    </w:p>
    <w:p w14:paraId="5EE5BF35" w14:textId="77777777" w:rsidR="00335A56" w:rsidRPr="00F2319C" w:rsidRDefault="00335A56" w:rsidP="009525F7">
      <w:pPr>
        <w:pStyle w:val="ListParagraph0"/>
        <w:numPr>
          <w:ilvl w:val="0"/>
          <w:numId w:val="35"/>
        </w:numPr>
        <w:tabs>
          <w:tab w:val="left" w:pos="1440"/>
          <w:tab w:val="left" w:pos="2160"/>
        </w:tabs>
        <w:ind w:left="1440" w:hanging="720"/>
        <w:jc w:val="both"/>
        <w:rPr>
          <w:rFonts w:eastAsia="Times New Roman"/>
          <w:sz w:val="22"/>
          <w:szCs w:val="22"/>
          <w:lang w:val="es-ES"/>
        </w:rPr>
      </w:pPr>
      <w:r w:rsidRPr="00F2319C">
        <w:rPr>
          <w:rFonts w:eastAsia="Times New Roman"/>
          <w:sz w:val="22"/>
          <w:szCs w:val="22"/>
          <w:lang w:val="es-ES"/>
        </w:rPr>
        <w:t>¿Qué modelos o mecanismos colaborativos se pueden establecer para agrupar recursos, atraer más capital privado y aprovechar las asociaciones público-privadas para proyectos de energía más limpia en toda la región?</w:t>
      </w:r>
    </w:p>
    <w:p w14:paraId="2EE54EEA" w14:textId="77777777" w:rsidR="00335A56" w:rsidRPr="00F2319C" w:rsidRDefault="00335A56" w:rsidP="00F2319C">
      <w:pPr>
        <w:pStyle w:val="ListParagraph0"/>
        <w:tabs>
          <w:tab w:val="left" w:pos="1080"/>
          <w:tab w:val="left" w:pos="2160"/>
        </w:tabs>
        <w:ind w:left="1080" w:hanging="360"/>
        <w:jc w:val="both"/>
        <w:rPr>
          <w:rFonts w:eastAsia="Times New Roman"/>
          <w:sz w:val="22"/>
          <w:szCs w:val="22"/>
          <w:lang w:val="es-ES"/>
        </w:rPr>
      </w:pPr>
    </w:p>
    <w:p w14:paraId="2E1127BF" w14:textId="137CDE81" w:rsidR="00335A56" w:rsidRPr="00F2319C" w:rsidRDefault="00335A56" w:rsidP="00A65825">
      <w:pPr>
        <w:pStyle w:val="ListParagraph0"/>
        <w:numPr>
          <w:ilvl w:val="0"/>
          <w:numId w:val="35"/>
        </w:numPr>
        <w:tabs>
          <w:tab w:val="left" w:pos="1440"/>
          <w:tab w:val="left" w:pos="2160"/>
        </w:tabs>
        <w:ind w:left="1440" w:hanging="720"/>
        <w:jc w:val="both"/>
        <w:rPr>
          <w:sz w:val="22"/>
          <w:szCs w:val="22"/>
          <w:lang w:val="es-ES"/>
        </w:rPr>
      </w:pPr>
      <w:r w:rsidRPr="00F2319C">
        <w:rPr>
          <w:rFonts w:eastAsia="Times New Roman"/>
          <w:sz w:val="22"/>
          <w:szCs w:val="22"/>
          <w:lang w:val="es-ES"/>
        </w:rPr>
        <w:t xml:space="preserve">¿Cómo puede </w:t>
      </w:r>
      <w:r w:rsidR="00E3276D">
        <w:rPr>
          <w:rFonts w:eastAsia="Times New Roman"/>
          <w:sz w:val="22"/>
          <w:szCs w:val="22"/>
          <w:lang w:val="es-ES"/>
        </w:rPr>
        <w:t xml:space="preserve">la </w:t>
      </w:r>
      <w:r w:rsidRPr="00F2319C">
        <w:rPr>
          <w:rFonts w:eastAsia="Times New Roman"/>
          <w:sz w:val="22"/>
          <w:szCs w:val="22"/>
          <w:lang w:val="es-ES"/>
        </w:rPr>
        <w:t>ECPA apoyar a los estados miembros en la creación de una postura regional coordinada y cohesiva sobre la energía limpia que amplifique la voz colectiva de sus miembros?</w:t>
      </w:r>
    </w:p>
    <w:p w14:paraId="4703DD74" w14:textId="77777777" w:rsidR="00D369D7" w:rsidRPr="00F2319C" w:rsidRDefault="00D369D7" w:rsidP="00F2319C">
      <w:pPr>
        <w:tabs>
          <w:tab w:val="left" w:pos="720"/>
          <w:tab w:val="left" w:pos="1440"/>
          <w:tab w:val="left" w:pos="2160"/>
        </w:tabs>
        <w:jc w:val="both"/>
        <w:rPr>
          <w:sz w:val="22"/>
          <w:szCs w:val="22"/>
          <w:lang w:val="es-ES"/>
        </w:rPr>
      </w:pPr>
    </w:p>
    <w:p w14:paraId="0F031AE2" w14:textId="77777777" w:rsidR="00335A56" w:rsidRPr="00F2319C" w:rsidRDefault="00335A56" w:rsidP="00F2319C">
      <w:pPr>
        <w:numPr>
          <w:ilvl w:val="0"/>
          <w:numId w:val="19"/>
        </w:numPr>
        <w:tabs>
          <w:tab w:val="left" w:pos="720"/>
          <w:tab w:val="left" w:pos="1440"/>
          <w:tab w:val="left" w:pos="2160"/>
        </w:tabs>
        <w:ind w:left="0" w:firstLine="0"/>
        <w:jc w:val="both"/>
        <w:rPr>
          <w:b/>
          <w:sz w:val="22"/>
          <w:szCs w:val="22"/>
        </w:rPr>
      </w:pPr>
      <w:proofErr w:type="spellStart"/>
      <w:r w:rsidRPr="00F2319C">
        <w:rPr>
          <w:b/>
          <w:sz w:val="22"/>
          <w:szCs w:val="22"/>
        </w:rPr>
        <w:t>Pertinencia</w:t>
      </w:r>
      <w:proofErr w:type="spellEnd"/>
      <w:r w:rsidRPr="00F2319C">
        <w:rPr>
          <w:b/>
          <w:sz w:val="22"/>
          <w:szCs w:val="22"/>
        </w:rPr>
        <w:t xml:space="preserve"> para la SEDI </w:t>
      </w:r>
    </w:p>
    <w:p w14:paraId="052B13EA" w14:textId="77777777" w:rsidR="00335A56" w:rsidRPr="00F2319C" w:rsidRDefault="00335A56" w:rsidP="00F2319C">
      <w:pPr>
        <w:tabs>
          <w:tab w:val="left" w:pos="720"/>
          <w:tab w:val="left" w:pos="1440"/>
          <w:tab w:val="left" w:pos="2160"/>
        </w:tabs>
        <w:jc w:val="both"/>
        <w:rPr>
          <w:sz w:val="22"/>
          <w:szCs w:val="22"/>
        </w:rPr>
      </w:pPr>
    </w:p>
    <w:p w14:paraId="60A7BA3E" w14:textId="0E10909E" w:rsidR="00335A56" w:rsidRPr="00F2319C" w:rsidRDefault="00335A56" w:rsidP="00AE18B3">
      <w:pPr>
        <w:tabs>
          <w:tab w:val="left" w:pos="720"/>
          <w:tab w:val="left" w:pos="1440"/>
          <w:tab w:val="left" w:pos="2160"/>
        </w:tabs>
        <w:ind w:left="1440" w:hanging="1440"/>
        <w:jc w:val="both"/>
        <w:rPr>
          <w:sz w:val="22"/>
          <w:szCs w:val="22"/>
          <w:lang w:val="es-ES"/>
        </w:rPr>
      </w:pPr>
      <w:r w:rsidRPr="00F2319C">
        <w:rPr>
          <w:sz w:val="22"/>
          <w:szCs w:val="22"/>
          <w:lang w:val="es-ES"/>
        </w:rPr>
        <w:tab/>
        <w:t>-</w:t>
      </w:r>
      <w:r w:rsidRPr="00F2319C">
        <w:rPr>
          <w:sz w:val="22"/>
          <w:szCs w:val="22"/>
          <w:lang w:val="es-ES"/>
        </w:rPr>
        <w:tab/>
        <w:t xml:space="preserve">Reforzar la implementación del compromiso sobre Acelerar la Transición Energética Limpia, Sostenible, Renovable y Justa, adoptado por los </w:t>
      </w:r>
      <w:proofErr w:type="gramStart"/>
      <w:r w:rsidRPr="00F2319C">
        <w:rPr>
          <w:sz w:val="22"/>
          <w:szCs w:val="22"/>
          <w:lang w:val="es-ES"/>
        </w:rPr>
        <w:t>Jefes</w:t>
      </w:r>
      <w:proofErr w:type="gramEnd"/>
      <w:r w:rsidRPr="00F2319C">
        <w:rPr>
          <w:sz w:val="22"/>
          <w:szCs w:val="22"/>
          <w:lang w:val="es-ES"/>
        </w:rPr>
        <w:t xml:space="preserve"> de Estado y de Gobierno en la </w:t>
      </w:r>
      <w:r w:rsidR="00F2319C">
        <w:rPr>
          <w:sz w:val="22"/>
          <w:szCs w:val="22"/>
          <w:lang w:val="es-ES"/>
        </w:rPr>
        <w:t>Novena</w:t>
      </w:r>
      <w:r w:rsidRPr="00F2319C">
        <w:rPr>
          <w:sz w:val="22"/>
          <w:szCs w:val="22"/>
          <w:lang w:val="es-ES"/>
        </w:rPr>
        <w:t xml:space="preserve"> Cumbre de las Américas celebrada en Los Ángeles en junio de 2022.</w:t>
      </w:r>
    </w:p>
    <w:p w14:paraId="1DA0CC3E" w14:textId="77777777" w:rsidR="00335A56" w:rsidRPr="00F2319C" w:rsidRDefault="00335A56" w:rsidP="00AE18B3">
      <w:pPr>
        <w:tabs>
          <w:tab w:val="left" w:pos="720"/>
          <w:tab w:val="left" w:pos="1440"/>
          <w:tab w:val="left" w:pos="2160"/>
        </w:tabs>
        <w:ind w:left="1440" w:hanging="1440"/>
        <w:jc w:val="both"/>
        <w:rPr>
          <w:sz w:val="22"/>
          <w:szCs w:val="22"/>
          <w:lang w:val="es-ES"/>
        </w:rPr>
      </w:pPr>
    </w:p>
    <w:p w14:paraId="3CC839B2" w14:textId="30EDF299" w:rsidR="00335A56" w:rsidRPr="00F2319C" w:rsidRDefault="00335A56" w:rsidP="00AE18B3">
      <w:pPr>
        <w:tabs>
          <w:tab w:val="left" w:pos="720"/>
          <w:tab w:val="left" w:pos="1440"/>
          <w:tab w:val="left" w:pos="2160"/>
        </w:tabs>
        <w:ind w:left="1440" w:hanging="1440"/>
        <w:jc w:val="both"/>
        <w:rPr>
          <w:sz w:val="22"/>
          <w:szCs w:val="22"/>
          <w:lang w:val="es-ES"/>
        </w:rPr>
      </w:pPr>
      <w:r w:rsidRPr="00F2319C">
        <w:rPr>
          <w:sz w:val="22"/>
          <w:szCs w:val="22"/>
          <w:lang w:val="es-ES"/>
        </w:rPr>
        <w:tab/>
        <w:t>-</w:t>
      </w:r>
      <w:r w:rsidRPr="00F2319C">
        <w:rPr>
          <w:sz w:val="22"/>
          <w:szCs w:val="22"/>
          <w:lang w:val="es-ES"/>
        </w:rPr>
        <w:tab/>
        <w:t xml:space="preserve">Guiar los esfuerzos de </w:t>
      </w:r>
      <w:r w:rsidR="00E3276D">
        <w:rPr>
          <w:sz w:val="22"/>
          <w:szCs w:val="22"/>
          <w:lang w:val="es-ES"/>
        </w:rPr>
        <w:t>la Secretaría Ejecutiva para el Desarrollo Integral (</w:t>
      </w:r>
      <w:r w:rsidRPr="00F2319C">
        <w:rPr>
          <w:sz w:val="22"/>
          <w:szCs w:val="22"/>
          <w:lang w:val="es-ES"/>
        </w:rPr>
        <w:t>SEDI</w:t>
      </w:r>
      <w:r w:rsidR="00E3276D">
        <w:rPr>
          <w:sz w:val="22"/>
          <w:szCs w:val="22"/>
          <w:lang w:val="es-ES"/>
        </w:rPr>
        <w:t>)</w:t>
      </w:r>
      <w:r w:rsidRPr="00F2319C">
        <w:rPr>
          <w:sz w:val="22"/>
          <w:szCs w:val="22"/>
          <w:lang w:val="es-ES"/>
        </w:rPr>
        <w:t xml:space="preserve"> en </w:t>
      </w:r>
      <w:r w:rsidR="00E3276D">
        <w:rPr>
          <w:sz w:val="22"/>
          <w:szCs w:val="22"/>
          <w:lang w:val="es-ES"/>
        </w:rPr>
        <w:t xml:space="preserve">la </w:t>
      </w:r>
      <w:r w:rsidRPr="00F2319C">
        <w:rPr>
          <w:sz w:val="22"/>
          <w:szCs w:val="22"/>
          <w:lang w:val="es-ES"/>
        </w:rPr>
        <w:t xml:space="preserve">implementación del Plan de Acción Interamericano sobre Cambio Climático 2023-2030, adoptado por los </w:t>
      </w:r>
      <w:r w:rsidR="00F2319C">
        <w:rPr>
          <w:sz w:val="22"/>
          <w:szCs w:val="22"/>
          <w:lang w:val="es-ES"/>
        </w:rPr>
        <w:t>E</w:t>
      </w:r>
      <w:r w:rsidRPr="00F2319C">
        <w:rPr>
          <w:sz w:val="22"/>
          <w:szCs w:val="22"/>
          <w:lang w:val="es-ES"/>
        </w:rPr>
        <w:t xml:space="preserve">stados </w:t>
      </w:r>
      <w:r w:rsidR="00F2319C">
        <w:rPr>
          <w:sz w:val="22"/>
          <w:szCs w:val="22"/>
          <w:lang w:val="es-ES"/>
        </w:rPr>
        <w:t>M</w:t>
      </w:r>
      <w:r w:rsidRPr="00F2319C">
        <w:rPr>
          <w:sz w:val="22"/>
          <w:szCs w:val="22"/>
          <w:lang w:val="es-ES"/>
        </w:rPr>
        <w:t xml:space="preserve">iembros en la </w:t>
      </w:r>
      <w:r w:rsidR="00E3276D">
        <w:rPr>
          <w:sz w:val="22"/>
          <w:szCs w:val="22"/>
          <w:lang w:val="es-ES"/>
        </w:rPr>
        <w:t>Cuarta</w:t>
      </w:r>
      <w:r w:rsidRPr="00F2319C">
        <w:rPr>
          <w:sz w:val="22"/>
          <w:szCs w:val="22"/>
          <w:lang w:val="es-ES"/>
        </w:rPr>
        <w:t xml:space="preserve"> Reunión Interamericana de </w:t>
      </w:r>
      <w:proofErr w:type="gramStart"/>
      <w:r w:rsidRPr="00F2319C">
        <w:rPr>
          <w:sz w:val="22"/>
          <w:szCs w:val="22"/>
          <w:lang w:val="es-ES"/>
        </w:rPr>
        <w:t>Ministros</w:t>
      </w:r>
      <w:proofErr w:type="gramEnd"/>
      <w:r w:rsidRPr="00F2319C">
        <w:rPr>
          <w:sz w:val="22"/>
          <w:szCs w:val="22"/>
          <w:lang w:val="es-ES"/>
        </w:rPr>
        <w:t xml:space="preserve"> y Altas Autoridades de Desarrollo Sostenible</w:t>
      </w:r>
      <w:r w:rsidR="00F2319C">
        <w:rPr>
          <w:sz w:val="22"/>
          <w:szCs w:val="22"/>
          <w:lang w:val="es-ES"/>
        </w:rPr>
        <w:t xml:space="preserve">, </w:t>
      </w:r>
      <w:r w:rsidRPr="00F2319C">
        <w:rPr>
          <w:sz w:val="22"/>
          <w:szCs w:val="22"/>
          <w:lang w:val="es-ES"/>
        </w:rPr>
        <w:t>celebrada en Nassau</w:t>
      </w:r>
      <w:r w:rsidR="00E3276D">
        <w:rPr>
          <w:sz w:val="22"/>
          <w:szCs w:val="22"/>
          <w:lang w:val="es-ES"/>
        </w:rPr>
        <w:t>, Bahamas,</w:t>
      </w:r>
      <w:r w:rsidRPr="00F2319C">
        <w:rPr>
          <w:sz w:val="22"/>
          <w:szCs w:val="22"/>
          <w:lang w:val="es-ES"/>
        </w:rPr>
        <w:t xml:space="preserve"> en octubre de 2023.</w:t>
      </w:r>
    </w:p>
    <w:p w14:paraId="685A2CF7" w14:textId="77777777" w:rsidR="00335A56" w:rsidRPr="00F2319C" w:rsidRDefault="00335A56" w:rsidP="00AE18B3">
      <w:pPr>
        <w:tabs>
          <w:tab w:val="left" w:pos="720"/>
          <w:tab w:val="left" w:pos="1440"/>
          <w:tab w:val="left" w:pos="2160"/>
        </w:tabs>
        <w:ind w:left="1440" w:hanging="1440"/>
        <w:jc w:val="both"/>
        <w:rPr>
          <w:sz w:val="22"/>
          <w:szCs w:val="22"/>
          <w:lang w:val="es-ES"/>
        </w:rPr>
      </w:pPr>
    </w:p>
    <w:p w14:paraId="667BEE9F" w14:textId="4DF005D8" w:rsidR="00335A56" w:rsidRPr="00F2319C" w:rsidRDefault="00335A56" w:rsidP="00AE18B3">
      <w:pPr>
        <w:tabs>
          <w:tab w:val="left" w:pos="720"/>
          <w:tab w:val="left" w:pos="1440"/>
          <w:tab w:val="left" w:pos="2160"/>
        </w:tabs>
        <w:ind w:left="1440" w:hanging="1440"/>
        <w:jc w:val="both"/>
        <w:rPr>
          <w:sz w:val="22"/>
          <w:szCs w:val="22"/>
          <w:lang w:val="es-ES"/>
        </w:rPr>
      </w:pPr>
      <w:r w:rsidRPr="00F2319C">
        <w:rPr>
          <w:sz w:val="22"/>
          <w:szCs w:val="22"/>
          <w:lang w:val="es-ES"/>
        </w:rPr>
        <w:tab/>
        <w:t>-</w:t>
      </w:r>
      <w:r w:rsidRPr="00F2319C">
        <w:rPr>
          <w:sz w:val="22"/>
          <w:szCs w:val="22"/>
          <w:lang w:val="es-ES"/>
        </w:rPr>
        <w:tab/>
        <w:t xml:space="preserve">Recibir aportes de los </w:t>
      </w:r>
      <w:r w:rsidR="00F2319C">
        <w:rPr>
          <w:sz w:val="22"/>
          <w:szCs w:val="22"/>
          <w:lang w:val="es-ES"/>
        </w:rPr>
        <w:t>E</w:t>
      </w:r>
      <w:r w:rsidRPr="00F2319C">
        <w:rPr>
          <w:sz w:val="22"/>
          <w:szCs w:val="22"/>
          <w:lang w:val="es-ES"/>
        </w:rPr>
        <w:t xml:space="preserve">stados </w:t>
      </w:r>
      <w:r w:rsidR="00F2319C">
        <w:rPr>
          <w:sz w:val="22"/>
          <w:szCs w:val="22"/>
          <w:lang w:val="es-ES"/>
        </w:rPr>
        <w:t>M</w:t>
      </w:r>
      <w:r w:rsidRPr="00F2319C">
        <w:rPr>
          <w:sz w:val="22"/>
          <w:szCs w:val="22"/>
          <w:lang w:val="es-ES"/>
        </w:rPr>
        <w:t>iembros para la</w:t>
      </w:r>
      <w:r w:rsidR="00E3276D">
        <w:rPr>
          <w:sz w:val="22"/>
          <w:szCs w:val="22"/>
          <w:lang w:val="es-ES"/>
        </w:rPr>
        <w:t xml:space="preserve"> Sexta</w:t>
      </w:r>
      <w:r w:rsidRPr="00F2319C">
        <w:rPr>
          <w:sz w:val="22"/>
          <w:szCs w:val="22"/>
          <w:lang w:val="es-ES"/>
        </w:rPr>
        <w:t xml:space="preserve"> reunión ministerial de </w:t>
      </w:r>
      <w:r w:rsidR="00E3276D">
        <w:rPr>
          <w:sz w:val="22"/>
          <w:szCs w:val="22"/>
          <w:lang w:val="es-ES"/>
        </w:rPr>
        <w:t xml:space="preserve">la </w:t>
      </w:r>
      <w:r w:rsidRPr="00F2319C">
        <w:rPr>
          <w:sz w:val="22"/>
          <w:szCs w:val="22"/>
          <w:lang w:val="es-ES"/>
        </w:rPr>
        <w:t>ECPA que se c</w:t>
      </w:r>
      <w:r w:rsidR="00F2319C">
        <w:rPr>
          <w:sz w:val="22"/>
          <w:szCs w:val="22"/>
          <w:lang w:val="es-ES"/>
        </w:rPr>
        <w:t xml:space="preserve">elebrará </w:t>
      </w:r>
      <w:r w:rsidRPr="00F2319C">
        <w:rPr>
          <w:sz w:val="22"/>
          <w:szCs w:val="22"/>
          <w:lang w:val="es-ES"/>
        </w:rPr>
        <w:t>en Punta Cana</w:t>
      </w:r>
      <w:r w:rsidR="00F2319C">
        <w:rPr>
          <w:sz w:val="22"/>
          <w:szCs w:val="22"/>
          <w:lang w:val="es-ES"/>
        </w:rPr>
        <w:t>, República Dominicana, los días</w:t>
      </w:r>
      <w:r w:rsidRPr="00F2319C">
        <w:rPr>
          <w:sz w:val="22"/>
          <w:szCs w:val="22"/>
          <w:lang w:val="es-ES"/>
        </w:rPr>
        <w:t xml:space="preserve"> 14 y 15 de marzo de 2024.</w:t>
      </w:r>
    </w:p>
    <w:p w14:paraId="75EB65C8" w14:textId="77777777" w:rsidR="00335A56" w:rsidRPr="00F2319C" w:rsidRDefault="00335A56" w:rsidP="00F2319C">
      <w:pPr>
        <w:tabs>
          <w:tab w:val="left" w:pos="720"/>
          <w:tab w:val="left" w:pos="1440"/>
          <w:tab w:val="left" w:pos="2160"/>
        </w:tabs>
        <w:jc w:val="both"/>
        <w:rPr>
          <w:sz w:val="22"/>
          <w:szCs w:val="22"/>
          <w:lang w:val="es-ES"/>
        </w:rPr>
      </w:pPr>
    </w:p>
    <w:p w14:paraId="62AC946D" w14:textId="77777777" w:rsidR="00335A56" w:rsidRPr="00F2319C" w:rsidRDefault="00335A56" w:rsidP="00F2319C">
      <w:pPr>
        <w:numPr>
          <w:ilvl w:val="0"/>
          <w:numId w:val="19"/>
        </w:numPr>
        <w:tabs>
          <w:tab w:val="left" w:pos="720"/>
          <w:tab w:val="left" w:pos="1440"/>
          <w:tab w:val="left" w:pos="2160"/>
        </w:tabs>
        <w:ind w:left="0" w:firstLine="0"/>
        <w:jc w:val="both"/>
        <w:rPr>
          <w:b/>
          <w:sz w:val="22"/>
          <w:szCs w:val="22"/>
        </w:rPr>
      </w:pPr>
      <w:proofErr w:type="spellStart"/>
      <w:r w:rsidRPr="00F2319C">
        <w:rPr>
          <w:b/>
          <w:sz w:val="22"/>
          <w:szCs w:val="22"/>
        </w:rPr>
        <w:t>Mandatos</w:t>
      </w:r>
      <w:proofErr w:type="spellEnd"/>
      <w:r w:rsidRPr="00F2319C">
        <w:rPr>
          <w:b/>
          <w:sz w:val="22"/>
          <w:szCs w:val="22"/>
        </w:rPr>
        <w:t xml:space="preserve"> de la OEA</w:t>
      </w:r>
    </w:p>
    <w:p w14:paraId="11C713A9" w14:textId="77777777" w:rsidR="00335A56" w:rsidRPr="00F2319C" w:rsidRDefault="00335A56" w:rsidP="00F2319C">
      <w:pPr>
        <w:tabs>
          <w:tab w:val="left" w:pos="720"/>
          <w:tab w:val="left" w:pos="1440"/>
          <w:tab w:val="left" w:pos="2160"/>
        </w:tabs>
        <w:jc w:val="both"/>
        <w:rPr>
          <w:sz w:val="22"/>
          <w:szCs w:val="22"/>
        </w:rPr>
      </w:pPr>
    </w:p>
    <w:p w14:paraId="1D49E9C0" w14:textId="7B600625" w:rsidR="00335A56" w:rsidRPr="00F2319C" w:rsidRDefault="00335A56" w:rsidP="00F2319C">
      <w:pPr>
        <w:tabs>
          <w:tab w:val="left" w:pos="720"/>
          <w:tab w:val="left" w:pos="1440"/>
          <w:tab w:val="left" w:pos="2160"/>
        </w:tabs>
        <w:jc w:val="both"/>
        <w:rPr>
          <w:sz w:val="22"/>
          <w:szCs w:val="22"/>
          <w:lang w:val="es-ES"/>
        </w:rPr>
      </w:pPr>
      <w:r w:rsidRPr="00F2319C">
        <w:rPr>
          <w:sz w:val="22"/>
          <w:szCs w:val="22"/>
          <w:lang w:val="es-ES"/>
        </w:rPr>
        <w:tab/>
        <w:t>En la Novena Cumbre de las Américas celebrada en Los Ángeles, Estados Unidos, del 8 al 10 de junio de 2022, los Jefes de Estado y de Gobierno se comprometieron a: “[p]</w:t>
      </w:r>
      <w:proofErr w:type="spellStart"/>
      <w:r w:rsidRPr="00F2319C">
        <w:rPr>
          <w:sz w:val="22"/>
          <w:szCs w:val="22"/>
          <w:lang w:val="es-ES"/>
        </w:rPr>
        <w:t>romover</w:t>
      </w:r>
      <w:proofErr w:type="spellEnd"/>
      <w:r w:rsidRPr="00F2319C">
        <w:rPr>
          <w:sz w:val="22"/>
          <w:szCs w:val="22"/>
          <w:lang w:val="es-ES"/>
        </w:rPr>
        <w:t xml:space="preserve"> la cooperación multilateral para aumentar el uso de todas las formas y tipos de energías renovables en los países del Hemisferio, incluyendo programas tales como aquellos del Banco Interamericano de Desarrollo (BID), el Banco de Desarrollo del Caribe (BDC), el Banco de Desarrollo de América Latina (CAF), Banco Centroamericano de Integración Económica (BCIE), la Iniciativa Energías Renovables en América Latina y el Caribe (RELAC) y la Alianza de Energía y Clima de las Américas (ECPA), entre otros, para incluir la participación de todos los Estados, según corresponda.”</w:t>
      </w:r>
    </w:p>
    <w:p w14:paraId="37993CCC" w14:textId="77777777" w:rsidR="00335A56" w:rsidRPr="00F2319C" w:rsidRDefault="00335A56" w:rsidP="00F2319C">
      <w:pPr>
        <w:tabs>
          <w:tab w:val="left" w:pos="720"/>
          <w:tab w:val="left" w:pos="1440"/>
          <w:tab w:val="left" w:pos="2160"/>
        </w:tabs>
        <w:jc w:val="both"/>
        <w:rPr>
          <w:sz w:val="22"/>
          <w:szCs w:val="22"/>
          <w:lang w:val="es-ES"/>
        </w:rPr>
      </w:pPr>
    </w:p>
    <w:p w14:paraId="0CBE33FB" w14:textId="2177DC9E" w:rsidR="00335A56" w:rsidRPr="00F2319C" w:rsidRDefault="00F2319C" w:rsidP="00F2319C">
      <w:pPr>
        <w:tabs>
          <w:tab w:val="left" w:pos="720"/>
          <w:tab w:val="left" w:pos="1440"/>
          <w:tab w:val="left" w:pos="2160"/>
        </w:tabs>
        <w:jc w:val="both"/>
        <w:rPr>
          <w:sz w:val="22"/>
          <w:szCs w:val="22"/>
          <w:lang w:val="es-ES"/>
        </w:rPr>
      </w:pPr>
      <w:r>
        <w:rPr>
          <w:sz w:val="22"/>
          <w:szCs w:val="22"/>
          <w:lang w:val="es-ES"/>
        </w:rPr>
        <w:tab/>
      </w:r>
      <w:r w:rsidR="00335A56" w:rsidRPr="00F2319C">
        <w:rPr>
          <w:sz w:val="22"/>
          <w:szCs w:val="22"/>
          <w:lang w:val="es-ES"/>
        </w:rPr>
        <w:t>La resolución AG/RES. 2955 (L-O/20) encomienda a la SEDI que “continúe asistiendo a la ECPA en sus esfuerzos para apoyar a los Estados Miembros para desarrollar energía renovable y gas natural, así como posibles opciones para construir infraestructura energética transfronteriza e intersectorial y servicios energéticos, diversificando las fuentes y la distribución geográfica de generación de energía y protegiendo a las comunidades contra fallas en la red eléctrica causadas por desastres.”</w:t>
      </w:r>
    </w:p>
    <w:p w14:paraId="77DCDDCD" w14:textId="4B2945A0" w:rsidR="00335A56" w:rsidRPr="00F2319C" w:rsidRDefault="00335A56" w:rsidP="00F2319C">
      <w:pPr>
        <w:tabs>
          <w:tab w:val="left" w:pos="720"/>
          <w:tab w:val="left" w:pos="1440"/>
          <w:tab w:val="left" w:pos="2160"/>
        </w:tabs>
        <w:jc w:val="both"/>
        <w:rPr>
          <w:sz w:val="22"/>
          <w:szCs w:val="22"/>
          <w:lang w:val="es-ES"/>
        </w:rPr>
      </w:pPr>
    </w:p>
    <w:p w14:paraId="6F35F576" w14:textId="0E576E25" w:rsidR="00335A56" w:rsidRPr="00F2319C" w:rsidRDefault="00F2319C" w:rsidP="00F2319C">
      <w:pPr>
        <w:tabs>
          <w:tab w:val="left" w:pos="720"/>
          <w:tab w:val="left" w:pos="1440"/>
          <w:tab w:val="left" w:pos="2160"/>
        </w:tabs>
        <w:jc w:val="both"/>
        <w:rPr>
          <w:sz w:val="22"/>
          <w:szCs w:val="22"/>
          <w:lang w:val="es-ES"/>
        </w:rPr>
      </w:pPr>
      <w:r>
        <w:rPr>
          <w:sz w:val="22"/>
          <w:szCs w:val="22"/>
          <w:lang w:val="es-ES"/>
        </w:rPr>
        <w:tab/>
      </w:r>
      <w:r w:rsidR="00335A56" w:rsidRPr="00F2319C">
        <w:rPr>
          <w:sz w:val="22"/>
          <w:szCs w:val="22"/>
          <w:lang w:val="es-ES"/>
        </w:rPr>
        <w:t>La resolución AG/RES. 2904 (XLVII-O/17) encomienda a la Secretaría General que, en la medida en que los recursos lo permitan, continúe promoviendo el diálogo regional entre los Estados Miembros y entre los sectores público y privado con vistas a desarrollar sistemas de energía confiables, más limpios, más asequibles, renovables y sostenibles que faciliten el acceso a la energía y las tecnologías y prácticas de eficiencia energética, y asimismo que continué fomentando las alianzas que promuevan una mayor coordinación entre donantes, el acceso voluntario a la información y el intercambio de conocimientos en términos y condiciones mutuamente convenidos con miras a aplicar más eficazmente las estrategias regionales de energía renovable.”</w:t>
      </w:r>
    </w:p>
    <w:p w14:paraId="0416909B" w14:textId="77777777" w:rsidR="00335A56" w:rsidRPr="00F2319C" w:rsidRDefault="00335A56" w:rsidP="00F2319C">
      <w:pPr>
        <w:tabs>
          <w:tab w:val="left" w:pos="720"/>
          <w:tab w:val="left" w:pos="1440"/>
          <w:tab w:val="left" w:pos="2160"/>
        </w:tabs>
        <w:jc w:val="both"/>
        <w:rPr>
          <w:sz w:val="22"/>
          <w:szCs w:val="22"/>
          <w:lang w:val="es-ES"/>
        </w:rPr>
      </w:pPr>
    </w:p>
    <w:p w14:paraId="70B62A9A" w14:textId="74814BC5" w:rsidR="00335A56" w:rsidRPr="00F2319C" w:rsidRDefault="00335A56" w:rsidP="00F2319C">
      <w:pPr>
        <w:tabs>
          <w:tab w:val="left" w:pos="720"/>
          <w:tab w:val="left" w:pos="1440"/>
          <w:tab w:val="left" w:pos="2160"/>
        </w:tabs>
        <w:jc w:val="both"/>
        <w:rPr>
          <w:sz w:val="22"/>
          <w:szCs w:val="22"/>
          <w:lang w:val="es-ES"/>
        </w:rPr>
      </w:pPr>
      <w:r w:rsidRPr="00F2319C">
        <w:rPr>
          <w:sz w:val="22"/>
          <w:szCs w:val="22"/>
          <w:lang w:val="es-ES"/>
        </w:rPr>
        <w:tab/>
        <w:t>La Carta de la O</w:t>
      </w:r>
      <w:r w:rsidR="000165B4">
        <w:rPr>
          <w:sz w:val="22"/>
          <w:szCs w:val="22"/>
          <w:lang w:val="es-ES"/>
        </w:rPr>
        <w:t xml:space="preserve">rganización de los </w:t>
      </w:r>
      <w:r w:rsidRPr="00F2319C">
        <w:rPr>
          <w:sz w:val="22"/>
          <w:szCs w:val="22"/>
          <w:lang w:val="es-ES"/>
        </w:rPr>
        <w:t>E</w:t>
      </w:r>
      <w:r w:rsidR="000165B4">
        <w:rPr>
          <w:sz w:val="22"/>
          <w:szCs w:val="22"/>
          <w:lang w:val="es-ES"/>
        </w:rPr>
        <w:t xml:space="preserve">stados </w:t>
      </w:r>
      <w:r w:rsidRPr="00F2319C">
        <w:rPr>
          <w:sz w:val="22"/>
          <w:szCs w:val="22"/>
          <w:lang w:val="es-ES"/>
        </w:rPr>
        <w:t>A</w:t>
      </w:r>
      <w:r w:rsidR="000165B4">
        <w:rPr>
          <w:sz w:val="22"/>
          <w:szCs w:val="22"/>
          <w:lang w:val="es-ES"/>
        </w:rPr>
        <w:t>mericanos (OEA)</w:t>
      </w:r>
      <w:r w:rsidRPr="00F2319C">
        <w:rPr>
          <w:sz w:val="22"/>
          <w:szCs w:val="22"/>
          <w:lang w:val="es-ES"/>
        </w:rPr>
        <w:t xml:space="preserve"> encomienda al </w:t>
      </w:r>
      <w:r w:rsidR="000165B4">
        <w:rPr>
          <w:sz w:val="22"/>
          <w:szCs w:val="22"/>
          <w:lang w:val="es-ES"/>
        </w:rPr>
        <w:t>Consejo Interamericano para el Desarrollo Integral (</w:t>
      </w:r>
      <w:r w:rsidRPr="00F2319C">
        <w:rPr>
          <w:sz w:val="22"/>
          <w:szCs w:val="22"/>
          <w:lang w:val="es-ES"/>
        </w:rPr>
        <w:t>CIDI</w:t>
      </w:r>
      <w:r w:rsidR="000165B4">
        <w:rPr>
          <w:sz w:val="22"/>
          <w:szCs w:val="22"/>
          <w:lang w:val="es-ES"/>
        </w:rPr>
        <w:t>)</w:t>
      </w:r>
      <w:r w:rsidRPr="00F2319C">
        <w:rPr>
          <w:sz w:val="22"/>
          <w:szCs w:val="22"/>
          <w:lang w:val="es-ES"/>
        </w:rPr>
        <w:t xml:space="preserve"> que promueva la cooperación entre los Estados Miembros de la OEA para lograr el desarrollo integral y, en especial, ayudar a eliminar la pobreza extrema. La </w:t>
      </w:r>
      <w:r w:rsidR="000165B4">
        <w:rPr>
          <w:sz w:val="22"/>
          <w:szCs w:val="22"/>
          <w:lang w:val="es-ES"/>
        </w:rPr>
        <w:t>C</w:t>
      </w:r>
      <w:r w:rsidRPr="00F2319C">
        <w:rPr>
          <w:sz w:val="22"/>
          <w:szCs w:val="22"/>
          <w:lang w:val="es-ES"/>
        </w:rPr>
        <w:t>arta también encomienda al CIDI: “[p]</w:t>
      </w:r>
      <w:proofErr w:type="spellStart"/>
      <w:r w:rsidRPr="00F2319C">
        <w:rPr>
          <w:sz w:val="22"/>
          <w:szCs w:val="22"/>
          <w:lang w:val="es-ES"/>
        </w:rPr>
        <w:t>romover</w:t>
      </w:r>
      <w:proofErr w:type="spellEnd"/>
      <w:r w:rsidRPr="00F2319C">
        <w:rPr>
          <w:sz w:val="22"/>
          <w:szCs w:val="22"/>
          <w:lang w:val="es-ES"/>
        </w:rPr>
        <w:t>, coordinar y responsabilizar de la ejecución de programas y proyectos de desarrollo a los órganos subsidiarios y organismos correspondientes, con base en las prioridades determinadas por los Estados Miembros, en áreas tales como desarrollo económico y social, incluyendo el comercio, el turismo, la integración y el medio ambiente.”</w:t>
      </w:r>
    </w:p>
    <w:p w14:paraId="178D3ACD" w14:textId="77777777" w:rsidR="00335A56" w:rsidRPr="00F2319C" w:rsidRDefault="00335A56" w:rsidP="00F2319C">
      <w:pPr>
        <w:tabs>
          <w:tab w:val="left" w:pos="720"/>
          <w:tab w:val="left" w:pos="1440"/>
          <w:tab w:val="left" w:pos="2160"/>
        </w:tabs>
        <w:jc w:val="both"/>
        <w:rPr>
          <w:sz w:val="22"/>
          <w:szCs w:val="22"/>
          <w:lang w:val="es-ES"/>
        </w:rPr>
      </w:pPr>
    </w:p>
    <w:p w14:paraId="201590D5" w14:textId="4715E78B" w:rsidR="00335A56" w:rsidRPr="00F2319C" w:rsidRDefault="00335A56" w:rsidP="00F2319C">
      <w:pPr>
        <w:tabs>
          <w:tab w:val="left" w:pos="720"/>
          <w:tab w:val="left" w:pos="1440"/>
          <w:tab w:val="left" w:pos="2160"/>
        </w:tabs>
        <w:jc w:val="both"/>
        <w:rPr>
          <w:sz w:val="22"/>
          <w:szCs w:val="22"/>
          <w:lang w:val="es-ES"/>
        </w:rPr>
      </w:pPr>
      <w:r w:rsidRPr="00F2319C">
        <w:rPr>
          <w:sz w:val="22"/>
          <w:szCs w:val="22"/>
          <w:lang w:val="es-ES"/>
        </w:rPr>
        <w:tab/>
        <w:t>El Plan de Acción Interamericano sobre Cambio Climático 2023-2030 busca desarrollar medidas concretas y responsivas que serán coordinadas por la</w:t>
      </w:r>
      <w:r w:rsidR="00E3276D">
        <w:rPr>
          <w:sz w:val="22"/>
          <w:szCs w:val="22"/>
          <w:lang w:val="es-ES"/>
        </w:rPr>
        <w:t xml:space="preserve"> </w:t>
      </w:r>
      <w:r w:rsidRPr="00F2319C">
        <w:rPr>
          <w:sz w:val="22"/>
          <w:szCs w:val="22"/>
          <w:lang w:val="es-ES"/>
        </w:rPr>
        <w:t>SEDI</w:t>
      </w:r>
      <w:r w:rsidR="00E3276D">
        <w:rPr>
          <w:sz w:val="22"/>
          <w:szCs w:val="22"/>
          <w:lang w:val="es-ES"/>
        </w:rPr>
        <w:t>,</w:t>
      </w:r>
      <w:r w:rsidRPr="00F2319C">
        <w:rPr>
          <w:sz w:val="22"/>
          <w:szCs w:val="22"/>
          <w:lang w:val="es-ES"/>
        </w:rPr>
        <w:t xml:space="preserve"> a través de su Departamento de Desarrollo Sostenible (DDS), trabajando con gobiernos nacionales, organizaciones internacionales y otros actores relevantes. El Plan de Acción busca, entre otras cosas, </w:t>
      </w:r>
      <w:r w:rsidR="00F2319C">
        <w:rPr>
          <w:sz w:val="22"/>
          <w:szCs w:val="22"/>
          <w:lang w:val="es-ES"/>
        </w:rPr>
        <w:t>“</w:t>
      </w:r>
      <w:r w:rsidRPr="00F2319C">
        <w:rPr>
          <w:sz w:val="22"/>
          <w:szCs w:val="22"/>
          <w:lang w:val="es-ES"/>
        </w:rPr>
        <w:t>[p]</w:t>
      </w:r>
      <w:proofErr w:type="spellStart"/>
      <w:r w:rsidRPr="00F2319C">
        <w:rPr>
          <w:sz w:val="22"/>
          <w:szCs w:val="22"/>
          <w:lang w:val="es-ES"/>
        </w:rPr>
        <w:t>romover</w:t>
      </w:r>
      <w:proofErr w:type="spellEnd"/>
      <w:r w:rsidRPr="00F2319C">
        <w:rPr>
          <w:sz w:val="22"/>
          <w:szCs w:val="22"/>
          <w:lang w:val="es-ES"/>
        </w:rPr>
        <w:t xml:space="preserve"> nuestras transiciones justas apoyando los esfuerzos de los estados miembros para formular políticas e incentivos que fomenten la inversión en tecnologías respetuosas con el medio ambiente, acelerando así el cambio hacia economías con bajas emisiones de gases de efecto invernadero, impulsando el crecimiento económico sostenible y contribuyendo a la lucha global contra el cambio climático.</w:t>
      </w:r>
      <w:r w:rsidR="00F2319C">
        <w:rPr>
          <w:sz w:val="22"/>
          <w:szCs w:val="22"/>
          <w:lang w:val="es-ES"/>
        </w:rPr>
        <w:t>”</w:t>
      </w:r>
    </w:p>
    <w:p w14:paraId="7662045B" w14:textId="77777777" w:rsidR="00335A56" w:rsidRPr="00F2319C" w:rsidRDefault="00335A56" w:rsidP="00F2319C">
      <w:pPr>
        <w:tabs>
          <w:tab w:val="left" w:pos="720"/>
          <w:tab w:val="left" w:pos="1440"/>
          <w:tab w:val="left" w:pos="2160"/>
        </w:tabs>
        <w:jc w:val="both"/>
        <w:rPr>
          <w:sz w:val="22"/>
          <w:szCs w:val="22"/>
          <w:lang w:val="es-ES"/>
        </w:rPr>
      </w:pPr>
    </w:p>
    <w:p w14:paraId="294E141E" w14:textId="3AD72B33" w:rsidR="00335A56" w:rsidRPr="00F2319C" w:rsidRDefault="00335A56" w:rsidP="00F2319C">
      <w:pPr>
        <w:tabs>
          <w:tab w:val="left" w:pos="720"/>
          <w:tab w:val="left" w:pos="1440"/>
          <w:tab w:val="left" w:pos="2160"/>
        </w:tabs>
        <w:jc w:val="both"/>
        <w:rPr>
          <w:sz w:val="22"/>
          <w:szCs w:val="22"/>
          <w:lang w:val="es-ES"/>
        </w:rPr>
      </w:pPr>
      <w:r w:rsidRPr="00F2319C">
        <w:rPr>
          <w:sz w:val="22"/>
          <w:szCs w:val="22"/>
          <w:lang w:val="es-ES"/>
        </w:rPr>
        <w:tab/>
        <w:t xml:space="preserve">Asimismo, el trabajo de la Secretaría General </w:t>
      </w:r>
      <w:r w:rsidR="00E3276D">
        <w:rPr>
          <w:sz w:val="22"/>
          <w:szCs w:val="22"/>
          <w:lang w:val="es-ES"/>
        </w:rPr>
        <w:t xml:space="preserve">de la </w:t>
      </w:r>
      <w:r w:rsidR="000165B4">
        <w:rPr>
          <w:sz w:val="22"/>
          <w:szCs w:val="22"/>
          <w:lang w:val="es-ES"/>
        </w:rPr>
        <w:t xml:space="preserve">OEA </w:t>
      </w:r>
      <w:r w:rsidRPr="00F2319C">
        <w:rPr>
          <w:sz w:val="22"/>
          <w:szCs w:val="22"/>
          <w:lang w:val="es-ES"/>
        </w:rPr>
        <w:t xml:space="preserve">debe contribuir directamente </w:t>
      </w:r>
      <w:r w:rsidR="00F2319C">
        <w:rPr>
          <w:sz w:val="22"/>
          <w:szCs w:val="22"/>
          <w:lang w:val="es-ES"/>
        </w:rPr>
        <w:t>para</w:t>
      </w:r>
      <w:r w:rsidRPr="00F2319C">
        <w:rPr>
          <w:sz w:val="22"/>
          <w:szCs w:val="22"/>
          <w:lang w:val="es-ES"/>
        </w:rPr>
        <w:t xml:space="preserve"> apoyar a los Estados Miembros en sus esfuerzos por cumplir el ODS 7: “Garantizar el acceso a una energía asequible, fiable, sostenible y moderna para todos”, así como las metas interrelacionadas de otros objetivos de desarrollo sostenible de la Agenda 2030 y sus elementos transversales. </w:t>
      </w:r>
    </w:p>
    <w:p w14:paraId="33667C85" w14:textId="77777777" w:rsidR="00335A56" w:rsidRPr="00F2319C" w:rsidRDefault="00335A56" w:rsidP="00F2319C">
      <w:pPr>
        <w:tabs>
          <w:tab w:val="left" w:pos="720"/>
          <w:tab w:val="left" w:pos="1440"/>
          <w:tab w:val="left" w:pos="2160"/>
        </w:tabs>
        <w:jc w:val="both"/>
        <w:rPr>
          <w:sz w:val="22"/>
          <w:szCs w:val="22"/>
          <w:lang w:val="es-ES"/>
        </w:rPr>
      </w:pPr>
    </w:p>
    <w:p w14:paraId="5ADA4948" w14:textId="705F6B27" w:rsidR="00335A56" w:rsidRPr="00F2319C" w:rsidRDefault="00335A56" w:rsidP="00F2319C">
      <w:pPr>
        <w:keepNext/>
        <w:keepLines/>
        <w:numPr>
          <w:ilvl w:val="0"/>
          <w:numId w:val="19"/>
        </w:numPr>
        <w:tabs>
          <w:tab w:val="left" w:pos="720"/>
          <w:tab w:val="left" w:pos="1440"/>
          <w:tab w:val="left" w:pos="2160"/>
        </w:tabs>
        <w:ind w:left="0" w:firstLine="0"/>
        <w:jc w:val="both"/>
        <w:rPr>
          <w:b/>
          <w:sz w:val="22"/>
          <w:szCs w:val="22"/>
        </w:rPr>
      </w:pPr>
      <w:proofErr w:type="spellStart"/>
      <w:r w:rsidRPr="00F2319C">
        <w:rPr>
          <w:b/>
          <w:sz w:val="22"/>
          <w:szCs w:val="22"/>
        </w:rPr>
        <w:t>Estructura</w:t>
      </w:r>
      <w:proofErr w:type="spellEnd"/>
      <w:r w:rsidRPr="00F2319C">
        <w:rPr>
          <w:b/>
          <w:sz w:val="22"/>
          <w:szCs w:val="22"/>
        </w:rPr>
        <w:t xml:space="preserve"> de la </w:t>
      </w:r>
      <w:proofErr w:type="spellStart"/>
      <w:r w:rsidR="00F2319C">
        <w:rPr>
          <w:b/>
          <w:sz w:val="22"/>
          <w:szCs w:val="22"/>
        </w:rPr>
        <w:t>reunión</w:t>
      </w:r>
      <w:proofErr w:type="spellEnd"/>
    </w:p>
    <w:p w14:paraId="033A3C2E" w14:textId="77777777" w:rsidR="00335A56" w:rsidRDefault="00335A56" w:rsidP="00F2319C">
      <w:pPr>
        <w:keepNext/>
        <w:keepLines/>
        <w:tabs>
          <w:tab w:val="left" w:pos="720"/>
          <w:tab w:val="left" w:pos="1440"/>
          <w:tab w:val="left" w:pos="2160"/>
        </w:tabs>
        <w:jc w:val="both"/>
        <w:rPr>
          <w:sz w:val="22"/>
          <w:szCs w:val="22"/>
        </w:rPr>
      </w:pPr>
    </w:p>
    <w:p w14:paraId="74E87343" w14:textId="12F743E8" w:rsidR="00F2319C" w:rsidRPr="00FD1BBB" w:rsidRDefault="00F2319C" w:rsidP="00F2319C">
      <w:pPr>
        <w:ind w:firstLine="720"/>
        <w:jc w:val="both"/>
        <w:rPr>
          <w:sz w:val="22"/>
          <w:szCs w:val="22"/>
          <w:lang w:val="es-ES"/>
        </w:rPr>
      </w:pPr>
      <w:r>
        <w:rPr>
          <w:sz w:val="22"/>
          <w:szCs w:val="22"/>
          <w:lang w:val="es-ES"/>
        </w:rPr>
        <w:t>Se invitará a varios oradores a fin de que aborden la temática</w:t>
      </w:r>
      <w:r w:rsidRPr="00FD1BBB">
        <w:rPr>
          <w:sz w:val="22"/>
          <w:szCs w:val="22"/>
          <w:lang w:val="es-ES"/>
        </w:rPr>
        <w:t xml:space="preserve">. </w:t>
      </w:r>
      <w:r>
        <w:rPr>
          <w:sz w:val="22"/>
          <w:szCs w:val="22"/>
          <w:lang w:val="es-ES"/>
        </w:rPr>
        <w:t xml:space="preserve">Los </w:t>
      </w:r>
      <w:r w:rsidRPr="00FD1BBB">
        <w:rPr>
          <w:sz w:val="22"/>
          <w:szCs w:val="22"/>
          <w:lang w:val="es-ES"/>
        </w:rPr>
        <w:t xml:space="preserve">Estados Miembros </w:t>
      </w:r>
      <w:r>
        <w:rPr>
          <w:sz w:val="22"/>
          <w:szCs w:val="22"/>
          <w:lang w:val="es-ES"/>
        </w:rPr>
        <w:t xml:space="preserve">tendrán la oportunidad de participar en un diálogo interactivo guiado por la Presidencia del </w:t>
      </w:r>
      <w:r w:rsidRPr="00FD1BBB">
        <w:rPr>
          <w:sz w:val="22"/>
          <w:szCs w:val="22"/>
          <w:lang w:val="es-ES"/>
        </w:rPr>
        <w:t>CIDI.</w:t>
      </w:r>
    </w:p>
    <w:p w14:paraId="149ABB37" w14:textId="77777777" w:rsidR="00F2319C" w:rsidRPr="00FD1BBB" w:rsidRDefault="00F2319C" w:rsidP="00F2319C">
      <w:pPr>
        <w:jc w:val="both"/>
        <w:rPr>
          <w:sz w:val="22"/>
          <w:szCs w:val="22"/>
          <w:lang w:val="es-ES"/>
        </w:rPr>
      </w:pPr>
    </w:p>
    <w:p w14:paraId="0F0CF9C9" w14:textId="037ABF3C" w:rsidR="00F2319C" w:rsidRPr="006F3ADF" w:rsidRDefault="00F2319C" w:rsidP="00C30994">
      <w:pPr>
        <w:ind w:firstLine="720"/>
        <w:jc w:val="both"/>
        <w:rPr>
          <w:sz w:val="22"/>
          <w:lang w:val="es-ES"/>
        </w:rPr>
      </w:pPr>
      <w:r>
        <w:rPr>
          <w:sz w:val="22"/>
          <w:szCs w:val="22"/>
          <w:lang w:val="es-ES"/>
        </w:rPr>
        <w:t xml:space="preserve">Después de la </w:t>
      </w:r>
      <w:r w:rsidRPr="00F55A3B">
        <w:rPr>
          <w:sz w:val="22"/>
          <w:lang w:val="es-ES"/>
        </w:rPr>
        <w:t xml:space="preserve">sesión </w:t>
      </w:r>
      <w:r>
        <w:rPr>
          <w:sz w:val="22"/>
          <w:szCs w:val="22"/>
          <w:lang w:val="es-ES"/>
        </w:rPr>
        <w:t>de preguntas con los oradores invitados, la Presidencia invitará a las delegaciones a que presenten buenas prácticas e indiquen necesidades, posibles desafíos y oportunidades</w:t>
      </w:r>
      <w:r w:rsidR="00E3276D">
        <w:rPr>
          <w:sz w:val="22"/>
          <w:szCs w:val="22"/>
          <w:lang w:val="es-ES"/>
        </w:rPr>
        <w:t xml:space="preserve"> </w:t>
      </w:r>
      <w:r>
        <w:rPr>
          <w:sz w:val="22"/>
          <w:szCs w:val="22"/>
          <w:lang w:val="es-ES"/>
        </w:rPr>
        <w:t>en relación con la cooperación hemisférica en esta área</w:t>
      </w:r>
      <w:r w:rsidRPr="00FD1BBB">
        <w:rPr>
          <w:sz w:val="22"/>
          <w:szCs w:val="22"/>
          <w:lang w:val="es-ES"/>
        </w:rPr>
        <w:t>.</w:t>
      </w:r>
    </w:p>
    <w:p w14:paraId="696B6DEB" w14:textId="4349D8D3" w:rsidR="00335A56" w:rsidRPr="00F2319C" w:rsidRDefault="00335A56" w:rsidP="000877D5">
      <w:pPr>
        <w:keepNext/>
        <w:keepLines/>
        <w:tabs>
          <w:tab w:val="left" w:pos="720"/>
          <w:tab w:val="left" w:pos="1440"/>
          <w:tab w:val="left" w:pos="2160"/>
        </w:tabs>
        <w:jc w:val="both"/>
        <w:rPr>
          <w:sz w:val="22"/>
          <w:szCs w:val="22"/>
          <w:lang w:val="es-ES"/>
        </w:rPr>
      </w:pPr>
      <w:r w:rsidRPr="006F3ADF">
        <w:rPr>
          <w:sz w:val="22"/>
          <w:lang w:val="es-US"/>
        </w:rPr>
        <w:tab/>
      </w:r>
    </w:p>
    <w:p w14:paraId="5964BD51" w14:textId="082B2936" w:rsidR="00335A56" w:rsidRPr="00F2319C" w:rsidRDefault="00335A56" w:rsidP="00F2319C">
      <w:pPr>
        <w:numPr>
          <w:ilvl w:val="0"/>
          <w:numId w:val="19"/>
        </w:numPr>
        <w:tabs>
          <w:tab w:val="left" w:pos="720"/>
          <w:tab w:val="left" w:pos="1440"/>
          <w:tab w:val="left" w:pos="2160"/>
        </w:tabs>
        <w:ind w:left="0" w:firstLine="0"/>
        <w:jc w:val="both"/>
        <w:rPr>
          <w:b/>
          <w:sz w:val="22"/>
          <w:szCs w:val="22"/>
        </w:rPr>
      </w:pPr>
      <w:proofErr w:type="spellStart"/>
      <w:r w:rsidRPr="00F2319C">
        <w:rPr>
          <w:b/>
          <w:sz w:val="22"/>
          <w:szCs w:val="22"/>
        </w:rPr>
        <w:t>Resultados</w:t>
      </w:r>
      <w:proofErr w:type="spellEnd"/>
      <w:r w:rsidRPr="00F2319C">
        <w:rPr>
          <w:b/>
          <w:sz w:val="22"/>
          <w:szCs w:val="22"/>
        </w:rPr>
        <w:t xml:space="preserve"> de la </w:t>
      </w:r>
      <w:proofErr w:type="spellStart"/>
      <w:r w:rsidR="00F2319C">
        <w:rPr>
          <w:b/>
          <w:sz w:val="22"/>
          <w:szCs w:val="22"/>
        </w:rPr>
        <w:t>reunión</w:t>
      </w:r>
      <w:proofErr w:type="spellEnd"/>
      <w:r w:rsidRPr="00F2319C">
        <w:rPr>
          <w:b/>
          <w:sz w:val="22"/>
          <w:szCs w:val="22"/>
        </w:rPr>
        <w:t xml:space="preserve"> </w:t>
      </w:r>
    </w:p>
    <w:p w14:paraId="08BFAA51" w14:textId="77777777" w:rsidR="00335A56" w:rsidRPr="00F2319C" w:rsidRDefault="00335A56" w:rsidP="00BF6181">
      <w:pPr>
        <w:tabs>
          <w:tab w:val="left" w:pos="720"/>
          <w:tab w:val="left" w:pos="1440"/>
          <w:tab w:val="left" w:pos="2160"/>
        </w:tabs>
        <w:ind w:left="1440" w:hanging="720"/>
        <w:jc w:val="both"/>
        <w:rPr>
          <w:sz w:val="22"/>
          <w:szCs w:val="22"/>
        </w:rPr>
      </w:pPr>
    </w:p>
    <w:p w14:paraId="3BF58964" w14:textId="1C15567A" w:rsidR="00335A56" w:rsidRPr="00F2319C" w:rsidRDefault="00335A56" w:rsidP="00BF6181">
      <w:pPr>
        <w:pStyle w:val="ListParagraph0"/>
        <w:numPr>
          <w:ilvl w:val="0"/>
          <w:numId w:val="21"/>
        </w:numPr>
        <w:tabs>
          <w:tab w:val="left" w:pos="720"/>
          <w:tab w:val="left" w:pos="1440"/>
          <w:tab w:val="left" w:pos="2160"/>
        </w:tabs>
        <w:ind w:left="1440" w:hanging="720"/>
        <w:jc w:val="both"/>
        <w:rPr>
          <w:sz w:val="22"/>
          <w:szCs w:val="22"/>
          <w:lang w:val="es-ES"/>
        </w:rPr>
      </w:pPr>
      <w:r w:rsidRPr="00F2319C">
        <w:rPr>
          <w:sz w:val="22"/>
          <w:szCs w:val="22"/>
          <w:lang w:val="es-ES"/>
        </w:rPr>
        <w:t xml:space="preserve">Retroalimentación de los </w:t>
      </w:r>
      <w:r w:rsidR="00E3276D">
        <w:rPr>
          <w:sz w:val="22"/>
          <w:szCs w:val="22"/>
          <w:lang w:val="es-ES"/>
        </w:rPr>
        <w:t>E</w:t>
      </w:r>
      <w:r w:rsidRPr="00F2319C">
        <w:rPr>
          <w:sz w:val="22"/>
          <w:szCs w:val="22"/>
          <w:lang w:val="es-ES"/>
        </w:rPr>
        <w:t xml:space="preserve">stados </w:t>
      </w:r>
      <w:r w:rsidR="00E3276D">
        <w:rPr>
          <w:sz w:val="22"/>
          <w:szCs w:val="22"/>
          <w:lang w:val="es-ES"/>
        </w:rPr>
        <w:t>M</w:t>
      </w:r>
      <w:r w:rsidRPr="00F2319C">
        <w:rPr>
          <w:sz w:val="22"/>
          <w:szCs w:val="22"/>
          <w:lang w:val="es-ES"/>
        </w:rPr>
        <w:t>iembros sobre estrategias para acelerar la transición hacia la energía limpia.</w:t>
      </w:r>
    </w:p>
    <w:p w14:paraId="55A4A25C" w14:textId="77777777" w:rsidR="00335A56" w:rsidRPr="00F2319C" w:rsidRDefault="00335A56" w:rsidP="00BF6181">
      <w:pPr>
        <w:pStyle w:val="ListParagraph0"/>
        <w:tabs>
          <w:tab w:val="left" w:pos="720"/>
          <w:tab w:val="left" w:pos="1440"/>
          <w:tab w:val="left" w:pos="2160"/>
        </w:tabs>
        <w:ind w:left="1440" w:hanging="720"/>
        <w:jc w:val="both"/>
        <w:rPr>
          <w:sz w:val="22"/>
          <w:szCs w:val="22"/>
          <w:lang w:val="es-ES"/>
        </w:rPr>
      </w:pPr>
    </w:p>
    <w:p w14:paraId="27F585E1" w14:textId="483FB80C" w:rsidR="00335A56" w:rsidRPr="00F2319C" w:rsidRDefault="00335A56" w:rsidP="00BF6181">
      <w:pPr>
        <w:pStyle w:val="ListParagraph0"/>
        <w:numPr>
          <w:ilvl w:val="0"/>
          <w:numId w:val="21"/>
        </w:numPr>
        <w:tabs>
          <w:tab w:val="left" w:pos="720"/>
          <w:tab w:val="left" w:pos="1440"/>
          <w:tab w:val="left" w:pos="2160"/>
        </w:tabs>
        <w:ind w:left="1440" w:hanging="720"/>
        <w:jc w:val="both"/>
        <w:rPr>
          <w:sz w:val="22"/>
          <w:szCs w:val="22"/>
          <w:lang w:val="es-ES"/>
        </w:rPr>
      </w:pPr>
      <w:r w:rsidRPr="00F2319C">
        <w:rPr>
          <w:sz w:val="22"/>
          <w:szCs w:val="22"/>
          <w:lang w:val="es-ES"/>
        </w:rPr>
        <w:t xml:space="preserve">Recomendaciones específicas relacionadas con estrategias de mitigación que pueden ser implementadas </w:t>
      </w:r>
      <w:r w:rsidR="00E3276D">
        <w:rPr>
          <w:sz w:val="22"/>
          <w:szCs w:val="22"/>
          <w:lang w:val="es-ES"/>
        </w:rPr>
        <w:t>en</w:t>
      </w:r>
      <w:r w:rsidRPr="00F2319C">
        <w:rPr>
          <w:sz w:val="22"/>
          <w:szCs w:val="22"/>
          <w:lang w:val="es-ES"/>
        </w:rPr>
        <w:t xml:space="preserve"> el marco del Plan de Acción Interamericano sobre Cambio Climático 2023-2030.</w:t>
      </w:r>
    </w:p>
    <w:p w14:paraId="111DD624" w14:textId="77777777" w:rsidR="00335A56" w:rsidRPr="00F2319C" w:rsidRDefault="00335A56" w:rsidP="00BF6181">
      <w:pPr>
        <w:pStyle w:val="ListParagraph0"/>
        <w:tabs>
          <w:tab w:val="left" w:pos="720"/>
          <w:tab w:val="left" w:pos="1440"/>
          <w:tab w:val="left" w:pos="2160"/>
        </w:tabs>
        <w:ind w:left="1440" w:hanging="720"/>
        <w:jc w:val="both"/>
        <w:rPr>
          <w:sz w:val="22"/>
          <w:szCs w:val="22"/>
          <w:lang w:val="es-ES"/>
        </w:rPr>
      </w:pPr>
    </w:p>
    <w:p w14:paraId="40ACEEE8" w14:textId="5E241DA4" w:rsidR="00335A56" w:rsidRPr="00F2319C" w:rsidRDefault="00335A56" w:rsidP="00BF6181">
      <w:pPr>
        <w:pStyle w:val="ListParagraph0"/>
        <w:numPr>
          <w:ilvl w:val="0"/>
          <w:numId w:val="21"/>
        </w:numPr>
        <w:tabs>
          <w:tab w:val="left" w:pos="720"/>
          <w:tab w:val="left" w:pos="1440"/>
          <w:tab w:val="left" w:pos="2160"/>
        </w:tabs>
        <w:ind w:left="1440" w:hanging="720"/>
        <w:jc w:val="both"/>
        <w:rPr>
          <w:sz w:val="22"/>
          <w:szCs w:val="22"/>
          <w:lang w:val="es-ES"/>
        </w:rPr>
      </w:pPr>
      <w:r w:rsidRPr="00F2319C">
        <w:rPr>
          <w:sz w:val="22"/>
          <w:szCs w:val="22"/>
          <w:lang w:val="es-ES"/>
        </w:rPr>
        <w:t xml:space="preserve">Puntos clave para apoyar la formulación de la agenda de la </w:t>
      </w:r>
      <w:r w:rsidR="00E3276D">
        <w:rPr>
          <w:sz w:val="22"/>
          <w:szCs w:val="22"/>
          <w:lang w:val="es-ES"/>
        </w:rPr>
        <w:t>Sexta</w:t>
      </w:r>
      <w:r w:rsidRPr="00F2319C">
        <w:rPr>
          <w:sz w:val="22"/>
          <w:szCs w:val="22"/>
          <w:lang w:val="es-ES"/>
        </w:rPr>
        <w:t xml:space="preserve"> Reunión Ministerial de</w:t>
      </w:r>
      <w:r w:rsidR="00E3276D">
        <w:rPr>
          <w:sz w:val="22"/>
          <w:szCs w:val="22"/>
          <w:lang w:val="es-ES"/>
        </w:rPr>
        <w:t xml:space="preserve"> la</w:t>
      </w:r>
      <w:r w:rsidRPr="00F2319C">
        <w:rPr>
          <w:sz w:val="22"/>
          <w:szCs w:val="22"/>
          <w:lang w:val="es-ES"/>
        </w:rPr>
        <w:t xml:space="preserve"> ECPA.</w:t>
      </w:r>
    </w:p>
    <w:p w14:paraId="3A66FB38" w14:textId="07EFBDF7" w:rsidR="001226D6" w:rsidRPr="00F2319C" w:rsidRDefault="00DC45E2" w:rsidP="00832B68">
      <w:pPr>
        <w:rPr>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13575D36" wp14:editId="0F9009FA">
                <wp:simplePos x="0" y="0"/>
                <wp:positionH relativeFrom="column">
                  <wp:posOffset>-91440</wp:posOffset>
                </wp:positionH>
                <wp:positionV relativeFrom="page">
                  <wp:posOffset>9144000</wp:posOffset>
                </wp:positionV>
                <wp:extent cx="3383280" cy="228600"/>
                <wp:effectExtent l="0" t="0" r="0" b="0"/>
                <wp:wrapNone/>
                <wp:docPr id="7453178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25D8636" w14:textId="6C8B4DB7" w:rsidR="00DC45E2" w:rsidRPr="00DC45E2" w:rsidRDefault="00DC45E2">
                            <w:pPr>
                              <w:rPr>
                                <w:sz w:val="18"/>
                              </w:rPr>
                            </w:pPr>
                            <w:r>
                              <w:rPr>
                                <w:sz w:val="18"/>
                              </w:rPr>
                              <w:fldChar w:fldCharType="begin"/>
                            </w:r>
                            <w:r>
                              <w:rPr>
                                <w:sz w:val="18"/>
                              </w:rPr>
                              <w:instrText xml:space="preserve"> FILENAME  \* MERGEFORMAT </w:instrText>
                            </w:r>
                            <w:r>
                              <w:rPr>
                                <w:sz w:val="18"/>
                              </w:rPr>
                              <w:fldChar w:fldCharType="separate"/>
                            </w:r>
                            <w:r>
                              <w:rPr>
                                <w:noProof/>
                                <w:sz w:val="18"/>
                              </w:rPr>
                              <w:t>CIDRP03986S01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575D36"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25D8636" w14:textId="6C8B4DB7" w:rsidR="00DC45E2" w:rsidRPr="00DC45E2" w:rsidRDefault="00DC45E2">
                      <w:pPr>
                        <w:rPr>
                          <w:sz w:val="18"/>
                        </w:rPr>
                      </w:pPr>
                      <w:r>
                        <w:rPr>
                          <w:sz w:val="18"/>
                        </w:rPr>
                        <w:fldChar w:fldCharType="begin"/>
                      </w:r>
                      <w:r>
                        <w:rPr>
                          <w:sz w:val="18"/>
                        </w:rPr>
                        <w:instrText xml:space="preserve"> FILENAME  \* MERGEFORMAT </w:instrText>
                      </w:r>
                      <w:r>
                        <w:rPr>
                          <w:sz w:val="18"/>
                        </w:rPr>
                        <w:fldChar w:fldCharType="separate"/>
                      </w:r>
                      <w:r>
                        <w:rPr>
                          <w:noProof/>
                          <w:sz w:val="18"/>
                        </w:rPr>
                        <w:t>CIDRP03986S01</w:t>
                      </w:r>
                      <w:r>
                        <w:rPr>
                          <w:sz w:val="18"/>
                        </w:rPr>
                        <w:fldChar w:fldCharType="end"/>
                      </w:r>
                    </w:p>
                  </w:txbxContent>
                </v:textbox>
                <w10:wrap anchory="page"/>
                <w10:anchorlock/>
              </v:shape>
            </w:pict>
          </mc:Fallback>
        </mc:AlternateContent>
      </w:r>
    </w:p>
    <w:sectPr w:rsidR="001226D6" w:rsidRPr="00F2319C"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FD80" w14:textId="77777777" w:rsidR="008628FC" w:rsidRDefault="008628FC">
      <w:r>
        <w:separator/>
      </w:r>
    </w:p>
  </w:endnote>
  <w:endnote w:type="continuationSeparator" w:id="0">
    <w:p w14:paraId="4012DC44" w14:textId="77777777" w:rsidR="008628FC" w:rsidRDefault="008628FC">
      <w:r>
        <w:continuationSeparator/>
      </w:r>
    </w:p>
  </w:endnote>
  <w:endnote w:type="continuationNotice" w:id="1">
    <w:p w14:paraId="3E33F8CA" w14:textId="77777777" w:rsidR="008628FC" w:rsidRDefault="00862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BD6D" w14:textId="77777777" w:rsidR="008628FC" w:rsidRDefault="008628FC">
      <w:r>
        <w:separator/>
      </w:r>
    </w:p>
  </w:footnote>
  <w:footnote w:type="continuationSeparator" w:id="0">
    <w:p w14:paraId="46384F67" w14:textId="77777777" w:rsidR="008628FC" w:rsidRDefault="008628FC">
      <w:r>
        <w:continuationSeparator/>
      </w:r>
    </w:p>
  </w:footnote>
  <w:footnote w:type="continuationNotice" w:id="1">
    <w:p w14:paraId="4D013E8B" w14:textId="77777777" w:rsidR="008628FC" w:rsidRDefault="00862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4807" w14:textId="77777777" w:rsidR="001226D6" w:rsidRDefault="00D23723">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4EBE" w14:textId="77777777" w:rsidR="001226D6" w:rsidRDefault="00D2372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B7DA1" w14:textId="3F6BC7B4" w:rsidR="001226D6" w:rsidRPr="00477308" w:rsidRDefault="00D23723">
                          <w:pPr>
                            <w:pStyle w:val="Header"/>
                            <w:tabs>
                              <w:tab w:val="left" w:pos="900"/>
                            </w:tabs>
                            <w:spacing w:line="0" w:lineRule="atLeast"/>
                            <w:jc w:val="center"/>
                            <w:rPr>
                              <w:rFonts w:ascii="Garamond" w:hAnsi="Garamond"/>
                              <w:b/>
                              <w:sz w:val="28"/>
                              <w:szCs w:val="28"/>
                              <w:lang w:val="es-ES"/>
                            </w:rPr>
                          </w:pPr>
                          <w:r w:rsidRPr="00477308">
                            <w:rPr>
                              <w:rFonts w:ascii="Garamond" w:hAnsi="Garamond"/>
                              <w:b/>
                              <w:sz w:val="28"/>
                              <w:szCs w:val="28"/>
                              <w:lang w:val="es-ES"/>
                            </w:rPr>
                            <w:t xml:space="preserve">ORGANIZACIÓN DE </w:t>
                          </w:r>
                          <w:r w:rsidR="00BD6EAD" w:rsidRPr="00477308">
                            <w:rPr>
                              <w:rFonts w:ascii="Garamond" w:hAnsi="Garamond"/>
                              <w:b/>
                              <w:sz w:val="28"/>
                              <w:szCs w:val="28"/>
                              <w:lang w:val="es-ES"/>
                            </w:rPr>
                            <w:t xml:space="preserve">LOS </w:t>
                          </w:r>
                          <w:r w:rsidRPr="00477308">
                            <w:rPr>
                              <w:rFonts w:ascii="Garamond" w:hAnsi="Garamond"/>
                              <w:b/>
                              <w:sz w:val="28"/>
                              <w:szCs w:val="28"/>
                              <w:lang w:val="es-ES"/>
                            </w:rPr>
                            <w:t xml:space="preserve">ESTADOS AMERICANOS </w:t>
                          </w:r>
                        </w:p>
                        <w:p w14:paraId="634F79E1" w14:textId="77777777" w:rsidR="001226D6" w:rsidRPr="00513012" w:rsidRDefault="00D23723">
                          <w:pPr>
                            <w:pStyle w:val="Header"/>
                            <w:tabs>
                              <w:tab w:val="left" w:pos="900"/>
                            </w:tabs>
                            <w:spacing w:line="0" w:lineRule="atLeast"/>
                            <w:jc w:val="center"/>
                            <w:rPr>
                              <w:rFonts w:ascii="Garamond" w:hAnsi="Garamond"/>
                              <w:b/>
                              <w:sz w:val="24"/>
                              <w:szCs w:val="24"/>
                              <w:lang w:val="es-ES"/>
                            </w:rPr>
                          </w:pPr>
                          <w:r w:rsidRPr="00513012">
                            <w:rPr>
                              <w:rFonts w:ascii="Garamond" w:hAnsi="Garamond"/>
                              <w:b/>
                              <w:sz w:val="24"/>
                              <w:szCs w:val="24"/>
                              <w:lang w:val="es-ES"/>
                            </w:rPr>
                            <w:t xml:space="preserve">Consejo Interamericano para el Desarrollo Integral </w:t>
                          </w:r>
                        </w:p>
                        <w:p w14:paraId="7B039842" w14:textId="77777777" w:rsidR="001226D6" w:rsidRPr="00513012" w:rsidRDefault="00D23723">
                          <w:pPr>
                            <w:pStyle w:val="Header"/>
                            <w:tabs>
                              <w:tab w:val="left" w:pos="900"/>
                            </w:tabs>
                            <w:spacing w:line="0" w:lineRule="atLeast"/>
                            <w:jc w:val="center"/>
                            <w:rPr>
                              <w:b/>
                              <w:sz w:val="24"/>
                              <w:szCs w:val="24"/>
                            </w:rPr>
                          </w:pPr>
                          <w:r w:rsidRPr="00513012">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2" o:sp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763B7DA1" w14:textId="3F6BC7B4" w:rsidR="001226D6" w:rsidRPr="00477308" w:rsidRDefault="00D23723">
                    <w:pPr>
                      <w:pStyle w:val="Header"/>
                      <w:tabs>
                        <w:tab w:val="left" w:pos="900"/>
                      </w:tabs>
                      <w:spacing w:line="0" w:lineRule="atLeast"/>
                      <w:jc w:val="center"/>
                      <w:rPr>
                        <w:rFonts w:ascii="Garamond" w:hAnsi="Garamond"/>
                        <w:b/>
                        <w:sz w:val="28"/>
                        <w:szCs w:val="28"/>
                        <w:lang w:val="es-ES"/>
                      </w:rPr>
                    </w:pPr>
                    <w:r w:rsidRPr="00477308">
                      <w:rPr>
                        <w:rFonts w:ascii="Garamond" w:hAnsi="Garamond"/>
                        <w:b/>
                        <w:sz w:val="28"/>
                        <w:szCs w:val="28"/>
                        <w:lang w:val="es-ES"/>
                      </w:rPr>
                      <w:t xml:space="preserve">ORGANIZACIÓN DE </w:t>
                    </w:r>
                    <w:r w:rsidR="00BD6EAD" w:rsidRPr="00477308">
                      <w:rPr>
                        <w:rFonts w:ascii="Garamond" w:hAnsi="Garamond"/>
                        <w:b/>
                        <w:sz w:val="28"/>
                        <w:szCs w:val="28"/>
                        <w:lang w:val="es-ES"/>
                      </w:rPr>
                      <w:t xml:space="preserve">LOS </w:t>
                    </w:r>
                    <w:r w:rsidRPr="00477308">
                      <w:rPr>
                        <w:rFonts w:ascii="Garamond" w:hAnsi="Garamond"/>
                        <w:b/>
                        <w:sz w:val="28"/>
                        <w:szCs w:val="28"/>
                        <w:lang w:val="es-ES"/>
                      </w:rPr>
                      <w:t xml:space="preserve">ESTADOS AMERICANOS </w:t>
                    </w:r>
                  </w:p>
                  <w:p w14:paraId="634F79E1" w14:textId="77777777" w:rsidR="001226D6" w:rsidRPr="00513012" w:rsidRDefault="00D23723">
                    <w:pPr>
                      <w:pStyle w:val="Header"/>
                      <w:tabs>
                        <w:tab w:val="left" w:pos="900"/>
                      </w:tabs>
                      <w:spacing w:line="0" w:lineRule="atLeast"/>
                      <w:jc w:val="center"/>
                      <w:rPr>
                        <w:rFonts w:ascii="Garamond" w:hAnsi="Garamond"/>
                        <w:b/>
                        <w:sz w:val="24"/>
                        <w:szCs w:val="24"/>
                        <w:lang w:val="es-ES"/>
                      </w:rPr>
                    </w:pPr>
                    <w:r w:rsidRPr="00513012">
                      <w:rPr>
                        <w:rFonts w:ascii="Garamond" w:hAnsi="Garamond"/>
                        <w:b/>
                        <w:sz w:val="24"/>
                        <w:szCs w:val="24"/>
                        <w:lang w:val="es-ES"/>
                      </w:rPr>
                      <w:t xml:space="preserve">Consejo Interamericano para el Desarrollo Integral </w:t>
                    </w:r>
                  </w:p>
                  <w:p w14:paraId="7B039842" w14:textId="77777777" w:rsidR="001226D6" w:rsidRPr="00513012" w:rsidRDefault="00D23723">
                    <w:pPr>
                      <w:pStyle w:val="Header"/>
                      <w:tabs>
                        <w:tab w:val="left" w:pos="900"/>
                      </w:tabs>
                      <w:spacing w:line="0" w:lineRule="atLeast"/>
                      <w:jc w:val="center"/>
                      <w:rPr>
                        <w:b/>
                        <w:sz w:val="24"/>
                        <w:szCs w:val="24"/>
                      </w:rPr>
                    </w:pPr>
                    <w:r w:rsidRPr="00513012">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5D7CA6"/>
    <w:multiLevelType w:val="hybridMultilevel"/>
    <w:tmpl w:val="959AB0EC"/>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A6EF8"/>
    <w:multiLevelType w:val="hybridMultilevel"/>
    <w:tmpl w:val="601A2C9E"/>
    <w:lvl w:ilvl="0" w:tplc="04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5"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B2815"/>
    <w:multiLevelType w:val="hybridMultilevel"/>
    <w:tmpl w:val="530EB32E"/>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50164">
    <w:abstractNumId w:val="24"/>
  </w:num>
  <w:num w:numId="2" w16cid:durableId="465204761">
    <w:abstractNumId w:val="12"/>
  </w:num>
  <w:num w:numId="3" w16cid:durableId="977300621">
    <w:abstractNumId w:val="3"/>
  </w:num>
  <w:num w:numId="4" w16cid:durableId="525631470">
    <w:abstractNumId w:val="28"/>
  </w:num>
  <w:num w:numId="5" w16cid:durableId="1444884064">
    <w:abstractNumId w:val="13"/>
  </w:num>
  <w:num w:numId="6" w16cid:durableId="959383040">
    <w:abstractNumId w:val="12"/>
  </w:num>
  <w:num w:numId="7" w16cid:durableId="964237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4"/>
  </w:num>
  <w:num w:numId="9" w16cid:durableId="1655914027">
    <w:abstractNumId w:val="0"/>
  </w:num>
  <w:num w:numId="10" w16cid:durableId="1585914505">
    <w:abstractNumId w:val="19"/>
  </w:num>
  <w:num w:numId="11" w16cid:durableId="1996295655">
    <w:abstractNumId w:val="21"/>
  </w:num>
  <w:num w:numId="12" w16cid:durableId="1736320137">
    <w:abstractNumId w:val="29"/>
  </w:num>
  <w:num w:numId="13" w16cid:durableId="1728409626">
    <w:abstractNumId w:val="5"/>
  </w:num>
  <w:num w:numId="14" w16cid:durableId="1670281503">
    <w:abstractNumId w:val="26"/>
  </w:num>
  <w:num w:numId="15" w16cid:durableId="1270358227">
    <w:abstractNumId w:val="16"/>
  </w:num>
  <w:num w:numId="16" w16cid:durableId="134563570">
    <w:abstractNumId w:val="4"/>
  </w:num>
  <w:num w:numId="17" w16cid:durableId="684863805">
    <w:abstractNumId w:val="30"/>
  </w:num>
  <w:num w:numId="18" w16cid:durableId="569342981">
    <w:abstractNumId w:val="2"/>
  </w:num>
  <w:num w:numId="19" w16cid:durableId="13781194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8"/>
  </w:num>
  <w:num w:numId="22" w16cid:durableId="566764822">
    <w:abstractNumId w:val="7"/>
  </w:num>
  <w:num w:numId="23" w16cid:durableId="311787379">
    <w:abstractNumId w:val="20"/>
  </w:num>
  <w:num w:numId="24" w16cid:durableId="527959801">
    <w:abstractNumId w:val="14"/>
  </w:num>
  <w:num w:numId="25" w16cid:durableId="1682077795">
    <w:abstractNumId w:val="1"/>
  </w:num>
  <w:num w:numId="26" w16cid:durableId="442967272">
    <w:abstractNumId w:val="9"/>
  </w:num>
  <w:num w:numId="27" w16cid:durableId="1455439429">
    <w:abstractNumId w:val="6"/>
  </w:num>
  <w:num w:numId="28" w16cid:durableId="54207189">
    <w:abstractNumId w:val="25"/>
  </w:num>
  <w:num w:numId="29" w16cid:durableId="127013697">
    <w:abstractNumId w:val="23"/>
  </w:num>
  <w:num w:numId="30" w16cid:durableId="1382359400">
    <w:abstractNumId w:val="22"/>
  </w:num>
  <w:num w:numId="31" w16cid:durableId="139885721">
    <w:abstractNumId w:val="17"/>
  </w:num>
  <w:num w:numId="32" w16cid:durableId="2077972343">
    <w:abstractNumId w:val="18"/>
  </w:num>
  <w:num w:numId="33" w16cid:durableId="987630933">
    <w:abstractNumId w:val="11"/>
  </w:num>
  <w:num w:numId="34" w16cid:durableId="1217738841">
    <w:abstractNumId w:val="27"/>
  </w:num>
  <w:num w:numId="35" w16cid:durableId="679270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4AC6"/>
    <w:rsid w:val="00011272"/>
    <w:rsid w:val="000129E8"/>
    <w:rsid w:val="000165B4"/>
    <w:rsid w:val="000205EC"/>
    <w:rsid w:val="00032E3E"/>
    <w:rsid w:val="0003389F"/>
    <w:rsid w:val="000427B5"/>
    <w:rsid w:val="00044808"/>
    <w:rsid w:val="00050886"/>
    <w:rsid w:val="00052F38"/>
    <w:rsid w:val="00053DF9"/>
    <w:rsid w:val="000546DE"/>
    <w:rsid w:val="00056200"/>
    <w:rsid w:val="000610BE"/>
    <w:rsid w:val="00061861"/>
    <w:rsid w:val="00064A6B"/>
    <w:rsid w:val="00064DCC"/>
    <w:rsid w:val="000661F4"/>
    <w:rsid w:val="00066D87"/>
    <w:rsid w:val="00070537"/>
    <w:rsid w:val="000717C2"/>
    <w:rsid w:val="000736AA"/>
    <w:rsid w:val="00073CCC"/>
    <w:rsid w:val="00074325"/>
    <w:rsid w:val="00074E66"/>
    <w:rsid w:val="000767EC"/>
    <w:rsid w:val="00086B35"/>
    <w:rsid w:val="000877D5"/>
    <w:rsid w:val="000969F9"/>
    <w:rsid w:val="00097899"/>
    <w:rsid w:val="000A0C9A"/>
    <w:rsid w:val="000A18DF"/>
    <w:rsid w:val="000A1DDC"/>
    <w:rsid w:val="000A67FD"/>
    <w:rsid w:val="000A712B"/>
    <w:rsid w:val="000A72E3"/>
    <w:rsid w:val="000B1FCF"/>
    <w:rsid w:val="000B43F5"/>
    <w:rsid w:val="000B6478"/>
    <w:rsid w:val="000C3438"/>
    <w:rsid w:val="000C344F"/>
    <w:rsid w:val="000D4368"/>
    <w:rsid w:val="000D540D"/>
    <w:rsid w:val="000D6070"/>
    <w:rsid w:val="000D7601"/>
    <w:rsid w:val="000E313E"/>
    <w:rsid w:val="000E439E"/>
    <w:rsid w:val="000E5242"/>
    <w:rsid w:val="000E5F95"/>
    <w:rsid w:val="000E6C8E"/>
    <w:rsid w:val="00100FE1"/>
    <w:rsid w:val="001069A4"/>
    <w:rsid w:val="00106D57"/>
    <w:rsid w:val="001226D6"/>
    <w:rsid w:val="00124219"/>
    <w:rsid w:val="001259E2"/>
    <w:rsid w:val="0012611C"/>
    <w:rsid w:val="0013037E"/>
    <w:rsid w:val="00133A15"/>
    <w:rsid w:val="001405C9"/>
    <w:rsid w:val="00142D34"/>
    <w:rsid w:val="001467B5"/>
    <w:rsid w:val="00146FB1"/>
    <w:rsid w:val="00150AE4"/>
    <w:rsid w:val="00152D2E"/>
    <w:rsid w:val="00153DD8"/>
    <w:rsid w:val="0015578F"/>
    <w:rsid w:val="0016660D"/>
    <w:rsid w:val="00166C73"/>
    <w:rsid w:val="00171B89"/>
    <w:rsid w:val="00180746"/>
    <w:rsid w:val="00183C2C"/>
    <w:rsid w:val="001842C2"/>
    <w:rsid w:val="00187D59"/>
    <w:rsid w:val="001A09CE"/>
    <w:rsid w:val="001A4BBB"/>
    <w:rsid w:val="001B0828"/>
    <w:rsid w:val="001B0AB0"/>
    <w:rsid w:val="001B5E4B"/>
    <w:rsid w:val="001C1362"/>
    <w:rsid w:val="001C6DC5"/>
    <w:rsid w:val="001C74F1"/>
    <w:rsid w:val="001D0221"/>
    <w:rsid w:val="001D738C"/>
    <w:rsid w:val="001E29E7"/>
    <w:rsid w:val="001E3150"/>
    <w:rsid w:val="001E3438"/>
    <w:rsid w:val="001E3547"/>
    <w:rsid w:val="001E3C78"/>
    <w:rsid w:val="001F1DF5"/>
    <w:rsid w:val="001F2739"/>
    <w:rsid w:val="002001DE"/>
    <w:rsid w:val="00201D8D"/>
    <w:rsid w:val="0020227F"/>
    <w:rsid w:val="002024FE"/>
    <w:rsid w:val="00203839"/>
    <w:rsid w:val="0020460C"/>
    <w:rsid w:val="002050F0"/>
    <w:rsid w:val="002135EF"/>
    <w:rsid w:val="002151D3"/>
    <w:rsid w:val="00217F89"/>
    <w:rsid w:val="00222AFE"/>
    <w:rsid w:val="00223E5C"/>
    <w:rsid w:val="00223FF7"/>
    <w:rsid w:val="00224C3F"/>
    <w:rsid w:val="00225597"/>
    <w:rsid w:val="0023460B"/>
    <w:rsid w:val="00234996"/>
    <w:rsid w:val="00235CB9"/>
    <w:rsid w:val="00237037"/>
    <w:rsid w:val="00243754"/>
    <w:rsid w:val="00250AA2"/>
    <w:rsid w:val="00264202"/>
    <w:rsid w:val="0026449A"/>
    <w:rsid w:val="002678ED"/>
    <w:rsid w:val="00267E1B"/>
    <w:rsid w:val="002706D3"/>
    <w:rsid w:val="0027412E"/>
    <w:rsid w:val="00277682"/>
    <w:rsid w:val="002777A5"/>
    <w:rsid w:val="00277903"/>
    <w:rsid w:val="002822E7"/>
    <w:rsid w:val="0028278B"/>
    <w:rsid w:val="00282ED9"/>
    <w:rsid w:val="0028696A"/>
    <w:rsid w:val="00286D8C"/>
    <w:rsid w:val="00292BA9"/>
    <w:rsid w:val="002A03E9"/>
    <w:rsid w:val="002A04C5"/>
    <w:rsid w:val="002A0CE5"/>
    <w:rsid w:val="002A1985"/>
    <w:rsid w:val="002A1CB2"/>
    <w:rsid w:val="002A3CB5"/>
    <w:rsid w:val="002A5885"/>
    <w:rsid w:val="002A63EC"/>
    <w:rsid w:val="002B248D"/>
    <w:rsid w:val="002B2DE0"/>
    <w:rsid w:val="002B76ED"/>
    <w:rsid w:val="002C12FB"/>
    <w:rsid w:val="002C6142"/>
    <w:rsid w:val="002C6B0D"/>
    <w:rsid w:val="002D4050"/>
    <w:rsid w:val="002D412D"/>
    <w:rsid w:val="002E2B13"/>
    <w:rsid w:val="002E2CC7"/>
    <w:rsid w:val="002E609F"/>
    <w:rsid w:val="002F0A27"/>
    <w:rsid w:val="002F0AF9"/>
    <w:rsid w:val="002F25F2"/>
    <w:rsid w:val="002F36D8"/>
    <w:rsid w:val="002F397F"/>
    <w:rsid w:val="002F5352"/>
    <w:rsid w:val="00303BBB"/>
    <w:rsid w:val="00305E93"/>
    <w:rsid w:val="0031130C"/>
    <w:rsid w:val="003116AC"/>
    <w:rsid w:val="00312748"/>
    <w:rsid w:val="0032713A"/>
    <w:rsid w:val="00327C07"/>
    <w:rsid w:val="00330088"/>
    <w:rsid w:val="003302CF"/>
    <w:rsid w:val="00335A56"/>
    <w:rsid w:val="00335ABE"/>
    <w:rsid w:val="003366D5"/>
    <w:rsid w:val="00337A39"/>
    <w:rsid w:val="00342F61"/>
    <w:rsid w:val="00345C27"/>
    <w:rsid w:val="00345DCF"/>
    <w:rsid w:val="003461B2"/>
    <w:rsid w:val="00350910"/>
    <w:rsid w:val="003529F3"/>
    <w:rsid w:val="00352BB7"/>
    <w:rsid w:val="00353D7A"/>
    <w:rsid w:val="00357684"/>
    <w:rsid w:val="00362D68"/>
    <w:rsid w:val="0037540E"/>
    <w:rsid w:val="0037599C"/>
    <w:rsid w:val="003775B4"/>
    <w:rsid w:val="003805E5"/>
    <w:rsid w:val="003836D2"/>
    <w:rsid w:val="00390A70"/>
    <w:rsid w:val="00390D0F"/>
    <w:rsid w:val="003923A6"/>
    <w:rsid w:val="003945DC"/>
    <w:rsid w:val="003A5B70"/>
    <w:rsid w:val="003B0B19"/>
    <w:rsid w:val="003B40C4"/>
    <w:rsid w:val="003C2402"/>
    <w:rsid w:val="003C332F"/>
    <w:rsid w:val="003C448A"/>
    <w:rsid w:val="003D0721"/>
    <w:rsid w:val="003D13AD"/>
    <w:rsid w:val="003D4305"/>
    <w:rsid w:val="003E687F"/>
    <w:rsid w:val="003F023D"/>
    <w:rsid w:val="003F09DF"/>
    <w:rsid w:val="003F4FA0"/>
    <w:rsid w:val="003F6FF7"/>
    <w:rsid w:val="00413FE5"/>
    <w:rsid w:val="00414A9D"/>
    <w:rsid w:val="00415C84"/>
    <w:rsid w:val="00420AA2"/>
    <w:rsid w:val="00421AA1"/>
    <w:rsid w:val="004227D9"/>
    <w:rsid w:val="004234FB"/>
    <w:rsid w:val="00427879"/>
    <w:rsid w:val="004279F5"/>
    <w:rsid w:val="00435ACA"/>
    <w:rsid w:val="00457B19"/>
    <w:rsid w:val="0046163D"/>
    <w:rsid w:val="00461F49"/>
    <w:rsid w:val="0046301C"/>
    <w:rsid w:val="00463A6B"/>
    <w:rsid w:val="0046512F"/>
    <w:rsid w:val="00467A8F"/>
    <w:rsid w:val="00476255"/>
    <w:rsid w:val="00476E68"/>
    <w:rsid w:val="00477308"/>
    <w:rsid w:val="0048478B"/>
    <w:rsid w:val="00490731"/>
    <w:rsid w:val="00493B12"/>
    <w:rsid w:val="00496190"/>
    <w:rsid w:val="00496643"/>
    <w:rsid w:val="00496BBC"/>
    <w:rsid w:val="00497443"/>
    <w:rsid w:val="004A1D26"/>
    <w:rsid w:val="004A6065"/>
    <w:rsid w:val="004A7C48"/>
    <w:rsid w:val="004B2B39"/>
    <w:rsid w:val="004B387B"/>
    <w:rsid w:val="004B5C41"/>
    <w:rsid w:val="004D2279"/>
    <w:rsid w:val="004D44C9"/>
    <w:rsid w:val="004D6937"/>
    <w:rsid w:val="004D6E2B"/>
    <w:rsid w:val="004E18BB"/>
    <w:rsid w:val="004F0EF3"/>
    <w:rsid w:val="004F4571"/>
    <w:rsid w:val="004F6805"/>
    <w:rsid w:val="0050011F"/>
    <w:rsid w:val="00502854"/>
    <w:rsid w:val="0050667F"/>
    <w:rsid w:val="005112C3"/>
    <w:rsid w:val="00512AA5"/>
    <w:rsid w:val="00513012"/>
    <w:rsid w:val="00513B4E"/>
    <w:rsid w:val="00514812"/>
    <w:rsid w:val="00514EDB"/>
    <w:rsid w:val="005336D0"/>
    <w:rsid w:val="0053678B"/>
    <w:rsid w:val="00540938"/>
    <w:rsid w:val="00543F30"/>
    <w:rsid w:val="005462E3"/>
    <w:rsid w:val="00551063"/>
    <w:rsid w:val="00551805"/>
    <w:rsid w:val="0055186F"/>
    <w:rsid w:val="00560C7A"/>
    <w:rsid w:val="00564C90"/>
    <w:rsid w:val="00564FA3"/>
    <w:rsid w:val="00567152"/>
    <w:rsid w:val="00567200"/>
    <w:rsid w:val="005679D8"/>
    <w:rsid w:val="00572067"/>
    <w:rsid w:val="00575511"/>
    <w:rsid w:val="00575576"/>
    <w:rsid w:val="00577517"/>
    <w:rsid w:val="00577B48"/>
    <w:rsid w:val="0058420A"/>
    <w:rsid w:val="0058459D"/>
    <w:rsid w:val="00591B36"/>
    <w:rsid w:val="00594069"/>
    <w:rsid w:val="00596833"/>
    <w:rsid w:val="005A5372"/>
    <w:rsid w:val="005A760A"/>
    <w:rsid w:val="005B0464"/>
    <w:rsid w:val="005B5F61"/>
    <w:rsid w:val="005B7D03"/>
    <w:rsid w:val="005C20AF"/>
    <w:rsid w:val="005C7AA5"/>
    <w:rsid w:val="005D1365"/>
    <w:rsid w:val="005D2A4F"/>
    <w:rsid w:val="005D44CE"/>
    <w:rsid w:val="005D4508"/>
    <w:rsid w:val="005D59DC"/>
    <w:rsid w:val="005D74F2"/>
    <w:rsid w:val="005D7D68"/>
    <w:rsid w:val="005E004D"/>
    <w:rsid w:val="005E085B"/>
    <w:rsid w:val="005F1964"/>
    <w:rsid w:val="005F29C1"/>
    <w:rsid w:val="005F617E"/>
    <w:rsid w:val="005F78BB"/>
    <w:rsid w:val="00602980"/>
    <w:rsid w:val="00604C28"/>
    <w:rsid w:val="0060547A"/>
    <w:rsid w:val="006123C5"/>
    <w:rsid w:val="00612E0C"/>
    <w:rsid w:val="006140A6"/>
    <w:rsid w:val="0061602F"/>
    <w:rsid w:val="00622F41"/>
    <w:rsid w:val="00624DA5"/>
    <w:rsid w:val="006251D4"/>
    <w:rsid w:val="00631CAD"/>
    <w:rsid w:val="0063216D"/>
    <w:rsid w:val="00633E20"/>
    <w:rsid w:val="00634DFE"/>
    <w:rsid w:val="00634E7B"/>
    <w:rsid w:val="006363C4"/>
    <w:rsid w:val="006374D0"/>
    <w:rsid w:val="00642E66"/>
    <w:rsid w:val="0064648A"/>
    <w:rsid w:val="006553DD"/>
    <w:rsid w:val="00655B90"/>
    <w:rsid w:val="00663D49"/>
    <w:rsid w:val="00665985"/>
    <w:rsid w:val="00666B25"/>
    <w:rsid w:val="00670E8A"/>
    <w:rsid w:val="006711F3"/>
    <w:rsid w:val="00675F54"/>
    <w:rsid w:val="00676A69"/>
    <w:rsid w:val="00680EA5"/>
    <w:rsid w:val="006839FF"/>
    <w:rsid w:val="00685580"/>
    <w:rsid w:val="00686FEA"/>
    <w:rsid w:val="00691B9D"/>
    <w:rsid w:val="006949BA"/>
    <w:rsid w:val="00695B74"/>
    <w:rsid w:val="0069766D"/>
    <w:rsid w:val="006A1A6B"/>
    <w:rsid w:val="006A3BD3"/>
    <w:rsid w:val="006A483E"/>
    <w:rsid w:val="006A545B"/>
    <w:rsid w:val="006A6025"/>
    <w:rsid w:val="006A67F9"/>
    <w:rsid w:val="006B12C0"/>
    <w:rsid w:val="006B21AD"/>
    <w:rsid w:val="006B3BA2"/>
    <w:rsid w:val="006B68E2"/>
    <w:rsid w:val="006B710A"/>
    <w:rsid w:val="006C2539"/>
    <w:rsid w:val="006C6F0E"/>
    <w:rsid w:val="006D11BB"/>
    <w:rsid w:val="006D3DEE"/>
    <w:rsid w:val="006D7239"/>
    <w:rsid w:val="006E4145"/>
    <w:rsid w:val="006F0712"/>
    <w:rsid w:val="006F3ADF"/>
    <w:rsid w:val="006F4488"/>
    <w:rsid w:val="006F619F"/>
    <w:rsid w:val="007123CD"/>
    <w:rsid w:val="00721843"/>
    <w:rsid w:val="00722693"/>
    <w:rsid w:val="00723DE2"/>
    <w:rsid w:val="00723EE9"/>
    <w:rsid w:val="0072562F"/>
    <w:rsid w:val="00730E0A"/>
    <w:rsid w:val="00731A03"/>
    <w:rsid w:val="007325A6"/>
    <w:rsid w:val="0073480E"/>
    <w:rsid w:val="0073522A"/>
    <w:rsid w:val="0074309C"/>
    <w:rsid w:val="00743DD7"/>
    <w:rsid w:val="007443E9"/>
    <w:rsid w:val="007458B8"/>
    <w:rsid w:val="00746761"/>
    <w:rsid w:val="00756232"/>
    <w:rsid w:val="00756694"/>
    <w:rsid w:val="007648E4"/>
    <w:rsid w:val="00767DA1"/>
    <w:rsid w:val="007703A2"/>
    <w:rsid w:val="00772F05"/>
    <w:rsid w:val="00776B3C"/>
    <w:rsid w:val="00780249"/>
    <w:rsid w:val="00781CB8"/>
    <w:rsid w:val="00781D3F"/>
    <w:rsid w:val="00783480"/>
    <w:rsid w:val="00787435"/>
    <w:rsid w:val="00791916"/>
    <w:rsid w:val="00794A66"/>
    <w:rsid w:val="00794BF4"/>
    <w:rsid w:val="00796149"/>
    <w:rsid w:val="00797260"/>
    <w:rsid w:val="007A307C"/>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5C3E"/>
    <w:rsid w:val="007D764E"/>
    <w:rsid w:val="007E3B33"/>
    <w:rsid w:val="007E4931"/>
    <w:rsid w:val="007E4BB3"/>
    <w:rsid w:val="007E57B0"/>
    <w:rsid w:val="007E6D06"/>
    <w:rsid w:val="007F13AB"/>
    <w:rsid w:val="007F22EF"/>
    <w:rsid w:val="007F2774"/>
    <w:rsid w:val="007F764A"/>
    <w:rsid w:val="008015D7"/>
    <w:rsid w:val="00801C23"/>
    <w:rsid w:val="008023AC"/>
    <w:rsid w:val="008026FE"/>
    <w:rsid w:val="00804AEC"/>
    <w:rsid w:val="00814668"/>
    <w:rsid w:val="00815A1F"/>
    <w:rsid w:val="00820F66"/>
    <w:rsid w:val="00821E7C"/>
    <w:rsid w:val="00827358"/>
    <w:rsid w:val="00832B68"/>
    <w:rsid w:val="00835438"/>
    <w:rsid w:val="00836CCC"/>
    <w:rsid w:val="0084046A"/>
    <w:rsid w:val="00844D1E"/>
    <w:rsid w:val="00850366"/>
    <w:rsid w:val="00857B08"/>
    <w:rsid w:val="00860083"/>
    <w:rsid w:val="00860B3D"/>
    <w:rsid w:val="00860DE1"/>
    <w:rsid w:val="008622FA"/>
    <w:rsid w:val="008628FC"/>
    <w:rsid w:val="00865686"/>
    <w:rsid w:val="00865B5C"/>
    <w:rsid w:val="00870AC5"/>
    <w:rsid w:val="00873BBB"/>
    <w:rsid w:val="00876EF3"/>
    <w:rsid w:val="008814B8"/>
    <w:rsid w:val="008819DA"/>
    <w:rsid w:val="00887873"/>
    <w:rsid w:val="00887A65"/>
    <w:rsid w:val="00887DA5"/>
    <w:rsid w:val="0089063B"/>
    <w:rsid w:val="00890C34"/>
    <w:rsid w:val="008917B9"/>
    <w:rsid w:val="00896014"/>
    <w:rsid w:val="008A2F14"/>
    <w:rsid w:val="008A34DC"/>
    <w:rsid w:val="008A611F"/>
    <w:rsid w:val="008A6F94"/>
    <w:rsid w:val="008B4134"/>
    <w:rsid w:val="008B4353"/>
    <w:rsid w:val="008B4457"/>
    <w:rsid w:val="008B5AF8"/>
    <w:rsid w:val="008C0F2B"/>
    <w:rsid w:val="008C254E"/>
    <w:rsid w:val="008C2884"/>
    <w:rsid w:val="008D2C52"/>
    <w:rsid w:val="008D57AD"/>
    <w:rsid w:val="008E37DB"/>
    <w:rsid w:val="008F1A3B"/>
    <w:rsid w:val="008F747C"/>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527F"/>
    <w:rsid w:val="00942059"/>
    <w:rsid w:val="00942174"/>
    <w:rsid w:val="00942F2F"/>
    <w:rsid w:val="00943F3F"/>
    <w:rsid w:val="00945D81"/>
    <w:rsid w:val="009525F7"/>
    <w:rsid w:val="009539A6"/>
    <w:rsid w:val="00954D9D"/>
    <w:rsid w:val="009571C8"/>
    <w:rsid w:val="0096142F"/>
    <w:rsid w:val="00962EF0"/>
    <w:rsid w:val="009646C6"/>
    <w:rsid w:val="00965A6D"/>
    <w:rsid w:val="0097131C"/>
    <w:rsid w:val="00973211"/>
    <w:rsid w:val="00973279"/>
    <w:rsid w:val="00986E8C"/>
    <w:rsid w:val="00987797"/>
    <w:rsid w:val="009974EB"/>
    <w:rsid w:val="009979A7"/>
    <w:rsid w:val="009A194A"/>
    <w:rsid w:val="009A19EC"/>
    <w:rsid w:val="009B2AE9"/>
    <w:rsid w:val="009B2F59"/>
    <w:rsid w:val="009B307F"/>
    <w:rsid w:val="009C2F5A"/>
    <w:rsid w:val="009C3EA4"/>
    <w:rsid w:val="009C6F26"/>
    <w:rsid w:val="009C734F"/>
    <w:rsid w:val="009C75F5"/>
    <w:rsid w:val="009C7AAB"/>
    <w:rsid w:val="009D5761"/>
    <w:rsid w:val="009E1F42"/>
    <w:rsid w:val="009E628C"/>
    <w:rsid w:val="009F0791"/>
    <w:rsid w:val="00A05882"/>
    <w:rsid w:val="00A06676"/>
    <w:rsid w:val="00A06AF5"/>
    <w:rsid w:val="00A06FE9"/>
    <w:rsid w:val="00A115F5"/>
    <w:rsid w:val="00A12EA0"/>
    <w:rsid w:val="00A13E2C"/>
    <w:rsid w:val="00A14099"/>
    <w:rsid w:val="00A232CD"/>
    <w:rsid w:val="00A256AB"/>
    <w:rsid w:val="00A312BA"/>
    <w:rsid w:val="00A323C5"/>
    <w:rsid w:val="00A34777"/>
    <w:rsid w:val="00A36552"/>
    <w:rsid w:val="00A45877"/>
    <w:rsid w:val="00A47F5A"/>
    <w:rsid w:val="00A5263A"/>
    <w:rsid w:val="00A52CAE"/>
    <w:rsid w:val="00A60B9D"/>
    <w:rsid w:val="00A61635"/>
    <w:rsid w:val="00A64144"/>
    <w:rsid w:val="00A65508"/>
    <w:rsid w:val="00A65825"/>
    <w:rsid w:val="00A65BDE"/>
    <w:rsid w:val="00A65D71"/>
    <w:rsid w:val="00A67CD8"/>
    <w:rsid w:val="00A74B2B"/>
    <w:rsid w:val="00A82B49"/>
    <w:rsid w:val="00A840AC"/>
    <w:rsid w:val="00A851C2"/>
    <w:rsid w:val="00A86D6C"/>
    <w:rsid w:val="00A870BA"/>
    <w:rsid w:val="00A9203C"/>
    <w:rsid w:val="00A946F7"/>
    <w:rsid w:val="00A96D30"/>
    <w:rsid w:val="00A9780D"/>
    <w:rsid w:val="00A97B79"/>
    <w:rsid w:val="00AA267D"/>
    <w:rsid w:val="00AA2AE0"/>
    <w:rsid w:val="00AA5EF8"/>
    <w:rsid w:val="00AA7CBB"/>
    <w:rsid w:val="00AB240C"/>
    <w:rsid w:val="00AB2A6A"/>
    <w:rsid w:val="00AB37B9"/>
    <w:rsid w:val="00AB7175"/>
    <w:rsid w:val="00AC3A0C"/>
    <w:rsid w:val="00AC4232"/>
    <w:rsid w:val="00AC7FA2"/>
    <w:rsid w:val="00AD05F9"/>
    <w:rsid w:val="00AD4B7D"/>
    <w:rsid w:val="00AD6394"/>
    <w:rsid w:val="00AE13AF"/>
    <w:rsid w:val="00AE18B3"/>
    <w:rsid w:val="00AF06BC"/>
    <w:rsid w:val="00AF0C03"/>
    <w:rsid w:val="00AF1ED0"/>
    <w:rsid w:val="00B058E9"/>
    <w:rsid w:val="00B12B15"/>
    <w:rsid w:val="00B14604"/>
    <w:rsid w:val="00B16016"/>
    <w:rsid w:val="00B17520"/>
    <w:rsid w:val="00B2189B"/>
    <w:rsid w:val="00B234AF"/>
    <w:rsid w:val="00B27F1B"/>
    <w:rsid w:val="00B43107"/>
    <w:rsid w:val="00B439EC"/>
    <w:rsid w:val="00B47109"/>
    <w:rsid w:val="00B50945"/>
    <w:rsid w:val="00B5122D"/>
    <w:rsid w:val="00B52813"/>
    <w:rsid w:val="00B53242"/>
    <w:rsid w:val="00B5382C"/>
    <w:rsid w:val="00B5781C"/>
    <w:rsid w:val="00B624CF"/>
    <w:rsid w:val="00B63B4B"/>
    <w:rsid w:val="00B6694A"/>
    <w:rsid w:val="00B70E51"/>
    <w:rsid w:val="00B778F7"/>
    <w:rsid w:val="00B824FD"/>
    <w:rsid w:val="00B847B7"/>
    <w:rsid w:val="00B86E88"/>
    <w:rsid w:val="00B90CD0"/>
    <w:rsid w:val="00B930C9"/>
    <w:rsid w:val="00B94C7D"/>
    <w:rsid w:val="00B97A29"/>
    <w:rsid w:val="00B97D8D"/>
    <w:rsid w:val="00BA3604"/>
    <w:rsid w:val="00BB0341"/>
    <w:rsid w:val="00BB0755"/>
    <w:rsid w:val="00BB3F05"/>
    <w:rsid w:val="00BB4A78"/>
    <w:rsid w:val="00BB7135"/>
    <w:rsid w:val="00BC0115"/>
    <w:rsid w:val="00BC43B9"/>
    <w:rsid w:val="00BC5445"/>
    <w:rsid w:val="00BC7B0E"/>
    <w:rsid w:val="00BD2433"/>
    <w:rsid w:val="00BD4B3F"/>
    <w:rsid w:val="00BD6CF4"/>
    <w:rsid w:val="00BD6EAD"/>
    <w:rsid w:val="00BE0DFE"/>
    <w:rsid w:val="00BE3015"/>
    <w:rsid w:val="00BE4B1F"/>
    <w:rsid w:val="00BF1293"/>
    <w:rsid w:val="00BF6181"/>
    <w:rsid w:val="00C02DB7"/>
    <w:rsid w:val="00C02DEE"/>
    <w:rsid w:val="00C05556"/>
    <w:rsid w:val="00C11323"/>
    <w:rsid w:val="00C130C7"/>
    <w:rsid w:val="00C14F5D"/>
    <w:rsid w:val="00C223D4"/>
    <w:rsid w:val="00C30994"/>
    <w:rsid w:val="00C36F27"/>
    <w:rsid w:val="00C40CF1"/>
    <w:rsid w:val="00C41591"/>
    <w:rsid w:val="00C43947"/>
    <w:rsid w:val="00C43C9C"/>
    <w:rsid w:val="00C45F98"/>
    <w:rsid w:val="00C463E0"/>
    <w:rsid w:val="00C46BCF"/>
    <w:rsid w:val="00C51DDA"/>
    <w:rsid w:val="00C52216"/>
    <w:rsid w:val="00C607E3"/>
    <w:rsid w:val="00C61825"/>
    <w:rsid w:val="00C6456D"/>
    <w:rsid w:val="00C64F28"/>
    <w:rsid w:val="00C65A4B"/>
    <w:rsid w:val="00C67169"/>
    <w:rsid w:val="00C81A83"/>
    <w:rsid w:val="00C83711"/>
    <w:rsid w:val="00C8384A"/>
    <w:rsid w:val="00C878A5"/>
    <w:rsid w:val="00C90BA2"/>
    <w:rsid w:val="00C90F42"/>
    <w:rsid w:val="00C92818"/>
    <w:rsid w:val="00C962B2"/>
    <w:rsid w:val="00CA12D4"/>
    <w:rsid w:val="00CA2349"/>
    <w:rsid w:val="00CB0A35"/>
    <w:rsid w:val="00CB2F2F"/>
    <w:rsid w:val="00CC0B0F"/>
    <w:rsid w:val="00CC195B"/>
    <w:rsid w:val="00CC49AE"/>
    <w:rsid w:val="00CC550E"/>
    <w:rsid w:val="00CC7FAC"/>
    <w:rsid w:val="00CD3A0E"/>
    <w:rsid w:val="00CD3B89"/>
    <w:rsid w:val="00CD472D"/>
    <w:rsid w:val="00CD611F"/>
    <w:rsid w:val="00CE52EB"/>
    <w:rsid w:val="00CF4554"/>
    <w:rsid w:val="00CF4D95"/>
    <w:rsid w:val="00CF629A"/>
    <w:rsid w:val="00CF6933"/>
    <w:rsid w:val="00CF6FDB"/>
    <w:rsid w:val="00D02797"/>
    <w:rsid w:val="00D02EFD"/>
    <w:rsid w:val="00D07BD9"/>
    <w:rsid w:val="00D108CD"/>
    <w:rsid w:val="00D12A50"/>
    <w:rsid w:val="00D1388E"/>
    <w:rsid w:val="00D13BBD"/>
    <w:rsid w:val="00D23723"/>
    <w:rsid w:val="00D24197"/>
    <w:rsid w:val="00D307BF"/>
    <w:rsid w:val="00D307EB"/>
    <w:rsid w:val="00D31989"/>
    <w:rsid w:val="00D324C0"/>
    <w:rsid w:val="00D32A6A"/>
    <w:rsid w:val="00D369D7"/>
    <w:rsid w:val="00D42ACE"/>
    <w:rsid w:val="00D4500E"/>
    <w:rsid w:val="00D50950"/>
    <w:rsid w:val="00D57730"/>
    <w:rsid w:val="00D61F56"/>
    <w:rsid w:val="00D643E9"/>
    <w:rsid w:val="00D64EA6"/>
    <w:rsid w:val="00D6769E"/>
    <w:rsid w:val="00D676CC"/>
    <w:rsid w:val="00D80335"/>
    <w:rsid w:val="00D8755F"/>
    <w:rsid w:val="00DA67FE"/>
    <w:rsid w:val="00DB29A6"/>
    <w:rsid w:val="00DB360D"/>
    <w:rsid w:val="00DB36EA"/>
    <w:rsid w:val="00DB3B6E"/>
    <w:rsid w:val="00DB4817"/>
    <w:rsid w:val="00DB5D3D"/>
    <w:rsid w:val="00DB715D"/>
    <w:rsid w:val="00DC24A9"/>
    <w:rsid w:val="00DC45E2"/>
    <w:rsid w:val="00DC4BF4"/>
    <w:rsid w:val="00DC520A"/>
    <w:rsid w:val="00DC5436"/>
    <w:rsid w:val="00DD0139"/>
    <w:rsid w:val="00DD0DD6"/>
    <w:rsid w:val="00DD2121"/>
    <w:rsid w:val="00DE0DD6"/>
    <w:rsid w:val="00DE2DA4"/>
    <w:rsid w:val="00DF12CD"/>
    <w:rsid w:val="00DF618B"/>
    <w:rsid w:val="00E0149A"/>
    <w:rsid w:val="00E0217F"/>
    <w:rsid w:val="00E0378E"/>
    <w:rsid w:val="00E03A02"/>
    <w:rsid w:val="00E0439B"/>
    <w:rsid w:val="00E0528B"/>
    <w:rsid w:val="00E06590"/>
    <w:rsid w:val="00E072BE"/>
    <w:rsid w:val="00E16177"/>
    <w:rsid w:val="00E209E8"/>
    <w:rsid w:val="00E23168"/>
    <w:rsid w:val="00E3276D"/>
    <w:rsid w:val="00E3284A"/>
    <w:rsid w:val="00E3574F"/>
    <w:rsid w:val="00E35A7E"/>
    <w:rsid w:val="00E36C6C"/>
    <w:rsid w:val="00E40079"/>
    <w:rsid w:val="00E423A7"/>
    <w:rsid w:val="00E50C47"/>
    <w:rsid w:val="00E51CC2"/>
    <w:rsid w:val="00E55047"/>
    <w:rsid w:val="00E55B8A"/>
    <w:rsid w:val="00E61585"/>
    <w:rsid w:val="00E74AE3"/>
    <w:rsid w:val="00E770B0"/>
    <w:rsid w:val="00E77C6D"/>
    <w:rsid w:val="00E83BE7"/>
    <w:rsid w:val="00E90F30"/>
    <w:rsid w:val="00E946CB"/>
    <w:rsid w:val="00E95513"/>
    <w:rsid w:val="00EA0458"/>
    <w:rsid w:val="00EA188D"/>
    <w:rsid w:val="00EA6A13"/>
    <w:rsid w:val="00EA7DE7"/>
    <w:rsid w:val="00EB09BC"/>
    <w:rsid w:val="00EB69E3"/>
    <w:rsid w:val="00EB7237"/>
    <w:rsid w:val="00EB7C4A"/>
    <w:rsid w:val="00EC00D8"/>
    <w:rsid w:val="00EC5E91"/>
    <w:rsid w:val="00EC7711"/>
    <w:rsid w:val="00ED10E0"/>
    <w:rsid w:val="00ED2AF4"/>
    <w:rsid w:val="00ED2DE0"/>
    <w:rsid w:val="00ED7C6A"/>
    <w:rsid w:val="00EE29AE"/>
    <w:rsid w:val="00EE2BAB"/>
    <w:rsid w:val="00EE51B7"/>
    <w:rsid w:val="00EE51F3"/>
    <w:rsid w:val="00EE7A49"/>
    <w:rsid w:val="00EE7D67"/>
    <w:rsid w:val="00EF5709"/>
    <w:rsid w:val="00F013AE"/>
    <w:rsid w:val="00F0248D"/>
    <w:rsid w:val="00F0479A"/>
    <w:rsid w:val="00F103CE"/>
    <w:rsid w:val="00F1187D"/>
    <w:rsid w:val="00F2051F"/>
    <w:rsid w:val="00F213D6"/>
    <w:rsid w:val="00F2319C"/>
    <w:rsid w:val="00F23B14"/>
    <w:rsid w:val="00F256C7"/>
    <w:rsid w:val="00F31B9A"/>
    <w:rsid w:val="00F349DE"/>
    <w:rsid w:val="00F421C6"/>
    <w:rsid w:val="00F438F5"/>
    <w:rsid w:val="00F4735E"/>
    <w:rsid w:val="00F5197F"/>
    <w:rsid w:val="00F524DB"/>
    <w:rsid w:val="00F52523"/>
    <w:rsid w:val="00F530B2"/>
    <w:rsid w:val="00F53223"/>
    <w:rsid w:val="00F54162"/>
    <w:rsid w:val="00F55A3B"/>
    <w:rsid w:val="00F64176"/>
    <w:rsid w:val="00F663E8"/>
    <w:rsid w:val="00F67B24"/>
    <w:rsid w:val="00F71307"/>
    <w:rsid w:val="00F76DC9"/>
    <w:rsid w:val="00F773E4"/>
    <w:rsid w:val="00F8041D"/>
    <w:rsid w:val="00F8105E"/>
    <w:rsid w:val="00F87541"/>
    <w:rsid w:val="00F91F7C"/>
    <w:rsid w:val="00F9232F"/>
    <w:rsid w:val="00F96D41"/>
    <w:rsid w:val="00FA607C"/>
    <w:rsid w:val="00FA61C9"/>
    <w:rsid w:val="00FA6A04"/>
    <w:rsid w:val="00FB0853"/>
    <w:rsid w:val="00FB2A63"/>
    <w:rsid w:val="00FB6445"/>
    <w:rsid w:val="00FC14EE"/>
    <w:rsid w:val="00FC16EC"/>
    <w:rsid w:val="00FC73C7"/>
    <w:rsid w:val="00FD02D9"/>
    <w:rsid w:val="00FD0C6F"/>
    <w:rsid w:val="00FD4F65"/>
    <w:rsid w:val="00FE0587"/>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12436</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docId:2C85ED3960B8ED394D43B4D598D03059</cp:keywords>
  <dc:description/>
  <cp:lastModifiedBy>Diaz - Avalos,  Estela</cp:lastModifiedBy>
  <cp:revision>3</cp:revision>
  <cp:lastPrinted>2018-08-24T16:52:00Z</cp:lastPrinted>
  <dcterms:created xsi:type="dcterms:W3CDTF">2023-10-24T14:58:00Z</dcterms:created>
  <dcterms:modified xsi:type="dcterms:W3CDTF">2023-10-24T14:58:00Z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