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BDA0" w14:textId="77777777" w:rsidR="00DE5F74" w:rsidRPr="00B03965" w:rsidRDefault="008D0729" w:rsidP="008B4565">
      <w:pPr>
        <w:tabs>
          <w:tab w:val="left" w:pos="7560"/>
        </w:tabs>
        <w:ind w:right="-1109"/>
        <w:rPr>
          <w:szCs w:val="22"/>
          <w:lang w:val="pt-BR"/>
        </w:rPr>
      </w:pPr>
      <w:r w:rsidRPr="00B03965">
        <w:rPr>
          <w:szCs w:val="22"/>
        </w:rPr>
        <w:object w:dxaOrig="1440" w:dyaOrig="1440" w14:anchorId="17D61B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3.85pt;margin-top:-45.45pt;width:320.1pt;height:28.05pt;z-index:251659264;mso-wrap-edited:f" wrapcoords="3572 1580 2041 2634 170 7376 170 11590 2381 19493 5272 20020 11055 20020 17008 20020 21260 12117 21600 4215 18709 2107 9524 1580 3572 1580" o:allowincell="f" fillcolor="window">
            <v:imagedata r:id="rId6" o:title=""/>
          </v:shape>
          <o:OLEObject Type="Embed" ProgID="Word.Picture.8" ShapeID="_x0000_s1026" DrawAspect="Content" ObjectID="_1698225116" r:id="rId7"/>
        </w:object>
      </w:r>
      <w:r w:rsidR="00DE5F74" w:rsidRPr="00B03965">
        <w:rPr>
          <w:szCs w:val="22"/>
          <w:lang w:val="pt-BR"/>
        </w:rPr>
        <w:t>QUINQUAGÉSIMO PRIMEIRO PERÍODO ORDINÁRIO DE SESSÕES</w:t>
      </w:r>
      <w:r w:rsidR="00DE5F74" w:rsidRPr="00B03965">
        <w:rPr>
          <w:szCs w:val="22"/>
          <w:lang w:val="pt-BR"/>
        </w:rPr>
        <w:tab/>
        <w:t>OEA/Ser.P</w:t>
      </w:r>
    </w:p>
    <w:p w14:paraId="3E3DA1D4" w14:textId="5D6BA3C6" w:rsidR="00DE5F74" w:rsidRPr="00B03965" w:rsidRDefault="00281F99" w:rsidP="008B4565">
      <w:pPr>
        <w:tabs>
          <w:tab w:val="center" w:pos="2160"/>
          <w:tab w:val="left" w:pos="7560"/>
        </w:tabs>
        <w:ind w:right="-1469"/>
        <w:jc w:val="left"/>
        <w:rPr>
          <w:szCs w:val="22"/>
          <w:lang w:val="pt-BR"/>
        </w:rPr>
      </w:pPr>
      <w:r w:rsidRPr="00B03965">
        <w:rPr>
          <w:szCs w:val="22"/>
          <w:lang w:val="pt-BR"/>
        </w:rPr>
        <w:t xml:space="preserve">De </w:t>
      </w:r>
      <w:r w:rsidR="00DE5F74" w:rsidRPr="00B03965">
        <w:rPr>
          <w:szCs w:val="22"/>
          <w:lang w:val="pt-BR"/>
        </w:rPr>
        <w:t>10 a 12 de novembro de 2021</w:t>
      </w:r>
      <w:r w:rsidR="00DE5F74" w:rsidRPr="00B03965">
        <w:rPr>
          <w:szCs w:val="22"/>
          <w:lang w:val="pt-BR"/>
        </w:rPr>
        <w:tab/>
      </w:r>
      <w:r w:rsidR="00DE5F74" w:rsidRPr="00B03965">
        <w:rPr>
          <w:szCs w:val="22"/>
          <w:lang w:val="pt-BR"/>
        </w:rPr>
        <w:tab/>
      </w:r>
      <w:r w:rsidR="00DE5F74" w:rsidRPr="00B03965">
        <w:rPr>
          <w:szCs w:val="22"/>
          <w:lang w:val="pt-BR"/>
        </w:rPr>
        <w:tab/>
      </w:r>
      <w:r w:rsidR="00DE5F74" w:rsidRPr="00B03965">
        <w:rPr>
          <w:szCs w:val="22"/>
          <w:lang w:val="pt-BR"/>
        </w:rPr>
        <w:tab/>
      </w:r>
      <w:r w:rsidR="00DE5F74" w:rsidRPr="00B03965">
        <w:rPr>
          <w:szCs w:val="22"/>
          <w:lang w:val="pt-BR"/>
        </w:rPr>
        <w:tab/>
        <w:t>AG/doc.57</w:t>
      </w:r>
      <w:r w:rsidR="008D0729">
        <w:rPr>
          <w:szCs w:val="22"/>
          <w:lang w:val="pt-BR"/>
        </w:rPr>
        <w:t>43</w:t>
      </w:r>
      <w:r w:rsidR="00DE5F74" w:rsidRPr="00B03965">
        <w:rPr>
          <w:szCs w:val="22"/>
          <w:lang w:val="pt-BR"/>
        </w:rPr>
        <w:t>/21</w:t>
      </w:r>
    </w:p>
    <w:p w14:paraId="5D7621C6" w14:textId="5596B102" w:rsidR="00DE5F74" w:rsidRPr="00B03965" w:rsidRDefault="00DE5F74" w:rsidP="008B4565">
      <w:pPr>
        <w:tabs>
          <w:tab w:val="left" w:pos="7560"/>
        </w:tabs>
        <w:ind w:right="-1109"/>
        <w:rPr>
          <w:szCs w:val="22"/>
          <w:lang w:val="pt-BR"/>
        </w:rPr>
      </w:pPr>
      <w:r w:rsidRPr="00B03965">
        <w:rPr>
          <w:color w:val="0D0C12"/>
          <w:spacing w:val="-1"/>
          <w:szCs w:val="22"/>
          <w:lang w:val="pt-BR"/>
        </w:rPr>
        <w:t>Cidade da Guatemala</w:t>
      </w:r>
      <w:r w:rsidRPr="00B03965">
        <w:rPr>
          <w:szCs w:val="22"/>
          <w:lang w:val="pt-BR"/>
        </w:rPr>
        <w:t>, Guatemala</w:t>
      </w:r>
      <w:r w:rsidRPr="00B03965">
        <w:rPr>
          <w:szCs w:val="22"/>
          <w:lang w:val="pt-BR"/>
        </w:rPr>
        <w:tab/>
      </w:r>
      <w:r w:rsidRPr="00B03965">
        <w:rPr>
          <w:szCs w:val="22"/>
          <w:lang w:val="pt-BR"/>
        </w:rPr>
        <w:tab/>
      </w:r>
      <w:r w:rsidRPr="00B03965">
        <w:rPr>
          <w:szCs w:val="22"/>
          <w:lang w:val="pt-BR"/>
        </w:rPr>
        <w:tab/>
      </w:r>
      <w:r w:rsidRPr="00B03965">
        <w:rPr>
          <w:szCs w:val="22"/>
          <w:lang w:val="pt-BR"/>
        </w:rPr>
        <w:tab/>
      </w:r>
      <w:r w:rsidRPr="00B03965">
        <w:rPr>
          <w:szCs w:val="22"/>
          <w:lang w:val="pt-BR"/>
        </w:rPr>
        <w:tab/>
      </w:r>
      <w:r w:rsidR="008D0729">
        <w:rPr>
          <w:szCs w:val="22"/>
          <w:lang w:val="pt-BR"/>
        </w:rPr>
        <w:t>12</w:t>
      </w:r>
      <w:r w:rsidR="00CE662B" w:rsidRPr="00B03965">
        <w:rPr>
          <w:szCs w:val="22"/>
          <w:lang w:val="pt-BR"/>
        </w:rPr>
        <w:t xml:space="preserve"> novembro</w:t>
      </w:r>
      <w:r w:rsidRPr="00B03965">
        <w:rPr>
          <w:szCs w:val="22"/>
          <w:lang w:val="pt-BR"/>
        </w:rPr>
        <w:t xml:space="preserve"> 2021</w:t>
      </w:r>
    </w:p>
    <w:p w14:paraId="17FA8804" w14:textId="66A18E9A" w:rsidR="00DE5F74" w:rsidRPr="00B03965" w:rsidRDefault="00DE5F74" w:rsidP="008B4565">
      <w:pPr>
        <w:tabs>
          <w:tab w:val="center" w:pos="2160"/>
          <w:tab w:val="left" w:pos="7560"/>
        </w:tabs>
        <w:ind w:right="-1109"/>
        <w:rPr>
          <w:szCs w:val="22"/>
          <w:lang w:val="pt-BR"/>
        </w:rPr>
      </w:pPr>
      <w:r w:rsidRPr="00B03965">
        <w:rPr>
          <w:szCs w:val="22"/>
          <w:lang w:val="pt-BR"/>
        </w:rPr>
        <w:t>VIRTUAL</w:t>
      </w:r>
      <w:r w:rsidRPr="00B03965">
        <w:rPr>
          <w:szCs w:val="22"/>
          <w:lang w:val="pt-BR"/>
        </w:rPr>
        <w:tab/>
      </w:r>
      <w:r w:rsidRPr="00B03965">
        <w:rPr>
          <w:szCs w:val="22"/>
          <w:lang w:val="pt-BR"/>
        </w:rPr>
        <w:tab/>
      </w:r>
      <w:r w:rsidRPr="00B03965">
        <w:rPr>
          <w:szCs w:val="22"/>
          <w:lang w:val="pt-BR"/>
        </w:rPr>
        <w:tab/>
      </w:r>
      <w:r w:rsidRPr="00B03965">
        <w:rPr>
          <w:szCs w:val="22"/>
          <w:lang w:val="pt-BR"/>
        </w:rPr>
        <w:tab/>
      </w:r>
      <w:r w:rsidRPr="00B03965">
        <w:rPr>
          <w:szCs w:val="22"/>
          <w:lang w:val="pt-BR"/>
        </w:rPr>
        <w:tab/>
      </w:r>
      <w:r w:rsidRPr="00B03965">
        <w:rPr>
          <w:szCs w:val="22"/>
          <w:lang w:val="pt-BR"/>
        </w:rPr>
        <w:tab/>
      </w:r>
      <w:r w:rsidRPr="00B03965">
        <w:rPr>
          <w:szCs w:val="22"/>
          <w:lang w:val="pt-BR"/>
        </w:rPr>
        <w:tab/>
      </w:r>
      <w:r w:rsidRPr="00B03965">
        <w:rPr>
          <w:szCs w:val="22"/>
          <w:lang w:val="pt-BR"/>
        </w:rPr>
        <w:tab/>
        <w:t xml:space="preserve">Original: </w:t>
      </w:r>
      <w:r w:rsidR="008D0729">
        <w:rPr>
          <w:szCs w:val="22"/>
          <w:lang w:val="pt-BR"/>
        </w:rPr>
        <w:t>espanhol</w:t>
      </w:r>
    </w:p>
    <w:p w14:paraId="0140C831" w14:textId="77777777" w:rsidR="00DE5F74" w:rsidRPr="00B03965" w:rsidRDefault="00DE5F74" w:rsidP="008B4565">
      <w:pPr>
        <w:tabs>
          <w:tab w:val="center" w:pos="2160"/>
          <w:tab w:val="left" w:pos="7560"/>
        </w:tabs>
        <w:ind w:right="-1109"/>
        <w:rPr>
          <w:szCs w:val="22"/>
          <w:lang w:val="pt-BR"/>
        </w:rPr>
      </w:pPr>
    </w:p>
    <w:p w14:paraId="2D4C9EE6" w14:textId="5E606099" w:rsidR="00DE5F74" w:rsidRPr="00B03965" w:rsidRDefault="00DE5F74" w:rsidP="008B4565">
      <w:pPr>
        <w:tabs>
          <w:tab w:val="center" w:pos="2160"/>
          <w:tab w:val="left" w:pos="7560"/>
        </w:tabs>
        <w:ind w:right="-1109"/>
        <w:rPr>
          <w:szCs w:val="22"/>
          <w:lang w:val="pt-BR"/>
        </w:rPr>
      </w:pPr>
      <w:r w:rsidRPr="00B03965">
        <w:rPr>
          <w:szCs w:val="22"/>
          <w:lang w:val="pt-BR"/>
        </w:rPr>
        <w:tab/>
      </w:r>
      <w:r w:rsidRPr="00B03965">
        <w:rPr>
          <w:szCs w:val="22"/>
          <w:lang w:val="pt-BR"/>
        </w:rPr>
        <w:tab/>
      </w:r>
      <w:r w:rsidRPr="00B03965">
        <w:rPr>
          <w:szCs w:val="22"/>
          <w:lang w:val="pt-BR"/>
        </w:rPr>
        <w:tab/>
      </w:r>
      <w:r w:rsidRPr="00B03965">
        <w:rPr>
          <w:szCs w:val="22"/>
          <w:lang w:val="pt-BR"/>
        </w:rPr>
        <w:tab/>
      </w:r>
      <w:r w:rsidRPr="00B03965">
        <w:rPr>
          <w:szCs w:val="22"/>
          <w:lang w:val="pt-BR"/>
        </w:rPr>
        <w:tab/>
      </w:r>
      <w:r w:rsidRPr="00B03965">
        <w:rPr>
          <w:szCs w:val="22"/>
          <w:lang w:val="pt-BR"/>
        </w:rPr>
        <w:tab/>
      </w:r>
      <w:r w:rsidRPr="00B03965">
        <w:rPr>
          <w:szCs w:val="22"/>
          <w:lang w:val="pt-BR"/>
        </w:rPr>
        <w:tab/>
      </w:r>
      <w:r w:rsidRPr="00B03965">
        <w:rPr>
          <w:szCs w:val="22"/>
          <w:lang w:val="pt-BR"/>
        </w:rPr>
        <w:tab/>
      </w:r>
      <w:r w:rsidRPr="00B03965">
        <w:rPr>
          <w:szCs w:val="22"/>
          <w:lang w:val="pt-BR"/>
        </w:rPr>
        <w:tab/>
      </w:r>
    </w:p>
    <w:p w14:paraId="6F789FA4" w14:textId="77777777" w:rsidR="00DE5F74" w:rsidRPr="00B03965" w:rsidRDefault="00DE5F74" w:rsidP="008B4565">
      <w:pPr>
        <w:widowControl/>
        <w:ind w:right="-929"/>
        <w:jc w:val="left"/>
        <w:rPr>
          <w:szCs w:val="22"/>
          <w:lang w:val="pt-BR"/>
        </w:rPr>
      </w:pPr>
    </w:p>
    <w:p w14:paraId="019143DD" w14:textId="3266AB3E" w:rsidR="00DE5F74" w:rsidRPr="00B03965" w:rsidRDefault="00DE5F74" w:rsidP="008B4565">
      <w:pPr>
        <w:widowControl/>
        <w:ind w:right="-929"/>
        <w:jc w:val="left"/>
        <w:rPr>
          <w:szCs w:val="22"/>
          <w:lang w:val="pt-BR"/>
        </w:rPr>
      </w:pPr>
    </w:p>
    <w:p w14:paraId="27C44550" w14:textId="5EE890E5" w:rsidR="001E384A" w:rsidRDefault="001E384A" w:rsidP="008B4565">
      <w:pPr>
        <w:widowControl/>
        <w:ind w:right="-929"/>
        <w:jc w:val="left"/>
        <w:rPr>
          <w:szCs w:val="22"/>
          <w:lang w:val="pt-BR"/>
        </w:rPr>
      </w:pPr>
    </w:p>
    <w:p w14:paraId="1B0B9110" w14:textId="77777777" w:rsidR="008D0729" w:rsidRPr="00B03965" w:rsidRDefault="008D0729" w:rsidP="008B4565">
      <w:pPr>
        <w:widowControl/>
        <w:ind w:right="-929"/>
        <w:jc w:val="left"/>
        <w:rPr>
          <w:szCs w:val="22"/>
          <w:lang w:val="pt-BR"/>
        </w:rPr>
      </w:pPr>
    </w:p>
    <w:p w14:paraId="3B32DB0D" w14:textId="290A59B1" w:rsidR="001E384A" w:rsidRPr="00B03965" w:rsidRDefault="001E384A" w:rsidP="008B4565">
      <w:pPr>
        <w:widowControl/>
        <w:ind w:right="-929"/>
        <w:jc w:val="left"/>
        <w:rPr>
          <w:szCs w:val="22"/>
          <w:lang w:val="pt-BR"/>
        </w:rPr>
      </w:pPr>
    </w:p>
    <w:p w14:paraId="0D1F9839" w14:textId="101F69AC" w:rsidR="001E384A" w:rsidRPr="00B03965" w:rsidRDefault="001E384A" w:rsidP="008B4565">
      <w:pPr>
        <w:widowControl/>
        <w:ind w:right="-929"/>
        <w:jc w:val="left"/>
        <w:rPr>
          <w:szCs w:val="22"/>
          <w:lang w:val="pt-BR"/>
        </w:rPr>
      </w:pPr>
    </w:p>
    <w:p w14:paraId="2025B059" w14:textId="60EAF709" w:rsidR="001E384A" w:rsidRPr="00B03965" w:rsidRDefault="001E384A" w:rsidP="008B4565">
      <w:pPr>
        <w:widowControl/>
        <w:ind w:right="-929"/>
        <w:jc w:val="left"/>
        <w:rPr>
          <w:szCs w:val="22"/>
          <w:lang w:val="pt-BR"/>
        </w:rPr>
      </w:pPr>
    </w:p>
    <w:p w14:paraId="572F427A" w14:textId="77777777" w:rsidR="001E384A" w:rsidRPr="00B03965" w:rsidRDefault="001E384A" w:rsidP="008B4565">
      <w:pPr>
        <w:widowControl/>
        <w:ind w:right="-929"/>
        <w:jc w:val="center"/>
        <w:rPr>
          <w:szCs w:val="22"/>
          <w:lang w:val="pt-BR"/>
        </w:rPr>
      </w:pPr>
    </w:p>
    <w:p w14:paraId="2AB8FD44" w14:textId="77777777" w:rsidR="001E384A" w:rsidRPr="00B03965" w:rsidRDefault="001E384A" w:rsidP="008B4565">
      <w:pPr>
        <w:widowControl/>
        <w:ind w:right="-929"/>
        <w:jc w:val="center"/>
        <w:rPr>
          <w:szCs w:val="22"/>
          <w:lang w:val="pt-BR"/>
        </w:rPr>
      </w:pPr>
    </w:p>
    <w:p w14:paraId="3C9FA8B7" w14:textId="77777777" w:rsidR="001E384A" w:rsidRPr="00B03965" w:rsidRDefault="001E384A" w:rsidP="008B4565">
      <w:pPr>
        <w:widowControl/>
        <w:ind w:right="-929"/>
        <w:jc w:val="center"/>
        <w:rPr>
          <w:szCs w:val="22"/>
          <w:lang w:val="pt-BR"/>
        </w:rPr>
      </w:pPr>
    </w:p>
    <w:p w14:paraId="42C0DA20" w14:textId="6C5978DA" w:rsidR="001E384A" w:rsidRPr="00B03965" w:rsidRDefault="001E384A" w:rsidP="008B4565">
      <w:pPr>
        <w:widowControl/>
        <w:ind w:right="-929"/>
        <w:jc w:val="center"/>
        <w:rPr>
          <w:szCs w:val="22"/>
          <w:lang w:val="pt-BR"/>
        </w:rPr>
      </w:pPr>
    </w:p>
    <w:p w14:paraId="3F7E3A08" w14:textId="77777777" w:rsidR="008B4565" w:rsidRPr="00B03965" w:rsidRDefault="008B4565" w:rsidP="008B4565">
      <w:pPr>
        <w:widowControl/>
        <w:ind w:right="-929"/>
        <w:jc w:val="center"/>
        <w:rPr>
          <w:szCs w:val="22"/>
          <w:lang w:val="pt-BR"/>
        </w:rPr>
      </w:pPr>
    </w:p>
    <w:p w14:paraId="049C9C37" w14:textId="0721A793" w:rsidR="001E384A" w:rsidRPr="00B03965" w:rsidRDefault="001E384A" w:rsidP="008B4565">
      <w:pPr>
        <w:widowControl/>
        <w:ind w:right="-929"/>
        <w:jc w:val="center"/>
        <w:rPr>
          <w:szCs w:val="22"/>
          <w:lang w:val="pt-BR"/>
        </w:rPr>
      </w:pPr>
    </w:p>
    <w:p w14:paraId="312671B8" w14:textId="77777777" w:rsidR="001E384A" w:rsidRPr="00B03965" w:rsidRDefault="001E384A" w:rsidP="008B4565">
      <w:pPr>
        <w:widowControl/>
        <w:ind w:right="-929"/>
        <w:jc w:val="center"/>
        <w:rPr>
          <w:szCs w:val="22"/>
          <w:lang w:val="pt-BR"/>
        </w:rPr>
      </w:pPr>
    </w:p>
    <w:p w14:paraId="0073D59F" w14:textId="77777777" w:rsidR="001E384A" w:rsidRPr="00B03965" w:rsidRDefault="001E384A" w:rsidP="008B4565">
      <w:pPr>
        <w:widowControl/>
        <w:ind w:right="-929"/>
        <w:jc w:val="center"/>
        <w:rPr>
          <w:szCs w:val="22"/>
          <w:lang w:val="pt-BR"/>
        </w:rPr>
      </w:pPr>
    </w:p>
    <w:p w14:paraId="0ECFAB30" w14:textId="77777777" w:rsidR="00B03965" w:rsidRPr="00B03965" w:rsidRDefault="00B03965" w:rsidP="0012435B">
      <w:pPr>
        <w:jc w:val="center"/>
        <w:rPr>
          <w:szCs w:val="22"/>
          <w:lang w:val="pt-BR" w:eastAsia="en-US"/>
        </w:rPr>
      </w:pPr>
      <w:r w:rsidRPr="00B03965">
        <w:rPr>
          <w:szCs w:val="22"/>
          <w:lang w:val="pt-PT"/>
        </w:rPr>
        <w:t>NOTA DA MISSÃO PERMANENTE DO MÉXICO SOBRE A INCLUSÃO DE NOTA DE RODAPÉ NOS DOCUMENTOS DO QUINQUAGÉSIMO PRIMEIRO PERÍODO ORDINÁRIO DE SESSÕES DA ASSEMBLEIA GERAL DA OEA</w:t>
      </w:r>
    </w:p>
    <w:p w14:paraId="41071073" w14:textId="470EDF53" w:rsidR="001E384A" w:rsidRPr="00B03965" w:rsidRDefault="001E384A" w:rsidP="0012435B">
      <w:pPr>
        <w:widowControl/>
        <w:ind w:right="-929"/>
        <w:jc w:val="center"/>
        <w:rPr>
          <w:szCs w:val="22"/>
          <w:lang w:val="pt-BR"/>
        </w:rPr>
      </w:pPr>
    </w:p>
    <w:p w14:paraId="710AD6A7" w14:textId="77777777" w:rsidR="001E384A" w:rsidRPr="00B03965" w:rsidRDefault="001E384A" w:rsidP="0012435B">
      <w:pPr>
        <w:widowControl/>
        <w:ind w:right="-929"/>
        <w:jc w:val="center"/>
        <w:rPr>
          <w:szCs w:val="22"/>
          <w:lang w:val="pt-BR"/>
        </w:rPr>
        <w:sectPr w:rsidR="001E384A" w:rsidRPr="00B03965" w:rsidSect="0012435B">
          <w:headerReference w:type="default" r:id="rId8"/>
          <w:headerReference w:type="first" r:id="rId9"/>
          <w:pgSz w:w="12240" w:h="15840" w:code="1"/>
          <w:pgMar w:top="2160" w:right="1570" w:bottom="1296" w:left="1699" w:header="720" w:footer="720" w:gutter="0"/>
          <w:cols w:space="720"/>
          <w:titlePg/>
          <w:docGrid w:linePitch="360"/>
        </w:sectPr>
      </w:pPr>
    </w:p>
    <w:p w14:paraId="103468D7" w14:textId="77777777" w:rsidR="00B03965" w:rsidRPr="00B03965" w:rsidRDefault="00B03965" w:rsidP="0012435B">
      <w:pPr>
        <w:pStyle w:val="Style1"/>
        <w:kinsoku w:val="0"/>
        <w:autoSpaceDE/>
        <w:autoSpaceDN/>
        <w:adjustRightInd/>
        <w:spacing w:after="108"/>
        <w:jc w:val="center"/>
        <w:rPr>
          <w:rStyle w:val="CharacterStyle1"/>
          <w:rFonts w:ascii="Times New Roman" w:hAnsi="Times New Roman" w:cs="Times New Roman"/>
          <w:spacing w:val="32"/>
          <w:lang w:val="pt-BR"/>
        </w:rPr>
      </w:pPr>
      <w:r w:rsidRPr="00B03965">
        <w:rPr>
          <w:rStyle w:val="CharacterStyle1"/>
          <w:rFonts w:ascii="Times New Roman" w:hAnsi="Times New Roman" w:cs="Times New Roman"/>
          <w:spacing w:val="32"/>
          <w:lang w:val="pt-BR"/>
        </w:rPr>
        <w:lastRenderedPageBreak/>
        <w:t>Missão Permanente do México</w:t>
      </w:r>
    </w:p>
    <w:p w14:paraId="45A6B0F5" w14:textId="77777777" w:rsidR="00B03965" w:rsidRPr="00B03965" w:rsidRDefault="00B03965" w:rsidP="0012435B">
      <w:pPr>
        <w:pStyle w:val="Style1"/>
        <w:kinsoku w:val="0"/>
        <w:autoSpaceDE/>
        <w:autoSpaceDN/>
        <w:adjustRightInd/>
        <w:spacing w:after="108"/>
        <w:jc w:val="center"/>
        <w:rPr>
          <w:rStyle w:val="CharacterStyle1"/>
          <w:rFonts w:ascii="Times New Roman" w:hAnsi="Times New Roman" w:cs="Times New Roman"/>
          <w:spacing w:val="32"/>
          <w:lang w:val="pt-BR"/>
        </w:rPr>
      </w:pPr>
    </w:p>
    <w:p w14:paraId="26DF9154" w14:textId="77777777" w:rsidR="00B03965" w:rsidRPr="00B03965" w:rsidRDefault="00B03965" w:rsidP="0012435B">
      <w:pPr>
        <w:pStyle w:val="Style1"/>
        <w:kinsoku w:val="0"/>
        <w:autoSpaceDE/>
        <w:autoSpaceDN/>
        <w:adjustRightInd/>
        <w:spacing w:after="108"/>
        <w:ind w:right="690"/>
        <w:jc w:val="right"/>
        <w:rPr>
          <w:rStyle w:val="CharacterStyle2"/>
          <w:b/>
          <w:bCs/>
          <w:spacing w:val="-10"/>
          <w:sz w:val="22"/>
          <w:szCs w:val="22"/>
          <w:lang w:val="pt-BR"/>
        </w:rPr>
      </w:pPr>
      <w:r w:rsidRPr="00B03965">
        <w:rPr>
          <w:rStyle w:val="CharacterStyle2"/>
          <w:b/>
          <w:bCs/>
          <w:spacing w:val="-10"/>
          <w:sz w:val="22"/>
          <w:szCs w:val="22"/>
          <w:lang w:val="pt-BR"/>
        </w:rPr>
        <w:t>Nº OEA3754</w:t>
      </w:r>
    </w:p>
    <w:p w14:paraId="69D713B0" w14:textId="77777777" w:rsidR="00B03965" w:rsidRPr="00B03965" w:rsidRDefault="00B03965" w:rsidP="0012435B">
      <w:pPr>
        <w:pStyle w:val="Style1"/>
        <w:kinsoku w:val="0"/>
        <w:autoSpaceDE/>
        <w:autoSpaceDN/>
        <w:adjustRightInd/>
        <w:spacing w:after="108"/>
        <w:ind w:right="690"/>
        <w:jc w:val="right"/>
        <w:rPr>
          <w:rStyle w:val="CharacterStyle2"/>
          <w:b/>
          <w:bCs/>
          <w:spacing w:val="-10"/>
          <w:sz w:val="22"/>
          <w:szCs w:val="22"/>
          <w:lang w:val="pt-BR"/>
        </w:rPr>
      </w:pPr>
      <w:r w:rsidRPr="00B03965">
        <w:rPr>
          <w:rStyle w:val="CharacterStyle2"/>
          <w:b/>
          <w:bCs/>
          <w:spacing w:val="-10"/>
          <w:sz w:val="22"/>
          <w:szCs w:val="22"/>
          <w:lang w:val="pt-BR"/>
        </w:rPr>
        <w:t>Exp. 2.2.0.3</w:t>
      </w:r>
    </w:p>
    <w:p w14:paraId="7B1B2E69" w14:textId="77777777" w:rsidR="00B03965" w:rsidRPr="00B03965" w:rsidRDefault="00B03965" w:rsidP="0012435B">
      <w:pPr>
        <w:pStyle w:val="Style2"/>
        <w:kinsoku w:val="0"/>
        <w:autoSpaceDE/>
        <w:autoSpaceDN/>
        <w:spacing w:line="240" w:lineRule="auto"/>
        <w:rPr>
          <w:rStyle w:val="CharacterStyle1"/>
          <w:rFonts w:ascii="Times New Roman" w:hAnsi="Times New Roman" w:cs="Times New Roman"/>
          <w:spacing w:val="25"/>
          <w:lang w:val="pt-BR"/>
        </w:rPr>
      </w:pPr>
    </w:p>
    <w:p w14:paraId="5CD06C6D" w14:textId="77777777" w:rsidR="00B03965" w:rsidRPr="00B03965" w:rsidRDefault="00B03965" w:rsidP="0012435B">
      <w:pPr>
        <w:pStyle w:val="Style2"/>
        <w:kinsoku w:val="0"/>
        <w:autoSpaceDE/>
        <w:autoSpaceDN/>
        <w:spacing w:line="240" w:lineRule="auto"/>
        <w:rPr>
          <w:rStyle w:val="CharacterStyle1"/>
          <w:rFonts w:ascii="Times New Roman" w:hAnsi="Times New Roman" w:cs="Times New Roman"/>
          <w:spacing w:val="22"/>
          <w:lang w:val="pt-BR"/>
        </w:rPr>
      </w:pPr>
      <w:r w:rsidRPr="00B03965">
        <w:rPr>
          <w:rStyle w:val="CharacterStyle1"/>
          <w:rFonts w:ascii="Times New Roman" w:hAnsi="Times New Roman" w:cs="Times New Roman"/>
          <w:spacing w:val="25"/>
          <w:lang w:val="pt-BR"/>
        </w:rPr>
        <w:t xml:space="preserve">A Missão Permanente do México junto à Organização dos Estados </w:t>
      </w:r>
      <w:r w:rsidRPr="00B03965">
        <w:rPr>
          <w:rStyle w:val="CharacterStyle1"/>
          <w:rFonts w:ascii="Times New Roman" w:hAnsi="Times New Roman" w:cs="Times New Roman"/>
          <w:spacing w:val="32"/>
          <w:lang w:val="pt-BR"/>
        </w:rPr>
        <w:t xml:space="preserve">Americanos (OEA) cumprimenta atenciosamente a ilustre Presidência da Assembleia Geral e faz referência ao Relatório do Secretário-Geral sobre credenciais das delegações participantes do Quinquagésimo Primeiro Período Ordinário de Sessões da </w:t>
      </w:r>
      <w:r w:rsidRPr="00B03965">
        <w:rPr>
          <w:rStyle w:val="CharacterStyle1"/>
          <w:rFonts w:ascii="Times New Roman" w:hAnsi="Times New Roman" w:cs="Times New Roman"/>
          <w:spacing w:val="24"/>
          <w:lang w:val="pt-BR"/>
        </w:rPr>
        <w:t xml:space="preserve">Assembleia Geral da Organização, assim como às atas e </w:t>
      </w:r>
      <w:r w:rsidRPr="00B03965">
        <w:rPr>
          <w:rStyle w:val="CharacterStyle1"/>
          <w:rFonts w:ascii="Times New Roman" w:hAnsi="Times New Roman" w:cs="Times New Roman"/>
          <w:spacing w:val="22"/>
          <w:lang w:val="pt-BR"/>
        </w:rPr>
        <w:t>documentos que decorram do citado período ordinário de sessões.</w:t>
      </w:r>
    </w:p>
    <w:p w14:paraId="42DC7C39" w14:textId="77777777" w:rsidR="00B03965" w:rsidRPr="00B03965" w:rsidRDefault="00B03965" w:rsidP="0012435B">
      <w:pPr>
        <w:pStyle w:val="Style2"/>
        <w:kinsoku w:val="0"/>
        <w:autoSpaceDE/>
        <w:autoSpaceDN/>
        <w:spacing w:before="324" w:line="240" w:lineRule="auto"/>
        <w:rPr>
          <w:rStyle w:val="CharacterStyle1"/>
          <w:rFonts w:ascii="Times New Roman" w:hAnsi="Times New Roman" w:cs="Times New Roman"/>
          <w:lang w:val="pt-BR"/>
        </w:rPr>
      </w:pPr>
      <w:r w:rsidRPr="00B03965">
        <w:rPr>
          <w:rStyle w:val="CharacterStyle1"/>
          <w:rFonts w:ascii="Times New Roman" w:hAnsi="Times New Roman" w:cs="Times New Roman"/>
          <w:spacing w:val="30"/>
          <w:lang w:val="pt-BR"/>
        </w:rPr>
        <w:t xml:space="preserve">A esse respeito, e em aditamento ao anunciado pela Delegação do </w:t>
      </w:r>
      <w:r w:rsidRPr="00B03965">
        <w:rPr>
          <w:rStyle w:val="CharacterStyle1"/>
          <w:rFonts w:ascii="Times New Roman" w:hAnsi="Times New Roman" w:cs="Times New Roman"/>
          <w:spacing w:val="29"/>
          <w:lang w:val="pt-BR"/>
        </w:rPr>
        <w:t xml:space="preserve">México durante a consideração do tema 4 da agenda da Assembleia Geral, </w:t>
      </w:r>
      <w:r w:rsidRPr="00B03965">
        <w:rPr>
          <w:rStyle w:val="CharacterStyle1"/>
          <w:rFonts w:ascii="Times New Roman" w:hAnsi="Times New Roman" w:cs="Times New Roman"/>
          <w:spacing w:val="25"/>
          <w:lang w:val="pt-BR"/>
        </w:rPr>
        <w:t xml:space="preserve">"Relatório do Secretário-Geral sobre Credenciais", no dia 11 de </w:t>
      </w:r>
      <w:r w:rsidRPr="00B03965">
        <w:rPr>
          <w:rStyle w:val="CharacterStyle1"/>
          <w:rFonts w:ascii="Times New Roman" w:hAnsi="Times New Roman" w:cs="Times New Roman"/>
          <w:spacing w:val="23"/>
          <w:lang w:val="pt-BR"/>
        </w:rPr>
        <w:t xml:space="preserve">novembro de 2021, a Missão atenciosamente solicita que seja incluída, no Relatório do Secretário-Geral sobre credenciais e em todas as atas e </w:t>
      </w:r>
      <w:r w:rsidRPr="00B03965">
        <w:rPr>
          <w:rStyle w:val="CharacterStyle1"/>
          <w:rFonts w:ascii="Times New Roman" w:hAnsi="Times New Roman" w:cs="Times New Roman"/>
          <w:spacing w:val="28"/>
          <w:lang w:val="pt-BR"/>
        </w:rPr>
        <w:t xml:space="preserve">documentos </w:t>
      </w:r>
      <w:r w:rsidRPr="00B03965">
        <w:rPr>
          <w:rStyle w:val="CharacterStyle1"/>
          <w:rFonts w:ascii="Times New Roman" w:hAnsi="Times New Roman" w:cs="Times New Roman"/>
          <w:spacing w:val="30"/>
          <w:lang w:val="pt-BR"/>
        </w:rPr>
        <w:t xml:space="preserve">que decorram do Quinquagésimo Primeiro Período Ordinário de Sessões da Assembleia Geral, uma nota de rodapé com o texto que figura no documento </w:t>
      </w:r>
      <w:r w:rsidRPr="00B03965">
        <w:rPr>
          <w:rStyle w:val="CharacterStyle1"/>
          <w:rFonts w:ascii="Times New Roman" w:hAnsi="Times New Roman" w:cs="Times New Roman"/>
          <w:lang w:val="pt-BR"/>
        </w:rPr>
        <w:t>anexo.</w:t>
      </w:r>
    </w:p>
    <w:p w14:paraId="1F965C65" w14:textId="77777777" w:rsidR="00B03965" w:rsidRPr="00B03965" w:rsidRDefault="00B03965" w:rsidP="0012435B">
      <w:pPr>
        <w:pStyle w:val="Style2"/>
        <w:kinsoku w:val="0"/>
        <w:autoSpaceDE/>
        <w:autoSpaceDN/>
        <w:spacing w:before="360" w:line="240" w:lineRule="auto"/>
        <w:rPr>
          <w:rStyle w:val="CharacterStyle1"/>
          <w:rFonts w:ascii="Times New Roman" w:hAnsi="Times New Roman" w:cs="Times New Roman"/>
          <w:spacing w:val="14"/>
          <w:lang w:val="pt-BR"/>
        </w:rPr>
      </w:pPr>
      <w:r w:rsidRPr="00B03965">
        <w:rPr>
          <w:rStyle w:val="CharacterStyle1"/>
          <w:rFonts w:ascii="Times New Roman" w:hAnsi="Times New Roman" w:cs="Times New Roman"/>
          <w:spacing w:val="25"/>
          <w:lang w:val="pt-BR"/>
        </w:rPr>
        <w:t xml:space="preserve">A Missão Permanente do México junto à Organização dos Estados </w:t>
      </w:r>
      <w:r w:rsidRPr="00B03965">
        <w:rPr>
          <w:rStyle w:val="CharacterStyle1"/>
          <w:rFonts w:ascii="Times New Roman" w:hAnsi="Times New Roman" w:cs="Times New Roman"/>
          <w:spacing w:val="24"/>
          <w:lang w:val="pt-BR"/>
        </w:rPr>
        <w:t xml:space="preserve">Americanos aproveita a oportunidade para reiterar à ilustre Presidência da Assembleia Geral da </w:t>
      </w:r>
      <w:r w:rsidRPr="00B03965">
        <w:rPr>
          <w:rStyle w:val="CharacterStyle1"/>
          <w:rFonts w:ascii="Times New Roman" w:hAnsi="Times New Roman" w:cs="Times New Roman"/>
          <w:spacing w:val="22"/>
          <w:lang w:val="pt-BR"/>
        </w:rPr>
        <w:t>OEA os protestos de sua mais alta e distinta consideração</w:t>
      </w:r>
      <w:r w:rsidRPr="00B03965">
        <w:rPr>
          <w:rStyle w:val="CharacterStyle1"/>
          <w:rFonts w:ascii="Times New Roman" w:hAnsi="Times New Roman" w:cs="Times New Roman"/>
          <w:spacing w:val="14"/>
          <w:lang w:val="pt-BR"/>
        </w:rPr>
        <w:t>.</w:t>
      </w:r>
    </w:p>
    <w:p w14:paraId="66633F51" w14:textId="77777777" w:rsidR="00B03965" w:rsidRPr="00B03965" w:rsidRDefault="00B03965" w:rsidP="0012435B">
      <w:pPr>
        <w:pStyle w:val="Style1"/>
        <w:kinsoku w:val="0"/>
        <w:autoSpaceDE/>
        <w:autoSpaceDN/>
        <w:adjustRightInd/>
        <w:spacing w:before="540" w:after="468"/>
        <w:ind w:right="684"/>
        <w:jc w:val="right"/>
        <w:rPr>
          <w:rStyle w:val="CharacterStyle2"/>
          <w:b/>
          <w:bCs/>
          <w:spacing w:val="-6"/>
          <w:sz w:val="22"/>
          <w:szCs w:val="22"/>
          <w:lang w:val="pt-BR"/>
        </w:rPr>
      </w:pPr>
      <w:r w:rsidRPr="00B03965">
        <w:rPr>
          <w:rStyle w:val="CharacterStyle2"/>
          <w:b/>
          <w:bCs/>
          <w:spacing w:val="-6"/>
          <w:sz w:val="22"/>
          <w:szCs w:val="22"/>
          <w:lang w:val="pt-BR"/>
        </w:rPr>
        <w:t>Washington, D.C.,11 de novembro de 2021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8"/>
      </w:tblGrid>
      <w:tr w:rsidR="00B03965" w:rsidRPr="00B03965" w14:paraId="0DFCA8C9" w14:textId="77777777" w:rsidTr="002F1F49">
        <w:trPr>
          <w:trHeight w:hRule="exact" w:val="2568"/>
        </w:trPr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14:paraId="08810236" w14:textId="77777777" w:rsidR="00B03965" w:rsidRPr="00B03965" w:rsidRDefault="00B03965" w:rsidP="002F1F49">
            <w:pPr>
              <w:pStyle w:val="Style1"/>
              <w:kinsoku w:val="0"/>
              <w:autoSpaceDE/>
              <w:autoSpaceDN/>
              <w:adjustRightInd/>
              <w:spacing w:line="285" w:lineRule="auto"/>
              <w:ind w:right="324"/>
              <w:rPr>
                <w:rStyle w:val="CharacterStyle2"/>
                <w:b/>
                <w:bCs/>
                <w:spacing w:val="-7"/>
                <w:sz w:val="22"/>
                <w:szCs w:val="22"/>
                <w:lang w:val="pt-BR"/>
              </w:rPr>
            </w:pPr>
            <w:r w:rsidRPr="00B03965">
              <w:rPr>
                <w:rStyle w:val="CharacterStyle2"/>
                <w:b/>
                <w:bCs/>
                <w:spacing w:val="-7"/>
                <w:sz w:val="22"/>
                <w:szCs w:val="22"/>
                <w:lang w:val="pt-BR"/>
              </w:rPr>
              <w:t xml:space="preserve">À Presidência da Assembleia Geral </w:t>
            </w:r>
          </w:p>
          <w:p w14:paraId="583E87CA" w14:textId="77777777" w:rsidR="00B03965" w:rsidRPr="00B03965" w:rsidRDefault="00B03965" w:rsidP="002F1F49">
            <w:pPr>
              <w:pStyle w:val="Style1"/>
              <w:kinsoku w:val="0"/>
              <w:autoSpaceDE/>
              <w:autoSpaceDN/>
              <w:adjustRightInd/>
              <w:spacing w:line="285" w:lineRule="auto"/>
              <w:ind w:right="324"/>
              <w:rPr>
                <w:rStyle w:val="CharacterStyle2"/>
                <w:b/>
                <w:bCs/>
                <w:spacing w:val="-6"/>
                <w:sz w:val="22"/>
                <w:szCs w:val="22"/>
                <w:lang w:val="pt-BR"/>
              </w:rPr>
            </w:pPr>
            <w:r w:rsidRPr="00B03965">
              <w:rPr>
                <w:rStyle w:val="CharacterStyle2"/>
                <w:b/>
                <w:bCs/>
                <w:spacing w:val="-7"/>
                <w:sz w:val="22"/>
                <w:szCs w:val="22"/>
                <w:lang w:val="pt-BR"/>
              </w:rPr>
              <w:t xml:space="preserve">Quinquagésimo Primeiro </w:t>
            </w:r>
            <w:r w:rsidRPr="00B03965">
              <w:rPr>
                <w:rStyle w:val="CharacterStyle2"/>
                <w:b/>
                <w:bCs/>
                <w:spacing w:val="-6"/>
                <w:sz w:val="22"/>
                <w:szCs w:val="22"/>
                <w:lang w:val="pt-BR"/>
              </w:rPr>
              <w:t>Período Ordinário de Sessões</w:t>
            </w:r>
          </w:p>
          <w:p w14:paraId="71EC36BB" w14:textId="77777777" w:rsidR="00B03965" w:rsidRPr="00B03965" w:rsidRDefault="00B03965" w:rsidP="002F1F49">
            <w:pPr>
              <w:pStyle w:val="Style1"/>
              <w:kinsoku w:val="0"/>
              <w:autoSpaceDE/>
              <w:autoSpaceDN/>
              <w:adjustRightInd/>
              <w:spacing w:before="108" w:line="288" w:lineRule="auto"/>
              <w:ind w:right="1620"/>
              <w:rPr>
                <w:rStyle w:val="CharacterStyle2"/>
                <w:b/>
                <w:bCs/>
                <w:sz w:val="22"/>
                <w:szCs w:val="22"/>
                <w:lang w:val="pt-BR"/>
              </w:rPr>
            </w:pPr>
            <w:r w:rsidRPr="00B03965">
              <w:rPr>
                <w:rStyle w:val="CharacterStyle2"/>
                <w:b/>
                <w:bCs/>
                <w:spacing w:val="-6"/>
                <w:sz w:val="22"/>
                <w:szCs w:val="22"/>
                <w:lang w:val="pt-BR"/>
              </w:rPr>
              <w:t xml:space="preserve">Organização dos Estados Americanos </w:t>
            </w:r>
            <w:r w:rsidRPr="00B03965">
              <w:rPr>
                <w:rStyle w:val="CharacterStyle2"/>
                <w:b/>
                <w:bCs/>
                <w:sz w:val="22"/>
                <w:szCs w:val="22"/>
                <w:lang w:val="pt-BR"/>
              </w:rPr>
              <w:t>Washington, D.C.</w:t>
            </w:r>
          </w:p>
        </w:tc>
      </w:tr>
    </w:tbl>
    <w:p w14:paraId="30FD0A98" w14:textId="77777777" w:rsidR="0012435B" w:rsidRDefault="0012435B" w:rsidP="00B03965">
      <w:pPr>
        <w:pStyle w:val="Style1"/>
        <w:kinsoku w:val="0"/>
        <w:autoSpaceDE/>
        <w:autoSpaceDN/>
        <w:adjustRightInd/>
        <w:spacing w:line="194" w:lineRule="auto"/>
        <w:jc w:val="center"/>
        <w:rPr>
          <w:rStyle w:val="CharacterStyle2"/>
          <w:w w:val="105"/>
          <w:sz w:val="22"/>
          <w:szCs w:val="22"/>
          <w:lang w:val="pt-BR"/>
        </w:rPr>
      </w:pPr>
    </w:p>
    <w:p w14:paraId="7EB31F95" w14:textId="77777777" w:rsidR="0012435B" w:rsidRDefault="0012435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jc w:val="left"/>
        <w:rPr>
          <w:rStyle w:val="CharacterStyle2"/>
          <w:rFonts w:eastAsiaTheme="minorEastAsia"/>
          <w:w w:val="105"/>
          <w:sz w:val="22"/>
          <w:szCs w:val="22"/>
          <w:lang w:val="pt-BR" w:eastAsia="en-US"/>
        </w:rPr>
      </w:pPr>
      <w:r>
        <w:rPr>
          <w:rStyle w:val="CharacterStyle2"/>
          <w:w w:val="105"/>
          <w:sz w:val="22"/>
          <w:szCs w:val="22"/>
          <w:lang w:val="pt-BR"/>
        </w:rPr>
        <w:br w:type="page"/>
      </w:r>
    </w:p>
    <w:p w14:paraId="308CC873" w14:textId="768C4800" w:rsidR="00B03965" w:rsidRPr="00B03965" w:rsidRDefault="00B03965" w:rsidP="00B03965">
      <w:pPr>
        <w:pStyle w:val="Style1"/>
        <w:kinsoku w:val="0"/>
        <w:autoSpaceDE/>
        <w:autoSpaceDN/>
        <w:adjustRightInd/>
        <w:spacing w:line="194" w:lineRule="auto"/>
        <w:jc w:val="center"/>
        <w:rPr>
          <w:rStyle w:val="CharacterStyle2"/>
          <w:w w:val="105"/>
          <w:sz w:val="22"/>
          <w:szCs w:val="22"/>
          <w:lang w:val="pt-BR"/>
        </w:rPr>
      </w:pPr>
      <w:r w:rsidRPr="00B03965">
        <w:rPr>
          <w:rStyle w:val="CharacterStyle2"/>
          <w:w w:val="105"/>
          <w:sz w:val="22"/>
          <w:szCs w:val="22"/>
          <w:lang w:val="pt-BR"/>
        </w:rPr>
        <w:lastRenderedPageBreak/>
        <w:t>Anexo</w:t>
      </w:r>
    </w:p>
    <w:p w14:paraId="23F29EBF" w14:textId="77777777" w:rsidR="00B03965" w:rsidRPr="00B03965" w:rsidRDefault="00B03965" w:rsidP="00B03965">
      <w:pPr>
        <w:pStyle w:val="Style1"/>
        <w:kinsoku w:val="0"/>
        <w:autoSpaceDE/>
        <w:autoSpaceDN/>
        <w:adjustRightInd/>
        <w:spacing w:before="288"/>
        <w:jc w:val="both"/>
        <w:rPr>
          <w:rStyle w:val="CharacterStyle2"/>
          <w:spacing w:val="-1"/>
          <w:sz w:val="22"/>
          <w:szCs w:val="22"/>
          <w:lang w:val="pt-BR"/>
        </w:rPr>
      </w:pPr>
      <w:r w:rsidRPr="00B03965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321D8016" wp14:editId="30C7A6F5">
                <wp:simplePos x="0" y="0"/>
                <wp:positionH relativeFrom="column">
                  <wp:posOffset>2755265</wp:posOffset>
                </wp:positionH>
                <wp:positionV relativeFrom="paragraph">
                  <wp:posOffset>5080</wp:posOffset>
                </wp:positionV>
                <wp:extent cx="436880" cy="0"/>
                <wp:effectExtent l="0" t="0" r="0" b="0"/>
                <wp:wrapSquare wrapText="bothSides"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F0F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8E92C" id="Line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16.95pt,.4pt" to="251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" o:allowincell="f" strokecolor="#0f0f0f" strokeweight=".7pt">
                <w10:wrap type="square"/>
              </v:line>
            </w:pict>
          </mc:Fallback>
        </mc:AlternateContent>
      </w:r>
      <w:r w:rsidRPr="00B03965">
        <w:rPr>
          <w:rStyle w:val="CharacterStyle2"/>
          <w:spacing w:val="-1"/>
          <w:sz w:val="22"/>
          <w:szCs w:val="22"/>
          <w:lang w:val="pt-BR"/>
        </w:rPr>
        <w:t xml:space="preserve">O México identifica com preocupação, uma vez mais, incoerências e irregularidades no </w:t>
      </w:r>
      <w:r w:rsidRPr="00B03965">
        <w:rPr>
          <w:rStyle w:val="CharacterStyle2"/>
          <w:i/>
          <w:iCs/>
          <w:spacing w:val="8"/>
          <w:sz w:val="22"/>
          <w:szCs w:val="22"/>
          <w:lang w:val="pt-BR"/>
        </w:rPr>
        <w:t xml:space="preserve">Relatório do Secretário-Geral sobre a apresentação de credenciais das delegações </w:t>
      </w:r>
      <w:r w:rsidRPr="00B03965">
        <w:rPr>
          <w:rStyle w:val="CharacterStyle2"/>
          <w:i/>
          <w:iCs/>
          <w:spacing w:val="-4"/>
          <w:sz w:val="22"/>
          <w:szCs w:val="22"/>
          <w:lang w:val="pt-BR"/>
        </w:rPr>
        <w:t xml:space="preserve">participantes do Quinquagésimo Primeiro Período Ordinário de Sessões da Assembleia Geral da Organização dos </w:t>
      </w:r>
      <w:r w:rsidRPr="00B03965">
        <w:rPr>
          <w:rStyle w:val="CharacterStyle2"/>
          <w:i/>
          <w:iCs/>
          <w:spacing w:val="-6"/>
          <w:sz w:val="22"/>
          <w:szCs w:val="22"/>
          <w:lang w:val="pt-BR"/>
        </w:rPr>
        <w:t xml:space="preserve">Estados Americanos (OEA), </w:t>
      </w:r>
      <w:r w:rsidRPr="00B03965">
        <w:rPr>
          <w:rStyle w:val="CharacterStyle2"/>
          <w:spacing w:val="-6"/>
          <w:sz w:val="22"/>
          <w:szCs w:val="22"/>
          <w:lang w:val="pt-BR"/>
        </w:rPr>
        <w:t xml:space="preserve">que </w:t>
      </w:r>
      <w:r w:rsidRPr="00B03965">
        <w:rPr>
          <w:rStyle w:val="CharacterStyle2"/>
          <w:spacing w:val="-1"/>
          <w:sz w:val="22"/>
          <w:szCs w:val="22"/>
          <w:lang w:val="pt-BR"/>
        </w:rPr>
        <w:t>redundam em atos contrários ao Direito Internacional.</w:t>
      </w:r>
    </w:p>
    <w:p w14:paraId="2DC0DD5B" w14:textId="77777777" w:rsidR="00B03965" w:rsidRPr="00B03965" w:rsidRDefault="00B03965" w:rsidP="00B03965">
      <w:pPr>
        <w:pStyle w:val="Style3"/>
        <w:kinsoku w:val="0"/>
        <w:autoSpaceDE/>
        <w:autoSpaceDN/>
        <w:spacing w:before="288"/>
        <w:rPr>
          <w:rStyle w:val="CharacterStyle3"/>
          <w:rFonts w:ascii="Times New Roman" w:hAnsi="Times New Roman" w:cs="Times New Roman"/>
          <w:spacing w:val="4"/>
          <w:sz w:val="22"/>
          <w:szCs w:val="22"/>
          <w:lang w:val="pt-BR"/>
        </w:rPr>
      </w:pPr>
      <w:r w:rsidRPr="00B03965">
        <w:rPr>
          <w:rStyle w:val="CharacterStyle3"/>
          <w:rFonts w:ascii="Times New Roman" w:hAnsi="Times New Roman" w:cs="Times New Roman"/>
          <w:spacing w:val="1"/>
          <w:sz w:val="22"/>
          <w:szCs w:val="22"/>
          <w:lang w:val="pt-BR"/>
        </w:rPr>
        <w:t xml:space="preserve">Em virtude do exposto, o Governo do México gostaria de registrar que o credenciamento das delegações </w:t>
      </w:r>
      <w:r w:rsidRPr="00B03965">
        <w:rPr>
          <w:rStyle w:val="CharacterStyle3"/>
          <w:rFonts w:ascii="Times New Roman" w:hAnsi="Times New Roman" w:cs="Times New Roman"/>
          <w:sz w:val="22"/>
          <w:szCs w:val="22"/>
          <w:lang w:val="pt-BR"/>
        </w:rPr>
        <w:t xml:space="preserve">participantes da Assembleia Geral representa 1) um ato de natureza </w:t>
      </w:r>
      <w:r w:rsidRPr="00B03965">
        <w:rPr>
          <w:rStyle w:val="CharacterStyle3"/>
          <w:rFonts w:ascii="Times New Roman" w:hAnsi="Times New Roman" w:cs="Times New Roman"/>
          <w:spacing w:val="2"/>
          <w:sz w:val="22"/>
          <w:szCs w:val="22"/>
          <w:lang w:val="pt-BR"/>
        </w:rPr>
        <w:t>declarativa, cuja validade decorre da condição de membro concedida ao Estado; 2) que se limita ao âmbito material da participação dessa delegação nos trabalhos do órgão de que se trate</w:t>
      </w:r>
      <w:r w:rsidRPr="00B03965">
        <w:rPr>
          <w:rStyle w:val="CharacterStyle3"/>
          <w:rFonts w:ascii="Times New Roman" w:hAnsi="Times New Roman" w:cs="Times New Roman"/>
          <w:spacing w:val="1"/>
          <w:sz w:val="22"/>
          <w:szCs w:val="22"/>
          <w:lang w:val="pt-BR"/>
        </w:rPr>
        <w:t xml:space="preserve">; e 3) que não constitui direitos especiais para nenhum governo ou Estado, em descumprimento do disposto pela </w:t>
      </w:r>
      <w:r w:rsidRPr="00B03965">
        <w:rPr>
          <w:rStyle w:val="CharacterStyle3"/>
          <w:rFonts w:ascii="Times New Roman" w:hAnsi="Times New Roman" w:cs="Times New Roman"/>
          <w:spacing w:val="4"/>
          <w:sz w:val="22"/>
          <w:szCs w:val="22"/>
          <w:lang w:val="pt-BR"/>
        </w:rPr>
        <w:t>Carta da OEA ou pelo Direito Internacional.</w:t>
      </w:r>
    </w:p>
    <w:p w14:paraId="5AF8A8F9" w14:textId="77777777" w:rsidR="00B03965" w:rsidRPr="00B03965" w:rsidRDefault="00B03965" w:rsidP="00B03965">
      <w:pPr>
        <w:pStyle w:val="Style3"/>
        <w:kinsoku w:val="0"/>
        <w:autoSpaceDE/>
        <w:autoSpaceDN/>
        <w:spacing w:before="360"/>
        <w:rPr>
          <w:rStyle w:val="CharacterStyle3"/>
          <w:rFonts w:ascii="Times New Roman" w:hAnsi="Times New Roman" w:cs="Times New Roman"/>
          <w:spacing w:val="4"/>
          <w:sz w:val="22"/>
          <w:szCs w:val="22"/>
          <w:lang w:val="pt-BR"/>
        </w:rPr>
      </w:pPr>
      <w:r w:rsidRPr="00B03965">
        <w:rPr>
          <w:rStyle w:val="CharacterStyle3"/>
          <w:rFonts w:ascii="Times New Roman" w:hAnsi="Times New Roman" w:cs="Times New Roman"/>
          <w:spacing w:val="3"/>
          <w:sz w:val="22"/>
          <w:szCs w:val="22"/>
          <w:lang w:val="pt-BR"/>
        </w:rPr>
        <w:t xml:space="preserve">O credenciamento de qualquer pessoa que diga representar o Estado venezuelano na esfera da </w:t>
      </w:r>
      <w:r w:rsidRPr="00B03965">
        <w:rPr>
          <w:rStyle w:val="CharacterStyle3"/>
          <w:rFonts w:ascii="Times New Roman" w:hAnsi="Times New Roman" w:cs="Times New Roman"/>
          <w:spacing w:val="1"/>
          <w:sz w:val="22"/>
          <w:szCs w:val="22"/>
          <w:lang w:val="pt-BR"/>
        </w:rPr>
        <w:t xml:space="preserve">OEA se converte em ato que viola o Direito Internacional, uma vez que a República </w:t>
      </w:r>
      <w:r w:rsidRPr="00B03965">
        <w:rPr>
          <w:rStyle w:val="CharacterStyle3"/>
          <w:rFonts w:ascii="Times New Roman" w:hAnsi="Times New Roman" w:cs="Times New Roman"/>
          <w:spacing w:val="4"/>
          <w:sz w:val="22"/>
          <w:szCs w:val="22"/>
          <w:lang w:val="pt-BR"/>
        </w:rPr>
        <w:t xml:space="preserve">Bolivariana da Venezuela denunciou a Carta da Organização em abril de 2017, razão pela qual, desde </w:t>
      </w:r>
      <w:r w:rsidRPr="00B03965">
        <w:rPr>
          <w:rStyle w:val="CharacterStyle3"/>
          <w:rFonts w:ascii="Times New Roman" w:hAnsi="Times New Roman" w:cs="Times New Roman"/>
          <w:spacing w:val="5"/>
          <w:sz w:val="22"/>
          <w:szCs w:val="22"/>
          <w:lang w:val="pt-BR"/>
        </w:rPr>
        <w:t xml:space="preserve">abril de 2019, esta cessou seus efeitos sobre esse país. O vínculo jurídico que a </w:t>
      </w:r>
      <w:r w:rsidRPr="00B03965">
        <w:rPr>
          <w:rStyle w:val="CharacterStyle3"/>
          <w:rFonts w:ascii="Times New Roman" w:hAnsi="Times New Roman" w:cs="Times New Roman"/>
          <w:spacing w:val="2"/>
          <w:sz w:val="22"/>
          <w:szCs w:val="22"/>
          <w:lang w:val="pt-BR"/>
        </w:rPr>
        <w:t xml:space="preserve">Venezuela mantém com a Organização se limita, segundo o disposto no artigo </w:t>
      </w:r>
      <w:r w:rsidRPr="00B03965">
        <w:rPr>
          <w:rStyle w:val="CharacterStyle3"/>
          <w:rFonts w:ascii="Times New Roman" w:hAnsi="Times New Roman" w:cs="Times New Roman"/>
          <w:spacing w:val="4"/>
          <w:sz w:val="22"/>
          <w:szCs w:val="22"/>
          <w:lang w:val="pt-BR"/>
        </w:rPr>
        <w:t>143 da Carta, às obrigações internacionais pendentes de cumprimento.</w:t>
      </w:r>
    </w:p>
    <w:p w14:paraId="10774C26" w14:textId="77777777" w:rsidR="00B03965" w:rsidRPr="00B03965" w:rsidRDefault="00B03965" w:rsidP="00B03965">
      <w:pPr>
        <w:pStyle w:val="Style3"/>
        <w:kinsoku w:val="0"/>
        <w:autoSpaceDE/>
        <w:autoSpaceDN/>
        <w:spacing w:before="360"/>
        <w:rPr>
          <w:rStyle w:val="CharacterStyle3"/>
          <w:rFonts w:ascii="Times New Roman" w:hAnsi="Times New Roman" w:cs="Times New Roman"/>
          <w:sz w:val="22"/>
          <w:szCs w:val="22"/>
          <w:lang w:val="pt-BR"/>
        </w:rPr>
      </w:pPr>
      <w:r w:rsidRPr="00B03965">
        <w:rPr>
          <w:rStyle w:val="CharacterStyle3"/>
          <w:rFonts w:ascii="Times New Roman" w:hAnsi="Times New Roman" w:cs="Times New Roman"/>
          <w:spacing w:val="13"/>
          <w:sz w:val="22"/>
          <w:szCs w:val="22"/>
          <w:lang w:val="pt-BR"/>
        </w:rPr>
        <w:t xml:space="preserve">O reconhecimento de governos é um ato soberano dos Estados, não dos </w:t>
      </w:r>
      <w:r w:rsidRPr="00B03965">
        <w:rPr>
          <w:rStyle w:val="CharacterStyle3"/>
          <w:rFonts w:ascii="Times New Roman" w:hAnsi="Times New Roman" w:cs="Times New Roman"/>
          <w:spacing w:val="10"/>
          <w:sz w:val="22"/>
          <w:szCs w:val="22"/>
          <w:lang w:val="pt-BR"/>
        </w:rPr>
        <w:t>organismos internacionais. A OEA não possui, bem pode arrogar-se, faculdades de reconhecimento coletivo oponíveis aos membros</w:t>
      </w:r>
      <w:r w:rsidRPr="00B03965">
        <w:rPr>
          <w:rStyle w:val="CharacterStyle3"/>
          <w:rFonts w:ascii="Times New Roman" w:hAnsi="Times New Roman" w:cs="Times New Roman"/>
          <w:spacing w:val="15"/>
          <w:sz w:val="22"/>
          <w:szCs w:val="22"/>
          <w:lang w:val="pt-BR"/>
        </w:rPr>
        <w:t xml:space="preserve">, razão pela qual qualquer ato </w:t>
      </w:r>
      <w:r w:rsidRPr="00B03965">
        <w:rPr>
          <w:rStyle w:val="CharacterStyle3"/>
          <w:rFonts w:ascii="Times New Roman" w:hAnsi="Times New Roman" w:cs="Times New Roman"/>
          <w:spacing w:val="13"/>
          <w:sz w:val="22"/>
          <w:szCs w:val="22"/>
          <w:lang w:val="pt-BR"/>
        </w:rPr>
        <w:t xml:space="preserve">destinado a esse propósito está fora de seu âmbito de competência e é nulo </w:t>
      </w:r>
      <w:r w:rsidRPr="00B03965">
        <w:rPr>
          <w:rStyle w:val="CharacterStyle3"/>
          <w:rFonts w:ascii="Times New Roman" w:hAnsi="Times New Roman" w:cs="Times New Roman"/>
          <w:sz w:val="22"/>
          <w:szCs w:val="22"/>
          <w:lang w:val="pt-BR"/>
        </w:rPr>
        <w:t>materialmente.</w:t>
      </w:r>
    </w:p>
    <w:p w14:paraId="4BB112AA" w14:textId="77777777" w:rsidR="00B03965" w:rsidRPr="00B03965" w:rsidRDefault="00B03965" w:rsidP="00B03965">
      <w:pPr>
        <w:pStyle w:val="Style3"/>
        <w:kinsoku w:val="0"/>
        <w:autoSpaceDE/>
        <w:autoSpaceDN/>
        <w:rPr>
          <w:rStyle w:val="CharacterStyle3"/>
          <w:rFonts w:ascii="Times New Roman" w:hAnsi="Times New Roman" w:cs="Times New Roman"/>
          <w:spacing w:val="4"/>
          <w:sz w:val="22"/>
          <w:szCs w:val="22"/>
          <w:lang w:val="pt-BR"/>
        </w:rPr>
      </w:pPr>
      <w:r w:rsidRPr="00B03965">
        <w:rPr>
          <w:rStyle w:val="CharacterStyle3"/>
          <w:rFonts w:ascii="Times New Roman" w:hAnsi="Times New Roman" w:cs="Times New Roman"/>
          <w:spacing w:val="2"/>
          <w:sz w:val="22"/>
          <w:szCs w:val="22"/>
          <w:lang w:val="pt-BR"/>
        </w:rPr>
        <w:t xml:space="preserve">Em vista do exposto, enquanto qualquer pessoa permaneça credenciada como Representante </w:t>
      </w:r>
      <w:r w:rsidRPr="00B03965">
        <w:rPr>
          <w:rStyle w:val="CharacterStyle3"/>
          <w:rFonts w:ascii="Times New Roman" w:hAnsi="Times New Roman" w:cs="Times New Roman"/>
          <w:spacing w:val="4"/>
          <w:sz w:val="22"/>
          <w:szCs w:val="22"/>
          <w:lang w:val="pt-BR"/>
        </w:rPr>
        <w:t xml:space="preserve">da República Bolivariana da Venezuela junto à OEA, com base em atos </w:t>
      </w:r>
      <w:r w:rsidRPr="00B03965">
        <w:rPr>
          <w:rStyle w:val="CharacterStyle3"/>
          <w:rFonts w:ascii="Times New Roman" w:hAnsi="Times New Roman" w:cs="Times New Roman"/>
          <w:i/>
          <w:iCs/>
          <w:spacing w:val="4"/>
          <w:sz w:val="22"/>
          <w:szCs w:val="22"/>
          <w:lang w:val="pt-BR"/>
        </w:rPr>
        <w:t xml:space="preserve">ultra vires, </w:t>
      </w:r>
      <w:r w:rsidRPr="00B03965">
        <w:rPr>
          <w:rStyle w:val="CharacterStyle3"/>
          <w:rFonts w:ascii="Times New Roman" w:hAnsi="Times New Roman" w:cs="Times New Roman"/>
          <w:iCs/>
          <w:spacing w:val="4"/>
          <w:sz w:val="22"/>
          <w:szCs w:val="22"/>
          <w:lang w:val="pt-BR"/>
        </w:rPr>
        <w:t xml:space="preserve">o </w:t>
      </w:r>
      <w:r w:rsidRPr="00B03965">
        <w:rPr>
          <w:rStyle w:val="CharacterStyle3"/>
          <w:rFonts w:ascii="Times New Roman" w:hAnsi="Times New Roman" w:cs="Times New Roman"/>
          <w:spacing w:val="4"/>
          <w:sz w:val="22"/>
          <w:szCs w:val="22"/>
          <w:lang w:val="pt-BR"/>
        </w:rPr>
        <w:t xml:space="preserve">México continuará participando e exercendo suas prerrogativas e direitos no interior de seus órgãos, </w:t>
      </w:r>
      <w:r w:rsidRPr="00B03965">
        <w:rPr>
          <w:rStyle w:val="CharacterStyle3"/>
          <w:rFonts w:ascii="Times New Roman" w:hAnsi="Times New Roman" w:cs="Times New Roman"/>
          <w:spacing w:val="-1"/>
          <w:sz w:val="22"/>
          <w:szCs w:val="22"/>
          <w:lang w:val="pt-BR"/>
        </w:rPr>
        <w:t>organismos e entidades, sem que isso deva ser considerado aquiescência ao reconhecimento de nenhum governo</w:t>
      </w:r>
      <w:r w:rsidRPr="00B03965">
        <w:rPr>
          <w:rStyle w:val="CharacterStyle3"/>
          <w:rFonts w:ascii="Times New Roman" w:hAnsi="Times New Roman" w:cs="Times New Roman"/>
          <w:spacing w:val="4"/>
          <w:sz w:val="22"/>
          <w:szCs w:val="22"/>
          <w:lang w:val="pt-BR"/>
        </w:rPr>
        <w:t>.</w:t>
      </w:r>
    </w:p>
    <w:p w14:paraId="6325DAD3" w14:textId="77777777" w:rsidR="00B03965" w:rsidRPr="00B03965" w:rsidRDefault="00B03965" w:rsidP="00B03965">
      <w:pPr>
        <w:pStyle w:val="Style3"/>
        <w:kinsoku w:val="0"/>
        <w:autoSpaceDE/>
        <w:autoSpaceDN/>
        <w:rPr>
          <w:rStyle w:val="CharacterStyle3"/>
          <w:rFonts w:ascii="Times New Roman" w:hAnsi="Times New Roman" w:cs="Times New Roman"/>
          <w:spacing w:val="4"/>
          <w:sz w:val="22"/>
          <w:szCs w:val="22"/>
          <w:lang w:val="pt-BR"/>
        </w:rPr>
      </w:pPr>
      <w:r w:rsidRPr="00B03965">
        <w:rPr>
          <w:rStyle w:val="CharacterStyle3"/>
          <w:rFonts w:ascii="Times New Roman" w:hAnsi="Times New Roman" w:cs="Times New Roman"/>
          <w:spacing w:val="2"/>
          <w:sz w:val="22"/>
          <w:szCs w:val="22"/>
          <w:lang w:val="pt-BR"/>
        </w:rPr>
        <w:t xml:space="preserve">Nesse sentido, o México declara que exercerá seu direito de manter ou suspender </w:t>
      </w:r>
      <w:r w:rsidRPr="00B03965">
        <w:rPr>
          <w:rStyle w:val="CharacterStyle3"/>
          <w:rFonts w:ascii="Times New Roman" w:hAnsi="Times New Roman" w:cs="Times New Roman"/>
          <w:sz w:val="22"/>
          <w:szCs w:val="22"/>
          <w:lang w:val="pt-BR"/>
        </w:rPr>
        <w:t xml:space="preserve">relações diplomáticas com qualquer país, sem qualificar o direito de nenhum povo de aceitar, manter ou substituir seus governos ou autoridades, e sem que isso </w:t>
      </w:r>
      <w:r w:rsidRPr="00B03965">
        <w:rPr>
          <w:rStyle w:val="CharacterStyle3"/>
          <w:rFonts w:ascii="Times New Roman" w:hAnsi="Times New Roman" w:cs="Times New Roman"/>
          <w:spacing w:val="4"/>
          <w:sz w:val="22"/>
          <w:szCs w:val="22"/>
          <w:lang w:val="pt-BR"/>
        </w:rPr>
        <w:t xml:space="preserve">impacte sua </w:t>
      </w:r>
      <w:r w:rsidRPr="00B03965">
        <w:rPr>
          <w:rStyle w:val="CharacterStyle3"/>
          <w:rFonts w:ascii="Times New Roman" w:hAnsi="Times New Roman" w:cs="Times New Roman"/>
          <w:spacing w:val="6"/>
          <w:sz w:val="22"/>
          <w:szCs w:val="22"/>
          <w:lang w:val="pt-BR"/>
        </w:rPr>
        <w:t>participação como Estado membro da OEA ou represente reconhecimento algum quanto aos governos do Hemisfério</w:t>
      </w:r>
      <w:r w:rsidRPr="00B03965">
        <w:rPr>
          <w:rStyle w:val="CharacterStyle3"/>
          <w:rFonts w:ascii="Times New Roman" w:hAnsi="Times New Roman" w:cs="Times New Roman"/>
          <w:spacing w:val="4"/>
          <w:sz w:val="22"/>
          <w:szCs w:val="22"/>
          <w:lang w:val="pt-BR"/>
        </w:rPr>
        <w:t>.</w:t>
      </w:r>
    </w:p>
    <w:p w14:paraId="3E48AD0A" w14:textId="77777777" w:rsidR="00B03965" w:rsidRPr="00B03965" w:rsidRDefault="00B03965" w:rsidP="00B03965">
      <w:pPr>
        <w:pStyle w:val="Style3"/>
        <w:kinsoku w:val="0"/>
        <w:autoSpaceDE/>
        <w:autoSpaceDN/>
        <w:rPr>
          <w:rStyle w:val="CharacterStyle3"/>
          <w:rFonts w:ascii="Times New Roman" w:hAnsi="Times New Roman" w:cs="Times New Roman"/>
          <w:spacing w:val="2"/>
          <w:sz w:val="22"/>
          <w:szCs w:val="22"/>
          <w:lang w:val="pt-BR"/>
        </w:rPr>
      </w:pPr>
      <w:r w:rsidRPr="00B03965">
        <w:rPr>
          <w:rStyle w:val="CharacterStyle3"/>
          <w:rFonts w:ascii="Times New Roman" w:hAnsi="Times New Roman" w:cs="Times New Roman"/>
          <w:spacing w:val="3"/>
          <w:sz w:val="22"/>
          <w:szCs w:val="22"/>
          <w:lang w:val="pt-BR"/>
        </w:rPr>
        <w:t xml:space="preserve">Por conseguinte, o México se reserva o direito de questionar a validade dos atos e decisões emanados dos órgãos, </w:t>
      </w:r>
      <w:r w:rsidRPr="00B03965">
        <w:rPr>
          <w:rStyle w:val="CharacterStyle3"/>
          <w:rFonts w:ascii="Times New Roman" w:hAnsi="Times New Roman" w:cs="Times New Roman"/>
          <w:spacing w:val="9"/>
          <w:sz w:val="22"/>
          <w:szCs w:val="22"/>
          <w:lang w:val="pt-BR"/>
        </w:rPr>
        <w:t xml:space="preserve">organismos e entidades da Organização, quando sejam contrários ao Direito Internacional, e a expressar que esses atos e decisões </w:t>
      </w:r>
      <w:r w:rsidRPr="00B03965">
        <w:rPr>
          <w:rStyle w:val="CharacterStyle3"/>
          <w:rFonts w:ascii="Times New Roman" w:hAnsi="Times New Roman" w:cs="Times New Roman"/>
          <w:spacing w:val="6"/>
          <w:sz w:val="22"/>
          <w:szCs w:val="22"/>
          <w:lang w:val="pt-BR"/>
        </w:rPr>
        <w:t xml:space="preserve">não lhe são aplicáveis quando excedam o âmbito de competência da OEA, sem prejuízo dos direitos e obrigações que lhe caibam como </w:t>
      </w:r>
      <w:r w:rsidRPr="00B03965">
        <w:rPr>
          <w:rStyle w:val="CharacterStyle3"/>
          <w:rFonts w:ascii="Times New Roman" w:hAnsi="Times New Roman" w:cs="Times New Roman"/>
          <w:spacing w:val="5"/>
          <w:sz w:val="22"/>
          <w:szCs w:val="22"/>
          <w:lang w:val="pt-BR"/>
        </w:rPr>
        <w:t>Estado membro d</w:t>
      </w:r>
      <w:r w:rsidRPr="00B03965">
        <w:rPr>
          <w:rStyle w:val="CharacterStyle3"/>
          <w:rFonts w:ascii="Times New Roman" w:hAnsi="Times New Roman" w:cs="Times New Roman"/>
          <w:spacing w:val="2"/>
          <w:sz w:val="22"/>
          <w:szCs w:val="22"/>
          <w:lang w:val="pt-BR"/>
        </w:rPr>
        <w:t>a Organização.</w:t>
      </w:r>
    </w:p>
    <w:p w14:paraId="0523310D" w14:textId="77777777" w:rsidR="00B03965" w:rsidRPr="00B03965" w:rsidRDefault="00B03965" w:rsidP="00B03965">
      <w:pPr>
        <w:pStyle w:val="Style3"/>
        <w:kinsoku w:val="0"/>
        <w:autoSpaceDE/>
        <w:autoSpaceDN/>
        <w:rPr>
          <w:rStyle w:val="CharacterStyle3"/>
          <w:rFonts w:ascii="Times New Roman" w:hAnsi="Times New Roman" w:cs="Times New Roman"/>
          <w:spacing w:val="2"/>
          <w:sz w:val="22"/>
          <w:szCs w:val="22"/>
          <w:lang w:val="pt-BR"/>
        </w:rPr>
      </w:pPr>
      <w:r w:rsidRPr="00B03965">
        <w:rPr>
          <w:rFonts w:ascii="Times New Roman" w:hAnsi="Times New Roman" w:cs="Times New Roman"/>
          <w:noProof/>
          <w:spacing w:val="2"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65CCC1C" wp14:editId="610F367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8F7A9A8" w14:textId="5AD9DE23" w:rsidR="00B03965" w:rsidRPr="00B83C9B" w:rsidRDefault="00B03965" w:rsidP="00B0396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12435B">
                              <w:rPr>
                                <w:noProof/>
                                <w:sz w:val="18"/>
                              </w:rPr>
                              <w:t>AG08438P01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CCC1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2pt;margin-top:10in;width:266.4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AHCBq6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38F7A9A8" w14:textId="5AD9DE23" w:rsidR="00B03965" w:rsidRPr="00B83C9B" w:rsidRDefault="00B03965" w:rsidP="00B0396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12435B">
                        <w:rPr>
                          <w:noProof/>
                          <w:sz w:val="18"/>
                        </w:rPr>
                        <w:t>AG08438P01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5634CAA" w14:textId="77777777" w:rsidR="00B03965" w:rsidRPr="00B03965" w:rsidRDefault="00B03965" w:rsidP="00B03965">
      <w:pPr>
        <w:jc w:val="center"/>
        <w:rPr>
          <w:bCs/>
          <w:szCs w:val="22"/>
          <w:lang w:val="pt-BR"/>
        </w:rPr>
      </w:pPr>
    </w:p>
    <w:sectPr w:rsidR="00B03965" w:rsidRPr="00B03965" w:rsidSect="0012435B"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B95D" w14:textId="77777777" w:rsidR="0012435B" w:rsidRDefault="0012435B" w:rsidP="0012435B">
      <w:r>
        <w:separator/>
      </w:r>
    </w:p>
  </w:endnote>
  <w:endnote w:type="continuationSeparator" w:id="0">
    <w:p w14:paraId="65969695" w14:textId="77777777" w:rsidR="0012435B" w:rsidRDefault="0012435B" w:rsidP="0012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3813C" w14:textId="77777777" w:rsidR="0012435B" w:rsidRDefault="0012435B" w:rsidP="0012435B">
      <w:r>
        <w:separator/>
      </w:r>
    </w:p>
  </w:footnote>
  <w:footnote w:type="continuationSeparator" w:id="0">
    <w:p w14:paraId="73FEEBC7" w14:textId="77777777" w:rsidR="0012435B" w:rsidRDefault="0012435B" w:rsidP="0012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9138" w14:textId="294695D8" w:rsidR="0012435B" w:rsidRDefault="0012435B">
    <w:pPr>
      <w:pStyle w:val="Header"/>
      <w:jc w:val="center"/>
    </w:pPr>
    <w:r>
      <w:t xml:space="preserve">- </w:t>
    </w:r>
    <w:sdt>
      <w:sdtPr>
        <w:id w:val="-161389673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14:paraId="16107289" w14:textId="77777777" w:rsidR="0012435B" w:rsidRDefault="001243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893B" w14:textId="001DCBA1" w:rsidR="0012435B" w:rsidRDefault="0012435B">
    <w:pPr>
      <w:pStyle w:val="Header"/>
      <w:jc w:val="center"/>
    </w:pPr>
  </w:p>
  <w:p w14:paraId="1D434FE7" w14:textId="77777777" w:rsidR="0012435B" w:rsidRDefault="001243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74"/>
    <w:rsid w:val="000138FE"/>
    <w:rsid w:val="00044212"/>
    <w:rsid w:val="00091F82"/>
    <w:rsid w:val="0012435B"/>
    <w:rsid w:val="001E384A"/>
    <w:rsid w:val="00281F99"/>
    <w:rsid w:val="00285DFB"/>
    <w:rsid w:val="0029162C"/>
    <w:rsid w:val="002B0915"/>
    <w:rsid w:val="00315AC1"/>
    <w:rsid w:val="0040267C"/>
    <w:rsid w:val="00466E40"/>
    <w:rsid w:val="00503711"/>
    <w:rsid w:val="00537DBB"/>
    <w:rsid w:val="005772D2"/>
    <w:rsid w:val="006B6723"/>
    <w:rsid w:val="006D6DFD"/>
    <w:rsid w:val="006D79E4"/>
    <w:rsid w:val="00724C35"/>
    <w:rsid w:val="00825365"/>
    <w:rsid w:val="008815AC"/>
    <w:rsid w:val="008B4565"/>
    <w:rsid w:val="008D0729"/>
    <w:rsid w:val="009301BB"/>
    <w:rsid w:val="00A962B0"/>
    <w:rsid w:val="00B03965"/>
    <w:rsid w:val="00B87D14"/>
    <w:rsid w:val="00B90F34"/>
    <w:rsid w:val="00C22236"/>
    <w:rsid w:val="00CE662B"/>
    <w:rsid w:val="00D41F59"/>
    <w:rsid w:val="00D44339"/>
    <w:rsid w:val="00D65DF6"/>
    <w:rsid w:val="00DD3821"/>
    <w:rsid w:val="00D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F2FA3"/>
  <w15:chartTrackingRefBased/>
  <w15:docId w15:val="{C63BBB6A-ED8F-4D7B-8176-9721CE28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F7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5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5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4565"/>
    <w:rPr>
      <w:color w:val="954F72" w:themeColor="followedHyperlink"/>
      <w:u w:val="single"/>
    </w:rPr>
  </w:style>
  <w:style w:type="paragraph" w:customStyle="1" w:styleId="Style3">
    <w:name w:val="Style 3"/>
    <w:basedOn w:val="Normal"/>
    <w:uiPriority w:val="99"/>
    <w:rsid w:val="00B03965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324"/>
    </w:pPr>
    <w:rPr>
      <w:rFonts w:ascii="Arial" w:eastAsiaTheme="minorEastAsia" w:hAnsi="Arial" w:cs="Arial"/>
      <w:sz w:val="23"/>
      <w:szCs w:val="23"/>
      <w:lang w:val="en-US" w:eastAsia="en-US"/>
    </w:rPr>
  </w:style>
  <w:style w:type="paragraph" w:customStyle="1" w:styleId="Style1">
    <w:name w:val="Style 1"/>
    <w:basedOn w:val="Normal"/>
    <w:uiPriority w:val="99"/>
    <w:rsid w:val="00B03965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adjustRightInd w:val="0"/>
      <w:jc w:val="left"/>
    </w:pPr>
    <w:rPr>
      <w:rFonts w:eastAsiaTheme="minorEastAsia"/>
      <w:sz w:val="20"/>
      <w:lang w:val="en-US" w:eastAsia="en-US"/>
    </w:rPr>
  </w:style>
  <w:style w:type="paragraph" w:customStyle="1" w:styleId="Style2">
    <w:name w:val="Style 2"/>
    <w:basedOn w:val="Normal"/>
    <w:uiPriority w:val="99"/>
    <w:rsid w:val="00B03965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252" w:line="302" w:lineRule="auto"/>
      <w:ind w:right="648" w:firstLine="720"/>
    </w:pPr>
    <w:rPr>
      <w:rFonts w:ascii="Tahoma" w:eastAsiaTheme="minorEastAsia" w:hAnsi="Tahoma" w:cs="Tahoma"/>
      <w:szCs w:val="22"/>
      <w:lang w:val="en-US" w:eastAsia="en-US"/>
    </w:rPr>
  </w:style>
  <w:style w:type="character" w:customStyle="1" w:styleId="CharacterStyle1">
    <w:name w:val="Character Style 1"/>
    <w:uiPriority w:val="99"/>
    <w:rsid w:val="00B03965"/>
    <w:rPr>
      <w:rFonts w:ascii="Tahoma" w:hAnsi="Tahoma" w:cs="Tahoma"/>
      <w:sz w:val="22"/>
      <w:szCs w:val="22"/>
    </w:rPr>
  </w:style>
  <w:style w:type="character" w:customStyle="1" w:styleId="CharacterStyle3">
    <w:name w:val="Character Style 3"/>
    <w:uiPriority w:val="99"/>
    <w:rsid w:val="00B03965"/>
    <w:rPr>
      <w:rFonts w:ascii="Arial" w:hAnsi="Arial" w:cs="Arial"/>
      <w:sz w:val="23"/>
      <w:szCs w:val="23"/>
    </w:rPr>
  </w:style>
  <w:style w:type="character" w:customStyle="1" w:styleId="CharacterStyle2">
    <w:name w:val="Character Style 2"/>
    <w:uiPriority w:val="99"/>
    <w:rsid w:val="00B0396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435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35B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12435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35B"/>
    <w:rPr>
      <w:rFonts w:ascii="Times New Roman" w:eastAsia="Times New Roman" w:hAnsi="Times New Roman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Mayorga, Georgina</dc:creator>
  <cp:keywords/>
  <dc:description/>
  <cp:lastModifiedBy>Mayorga, Georgina</cp:lastModifiedBy>
  <cp:revision>4</cp:revision>
  <dcterms:created xsi:type="dcterms:W3CDTF">2021-11-12T17:21:00Z</dcterms:created>
  <dcterms:modified xsi:type="dcterms:W3CDTF">2021-11-12T17:23:00Z</dcterms:modified>
</cp:coreProperties>
</file>