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D7CA" w14:textId="77777777" w:rsidR="00CC7A5C" w:rsidRDefault="00CC7A5C" w:rsidP="00CC7A5C">
      <w:pPr>
        <w:suppressAutoHyphens/>
        <w:ind w:right="-1199"/>
        <w:rPr>
          <w:rFonts w:ascii="Times New Roman" w:hAnsi="Times New Roman"/>
          <w:lang w:val="en-US" w:eastAsia="ja-JP"/>
        </w:rPr>
      </w:pPr>
      <w:bookmarkStart w:id="0" w:name="_Hlk82208743"/>
      <w:r>
        <w:rPr>
          <w:rFonts w:ascii="Times New Roman" w:hAnsi="Times New Roman"/>
          <w:caps/>
          <w:lang w:val="en-US" w:eastAsia="ja-JP"/>
        </w:rPr>
        <w:t xml:space="preserve">Inter-American Convention against </w:t>
      </w:r>
      <w:r>
        <w:rPr>
          <w:rFonts w:ascii="Times New Roman" w:hAnsi="Times New Roman"/>
          <w:lang w:val="en-US" w:eastAsia="ja-JP"/>
        </w:rPr>
        <w:tab/>
        <w:t>OEA/</w:t>
      </w:r>
      <w:proofErr w:type="spellStart"/>
      <w:r>
        <w:rPr>
          <w:rFonts w:ascii="Times New Roman" w:hAnsi="Times New Roman"/>
          <w:lang w:val="en-US" w:eastAsia="ja-JP"/>
        </w:rPr>
        <w:t>Ser.L</w:t>
      </w:r>
      <w:proofErr w:type="spellEnd"/>
      <w:r>
        <w:rPr>
          <w:rFonts w:ascii="Times New Roman" w:hAnsi="Times New Roman"/>
          <w:lang w:val="en-US" w:eastAsia="ja-JP"/>
        </w:rPr>
        <w:t>/XXII.2.21</w:t>
      </w:r>
    </w:p>
    <w:p w14:paraId="60A12AC9" w14:textId="77777777" w:rsidR="00CC7A5C" w:rsidRDefault="00CC7A5C" w:rsidP="00CC7A5C">
      <w:pPr>
        <w:suppressAutoHyphens/>
        <w:ind w:right="-1199"/>
        <w:rPr>
          <w:rFonts w:ascii="Times New Roman" w:hAnsi="Times New Roman"/>
          <w:lang w:val="en-US" w:eastAsia="ja-JP"/>
        </w:rPr>
      </w:pPr>
      <w:r>
        <w:rPr>
          <w:rFonts w:ascii="Times New Roman" w:hAnsi="Times New Roman"/>
          <w:caps/>
          <w:lang w:val="en-US" w:eastAsia="ja-JP"/>
        </w:rPr>
        <w:t xml:space="preserve">the Illicit Manufacturing of and Trafficking </w:t>
      </w:r>
      <w:r>
        <w:rPr>
          <w:rFonts w:ascii="Times New Roman" w:hAnsi="Times New Roman"/>
          <w:caps/>
          <w:lang w:val="en-US" w:eastAsia="ja-JP"/>
        </w:rPr>
        <w:tab/>
      </w:r>
      <w:r>
        <w:rPr>
          <w:rFonts w:ascii="Times New Roman" w:hAnsi="Times New Roman"/>
          <w:lang w:val="en-US" w:eastAsia="ja-JP"/>
        </w:rPr>
        <w:t>CIFTA/CC-XXI/doc.4/21 rev.2</w:t>
      </w:r>
    </w:p>
    <w:p w14:paraId="21F34906" w14:textId="77777777" w:rsidR="00CC7A5C" w:rsidRDefault="00CC7A5C" w:rsidP="00CC7A5C">
      <w:pPr>
        <w:suppressAutoHyphens/>
        <w:ind w:right="-1199"/>
        <w:rPr>
          <w:rFonts w:ascii="Times New Roman" w:hAnsi="Times New Roman"/>
          <w:lang w:val="en-US" w:eastAsia="ja-JP"/>
        </w:rPr>
      </w:pPr>
      <w:r>
        <w:rPr>
          <w:rFonts w:ascii="Times New Roman" w:hAnsi="Times New Roman"/>
          <w:lang w:val="en-US" w:eastAsia="ja-JP"/>
        </w:rPr>
        <w:t>IN FIREARMS, AMMUNITION, EXPLOSIVES</w:t>
      </w:r>
      <w:r>
        <w:rPr>
          <w:rFonts w:ascii="Times New Roman" w:hAnsi="Times New Roman"/>
          <w:lang w:val="en-US" w:eastAsia="ja-JP"/>
        </w:rPr>
        <w:tab/>
        <w:t>30 September 2021</w:t>
      </w:r>
    </w:p>
    <w:p w14:paraId="0D452328" w14:textId="77777777" w:rsidR="00CC7A5C" w:rsidRDefault="00CC7A5C" w:rsidP="00CC7A5C">
      <w:pPr>
        <w:ind w:right="-1199"/>
        <w:rPr>
          <w:rFonts w:ascii="Times New Roman" w:hAnsi="Times New Roman"/>
          <w:lang w:val="en-US" w:eastAsia="ja-JP"/>
        </w:rPr>
      </w:pPr>
      <w:r>
        <w:rPr>
          <w:rFonts w:ascii="Times New Roman" w:hAnsi="Times New Roman"/>
          <w:lang w:val="en-US" w:eastAsia="ja-JP"/>
        </w:rPr>
        <w:t>AND OTHER RELATED MATERIALS (CIFTA)</w:t>
      </w:r>
      <w:r>
        <w:rPr>
          <w:rFonts w:ascii="Times New Roman" w:hAnsi="Times New Roman"/>
          <w:caps/>
          <w:lang w:val="en-US" w:eastAsia="ja-JP"/>
        </w:rPr>
        <w:tab/>
      </w:r>
      <w:r>
        <w:rPr>
          <w:rFonts w:ascii="Times New Roman" w:hAnsi="Times New Roman"/>
          <w:lang w:val="en-US" w:eastAsia="ja-JP"/>
        </w:rPr>
        <w:t>Original: Spanish</w:t>
      </w:r>
    </w:p>
    <w:p w14:paraId="30625CF2" w14:textId="77777777" w:rsidR="00CC7A5C" w:rsidRDefault="00CC7A5C" w:rsidP="00CC7A5C">
      <w:pPr>
        <w:tabs>
          <w:tab w:val="left" w:pos="6300"/>
        </w:tabs>
        <w:suppressAutoHyphens/>
        <w:rPr>
          <w:rFonts w:ascii="Times New Roman" w:hAnsi="Times New Roman"/>
          <w:bCs/>
          <w:u w:val="single"/>
          <w:lang w:val="en-US" w:eastAsia="ja-JP"/>
        </w:rPr>
      </w:pPr>
      <w:r>
        <w:rPr>
          <w:rFonts w:ascii="Times New Roman" w:hAnsi="Times New Roman"/>
          <w:u w:val="single"/>
          <w:lang w:val="en-US" w:eastAsia="ja-JP"/>
        </w:rPr>
        <w:t>Consultative</w:t>
      </w:r>
      <w:r>
        <w:rPr>
          <w:rFonts w:ascii="Times New Roman" w:hAnsi="Times New Roman"/>
          <w:bCs/>
          <w:u w:val="single"/>
          <w:lang w:val="en-US" w:eastAsia="ja-JP"/>
        </w:rPr>
        <w:t xml:space="preserve"> Committee</w:t>
      </w:r>
    </w:p>
    <w:p w14:paraId="48947838" w14:textId="77777777" w:rsidR="00CC7A5C" w:rsidRDefault="00CC7A5C" w:rsidP="00CC7A5C">
      <w:pPr>
        <w:tabs>
          <w:tab w:val="left" w:pos="6300"/>
        </w:tabs>
        <w:suppressAutoHyphens/>
        <w:rPr>
          <w:rFonts w:ascii="Times New Roman" w:hAnsi="Times New Roman"/>
          <w:lang w:val="en-US" w:eastAsia="ja-JP"/>
        </w:rPr>
      </w:pPr>
      <w:r>
        <w:rPr>
          <w:rFonts w:ascii="Times New Roman" w:hAnsi="Times New Roman"/>
          <w:u w:val="single"/>
          <w:lang w:val="en-US" w:eastAsia="ja-JP"/>
        </w:rPr>
        <w:t>Twenty-First Regular Session</w:t>
      </w:r>
    </w:p>
    <w:p w14:paraId="02D4E10D" w14:textId="77777777" w:rsidR="00CC7A5C" w:rsidRPr="00CC7A5C" w:rsidRDefault="00CC7A5C" w:rsidP="00CC7A5C">
      <w:pPr>
        <w:suppressAutoHyphens/>
        <w:rPr>
          <w:rFonts w:ascii="Times New Roman" w:hAnsi="Times New Roman"/>
          <w:lang w:val="en-US" w:eastAsia="ja-JP"/>
        </w:rPr>
      </w:pPr>
      <w:r w:rsidRPr="00CC7A5C">
        <w:rPr>
          <w:rFonts w:ascii="Times New Roman" w:hAnsi="Times New Roman"/>
          <w:lang w:val="en-US" w:eastAsia="ja-JP"/>
        </w:rPr>
        <w:t>October 4, 2021</w:t>
      </w:r>
    </w:p>
    <w:p w14:paraId="3BCA67FF" w14:textId="77777777" w:rsidR="00CC7A5C" w:rsidRPr="00CC7A5C" w:rsidRDefault="00CC7A5C" w:rsidP="00CC7A5C">
      <w:pPr>
        <w:suppressAutoHyphens/>
        <w:rPr>
          <w:rFonts w:ascii="Times New Roman" w:hAnsi="Times New Roman"/>
          <w:lang w:val="en-US" w:eastAsia="ja-JP"/>
        </w:rPr>
      </w:pPr>
      <w:r w:rsidRPr="00CC7A5C">
        <w:rPr>
          <w:rFonts w:ascii="Times New Roman" w:hAnsi="Times New Roman"/>
          <w:lang w:val="en-US" w:eastAsia="ja-JP"/>
        </w:rPr>
        <w:t>Virtual format</w:t>
      </w:r>
    </w:p>
    <w:p w14:paraId="5F0464EC" w14:textId="77777777" w:rsidR="00CC7A5C" w:rsidRPr="00CC7A5C" w:rsidRDefault="00CC7A5C" w:rsidP="00CC7A5C">
      <w:pPr>
        <w:suppressAutoHyphens/>
        <w:rPr>
          <w:rFonts w:ascii="Times New Roman" w:hAnsi="Times New Roman"/>
          <w:lang w:val="en-US" w:eastAsia="ja-JP"/>
        </w:rPr>
      </w:pPr>
    </w:p>
    <w:p w14:paraId="46A0A6EC" w14:textId="77777777" w:rsidR="00CC7A5C" w:rsidRPr="00CC7A5C" w:rsidRDefault="00CC7A5C" w:rsidP="00CC7A5C">
      <w:pPr>
        <w:suppressAutoHyphens/>
        <w:rPr>
          <w:rFonts w:ascii="Times New Roman" w:hAnsi="Times New Roman"/>
          <w:lang w:val="en-US" w:eastAsia="ja-JP"/>
        </w:rPr>
      </w:pPr>
    </w:p>
    <w:bookmarkEnd w:id="0"/>
    <w:p w14:paraId="1C3088DF" w14:textId="77777777" w:rsidR="00CC7A5C" w:rsidRDefault="00CC7A5C" w:rsidP="00CC7A5C">
      <w:pPr>
        <w:keepLines/>
        <w:jc w:val="center"/>
        <w:rPr>
          <w:rFonts w:ascii="Times New Roman" w:hAnsi="Times New Roman"/>
          <w:color w:val="000000"/>
          <w:lang w:val="en-US"/>
        </w:rPr>
      </w:pPr>
      <w:r>
        <w:rPr>
          <w:rFonts w:ascii="Times New Roman" w:hAnsi="Times New Roman"/>
          <w:color w:val="000000"/>
          <w:lang w:val="en-US"/>
        </w:rPr>
        <w:t>DRAFT LANGUAGE FOR THE CIFTA SECTION OF THE OMNIBUS RESOLUTION</w:t>
      </w:r>
    </w:p>
    <w:p w14:paraId="0CFFA463" w14:textId="77777777" w:rsidR="00CC7A5C" w:rsidRDefault="00CC7A5C" w:rsidP="00CC7A5C">
      <w:pPr>
        <w:keepLines/>
        <w:jc w:val="center"/>
        <w:rPr>
          <w:rFonts w:ascii="Times New Roman" w:hAnsi="Times New Roman"/>
          <w:color w:val="000000"/>
          <w:lang w:val="en-US"/>
        </w:rPr>
      </w:pPr>
    </w:p>
    <w:p w14:paraId="4652277B" w14:textId="77777777" w:rsidR="00CC7A5C" w:rsidRDefault="00CC7A5C" w:rsidP="00CC7A5C">
      <w:pPr>
        <w:jc w:val="center"/>
        <w:rPr>
          <w:rFonts w:ascii="Times New Roman" w:hAnsi="Times New Roman"/>
          <w:lang w:val="en-US"/>
        </w:rPr>
      </w:pPr>
      <w:r>
        <w:rPr>
          <w:rFonts w:ascii="Times New Roman" w:hAnsi="Times New Roman"/>
          <w:lang w:val="en-US"/>
        </w:rPr>
        <w:t xml:space="preserve">(Agreed at the Second Preparatory Meeting held on 30 September 2021) </w:t>
      </w:r>
    </w:p>
    <w:p w14:paraId="58C17864" w14:textId="77777777" w:rsidR="00CC7A5C" w:rsidRDefault="00CC7A5C" w:rsidP="00CC7A5C">
      <w:pPr>
        <w:jc w:val="center"/>
        <w:rPr>
          <w:rFonts w:ascii="Times New Roman" w:hAnsi="Times New Roman"/>
          <w:lang w:val="en-US"/>
        </w:rPr>
      </w:pPr>
    </w:p>
    <w:p w14:paraId="113484F3" w14:textId="77777777" w:rsidR="00CC7A5C" w:rsidRDefault="00CC7A5C" w:rsidP="00CC7A5C">
      <w:pPr>
        <w:jc w:val="center"/>
        <w:rPr>
          <w:rFonts w:ascii="Times New Roman" w:hAnsi="Times New Roman"/>
          <w:lang w:val="en-US"/>
        </w:rPr>
      </w:pPr>
    </w:p>
    <w:p w14:paraId="26DD11FB" w14:textId="77777777" w:rsidR="00CC7A5C" w:rsidRDefault="00CC7A5C" w:rsidP="00CC7A5C">
      <w:pPr>
        <w:suppressAutoHyphens/>
        <w:ind w:left="720"/>
        <w:rPr>
          <w:rFonts w:ascii="Times New Roman" w:hAnsi="Times New Roman"/>
          <w:color w:val="000000"/>
          <w:u w:val="single"/>
          <w:lang w:val="en-US"/>
        </w:rPr>
      </w:pPr>
      <w:r>
        <w:rPr>
          <w:rFonts w:ascii="Times New Roman" w:hAnsi="Times New Roman"/>
          <w:color w:val="000000"/>
          <w:u w:val="single"/>
          <w:lang w:val="en-US"/>
        </w:rPr>
        <w:t>Inter-American Convention against the Illicit Manufacturing of and Trafficking in Firearms, Ammunition, Explosives, and Other Related Materials (CIFTA)</w:t>
      </w:r>
    </w:p>
    <w:p w14:paraId="0A078A67" w14:textId="77777777" w:rsidR="00CC7A5C" w:rsidRDefault="00CC7A5C" w:rsidP="00CC7A5C">
      <w:pPr>
        <w:suppressAutoHyphens/>
        <w:rPr>
          <w:rFonts w:ascii="Times New Roman" w:hAnsi="Times New Roman"/>
          <w:color w:val="000000"/>
          <w:lang w:val="en-US"/>
        </w:rPr>
      </w:pPr>
    </w:p>
    <w:p w14:paraId="5E553814" w14:textId="10FA148E" w:rsidR="00CC7A5C" w:rsidRDefault="00CC7A5C" w:rsidP="00CC7A5C">
      <w:pPr>
        <w:numPr>
          <w:ilvl w:val="0"/>
          <w:numId w:val="3"/>
        </w:numPr>
        <w:suppressAutoHyphens/>
        <w:rPr>
          <w:rFonts w:ascii="Times New Roman" w:hAnsi="Times New Roman"/>
          <w:color w:val="000000"/>
          <w:lang w:val="en-US"/>
        </w:rPr>
      </w:pPr>
      <w:bookmarkStart w:id="1" w:name="_Hlk81839776"/>
      <w:r>
        <w:rPr>
          <w:rFonts w:ascii="Times New Roman" w:hAnsi="Times New Roman"/>
          <w:color w:val="000000"/>
          <w:lang w:val="en-US"/>
        </w:rPr>
        <w:t xml:space="preserve">Recognize that the illicit trafficking of firearms, ammunition, </w:t>
      </w:r>
      <w:proofErr w:type="gramStart"/>
      <w:r>
        <w:rPr>
          <w:rFonts w:ascii="Times New Roman" w:hAnsi="Times New Roman"/>
          <w:color w:val="000000"/>
          <w:lang w:val="en-US"/>
        </w:rPr>
        <w:t>explosives</w:t>
      </w:r>
      <w:proofErr w:type="gramEnd"/>
      <w:r>
        <w:rPr>
          <w:rFonts w:ascii="Times New Roman" w:hAnsi="Times New Roman"/>
          <w:color w:val="000000"/>
          <w:lang w:val="en-US"/>
        </w:rPr>
        <w:t xml:space="preserve"> and other related materials constitutes a serious challenge that has contributed to the generation of violence, the increase in the power of criminal organizations, the loss of life, and that affects social cohesion and people's development opportunities, which is why urgent coordinated action is necessary within the framework of hemispheric cooperation, and under the principle of shared </w:t>
      </w:r>
      <w:bookmarkEnd w:id="1"/>
      <w:r w:rsidR="00774E27">
        <w:rPr>
          <w:rFonts w:ascii="Times New Roman" w:hAnsi="Times New Roman"/>
          <w:color w:val="000000"/>
          <w:lang w:val="en-US"/>
        </w:rPr>
        <w:t>responsibility.</w:t>
      </w:r>
    </w:p>
    <w:p w14:paraId="06554CFB" w14:textId="77777777" w:rsidR="00CC7A5C" w:rsidRDefault="00CC7A5C" w:rsidP="00CC7A5C">
      <w:pPr>
        <w:suppressAutoHyphens/>
        <w:ind w:left="720"/>
        <w:rPr>
          <w:rFonts w:ascii="Times New Roman" w:hAnsi="Times New Roman"/>
          <w:color w:val="000000"/>
          <w:lang w:val="en-US"/>
        </w:rPr>
      </w:pPr>
    </w:p>
    <w:p w14:paraId="1176FA60" w14:textId="77777777" w:rsidR="00CC7A5C" w:rsidRDefault="00CC7A5C" w:rsidP="00CC7A5C">
      <w:pPr>
        <w:numPr>
          <w:ilvl w:val="0"/>
          <w:numId w:val="3"/>
        </w:numPr>
        <w:suppressAutoHyphens/>
        <w:rPr>
          <w:rFonts w:ascii="Times New Roman" w:hAnsi="Times New Roman"/>
          <w:color w:val="000000"/>
          <w:lang w:val="en-US"/>
        </w:rPr>
      </w:pPr>
      <w:r>
        <w:rPr>
          <w:rFonts w:ascii="Times New Roman" w:hAnsi="Times New Roman"/>
          <w:color w:val="000000"/>
          <w:lang w:val="en-US"/>
        </w:rPr>
        <w:t xml:space="preserve">Encourage states that have not yet done so to consider ratifying the Inter-American Convention against Illicit Trafficking in Firearms, Ammunition, Explosives, and Other Related Materials; as well as to strengthen coordination and cooperation mechanisms, </w:t>
      </w:r>
      <w:proofErr w:type="gramStart"/>
      <w:r>
        <w:rPr>
          <w:rFonts w:ascii="Times New Roman" w:hAnsi="Times New Roman"/>
          <w:color w:val="000000"/>
          <w:lang w:val="en-US"/>
        </w:rPr>
        <w:t>in order to</w:t>
      </w:r>
      <w:proofErr w:type="gramEnd"/>
      <w:r>
        <w:rPr>
          <w:rFonts w:ascii="Times New Roman" w:hAnsi="Times New Roman"/>
          <w:color w:val="000000"/>
          <w:lang w:val="en-US"/>
        </w:rPr>
        <w:t xml:space="preserve"> consolidate the effective application of the Convention.</w:t>
      </w:r>
    </w:p>
    <w:p w14:paraId="1C6FE967" w14:textId="77777777" w:rsidR="00CC7A5C" w:rsidRDefault="00CC7A5C" w:rsidP="00CC7A5C">
      <w:pPr>
        <w:suppressAutoHyphens/>
        <w:rPr>
          <w:rFonts w:ascii="Times New Roman" w:hAnsi="Times New Roman"/>
          <w:color w:val="000000"/>
          <w:lang w:val="en-US"/>
        </w:rPr>
      </w:pPr>
    </w:p>
    <w:p w14:paraId="0C59D48F" w14:textId="77777777" w:rsidR="00CC7A5C" w:rsidRDefault="00CC7A5C" w:rsidP="00CC7A5C">
      <w:pPr>
        <w:numPr>
          <w:ilvl w:val="0"/>
          <w:numId w:val="3"/>
        </w:numPr>
        <w:suppressAutoHyphens/>
        <w:rPr>
          <w:rFonts w:ascii="Times New Roman" w:hAnsi="Times New Roman"/>
          <w:color w:val="000000"/>
          <w:lang w:val="en-US"/>
        </w:rPr>
      </w:pPr>
      <w:r>
        <w:rPr>
          <w:rFonts w:ascii="Times New Roman" w:hAnsi="Times New Roman"/>
          <w:color w:val="000000"/>
          <w:lang w:val="en-US"/>
        </w:rPr>
        <w:t xml:space="preserve">To reiterate the call to the States Parties to advance the implementation of the "2018-2022 Course of Action" for the operation and implementation of the CIFTA "and to request, if applicable, technical assistance and cooperation from the General Secretariat of the OAS, through the Department against Transnational Organized Crime and the Department of Public Security. </w:t>
      </w:r>
    </w:p>
    <w:p w14:paraId="6D3C3801" w14:textId="77777777" w:rsidR="00CC7A5C" w:rsidRDefault="00CC7A5C" w:rsidP="00CC7A5C">
      <w:pPr>
        <w:ind w:left="720"/>
        <w:rPr>
          <w:rFonts w:ascii="Times New Roman" w:hAnsi="Times New Roman"/>
          <w:color w:val="000000"/>
          <w:lang w:val="en-US"/>
        </w:rPr>
      </w:pPr>
    </w:p>
    <w:p w14:paraId="3A3D7833" w14:textId="77777777" w:rsidR="00CC7A5C" w:rsidRDefault="00CC7A5C" w:rsidP="00CC7A5C">
      <w:pPr>
        <w:numPr>
          <w:ilvl w:val="0"/>
          <w:numId w:val="3"/>
        </w:numPr>
        <w:suppressAutoHyphens/>
        <w:rPr>
          <w:rFonts w:ascii="Times New Roman" w:hAnsi="Times New Roman"/>
          <w:color w:val="000000"/>
          <w:lang w:val="en-US"/>
        </w:rPr>
      </w:pPr>
      <w:r>
        <w:rPr>
          <w:rFonts w:ascii="Times New Roman" w:hAnsi="Times New Roman"/>
          <w:color w:val="000000"/>
          <w:lang w:val="en-US"/>
        </w:rPr>
        <w:t xml:space="preserve">Invite member states that have not yet done so to send their responses to the Questionnaire on the Implementation and Effectiveness of the CIFTA to the OAS General Secretariat, and to designate or update the Single Point of Contact for Cooperation and Information Exchange, the Central Authority for Legal Assistance, and the Operational Point of Contact for Tracing. </w:t>
      </w:r>
    </w:p>
    <w:p w14:paraId="6338FD7D" w14:textId="77777777" w:rsidR="00CC7A5C" w:rsidRDefault="00CC7A5C" w:rsidP="00CC7A5C">
      <w:pPr>
        <w:suppressAutoHyphens/>
        <w:ind w:left="720"/>
        <w:rPr>
          <w:color w:val="000000"/>
          <w:lang w:val="en-US"/>
        </w:rPr>
      </w:pPr>
    </w:p>
    <w:p w14:paraId="1C6190C2" w14:textId="77777777" w:rsidR="00CC7A5C" w:rsidRDefault="00CC7A5C" w:rsidP="00CC7A5C">
      <w:pPr>
        <w:numPr>
          <w:ilvl w:val="0"/>
          <w:numId w:val="3"/>
        </w:numPr>
        <w:suppressAutoHyphens/>
        <w:rPr>
          <w:rFonts w:ascii="Times New Roman" w:hAnsi="Times New Roman"/>
          <w:color w:val="000000"/>
          <w:lang w:val="en-US"/>
        </w:rPr>
      </w:pPr>
      <w:r>
        <w:rPr>
          <w:rFonts w:ascii="Times New Roman" w:hAnsi="Times New Roman"/>
          <w:color w:val="000000"/>
          <w:lang w:val="en-US"/>
        </w:rPr>
        <w:t>Advance in the preparation of the hemispheric study on illicit trafficking of small firearms and light weapons and ammunition in the continent, the methodology for which is currently being developed by the Department against Transnational Organized Crime and the Department of Public Security; and invite the member states to provide information and financial contributions that support the preparation of the First Edition of said study.</w:t>
      </w:r>
    </w:p>
    <w:p w14:paraId="65FB2EFA" w14:textId="77777777" w:rsidR="00CC7A5C" w:rsidRDefault="00CC7A5C" w:rsidP="00CC7A5C">
      <w:pPr>
        <w:suppressAutoHyphens/>
        <w:rPr>
          <w:rFonts w:ascii="Times New Roman" w:hAnsi="Times New Roman"/>
          <w:color w:val="000000"/>
          <w:lang w:val="en-US"/>
        </w:rPr>
      </w:pPr>
    </w:p>
    <w:p w14:paraId="7046181D" w14:textId="77777777" w:rsidR="00CC7A5C" w:rsidRDefault="00CC7A5C" w:rsidP="00CC7A5C">
      <w:pPr>
        <w:numPr>
          <w:ilvl w:val="0"/>
          <w:numId w:val="3"/>
        </w:numPr>
        <w:suppressAutoHyphens/>
        <w:rPr>
          <w:rFonts w:ascii="Times New Roman" w:hAnsi="Times New Roman"/>
          <w:color w:val="000000"/>
          <w:lang w:val="en-US"/>
        </w:rPr>
      </w:pPr>
      <w:r>
        <w:rPr>
          <w:rFonts w:ascii="Times New Roman" w:hAnsi="Times New Roman"/>
          <w:color w:val="000000"/>
          <w:lang w:val="en-US"/>
        </w:rPr>
        <w:t xml:space="preserve">Encourage member states, permanent observers, international, regional, and subregional organizations, the international community, and the private sector to consider making voluntary contributions to the voluntary trust fund dedicated to improving the operations and functioning of the mechanisms established in the CIFTA. </w:t>
      </w:r>
    </w:p>
    <w:p w14:paraId="4C1814EF" w14:textId="77777777" w:rsidR="00CC7A5C" w:rsidRDefault="00CC7A5C" w:rsidP="00CC7A5C">
      <w:pPr>
        <w:ind w:left="720"/>
        <w:rPr>
          <w:rFonts w:ascii="Times New Roman" w:hAnsi="Times New Roman"/>
          <w:color w:val="000000"/>
          <w:lang w:val="en-US"/>
        </w:rPr>
      </w:pPr>
    </w:p>
    <w:p w14:paraId="52E7ED2A" w14:textId="77777777" w:rsidR="00CC7A5C" w:rsidRDefault="00CC7A5C" w:rsidP="00CC7A5C">
      <w:pPr>
        <w:numPr>
          <w:ilvl w:val="0"/>
          <w:numId w:val="3"/>
        </w:numPr>
        <w:suppressAutoHyphens/>
        <w:ind w:firstLine="810"/>
        <w:rPr>
          <w:rFonts w:ascii="Times New Roman" w:hAnsi="Times New Roman"/>
          <w:color w:val="000000"/>
          <w:lang w:val="en-US"/>
        </w:rPr>
      </w:pPr>
      <w:r>
        <w:rPr>
          <w:rFonts w:ascii="Times New Roman" w:hAnsi="Times New Roman"/>
          <w:color w:val="000000"/>
          <w:lang w:val="en-US"/>
        </w:rPr>
        <w:lastRenderedPageBreak/>
        <w:t xml:space="preserve">Accept and support the recommendations of the Fifth Conference of the States Parties to the CIFTA, held on October 5, 2021. </w:t>
      </w:r>
    </w:p>
    <w:p w14:paraId="26824405" w14:textId="77777777" w:rsidR="00CC7A5C" w:rsidRDefault="00CC7A5C" w:rsidP="00CC7A5C">
      <w:pPr>
        <w:pStyle w:val="ListParagraph"/>
        <w:rPr>
          <w:color w:val="000000"/>
          <w:lang w:val="en-US"/>
        </w:rPr>
      </w:pPr>
    </w:p>
    <w:p w14:paraId="6E782C89" w14:textId="77777777" w:rsidR="00CC7A5C" w:rsidRDefault="00CC7A5C" w:rsidP="00CC7A5C">
      <w:pPr>
        <w:numPr>
          <w:ilvl w:val="0"/>
          <w:numId w:val="3"/>
        </w:numPr>
        <w:suppressAutoHyphens/>
        <w:ind w:firstLine="810"/>
        <w:rPr>
          <w:rFonts w:ascii="Times New Roman" w:hAnsi="Times New Roman"/>
          <w:color w:val="000000"/>
          <w:lang w:val="en-US"/>
        </w:rPr>
      </w:pPr>
      <w:r>
        <w:rPr>
          <w:rFonts w:ascii="Times New Roman" w:hAnsi="Times New Roman"/>
          <w:color w:val="000000"/>
          <w:lang w:val="en-US"/>
        </w:rPr>
        <w:t xml:space="preserve">To convene the Twenty-Second Regular Session of the Consultative Committee of the CIFTA in 2022, pursuant to Article XXI of the Convention, and request the Technical Secretariat of the CIFTA to support its preparation and follow-up.  </w:t>
      </w:r>
    </w:p>
    <w:p w14:paraId="135170DE" w14:textId="77777777" w:rsidR="00CC7A5C" w:rsidRPr="00CC7A5C" w:rsidRDefault="00CC7A5C" w:rsidP="00CC7A5C">
      <w:pPr>
        <w:rPr>
          <w:szCs w:val="22"/>
          <w:lang w:val="en-US"/>
        </w:rPr>
      </w:pPr>
      <w:r>
        <w:rPr>
          <w:noProof/>
        </w:rPr>
        <mc:AlternateContent>
          <mc:Choice Requires="wps">
            <w:drawing>
              <wp:anchor distT="0" distB="0" distL="114300" distR="114300" simplePos="0" relativeHeight="251659264" behindDoc="0" locked="1" layoutInCell="1" allowOverlap="1" wp14:anchorId="3663BA1C" wp14:editId="2AE78643">
                <wp:simplePos x="0" y="0"/>
                <wp:positionH relativeFrom="margin">
                  <wp:align>left</wp:align>
                </wp:positionH>
                <wp:positionV relativeFrom="page">
                  <wp:posOffset>7752715</wp:posOffset>
                </wp:positionV>
                <wp:extent cx="338328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8603" w14:textId="5022F403" w:rsidR="00CC7A5C" w:rsidRDefault="00CC7A5C" w:rsidP="00CC7A5C">
                            <w:pPr>
                              <w:rPr>
                                <w:sz w:val="18"/>
                              </w:rPr>
                            </w:pPr>
                            <w:r>
                              <w:rPr>
                                <w:sz w:val="18"/>
                              </w:rPr>
                              <w:fldChar w:fldCharType="begin"/>
                            </w:r>
                            <w:r>
                              <w:rPr>
                                <w:sz w:val="18"/>
                              </w:rPr>
                              <w:instrText xml:space="preserve"> FILENAME \* MERGEFORMAT </w:instrText>
                            </w:r>
                            <w:r>
                              <w:rPr>
                                <w:sz w:val="18"/>
                              </w:rPr>
                              <w:fldChar w:fldCharType="separate"/>
                            </w:r>
                            <w:r>
                              <w:rPr>
                                <w:noProof/>
                                <w:sz w:val="18"/>
                              </w:rPr>
                              <w:t>CIFTA009</w:t>
                            </w:r>
                            <w:r>
                              <w:rPr>
                                <w:noProof/>
                                <w:sz w:val="18"/>
                              </w:rPr>
                              <w:t>18</w:t>
                            </w:r>
                            <w:r>
                              <w:rPr>
                                <w:noProof/>
                                <w:sz w:val="18"/>
                              </w:rPr>
                              <w:t>E01</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BA1C" id="_x0000_t202" coordsize="21600,21600" o:spt="202" path="m,l,21600r21600,l21600,xe">
                <v:stroke joinstyle="miter"/>
                <v:path gradientshapeok="t" o:connecttype="rect"/>
              </v:shapetype>
              <v:shape id="Text Box 4" o:spid="_x0000_s1026" type="#_x0000_t202" style="position:absolute;left:0;text-align:left;margin-left:0;margin-top:610.45pt;width:266.4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ZQ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" filled="f" stroked="f">
                <v:textbox>
                  <w:txbxContent>
                    <w:p w14:paraId="2AB98603" w14:textId="5022F403" w:rsidR="00CC7A5C" w:rsidRDefault="00CC7A5C" w:rsidP="00CC7A5C">
                      <w:pPr>
                        <w:rPr>
                          <w:sz w:val="18"/>
                        </w:rPr>
                      </w:pPr>
                      <w:r>
                        <w:rPr>
                          <w:sz w:val="18"/>
                        </w:rPr>
                        <w:fldChar w:fldCharType="begin"/>
                      </w:r>
                      <w:r>
                        <w:rPr>
                          <w:sz w:val="18"/>
                        </w:rPr>
                        <w:instrText xml:space="preserve"> FILENAME \* MERGEFORMAT </w:instrText>
                      </w:r>
                      <w:r>
                        <w:rPr>
                          <w:sz w:val="18"/>
                        </w:rPr>
                        <w:fldChar w:fldCharType="separate"/>
                      </w:r>
                      <w:r>
                        <w:rPr>
                          <w:noProof/>
                          <w:sz w:val="18"/>
                        </w:rPr>
                        <w:t>CIFTA009</w:t>
                      </w:r>
                      <w:r>
                        <w:rPr>
                          <w:noProof/>
                          <w:sz w:val="18"/>
                        </w:rPr>
                        <w:t>18</w:t>
                      </w:r>
                      <w:r>
                        <w:rPr>
                          <w:noProof/>
                          <w:sz w:val="18"/>
                        </w:rPr>
                        <w:t>E01</w:t>
                      </w:r>
                      <w:r>
                        <w:rPr>
                          <w:sz w:val="18"/>
                        </w:rPr>
                        <w:fldChar w:fldCharType="end"/>
                      </w:r>
                    </w:p>
                  </w:txbxContent>
                </v:textbox>
                <w10:wrap anchorx="margin" anchory="page"/>
                <w10:anchorlock/>
              </v:shape>
            </w:pict>
          </mc:Fallback>
        </mc:AlternateContent>
      </w:r>
    </w:p>
    <w:p w14:paraId="1469D85C" w14:textId="3287F59F" w:rsidR="007B0994" w:rsidRPr="00CC7A5C" w:rsidRDefault="007B0994" w:rsidP="00CC7A5C">
      <w:pPr>
        <w:rPr>
          <w:lang w:val="en-US"/>
        </w:rPr>
      </w:pPr>
    </w:p>
    <w:sectPr w:rsidR="007B0994" w:rsidRPr="00CC7A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B32A" w14:textId="77777777" w:rsidR="00632E83" w:rsidRDefault="00632E83" w:rsidP="007B0994">
      <w:r>
        <w:separator/>
      </w:r>
    </w:p>
  </w:endnote>
  <w:endnote w:type="continuationSeparator" w:id="0">
    <w:p w14:paraId="7F04135D" w14:textId="77777777" w:rsidR="00632E83" w:rsidRDefault="00632E83" w:rsidP="007B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0B09" w14:textId="77777777" w:rsidR="00632E83" w:rsidRDefault="00632E83" w:rsidP="007B0994">
      <w:r>
        <w:separator/>
      </w:r>
    </w:p>
  </w:footnote>
  <w:footnote w:type="continuationSeparator" w:id="0">
    <w:p w14:paraId="22604164" w14:textId="77777777" w:rsidR="00632E83" w:rsidRDefault="00632E83" w:rsidP="007B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1"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zcztTQ0tzQAAiUdpeDU4uLM/DyQAsNaAJFUXR4sAAAA"/>
  </w:docVars>
  <w:rsids>
    <w:rsidRoot w:val="007B0994"/>
    <w:rsid w:val="00001077"/>
    <w:rsid w:val="0006226F"/>
    <w:rsid w:val="000771FA"/>
    <w:rsid w:val="000C79B3"/>
    <w:rsid w:val="00245B39"/>
    <w:rsid w:val="00305720"/>
    <w:rsid w:val="00333492"/>
    <w:rsid w:val="0048265C"/>
    <w:rsid w:val="004B36BF"/>
    <w:rsid w:val="004E1F8F"/>
    <w:rsid w:val="005168EF"/>
    <w:rsid w:val="00565957"/>
    <w:rsid w:val="00632E83"/>
    <w:rsid w:val="006463B5"/>
    <w:rsid w:val="006A6C59"/>
    <w:rsid w:val="0070101F"/>
    <w:rsid w:val="00774E27"/>
    <w:rsid w:val="00795775"/>
    <w:rsid w:val="007B0994"/>
    <w:rsid w:val="008C0691"/>
    <w:rsid w:val="008C498C"/>
    <w:rsid w:val="0090135F"/>
    <w:rsid w:val="00907649"/>
    <w:rsid w:val="00934015"/>
    <w:rsid w:val="00967CE0"/>
    <w:rsid w:val="009A1092"/>
    <w:rsid w:val="00A210CA"/>
    <w:rsid w:val="00A51580"/>
    <w:rsid w:val="00A54573"/>
    <w:rsid w:val="00C76734"/>
    <w:rsid w:val="00C82F9F"/>
    <w:rsid w:val="00CB4E15"/>
    <w:rsid w:val="00CC7A5C"/>
    <w:rsid w:val="00DD756C"/>
    <w:rsid w:val="00E673C9"/>
    <w:rsid w:val="00E73C12"/>
    <w:rsid w:val="00F17CD6"/>
    <w:rsid w:val="00F55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0DA6"/>
  <w15:docId w15:val="{9B5B911D-BACE-42AB-9068-85161944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9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autoRedefine/>
    <w:uiPriority w:val="99"/>
    <w:qFormat/>
    <w:rsid w:val="007B0994"/>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pPr>
    <w:rPr>
      <w:rFonts w:ascii="Times New Roman" w:hAnsi="Times New Roman"/>
      <w:b/>
      <w:bCs/>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rsid w:val="007B0994"/>
    <w:rPr>
      <w:rFonts w:ascii="Times New Roman" w:eastAsia="Times New Roman" w:hAnsi="Times New Roman" w:cs="Times New Roman"/>
      <w:b/>
      <w:bCs/>
    </w:rPr>
  </w:style>
  <w:style w:type="character" w:styleId="FootnoteReference">
    <w:name w:val="footnote reference"/>
    <w:aliases w:val="Massilia Footnote Reference,Nota de pie,Ref,Ref. de nota al pie2,Texto de nota al pie,Texto nota al pie,de nota al pie,referencia nota al pie"/>
    <w:uiPriority w:val="99"/>
    <w:rsid w:val="007B0994"/>
    <w:rPr>
      <w:rFonts w:cs="Times New Roman"/>
      <w:color w:val="auto"/>
      <w:vertAlign w:val="baseline"/>
    </w:rPr>
  </w:style>
  <w:style w:type="paragraph" w:styleId="ListParagraph">
    <w:name w:val="List Paragraph"/>
    <w:basedOn w:val="Normal"/>
    <w:uiPriority w:val="99"/>
    <w:qFormat/>
    <w:rsid w:val="007B09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69559">
      <w:bodyDiv w:val="1"/>
      <w:marLeft w:val="0"/>
      <w:marRight w:val="0"/>
      <w:marTop w:val="0"/>
      <w:marBottom w:val="0"/>
      <w:divBdr>
        <w:top w:val="none" w:sz="0" w:space="0" w:color="auto"/>
        <w:left w:val="none" w:sz="0" w:space="0" w:color="auto"/>
        <w:bottom w:val="none" w:sz="0" w:space="0" w:color="auto"/>
        <w:right w:val="none" w:sz="0" w:space="0" w:color="auto"/>
      </w:divBdr>
    </w:div>
    <w:div w:id="17810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3B68-6169-4419-B5D2-E38FBC04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dc:creator>
  <cp:lastModifiedBy>Bejos, Michael</cp:lastModifiedBy>
  <cp:revision>8</cp:revision>
  <dcterms:created xsi:type="dcterms:W3CDTF">2021-09-10T19:32:00Z</dcterms:created>
  <dcterms:modified xsi:type="dcterms:W3CDTF">2021-09-30T23:04:00Z</dcterms:modified>
</cp:coreProperties>
</file>